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ED072" w14:textId="43E0A867" w:rsidR="00443BC6" w:rsidRPr="00443BC6" w:rsidRDefault="00443BC6" w:rsidP="00443BC6">
      <w:pPr>
        <w:spacing w:after="0" w:line="240" w:lineRule="auto"/>
        <w:ind w:left="1701" w:right="1581"/>
        <w:jc w:val="both"/>
        <w:rPr>
          <w:rFonts w:ascii="Arial" w:eastAsia="Arial" w:hAnsi="Arial" w:cs="Arial"/>
          <w:color w:val="FF0000"/>
          <w:sz w:val="20"/>
          <w:szCs w:val="20"/>
        </w:rPr>
      </w:pPr>
      <w:bookmarkStart w:id="0" w:name="_Hlk48988720"/>
      <w:r w:rsidRPr="660F8EF8">
        <w:rPr>
          <w:rFonts w:ascii="Arial" w:eastAsia="Arial" w:hAnsi="Arial" w:cs="Arial"/>
          <w:b/>
          <w:bCs/>
          <w:color w:val="FF0000"/>
          <w:sz w:val="20"/>
          <w:szCs w:val="20"/>
        </w:rPr>
        <w:t>Nota:</w:t>
      </w:r>
      <w:r w:rsidRPr="660F8EF8">
        <w:rPr>
          <w:rFonts w:ascii="Arial" w:eastAsia="Arial" w:hAnsi="Arial" w:cs="Arial"/>
          <w:color w:val="FF0000"/>
          <w:sz w:val="20"/>
          <w:szCs w:val="20"/>
        </w:rPr>
        <w:t xml:space="preserve"> la siguiente norma se trascribe completa, pero de ella la Agencia Nacional de Contratación Pública –Colombia Compra Eficiente– solo ha emitido conceptos que interpretan las siguientes disposiciones relacionadas con la contratación estatal:</w:t>
      </w:r>
      <w:r w:rsidR="4D43BDDB" w:rsidRPr="660F8EF8">
        <w:rPr>
          <w:rFonts w:ascii="Arial" w:eastAsia="Arial" w:hAnsi="Arial" w:cs="Arial"/>
          <w:color w:val="FF0000"/>
          <w:sz w:val="20"/>
          <w:szCs w:val="20"/>
        </w:rPr>
        <w:t xml:space="preserve"> </w:t>
      </w:r>
      <w:r w:rsidR="25D083E7" w:rsidRPr="660F8EF8">
        <w:rPr>
          <w:rFonts w:ascii="Arial" w:eastAsia="Arial" w:hAnsi="Arial" w:cs="Arial"/>
          <w:color w:val="FF0000"/>
          <w:sz w:val="20"/>
          <w:szCs w:val="20"/>
        </w:rPr>
        <w:t>2.2.1.2.3.1,</w:t>
      </w:r>
      <w:r w:rsidRPr="660F8EF8">
        <w:rPr>
          <w:rFonts w:ascii="Arial" w:eastAsia="Arial" w:hAnsi="Arial" w:cs="Arial"/>
          <w:color w:val="FF0000"/>
          <w:sz w:val="20"/>
          <w:szCs w:val="20"/>
        </w:rPr>
        <w:t xml:space="preserve"> 2.8.4.</w:t>
      </w:r>
      <w:r w:rsidR="00801BFF" w:rsidRPr="660F8EF8">
        <w:rPr>
          <w:rFonts w:ascii="Arial" w:eastAsia="Arial" w:hAnsi="Arial" w:cs="Arial"/>
          <w:color w:val="FF0000"/>
          <w:sz w:val="20"/>
          <w:szCs w:val="20"/>
        </w:rPr>
        <w:t>4</w:t>
      </w:r>
      <w:r w:rsidRPr="660F8EF8">
        <w:rPr>
          <w:rFonts w:ascii="Arial" w:eastAsia="Arial" w:hAnsi="Arial" w:cs="Arial"/>
          <w:color w:val="FF0000"/>
          <w:sz w:val="20"/>
          <w:szCs w:val="20"/>
        </w:rPr>
        <w:t>.</w:t>
      </w:r>
      <w:r w:rsidR="00801BFF" w:rsidRPr="660F8EF8">
        <w:rPr>
          <w:rFonts w:ascii="Arial" w:eastAsia="Arial" w:hAnsi="Arial" w:cs="Arial"/>
          <w:color w:val="FF0000"/>
          <w:sz w:val="20"/>
          <w:szCs w:val="20"/>
        </w:rPr>
        <w:t>5</w:t>
      </w:r>
      <w:r w:rsidR="6C945237" w:rsidRPr="660F8EF8">
        <w:rPr>
          <w:rFonts w:ascii="Arial" w:eastAsia="Arial" w:hAnsi="Arial" w:cs="Arial"/>
          <w:color w:val="FF0000"/>
          <w:sz w:val="20"/>
          <w:szCs w:val="20"/>
        </w:rPr>
        <w:t xml:space="preserve">, </w:t>
      </w:r>
      <w:r w:rsidR="00E03543" w:rsidRPr="660F8EF8">
        <w:rPr>
          <w:rFonts w:ascii="Arial" w:eastAsia="Arial" w:hAnsi="Arial" w:cs="Arial"/>
          <w:color w:val="FF0000"/>
          <w:sz w:val="20"/>
          <w:szCs w:val="20"/>
        </w:rPr>
        <w:t xml:space="preserve"> 2.8.4.4.6</w:t>
      </w:r>
    </w:p>
    <w:p w14:paraId="0DAF8746" w14:textId="77777777" w:rsidR="00443BC6" w:rsidRDefault="00443BC6" w:rsidP="00443BC6">
      <w:pPr>
        <w:spacing w:after="0" w:line="240" w:lineRule="auto"/>
        <w:ind w:left="1701" w:right="1581"/>
        <w:jc w:val="both"/>
        <w:rPr>
          <w:rFonts w:ascii="Arial" w:eastAsia="Arial" w:hAnsi="Arial" w:cs="Arial"/>
          <w:color w:val="FF0000"/>
          <w:sz w:val="20"/>
          <w:szCs w:val="20"/>
        </w:rPr>
      </w:pPr>
    </w:p>
    <w:p w14:paraId="21E54473" w14:textId="77777777" w:rsidR="00443BC6" w:rsidRPr="00987585" w:rsidRDefault="00443BC6" w:rsidP="00443BC6">
      <w:pPr>
        <w:spacing w:after="0" w:line="240" w:lineRule="auto"/>
        <w:ind w:left="1701" w:right="1581"/>
        <w:jc w:val="both"/>
        <w:rPr>
          <w:rFonts w:ascii="Arial" w:eastAsia="Arial" w:hAnsi="Arial" w:cs="Arial"/>
          <w:color w:val="FF0000"/>
          <w:sz w:val="20"/>
          <w:szCs w:val="20"/>
        </w:rPr>
      </w:pPr>
      <w:r>
        <w:rPr>
          <w:rFonts w:ascii="Arial" w:eastAsia="Arial" w:hAnsi="Arial" w:cs="Arial"/>
          <w:color w:val="FF0000"/>
          <w:sz w:val="20"/>
          <w:szCs w:val="20"/>
        </w:rPr>
        <w:t>Los conceptos se relacionan al pie de cada disposición, y abren dando “clic” en el hipervínculo.</w:t>
      </w:r>
    </w:p>
    <w:bookmarkEnd w:id="0"/>
    <w:p w14:paraId="106FD7C2" w14:textId="77777777" w:rsidR="00443BC6" w:rsidRDefault="00443BC6" w:rsidP="00C32F85">
      <w:pPr>
        <w:spacing w:after="0" w:line="240" w:lineRule="auto"/>
        <w:ind w:left="720" w:hanging="720"/>
        <w:jc w:val="both"/>
        <w:rPr>
          <w:rFonts w:ascii="Arial" w:eastAsia="Arial" w:hAnsi="Arial" w:cs="Arial"/>
        </w:rPr>
      </w:pPr>
    </w:p>
    <w:p w14:paraId="2128B3D3" w14:textId="77777777" w:rsidR="00183314" w:rsidRPr="002C1480" w:rsidRDefault="00183314" w:rsidP="00C32F85">
      <w:pPr>
        <w:shd w:val="clear" w:color="auto" w:fill="FFFFFF" w:themeFill="background1"/>
        <w:spacing w:after="0" w:line="240" w:lineRule="auto"/>
        <w:ind w:left="720" w:hanging="720"/>
        <w:jc w:val="center"/>
        <w:rPr>
          <w:rFonts w:ascii="Arial" w:eastAsia="Times New Roman" w:hAnsi="Arial" w:cs="Arial"/>
          <w:lang w:eastAsia="es-CO"/>
        </w:rPr>
      </w:pPr>
    </w:p>
    <w:p w14:paraId="1C09989A" w14:textId="2E2A8EA4" w:rsidR="004345A1" w:rsidRPr="002C1480" w:rsidRDefault="008D6289" w:rsidP="00C32F85">
      <w:pPr>
        <w:shd w:val="clear" w:color="auto" w:fill="FFFFFF" w:themeFill="background1"/>
        <w:spacing w:after="0" w:line="240" w:lineRule="auto"/>
        <w:ind w:hanging="720"/>
        <w:jc w:val="center"/>
        <w:rPr>
          <w:rFonts w:ascii="Arial" w:eastAsia="Times New Roman" w:hAnsi="Arial" w:cs="Arial"/>
          <w:b/>
          <w:bCs/>
          <w:lang w:eastAsia="es-CO"/>
        </w:rPr>
      </w:pPr>
      <w:r>
        <w:rPr>
          <w:rFonts w:ascii="Arial" w:eastAsia="Times New Roman" w:hAnsi="Arial" w:cs="Arial"/>
          <w:b/>
          <w:bCs/>
          <w:lang w:eastAsia="es-CO"/>
        </w:rPr>
        <w:t>DECRETO</w:t>
      </w:r>
      <w:r w:rsidR="004345A1" w:rsidRPr="002C1480">
        <w:rPr>
          <w:rFonts w:ascii="Arial" w:eastAsia="Times New Roman" w:hAnsi="Arial" w:cs="Arial"/>
          <w:b/>
          <w:bCs/>
          <w:lang w:eastAsia="es-CO"/>
        </w:rPr>
        <w:t xml:space="preserve"> 1068 DE 2015</w:t>
      </w:r>
    </w:p>
    <w:p w14:paraId="51E015B1" w14:textId="10B24ABC" w:rsidR="004345A1" w:rsidRPr="002C1480" w:rsidRDefault="004345A1" w:rsidP="00C32F85">
      <w:pPr>
        <w:shd w:val="clear" w:color="auto" w:fill="FFFFFF" w:themeFill="background1"/>
        <w:spacing w:after="0" w:line="240" w:lineRule="auto"/>
        <w:jc w:val="center"/>
        <w:rPr>
          <w:rFonts w:ascii="Arial" w:eastAsia="Times New Roman" w:hAnsi="Arial" w:cs="Arial"/>
          <w:b/>
          <w:bCs/>
          <w:lang w:eastAsia="es-CO"/>
        </w:rPr>
      </w:pPr>
    </w:p>
    <w:p w14:paraId="1C4505F3" w14:textId="1DFE4144" w:rsidR="00183314" w:rsidRPr="002C1480" w:rsidRDefault="004345A1" w:rsidP="002C1480">
      <w:pPr>
        <w:shd w:val="clear" w:color="auto" w:fill="FFFFFF" w:themeFill="background1"/>
        <w:spacing w:after="0" w:line="240" w:lineRule="auto"/>
        <w:jc w:val="center"/>
        <w:rPr>
          <w:rFonts w:ascii="Arial" w:eastAsia="Times New Roman" w:hAnsi="Arial" w:cs="Arial"/>
          <w:b/>
          <w:bCs/>
          <w:lang w:eastAsia="es-CO"/>
        </w:rPr>
      </w:pPr>
      <w:r w:rsidRPr="002C1480">
        <w:rPr>
          <w:rFonts w:ascii="Arial" w:eastAsia="Times New Roman" w:hAnsi="Arial" w:cs="Arial"/>
          <w:b/>
          <w:bCs/>
          <w:lang w:eastAsia="es-CO"/>
        </w:rPr>
        <w:t xml:space="preserve">Por medio del cual se expide el </w:t>
      </w:r>
      <w:r w:rsidR="008D6289">
        <w:rPr>
          <w:rFonts w:ascii="Arial" w:eastAsia="Times New Roman" w:hAnsi="Arial" w:cs="Arial"/>
          <w:b/>
          <w:bCs/>
          <w:lang w:eastAsia="es-CO"/>
        </w:rPr>
        <w:t>DECRETO</w:t>
      </w:r>
      <w:r w:rsidRPr="002C1480">
        <w:rPr>
          <w:rFonts w:ascii="Arial" w:eastAsia="Times New Roman" w:hAnsi="Arial" w:cs="Arial"/>
          <w:b/>
          <w:bCs/>
          <w:lang w:eastAsia="es-CO"/>
        </w:rPr>
        <w:t xml:space="preserve"> Único Reglamentario del Sector Hacienda y Crédito Público</w:t>
      </w:r>
    </w:p>
    <w:p w14:paraId="33F7B4EA" w14:textId="22E9B6FC" w:rsidR="004345A1" w:rsidRPr="002C1480" w:rsidRDefault="004345A1" w:rsidP="00C32F85">
      <w:pPr>
        <w:shd w:val="clear" w:color="auto" w:fill="FFFFFF" w:themeFill="background1"/>
        <w:spacing w:after="0" w:line="240" w:lineRule="auto"/>
        <w:jc w:val="center"/>
        <w:rPr>
          <w:rFonts w:ascii="Arial" w:eastAsia="Times New Roman" w:hAnsi="Arial" w:cs="Arial"/>
          <w:b/>
          <w:bCs/>
          <w:lang w:eastAsia="es-CO"/>
        </w:rPr>
      </w:pPr>
    </w:p>
    <w:p w14:paraId="7FE026C4" w14:textId="404FB93A" w:rsidR="004345A1" w:rsidRPr="002C1480" w:rsidRDefault="004345A1" w:rsidP="00C32F85">
      <w:pPr>
        <w:shd w:val="clear" w:color="auto" w:fill="FFFFFF" w:themeFill="background1"/>
        <w:spacing w:after="0" w:line="240" w:lineRule="auto"/>
        <w:jc w:val="center"/>
        <w:rPr>
          <w:rFonts w:ascii="Arial" w:eastAsia="Times New Roman" w:hAnsi="Arial" w:cs="Arial"/>
          <w:b/>
          <w:bCs/>
          <w:lang w:eastAsia="es-CO"/>
        </w:rPr>
      </w:pPr>
      <w:r w:rsidRPr="002C1480">
        <w:rPr>
          <w:rFonts w:ascii="Arial" w:eastAsia="Times New Roman" w:hAnsi="Arial" w:cs="Arial"/>
          <w:b/>
          <w:bCs/>
          <w:lang w:eastAsia="es-CO"/>
        </w:rPr>
        <w:t>EL PRESIDENTE DE LA REPÚBLICA DE COLOMBIA,</w:t>
      </w:r>
      <w:r w:rsidR="008336A7">
        <w:rPr>
          <w:rFonts w:ascii="Arial" w:eastAsia="Times New Roman" w:hAnsi="Arial" w:cs="Arial"/>
          <w:b/>
          <w:bCs/>
          <w:lang w:eastAsia="es-CO"/>
        </w:rPr>
        <w:t xml:space="preserve"> e</w:t>
      </w:r>
      <w:r w:rsidRPr="002C1480">
        <w:rPr>
          <w:rFonts w:ascii="Arial" w:eastAsia="Times New Roman" w:hAnsi="Arial" w:cs="Arial"/>
          <w:b/>
          <w:bCs/>
          <w:lang w:eastAsia="es-CO"/>
        </w:rPr>
        <w:t>n ejercicio de sus facultades constitucionales</w:t>
      </w:r>
      <w:r w:rsidR="002C1480" w:rsidRPr="002C1480">
        <w:rPr>
          <w:rFonts w:ascii="Arial" w:eastAsia="Times New Roman" w:hAnsi="Arial" w:cs="Arial"/>
          <w:b/>
          <w:bCs/>
          <w:lang w:eastAsia="es-CO"/>
        </w:rPr>
        <w:t xml:space="preserve"> y legales</w:t>
      </w:r>
      <w:r w:rsidRPr="002C1480">
        <w:rPr>
          <w:rFonts w:ascii="Arial" w:eastAsia="Times New Roman" w:hAnsi="Arial" w:cs="Arial"/>
          <w:b/>
          <w:bCs/>
          <w:lang w:eastAsia="es-CO"/>
        </w:rPr>
        <w:t xml:space="preserve">, </w:t>
      </w:r>
    </w:p>
    <w:p w14:paraId="553C192D" w14:textId="77777777" w:rsidR="004345A1" w:rsidRPr="002C1480" w:rsidRDefault="004345A1" w:rsidP="00C32F85">
      <w:pPr>
        <w:shd w:val="clear" w:color="auto" w:fill="FFFFFF" w:themeFill="background1"/>
        <w:spacing w:after="0" w:line="240" w:lineRule="auto"/>
        <w:jc w:val="center"/>
        <w:rPr>
          <w:rFonts w:ascii="Arial" w:eastAsia="Times New Roman" w:hAnsi="Arial" w:cs="Arial"/>
          <w:b/>
          <w:bCs/>
          <w:lang w:eastAsia="es-CO"/>
        </w:rPr>
      </w:pPr>
    </w:p>
    <w:p w14:paraId="7D9EA371" w14:textId="77777777" w:rsidR="004345A1" w:rsidRPr="002C1480" w:rsidRDefault="004345A1" w:rsidP="00C32F85">
      <w:pPr>
        <w:shd w:val="clear" w:color="auto" w:fill="FFFFFF" w:themeFill="background1"/>
        <w:spacing w:after="0" w:line="240" w:lineRule="auto"/>
        <w:jc w:val="center"/>
        <w:rPr>
          <w:rFonts w:ascii="Arial" w:eastAsia="Times New Roman" w:hAnsi="Arial" w:cs="Arial"/>
          <w:b/>
          <w:bCs/>
          <w:lang w:eastAsia="es-CO"/>
        </w:rPr>
      </w:pPr>
      <w:r w:rsidRPr="002C1480">
        <w:rPr>
          <w:rFonts w:ascii="Arial" w:eastAsia="Times New Roman" w:hAnsi="Arial" w:cs="Arial"/>
          <w:b/>
          <w:bCs/>
          <w:lang w:eastAsia="es-CO"/>
        </w:rPr>
        <w:t>CONSIDERANDO:</w:t>
      </w:r>
    </w:p>
    <w:p w14:paraId="49F12CEC" w14:textId="7B1DAD39" w:rsidR="004345A1" w:rsidRPr="002C1480" w:rsidRDefault="004345A1" w:rsidP="00C32F85">
      <w:pPr>
        <w:shd w:val="clear" w:color="auto" w:fill="FFFFFF" w:themeFill="background1"/>
        <w:spacing w:after="0" w:line="240" w:lineRule="auto"/>
        <w:jc w:val="center"/>
        <w:rPr>
          <w:rFonts w:ascii="Arial" w:eastAsia="Times New Roman" w:hAnsi="Arial" w:cs="Arial"/>
          <w:lang w:eastAsia="es-CO"/>
        </w:rPr>
      </w:pPr>
    </w:p>
    <w:p w14:paraId="445531C6"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Que la producción normativa ocupa un espacio central en la implementación de políticas públicas, siendo el medio a través del cual se estructuran los instrumentos jurídicos que materializan en gran parte las decisiones del Estado.</w:t>
      </w:r>
    </w:p>
    <w:p w14:paraId="1363632E"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66E0A4EA"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Que la racionalización y simplificación del ordenamiento jurídico es una de las principales herramientas para asegurar la eficiencia económica y social del sistema legal y para afianzar la seguridad jurídica.</w:t>
      </w:r>
    </w:p>
    <w:p w14:paraId="5323909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166F5DD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Que constituye una política pública gubernamental la simplificación y compilación orgánica del sistema nacional regulatorio.</w:t>
      </w:r>
    </w:p>
    <w:p w14:paraId="49706257"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77797DE4"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Que las facultades del numeral 11 y 25 del Presidente incluyen la posibilidad de compilar normas de la misma naturaleza.</w:t>
      </w:r>
    </w:p>
    <w:p w14:paraId="0ADF8F50"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3D89B0BA" w14:textId="1D7549DF"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en el ejercicio compilatorio de este </w:t>
      </w:r>
      <w:r w:rsidR="008D6289">
        <w:rPr>
          <w:rFonts w:ascii="Arial" w:eastAsia="Times New Roman" w:hAnsi="Arial" w:cs="Arial"/>
          <w:lang w:eastAsia="es-CO"/>
        </w:rPr>
        <w:t>DECRETO</w:t>
      </w:r>
      <w:r w:rsidRPr="002C1480">
        <w:rPr>
          <w:rFonts w:ascii="Arial" w:eastAsia="Times New Roman" w:hAnsi="Arial" w:cs="Arial"/>
          <w:lang w:eastAsia="es-CO"/>
        </w:rPr>
        <w:t xml:space="preserve"> se priorizó la inclusión de las normas expedidas principalmente con base en el numeral 11.</w:t>
      </w:r>
    </w:p>
    <w:p w14:paraId="664DA00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4B01A2FB" w14:textId="58A9F986"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no obstante la priorización referida anteriormente, se ha incluido en la presente compilación los </w:t>
      </w:r>
      <w:r w:rsidR="00731A76">
        <w:rPr>
          <w:rFonts w:ascii="Arial" w:eastAsia="Times New Roman" w:hAnsi="Arial" w:cs="Arial"/>
          <w:lang w:eastAsia="es-CO"/>
        </w:rPr>
        <w:t>DECRETOS</w:t>
      </w:r>
      <w:r w:rsidRPr="002C1480">
        <w:rPr>
          <w:rFonts w:ascii="Arial" w:eastAsia="Times New Roman" w:hAnsi="Arial" w:cs="Arial"/>
          <w:lang w:eastAsia="es-CO"/>
        </w:rPr>
        <w:t xml:space="preserve"> que desarrollan leyes marco sobre régimen cambiario y algunas disposiciones en ejercicio del numeral 25 del </w:t>
      </w:r>
      <w:r w:rsidR="002C1480" w:rsidRPr="002C1480">
        <w:rPr>
          <w:rFonts w:ascii="Arial" w:eastAsia="Times New Roman" w:hAnsi="Arial" w:cs="Arial"/>
          <w:lang w:eastAsia="es-CO"/>
        </w:rPr>
        <w:t>ARTÍCULO</w:t>
      </w:r>
      <w:r w:rsidRPr="002C1480">
        <w:rPr>
          <w:rFonts w:ascii="Arial" w:eastAsia="Times New Roman" w:hAnsi="Arial" w:cs="Arial"/>
          <w:lang w:eastAsia="es-CO"/>
        </w:rPr>
        <w:t xml:space="preserve"> 189 de la Constitución Política.</w:t>
      </w:r>
    </w:p>
    <w:p w14:paraId="18D660FC"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7353694D" w14:textId="3BF0E8C3"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este </w:t>
      </w:r>
      <w:r w:rsidR="008D6289">
        <w:rPr>
          <w:rFonts w:ascii="Arial" w:eastAsia="Times New Roman" w:hAnsi="Arial" w:cs="Arial"/>
          <w:lang w:eastAsia="es-CO"/>
        </w:rPr>
        <w:t>DECRETO</w:t>
      </w:r>
      <w:r w:rsidRPr="002C1480">
        <w:rPr>
          <w:rFonts w:ascii="Arial" w:eastAsia="Times New Roman" w:hAnsi="Arial" w:cs="Arial"/>
          <w:lang w:eastAsia="es-CO"/>
        </w:rPr>
        <w:t xml:space="preserve"> no incluye </w:t>
      </w:r>
      <w:r w:rsidR="00731A76">
        <w:rPr>
          <w:rFonts w:ascii="Arial" w:eastAsia="Times New Roman" w:hAnsi="Arial" w:cs="Arial"/>
          <w:lang w:eastAsia="es-CO"/>
        </w:rPr>
        <w:t>DECRETOS</w:t>
      </w:r>
      <w:r w:rsidRPr="002C1480">
        <w:rPr>
          <w:rFonts w:ascii="Arial" w:eastAsia="Times New Roman" w:hAnsi="Arial" w:cs="Arial"/>
          <w:lang w:eastAsia="es-CO"/>
        </w:rPr>
        <w:t xml:space="preserve"> sobre el régimen de aduanas ni de comercio exterior que hayan sido expedidos con base en el numeral 25 del </w:t>
      </w:r>
      <w:r w:rsidR="002C1480" w:rsidRPr="002C1480">
        <w:rPr>
          <w:rFonts w:ascii="Arial" w:eastAsia="Times New Roman" w:hAnsi="Arial" w:cs="Arial"/>
          <w:lang w:eastAsia="es-CO"/>
        </w:rPr>
        <w:t>ARTÍCULO</w:t>
      </w:r>
      <w:r w:rsidRPr="002C1480">
        <w:rPr>
          <w:rFonts w:ascii="Arial" w:eastAsia="Times New Roman" w:hAnsi="Arial" w:cs="Arial"/>
          <w:lang w:eastAsia="es-CO"/>
        </w:rPr>
        <w:t xml:space="preserve"> 189 de la Constitución Política.</w:t>
      </w:r>
    </w:p>
    <w:p w14:paraId="61FBB34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101A3C0F" w14:textId="61D81CBE"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este </w:t>
      </w:r>
      <w:r w:rsidR="008D6289">
        <w:rPr>
          <w:rFonts w:ascii="Arial" w:eastAsia="Times New Roman" w:hAnsi="Arial" w:cs="Arial"/>
          <w:lang w:eastAsia="es-CO"/>
        </w:rPr>
        <w:t>DECRETO</w:t>
      </w:r>
      <w:r w:rsidRPr="002C1480">
        <w:rPr>
          <w:rFonts w:ascii="Arial" w:eastAsia="Times New Roman" w:hAnsi="Arial" w:cs="Arial"/>
          <w:lang w:eastAsia="es-CO"/>
        </w:rPr>
        <w:t xml:space="preserve"> tampoco incluye las normas sobre estructura del Sector Administrativo de Hacienda y Crédito Público.</w:t>
      </w:r>
    </w:p>
    <w:p w14:paraId="597ECFEF"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70FBDE69" w14:textId="578BF09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el </w:t>
      </w:r>
      <w:r w:rsidR="008D6289">
        <w:rPr>
          <w:rFonts w:ascii="Arial" w:eastAsia="Times New Roman" w:hAnsi="Arial" w:cs="Arial"/>
          <w:lang w:eastAsia="es-CO"/>
        </w:rPr>
        <w:t>DECRETO</w:t>
      </w:r>
      <w:r w:rsidRPr="002C1480">
        <w:rPr>
          <w:rFonts w:ascii="Arial" w:eastAsia="Times New Roman" w:hAnsi="Arial" w:cs="Arial"/>
          <w:lang w:eastAsia="es-CO"/>
        </w:rPr>
        <w:t xml:space="preserve"> 2555 de 2010 compila las normas en materia del sector financiero, asegurador y del mercado de valores y por lo tanto ninguna disposición allí contenida ha sido compilada por este </w:t>
      </w:r>
      <w:r w:rsidR="008D6289">
        <w:rPr>
          <w:rFonts w:ascii="Arial" w:eastAsia="Times New Roman" w:hAnsi="Arial" w:cs="Arial"/>
          <w:lang w:eastAsia="es-CO"/>
        </w:rPr>
        <w:t>DECRETO</w:t>
      </w:r>
      <w:r w:rsidRPr="002C1480">
        <w:rPr>
          <w:rFonts w:ascii="Arial" w:eastAsia="Times New Roman" w:hAnsi="Arial" w:cs="Arial"/>
          <w:lang w:eastAsia="es-CO"/>
        </w:rPr>
        <w:t xml:space="preserve"> Único.</w:t>
      </w:r>
    </w:p>
    <w:p w14:paraId="09905324"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lastRenderedPageBreak/>
        <w:t> </w:t>
      </w:r>
    </w:p>
    <w:p w14:paraId="00D23C43" w14:textId="494282D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el </w:t>
      </w:r>
      <w:r w:rsidR="008D6289">
        <w:rPr>
          <w:rFonts w:ascii="Arial" w:eastAsia="Times New Roman" w:hAnsi="Arial" w:cs="Arial"/>
          <w:lang w:eastAsia="es-CO"/>
        </w:rPr>
        <w:t>DECRETO</w:t>
      </w:r>
      <w:r w:rsidRPr="002C1480">
        <w:rPr>
          <w:rFonts w:ascii="Arial" w:eastAsia="Times New Roman" w:hAnsi="Arial" w:cs="Arial"/>
          <w:lang w:eastAsia="es-CO"/>
        </w:rPr>
        <w:t xml:space="preserve"> 712 de 2004, modificado por el </w:t>
      </w:r>
      <w:r w:rsidR="008D6289">
        <w:rPr>
          <w:rFonts w:ascii="Arial" w:eastAsia="Times New Roman" w:hAnsi="Arial" w:cs="Arial"/>
          <w:lang w:eastAsia="es-CO"/>
        </w:rPr>
        <w:t>DECRETO</w:t>
      </w:r>
      <w:r w:rsidRPr="002C1480">
        <w:rPr>
          <w:rFonts w:ascii="Arial" w:eastAsia="Times New Roman" w:hAnsi="Arial" w:cs="Arial"/>
          <w:lang w:eastAsia="es-CO"/>
        </w:rPr>
        <w:t xml:space="preserve"> 1266 de 2005 regula el numeral 1 del </w:t>
      </w:r>
      <w:r w:rsidR="002C1480" w:rsidRPr="002C1480">
        <w:rPr>
          <w:rFonts w:ascii="Arial" w:eastAsia="Times New Roman" w:hAnsi="Arial" w:cs="Arial"/>
          <w:lang w:eastAsia="es-CO"/>
        </w:rPr>
        <w:t>ARTÍCULO</w:t>
      </w:r>
      <w:r w:rsidRPr="002C1480">
        <w:rPr>
          <w:rFonts w:ascii="Arial" w:eastAsia="Times New Roman" w:hAnsi="Arial" w:cs="Arial"/>
          <w:lang w:eastAsia="es-CO"/>
        </w:rPr>
        <w:t xml:space="preserve"> 48 del Estatuto Orgánico del Sistema Financiero y los </w:t>
      </w:r>
      <w:r w:rsidR="00731A76">
        <w:rPr>
          <w:rFonts w:ascii="Arial" w:eastAsia="Times New Roman" w:hAnsi="Arial" w:cs="Arial"/>
          <w:lang w:eastAsia="es-CO"/>
        </w:rPr>
        <w:t>DECRETOS</w:t>
      </w:r>
      <w:r w:rsidRPr="002C1480">
        <w:rPr>
          <w:rFonts w:ascii="Arial" w:eastAsia="Times New Roman" w:hAnsi="Arial" w:cs="Arial"/>
          <w:lang w:eastAsia="es-CO"/>
        </w:rPr>
        <w:t xml:space="preserve"> 790 de 2003, 2280 de 2003, 3965 de 2006, 2058 de 2009, 37 de 2015 y 756 de 2000 se refieren a reglamentación sobre cooperativas que realizan actividades financieras y serán compilados en el </w:t>
      </w:r>
      <w:r w:rsidR="008D6289">
        <w:rPr>
          <w:rFonts w:ascii="Arial" w:eastAsia="Times New Roman" w:hAnsi="Arial" w:cs="Arial"/>
          <w:lang w:eastAsia="es-CO"/>
        </w:rPr>
        <w:t>DECRETO</w:t>
      </w:r>
      <w:r w:rsidRPr="002C1480">
        <w:rPr>
          <w:rFonts w:ascii="Arial" w:eastAsia="Times New Roman" w:hAnsi="Arial" w:cs="Arial"/>
          <w:lang w:eastAsia="es-CO"/>
        </w:rPr>
        <w:t xml:space="preserve"> 2555 de 2010 con posterioridad a la expedición de este </w:t>
      </w:r>
      <w:r w:rsidR="008D6289">
        <w:rPr>
          <w:rFonts w:ascii="Arial" w:eastAsia="Times New Roman" w:hAnsi="Arial" w:cs="Arial"/>
          <w:lang w:eastAsia="es-CO"/>
        </w:rPr>
        <w:t>DECRETO</w:t>
      </w:r>
      <w:r w:rsidRPr="002C1480">
        <w:rPr>
          <w:rFonts w:ascii="Arial" w:eastAsia="Times New Roman" w:hAnsi="Arial" w:cs="Arial"/>
          <w:lang w:eastAsia="es-CO"/>
        </w:rPr>
        <w:t xml:space="preserve"> Único. Por lo anterior, estos </w:t>
      </w:r>
      <w:r w:rsidR="00731A76">
        <w:rPr>
          <w:rFonts w:ascii="Arial" w:eastAsia="Times New Roman" w:hAnsi="Arial" w:cs="Arial"/>
          <w:lang w:eastAsia="es-CO"/>
        </w:rPr>
        <w:t>DECRETOS</w:t>
      </w:r>
      <w:r w:rsidRPr="002C1480">
        <w:rPr>
          <w:rFonts w:ascii="Arial" w:eastAsia="Times New Roman" w:hAnsi="Arial" w:cs="Arial"/>
          <w:lang w:eastAsia="es-CO"/>
        </w:rPr>
        <w:t xml:space="preserve"> no han sido compilados en este </w:t>
      </w:r>
      <w:r w:rsidR="008D6289">
        <w:rPr>
          <w:rFonts w:ascii="Arial" w:eastAsia="Times New Roman" w:hAnsi="Arial" w:cs="Arial"/>
          <w:lang w:eastAsia="es-CO"/>
        </w:rPr>
        <w:t>DECRETO</w:t>
      </w:r>
      <w:r w:rsidRPr="002C1480">
        <w:rPr>
          <w:rFonts w:ascii="Arial" w:eastAsia="Times New Roman" w:hAnsi="Arial" w:cs="Arial"/>
          <w:lang w:eastAsia="es-CO"/>
        </w:rPr>
        <w:t xml:space="preserve"> Único.</w:t>
      </w:r>
    </w:p>
    <w:p w14:paraId="1C5E81F3"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70AC162D" w14:textId="010C1773"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en el análisis compilatorio se identificó que la normativa sobre pensiones, y afiliación al Sistema General de Seguridad Social tiene un carácter especialmente intersectorial, por lo que las disposiciones sobre estos temas no han sido incluidas en este </w:t>
      </w:r>
      <w:r w:rsidR="008D6289">
        <w:rPr>
          <w:rFonts w:ascii="Arial" w:eastAsia="Times New Roman" w:hAnsi="Arial" w:cs="Arial"/>
          <w:lang w:eastAsia="es-CO"/>
        </w:rPr>
        <w:t>DECRETO</w:t>
      </w:r>
      <w:r w:rsidRPr="002C1480">
        <w:rPr>
          <w:rFonts w:ascii="Arial" w:eastAsia="Times New Roman" w:hAnsi="Arial" w:cs="Arial"/>
          <w:lang w:eastAsia="es-CO"/>
        </w:rPr>
        <w:t>.</w:t>
      </w:r>
    </w:p>
    <w:p w14:paraId="14DBABF5"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4A608B94" w14:textId="50503579"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el volumen de </w:t>
      </w:r>
      <w:r w:rsidR="00731A76">
        <w:rPr>
          <w:rFonts w:ascii="Arial" w:eastAsia="Times New Roman" w:hAnsi="Arial" w:cs="Arial"/>
          <w:lang w:eastAsia="es-CO"/>
        </w:rPr>
        <w:t>DECRETOS</w:t>
      </w:r>
      <w:r w:rsidRPr="002C1480">
        <w:rPr>
          <w:rFonts w:ascii="Arial" w:eastAsia="Times New Roman" w:hAnsi="Arial" w:cs="Arial"/>
          <w:lang w:eastAsia="es-CO"/>
        </w:rPr>
        <w:t xml:space="preserve"> en materia tributaria hace necesaria la expedición de un </w:t>
      </w:r>
      <w:r w:rsidR="008D6289">
        <w:rPr>
          <w:rFonts w:ascii="Arial" w:eastAsia="Times New Roman" w:hAnsi="Arial" w:cs="Arial"/>
          <w:lang w:eastAsia="es-CO"/>
        </w:rPr>
        <w:t>DECRETO</w:t>
      </w:r>
      <w:r w:rsidRPr="002C1480">
        <w:rPr>
          <w:rFonts w:ascii="Arial" w:eastAsia="Times New Roman" w:hAnsi="Arial" w:cs="Arial"/>
          <w:lang w:eastAsia="es-CO"/>
        </w:rPr>
        <w:t xml:space="preserve"> aparte que de manera general compile la reglamentación tributaria.</w:t>
      </w:r>
    </w:p>
    <w:p w14:paraId="74D781B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0A98E264" w14:textId="6013EC6B"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los </w:t>
      </w:r>
      <w:r w:rsidR="00731A76">
        <w:rPr>
          <w:rFonts w:ascii="Arial" w:eastAsia="Times New Roman" w:hAnsi="Arial" w:cs="Arial"/>
          <w:lang w:eastAsia="es-CO"/>
        </w:rPr>
        <w:t>DECRETOS</w:t>
      </w:r>
      <w:r w:rsidRPr="002C1480">
        <w:rPr>
          <w:rFonts w:ascii="Arial" w:eastAsia="Times New Roman" w:hAnsi="Arial" w:cs="Arial"/>
          <w:lang w:eastAsia="es-CO"/>
        </w:rPr>
        <w:t xml:space="preserve"> expedidos en virtud de la Ley 1314 de 2009, sobre normas internacionales de contabilidad, información financiera NIIF y de aseguramiento de la información NIA por su extensión tampoco han sido incluidos en este </w:t>
      </w:r>
      <w:r w:rsidR="008D6289">
        <w:rPr>
          <w:rFonts w:ascii="Arial" w:eastAsia="Times New Roman" w:hAnsi="Arial" w:cs="Arial"/>
          <w:lang w:eastAsia="es-CO"/>
        </w:rPr>
        <w:t>DECRETO</w:t>
      </w:r>
      <w:r w:rsidRPr="002C1480">
        <w:rPr>
          <w:rFonts w:ascii="Arial" w:eastAsia="Times New Roman" w:hAnsi="Arial" w:cs="Arial"/>
          <w:lang w:eastAsia="es-CO"/>
        </w:rPr>
        <w:t>.</w:t>
      </w:r>
    </w:p>
    <w:p w14:paraId="2631C8C2"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5EEF7751" w14:textId="1A49FFF6"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por tratarse de un </w:t>
      </w:r>
      <w:r w:rsidR="008D6289">
        <w:rPr>
          <w:rFonts w:ascii="Arial" w:eastAsia="Times New Roman" w:hAnsi="Arial" w:cs="Arial"/>
          <w:lang w:eastAsia="es-CO"/>
        </w:rPr>
        <w:t>DECRETO</w:t>
      </w:r>
      <w:r w:rsidRPr="002C1480">
        <w:rPr>
          <w:rFonts w:ascii="Arial" w:eastAsia="Times New Roman" w:hAnsi="Arial" w:cs="Arial"/>
          <w:lang w:eastAsia="es-CO"/>
        </w:rPr>
        <w:t xml:space="preserve"> compilatorio de normas preexistentes, las mismas no requieren de consulta previa alguna, dado que las normas fuente cumplieron al momento de su expedición con las regulaciones vigentes sobre la materia.</w:t>
      </w:r>
    </w:p>
    <w:p w14:paraId="23C14B26"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496CB9C9"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Que la tarea de compilar y racionalizar las normas de carácter reglamentario implica, en algunos casos, la simple actualización de la normativa compilada, para que se ajuste a la realidad institucional y a la normativa vigente, lo cual conlleva, en aspectos puntuales, el ejercicio formal de la facultad reglamentaria.</w:t>
      </w:r>
    </w:p>
    <w:p w14:paraId="6B202AB6"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4C136806" w14:textId="10EA9940"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en virtud de sus características propias, el contenido material de este </w:t>
      </w:r>
      <w:r w:rsidR="008D6289">
        <w:rPr>
          <w:rFonts w:ascii="Arial" w:eastAsia="Times New Roman" w:hAnsi="Arial" w:cs="Arial"/>
          <w:lang w:eastAsia="es-CO"/>
        </w:rPr>
        <w:t>DECRETO</w:t>
      </w:r>
      <w:r w:rsidRPr="002C1480">
        <w:rPr>
          <w:rFonts w:ascii="Arial" w:eastAsia="Times New Roman" w:hAnsi="Arial" w:cs="Arial"/>
          <w:lang w:eastAsia="es-CO"/>
        </w:rPr>
        <w:t xml:space="preserve"> guarda correspondencia con el de los </w:t>
      </w:r>
      <w:r w:rsidR="00731A76">
        <w:rPr>
          <w:rFonts w:ascii="Arial" w:eastAsia="Times New Roman" w:hAnsi="Arial" w:cs="Arial"/>
          <w:lang w:eastAsia="es-CO"/>
        </w:rPr>
        <w:t>DECRETOS</w:t>
      </w:r>
      <w:r w:rsidRPr="002C1480">
        <w:rPr>
          <w:rFonts w:ascii="Arial" w:eastAsia="Times New Roman" w:hAnsi="Arial" w:cs="Arial"/>
          <w:lang w:eastAsia="es-CO"/>
        </w:rPr>
        <w:t xml:space="preserve"> compilados; en consecuencia, no puede predicarse el decaimiento de las resoluciones, las circulares y demás actos administrativos expedidos por distintas autoridades administrativas con fundamento en las facultades derivadas de los </w:t>
      </w:r>
      <w:r w:rsidR="00731A76">
        <w:rPr>
          <w:rFonts w:ascii="Arial" w:eastAsia="Times New Roman" w:hAnsi="Arial" w:cs="Arial"/>
          <w:lang w:eastAsia="es-CO"/>
        </w:rPr>
        <w:t>DECRETOS</w:t>
      </w:r>
      <w:r w:rsidRPr="002C1480">
        <w:rPr>
          <w:rFonts w:ascii="Arial" w:eastAsia="Times New Roman" w:hAnsi="Arial" w:cs="Arial"/>
          <w:lang w:eastAsia="es-CO"/>
        </w:rPr>
        <w:t xml:space="preserve"> compilados.</w:t>
      </w:r>
    </w:p>
    <w:p w14:paraId="1F8A9B34"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2370D862" w14:textId="2F8F375C"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la compilación de que trata el presente </w:t>
      </w:r>
      <w:r w:rsidR="008D6289">
        <w:rPr>
          <w:rFonts w:ascii="Arial" w:eastAsia="Times New Roman" w:hAnsi="Arial" w:cs="Arial"/>
          <w:lang w:eastAsia="es-CO"/>
        </w:rPr>
        <w:t>DECRETO</w:t>
      </w:r>
      <w:r w:rsidRPr="002C1480">
        <w:rPr>
          <w:rFonts w:ascii="Arial" w:eastAsia="Times New Roman" w:hAnsi="Arial" w:cs="Arial"/>
          <w:lang w:eastAsia="es-CO"/>
        </w:rPr>
        <w:t xml:space="preserve"> se contrae a la normatividad vigente al momento de su expedición, sin perjuicio de los efectos ultractivos de disposiciones derogadas a la fecha, de conformidad con el </w:t>
      </w:r>
      <w:r w:rsidR="002C1480" w:rsidRPr="002C1480">
        <w:rPr>
          <w:rFonts w:ascii="Arial" w:eastAsia="Times New Roman" w:hAnsi="Arial" w:cs="Arial"/>
          <w:lang w:eastAsia="es-CO"/>
        </w:rPr>
        <w:t>ARTÍCULO</w:t>
      </w:r>
      <w:r w:rsidRPr="002C1480">
        <w:rPr>
          <w:rFonts w:ascii="Arial" w:eastAsia="Times New Roman" w:hAnsi="Arial" w:cs="Arial"/>
          <w:lang w:eastAsia="es-CO"/>
        </w:rPr>
        <w:t xml:space="preserve"> 38 de la Ley 153 de 1887.</w:t>
      </w:r>
    </w:p>
    <w:p w14:paraId="3B29EDCF"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5294FF9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Que las normas cuya vigencia ya se agotó en el tiempo no fueron incorporadas, lo que no afecta las situaciones, obligaciones o derechos que se consolidaron durante la vigencia de las mismas.</w:t>
      </w:r>
    </w:p>
    <w:p w14:paraId="391EBC3E"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6B2875AE" w14:textId="65CEB86F"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por cuanto este </w:t>
      </w:r>
      <w:r w:rsidR="008D6289">
        <w:rPr>
          <w:rFonts w:ascii="Arial" w:eastAsia="Times New Roman" w:hAnsi="Arial" w:cs="Arial"/>
          <w:lang w:eastAsia="es-CO"/>
        </w:rPr>
        <w:t>DECRETO</w:t>
      </w:r>
      <w:r w:rsidRPr="002C1480">
        <w:rPr>
          <w:rFonts w:ascii="Arial" w:eastAsia="Times New Roman" w:hAnsi="Arial" w:cs="Arial"/>
          <w:lang w:eastAsia="es-CO"/>
        </w:rPr>
        <w:t xml:space="preserve"> constituye un ejercicio de compilación de reglamentaciones preexistentes, los considerandos de los </w:t>
      </w:r>
      <w:r w:rsidR="00731A76">
        <w:rPr>
          <w:rFonts w:ascii="Arial" w:eastAsia="Times New Roman" w:hAnsi="Arial" w:cs="Arial"/>
          <w:lang w:eastAsia="es-CO"/>
        </w:rPr>
        <w:t>DECRETOS</w:t>
      </w:r>
      <w:r w:rsidRPr="002C1480">
        <w:rPr>
          <w:rFonts w:ascii="Arial" w:eastAsia="Times New Roman" w:hAnsi="Arial" w:cs="Arial"/>
          <w:lang w:eastAsia="es-CO"/>
        </w:rPr>
        <w:t xml:space="preserve"> fuente se entienden incorporados a su texto, aunque no se transcriban, para lo cual en cada </w:t>
      </w:r>
      <w:r w:rsidR="002C1480" w:rsidRPr="002C1480">
        <w:rPr>
          <w:rFonts w:ascii="Arial" w:eastAsia="Times New Roman" w:hAnsi="Arial" w:cs="Arial"/>
          <w:lang w:eastAsia="es-CO"/>
        </w:rPr>
        <w:t>ARTÍCULO</w:t>
      </w:r>
      <w:r w:rsidRPr="002C1480">
        <w:rPr>
          <w:rFonts w:ascii="Arial" w:eastAsia="Times New Roman" w:hAnsi="Arial" w:cs="Arial"/>
          <w:lang w:eastAsia="es-CO"/>
        </w:rPr>
        <w:t xml:space="preserve"> se indica el origen del mismo.</w:t>
      </w:r>
    </w:p>
    <w:p w14:paraId="0A378847"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0F73CD35" w14:textId="1680B2BB"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las normas que integran el Libro 1 de este </w:t>
      </w:r>
      <w:r w:rsidR="008D6289">
        <w:rPr>
          <w:rFonts w:ascii="Arial" w:eastAsia="Times New Roman" w:hAnsi="Arial" w:cs="Arial"/>
          <w:lang w:eastAsia="es-CO"/>
        </w:rPr>
        <w:t>DECRETO</w:t>
      </w:r>
      <w:r w:rsidRPr="002C1480">
        <w:rPr>
          <w:rFonts w:ascii="Arial" w:eastAsia="Times New Roman" w:hAnsi="Arial" w:cs="Arial"/>
          <w:lang w:eastAsia="es-CO"/>
        </w:rPr>
        <w:t xml:space="preserve"> no tienen naturaleza reglamentaria, como quiera que se limiten a describir la estructura general administrativa del sector.</w:t>
      </w:r>
    </w:p>
    <w:p w14:paraId="689433AE"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188F9AB7" w14:textId="034BE85E"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durante el trabajo compilatorio recogido en este </w:t>
      </w:r>
      <w:r w:rsidR="008D6289">
        <w:rPr>
          <w:rFonts w:ascii="Arial" w:eastAsia="Times New Roman" w:hAnsi="Arial" w:cs="Arial"/>
          <w:lang w:eastAsia="es-CO"/>
        </w:rPr>
        <w:t>DECRETO</w:t>
      </w:r>
      <w:r w:rsidRPr="002C1480">
        <w:rPr>
          <w:rFonts w:ascii="Arial" w:eastAsia="Times New Roman" w:hAnsi="Arial" w:cs="Arial"/>
          <w:lang w:eastAsia="es-CO"/>
        </w:rPr>
        <w:t xml:space="preserve">, el Gobierno verificó que ninguna norma compilada hubiera sido objeto de declaración de nulidad o de suspensión provisional, </w:t>
      </w:r>
      <w:r w:rsidRPr="002C1480">
        <w:rPr>
          <w:rFonts w:ascii="Arial" w:eastAsia="Times New Roman" w:hAnsi="Arial" w:cs="Arial"/>
          <w:lang w:eastAsia="es-CO"/>
        </w:rPr>
        <w:lastRenderedPageBreak/>
        <w:t>acudiendo para ello a la información suministrada por la Relatoría y la Secretaría General del Consejo de Estado.</w:t>
      </w:r>
    </w:p>
    <w:p w14:paraId="582F25A9"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23C4B3AA" w14:textId="28A22143"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xml:space="preserve">Que con el objetivo de compilar y racionalizar las normas de carácter reglamentario que rigen en el sector y contar con un instrumento jurídico único para el mismo, se hace necesario expedir el presente </w:t>
      </w:r>
      <w:r w:rsidR="008D6289">
        <w:rPr>
          <w:rFonts w:ascii="Arial" w:eastAsia="Times New Roman" w:hAnsi="Arial" w:cs="Arial"/>
          <w:lang w:eastAsia="es-CO"/>
        </w:rPr>
        <w:t>DECRETO</w:t>
      </w:r>
      <w:r w:rsidRPr="002C1480">
        <w:rPr>
          <w:rFonts w:ascii="Arial" w:eastAsia="Times New Roman" w:hAnsi="Arial" w:cs="Arial"/>
          <w:lang w:eastAsia="es-CO"/>
        </w:rPr>
        <w:t xml:space="preserve"> Único Reglamentario Sectorial.</w:t>
      </w:r>
    </w:p>
    <w:p w14:paraId="4C2D507B"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017562B8" w14:textId="77777777" w:rsidR="004345A1" w:rsidRPr="002C1480" w:rsidRDefault="004345A1"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Por lo anteriormente expuesto,</w:t>
      </w:r>
    </w:p>
    <w:p w14:paraId="2C80E3A9" w14:textId="7DDB3F16" w:rsidR="00081A2A" w:rsidRPr="002C1480" w:rsidRDefault="004345A1" w:rsidP="00B30F19">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 </w:t>
      </w:r>
    </w:p>
    <w:p w14:paraId="3CD56743" w14:textId="3C8B4F14" w:rsidR="008F7B30" w:rsidRDefault="008F7B30" w:rsidP="00B30F19">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DECRETA:</w:t>
      </w:r>
    </w:p>
    <w:p w14:paraId="6F9DD133" w14:textId="77777777" w:rsidR="00B30F19" w:rsidRPr="002C1480" w:rsidRDefault="00B30F19" w:rsidP="00B30F19">
      <w:pPr>
        <w:spacing w:after="0" w:line="240" w:lineRule="auto"/>
        <w:jc w:val="center"/>
        <w:rPr>
          <w:rFonts w:ascii="Arial" w:eastAsia="Times New Roman" w:hAnsi="Arial" w:cs="Arial"/>
          <w:b/>
          <w:bCs/>
          <w:color w:val="000000"/>
          <w:lang w:eastAsia="es-CO"/>
        </w:rPr>
      </w:pPr>
    </w:p>
    <w:p w14:paraId="61E737A6" w14:textId="4C31F7C8" w:rsidR="008F7B30" w:rsidRPr="002C1480" w:rsidRDefault="008F7B30" w:rsidP="00B30F19">
      <w:pPr>
        <w:spacing w:after="0" w:line="240" w:lineRule="auto"/>
        <w:jc w:val="center"/>
        <w:rPr>
          <w:rFonts w:ascii="Arial" w:eastAsia="Times New Roman" w:hAnsi="Arial" w:cs="Arial"/>
          <w:b/>
          <w:bCs/>
          <w:color w:val="000000"/>
          <w:lang w:eastAsia="es-CO"/>
        </w:rPr>
      </w:pPr>
      <w:bookmarkStart w:id="1" w:name="ver_30056601"/>
      <w:bookmarkEnd w:id="1"/>
      <w:r w:rsidRPr="002C1480">
        <w:rPr>
          <w:rFonts w:ascii="Arial" w:eastAsia="Times New Roman" w:hAnsi="Arial" w:cs="Arial"/>
          <w:b/>
          <w:bCs/>
          <w:color w:val="000000"/>
          <w:lang w:eastAsia="es-CO"/>
        </w:rPr>
        <w:t>LIBRO 1</w:t>
      </w:r>
    </w:p>
    <w:p w14:paraId="7E4ED1FD" w14:textId="41B5389B" w:rsidR="008F7B30" w:rsidRPr="002C1480" w:rsidRDefault="008F7B30" w:rsidP="00B30F19">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ESTRUCTURA DEL SECTOR HACIENDA Y CRÉDITO PÚBLICO</w:t>
      </w:r>
    </w:p>
    <w:p w14:paraId="60495884" w14:textId="77777777" w:rsidR="002C1480" w:rsidRPr="002C1480" w:rsidRDefault="002C1480" w:rsidP="00B30F19">
      <w:pPr>
        <w:spacing w:after="0" w:line="240" w:lineRule="auto"/>
        <w:jc w:val="center"/>
        <w:rPr>
          <w:rFonts w:ascii="Arial" w:eastAsia="Times New Roman" w:hAnsi="Arial" w:cs="Arial"/>
          <w:b/>
          <w:bCs/>
          <w:color w:val="000000"/>
          <w:lang w:eastAsia="es-CO"/>
        </w:rPr>
      </w:pPr>
    </w:p>
    <w:p w14:paraId="30DACC53" w14:textId="33FB912B" w:rsidR="008F7B30" w:rsidRPr="002C1480" w:rsidRDefault="008F7B30" w:rsidP="00B30F19">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PARTE 1</w:t>
      </w:r>
    </w:p>
    <w:p w14:paraId="54DD57E7" w14:textId="370ABC1D" w:rsidR="008F7B30" w:rsidRPr="002C1480" w:rsidRDefault="008F7B30" w:rsidP="00B30F19">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SECTOR CENTRAL</w:t>
      </w:r>
    </w:p>
    <w:p w14:paraId="31DF662C" w14:textId="77777777" w:rsidR="002C1480" w:rsidRPr="002C1480" w:rsidRDefault="002C1480" w:rsidP="00B30F19">
      <w:pPr>
        <w:spacing w:after="0" w:line="240" w:lineRule="auto"/>
        <w:jc w:val="center"/>
        <w:rPr>
          <w:rFonts w:ascii="Arial" w:eastAsia="Times New Roman" w:hAnsi="Arial" w:cs="Arial"/>
          <w:b/>
          <w:bCs/>
          <w:color w:val="000000"/>
          <w:lang w:eastAsia="es-CO"/>
        </w:rPr>
      </w:pPr>
    </w:p>
    <w:p w14:paraId="4A822B42" w14:textId="77777777" w:rsidR="008F7B30" w:rsidRPr="002C1480" w:rsidRDefault="008F7B30" w:rsidP="00B30F19">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TÍTULO 1</w:t>
      </w:r>
    </w:p>
    <w:p w14:paraId="7EC263DB" w14:textId="77777777" w:rsidR="008F7B30" w:rsidRPr="002C1480" w:rsidRDefault="008F7B30" w:rsidP="00B30F19">
      <w:pPr>
        <w:spacing w:after="0" w:line="240" w:lineRule="auto"/>
        <w:jc w:val="center"/>
        <w:rPr>
          <w:rFonts w:ascii="Arial" w:eastAsia="Times New Roman" w:hAnsi="Arial" w:cs="Arial"/>
          <w:color w:val="000000"/>
          <w:lang w:eastAsia="es-CO"/>
        </w:rPr>
      </w:pPr>
      <w:r w:rsidRPr="002C1480">
        <w:rPr>
          <w:rFonts w:ascii="Arial" w:eastAsia="Times New Roman" w:hAnsi="Arial" w:cs="Arial"/>
          <w:b/>
          <w:bCs/>
          <w:color w:val="000000"/>
          <w:lang w:eastAsia="es-CO"/>
        </w:rPr>
        <w:t>CABEZA DEL SECTOR</w:t>
      </w:r>
    </w:p>
    <w:p w14:paraId="027DC372" w14:textId="77777777" w:rsidR="008F7B30" w:rsidRPr="002C1480" w:rsidRDefault="008F7B30" w:rsidP="00B30F19">
      <w:pPr>
        <w:spacing w:after="0" w:line="240" w:lineRule="auto"/>
        <w:jc w:val="both"/>
        <w:rPr>
          <w:rFonts w:ascii="Arial" w:eastAsia="Times New Roman" w:hAnsi="Arial" w:cs="Arial"/>
          <w:color w:val="000000"/>
          <w:lang w:eastAsia="es-CO"/>
        </w:rPr>
      </w:pPr>
      <w:bookmarkStart w:id="2" w:name="ver_30056602"/>
      <w:bookmarkEnd w:id="2"/>
    </w:p>
    <w:p w14:paraId="2DBF9BB2" w14:textId="0955EB36" w:rsidR="008F7B30" w:rsidRPr="002C1480" w:rsidRDefault="002C1480" w:rsidP="00B30F19">
      <w:pPr>
        <w:spacing w:after="0" w:line="240" w:lineRule="auto"/>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1.1.1.1.</w:t>
      </w:r>
      <w:r w:rsidR="004612CD">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Ministerio de Hacienda y Crédito Público. El Ministerio de Hacienda y Crédito Público tiene como objetivo la definición, formulación y ejecución de la política económica del país, de los planes generales, programas y proyectos relacionados con esta, así como la preparación de las leyes, la preparación de los </w:t>
      </w:r>
      <w:r w:rsidR="00731A76">
        <w:rPr>
          <w:rFonts w:ascii="Arial" w:eastAsia="Times New Roman" w:hAnsi="Arial" w:cs="Arial"/>
          <w:color w:val="000000"/>
          <w:lang w:eastAsia="es-CO"/>
        </w:rPr>
        <w:t>DECRETOS</w:t>
      </w:r>
      <w:r w:rsidR="008F7B30" w:rsidRPr="002C1480">
        <w:rPr>
          <w:rFonts w:ascii="Arial" w:eastAsia="Times New Roman" w:hAnsi="Arial" w:cs="Arial"/>
          <w:color w:val="000000"/>
          <w:lang w:eastAsia="es-CO"/>
        </w:rPr>
        <w:t xml:space="preserve"> y la regulación, en materia fiscal, tributaria, aduanera, de crédito público, presupuestal, de tesorería, cooperativa, financiera, cambiaria, monetaria y crediticia, sin perjuicio de las atribuciones conferidas a la Junta Directiva del Banco de la República, y las que ejerza, a través de organismos adscritos o vinculados, para el ejercicio de las actividades que correspondan a la intervención del Estado en las actividades financiera, bursátil, aseguradora y cualquiera otra relacionada con el manejo, aprovechamiento e inversión de los recursos del ahorro público y el tesoro nacional, de conformidad con la Constitución Política y la ley. </w:t>
      </w:r>
    </w:p>
    <w:p w14:paraId="1F6BE615" w14:textId="77777777" w:rsidR="00C32F85" w:rsidRPr="002C1480" w:rsidRDefault="00C32F85" w:rsidP="00C32F85">
      <w:pPr>
        <w:spacing w:after="0" w:line="293" w:lineRule="atLeast"/>
        <w:jc w:val="both"/>
        <w:rPr>
          <w:rFonts w:ascii="Arial" w:eastAsia="Times New Roman" w:hAnsi="Arial" w:cs="Arial"/>
          <w:b/>
          <w:bCs/>
          <w:color w:val="000000"/>
          <w:lang w:eastAsia="es-CO"/>
        </w:rPr>
      </w:pPr>
      <w:bookmarkStart w:id="3" w:name="ver_30056603"/>
      <w:bookmarkEnd w:id="3"/>
    </w:p>
    <w:p w14:paraId="338267FF" w14:textId="47659758"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TÍTULO 2</w:t>
      </w:r>
    </w:p>
    <w:p w14:paraId="2CDC739C"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UNIDADES ADMINISTRATIVAS ESPECIALES SIN PERSONERÍA JURÍDICA</w:t>
      </w:r>
    </w:p>
    <w:p w14:paraId="204BF69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 w:name="ver_30056604"/>
      <w:bookmarkEnd w:id="4"/>
    </w:p>
    <w:p w14:paraId="1D3F2325" w14:textId="25EF58E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1.1.2.1 Unidad de Proyección Normativa y Estudios de Regulación Financiera. La Unidad de Proyección Normativa y Estudios de Regulación Financiera (URF), tendrá por objeto, dentro del marco de política fijado por el Ministerio de Hacienda y Crédito Público y sin perjuicio de las atribuciones de la Junta Directiva del Banco de la República, la preparación de la normativa para el ejercicio de la facultad de reglamentación en materia cambiaria, monetaria y crediticia y de las competencias de regulación e intervención en las actividades financiera, bursátil, aseguradora y cualquiera otra relacionada con el manejo, aprovechamiento e inversión de los recursos captados del público, para su posterior expedición por el Gobierno nacional. </w:t>
      </w:r>
    </w:p>
    <w:p w14:paraId="5A4ADD8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 w:name="ver_30056605"/>
      <w:bookmarkEnd w:id="5"/>
    </w:p>
    <w:p w14:paraId="05226BC7" w14:textId="3EAB1FB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1.1.2.1. Agencia del Inspector General de Tributos, Rentas y Contribuciones. Es Unidad Administrativa Especial del orden nacional de la Rama Ejecutiva, adscrita al Ministerio de Hacienda y Crédito Público, sin personería jurídica, con autonomía administrativa y patrimonio independiente. </w:t>
      </w:r>
    </w:p>
    <w:p w14:paraId="5B63A11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0FB3077E"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6" w:name="ver_30068171"/>
      <w:bookmarkEnd w:id="6"/>
      <w:r w:rsidRPr="002C1480">
        <w:rPr>
          <w:rFonts w:ascii="Arial" w:eastAsia="Times New Roman" w:hAnsi="Arial" w:cs="Arial"/>
          <w:b/>
          <w:bCs/>
          <w:color w:val="000000"/>
          <w:lang w:eastAsia="es-CO"/>
        </w:rPr>
        <w:lastRenderedPageBreak/>
        <w:t>TÍTULO 3</w:t>
      </w:r>
    </w:p>
    <w:p w14:paraId="62331B61"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COMISIONES INTERSECTORIALES</w:t>
      </w:r>
    </w:p>
    <w:p w14:paraId="5DAE315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 w:name="ver_30056606"/>
      <w:bookmarkEnd w:id="7"/>
    </w:p>
    <w:p w14:paraId="7EA73C3A" w14:textId="664927EB"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1.1.3.1.</w:t>
      </w:r>
      <w:r w:rsidR="001A437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Comisión Intersectorial para la coordinación de la reinstitucionalización del Régimen de Prima Media a través de la UGPP.  </w:t>
      </w:r>
    </w:p>
    <w:p w14:paraId="5734B40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8" w:name="ver_30056607"/>
      <w:bookmarkEnd w:id="8"/>
    </w:p>
    <w:p w14:paraId="1BEBB349" w14:textId="401E6539"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1.1.3.2. Comisión Intersectorial para la Educación Económica y Financiera </w:t>
      </w:r>
    </w:p>
    <w:p w14:paraId="71AD64B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9" w:name="ver_30056608"/>
      <w:bookmarkEnd w:id="9"/>
    </w:p>
    <w:p w14:paraId="23FEDB64" w14:textId="40EB7C04"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1.1.3.3 Comisión IntersectoriaI del Operador Económico Autorizado  </w:t>
      </w:r>
    </w:p>
    <w:p w14:paraId="6666093E" w14:textId="77777777" w:rsidR="00B30F19" w:rsidRDefault="00B30F19" w:rsidP="00C32F85">
      <w:pPr>
        <w:spacing w:after="0" w:line="254" w:lineRule="atLeast"/>
        <w:jc w:val="both"/>
        <w:rPr>
          <w:rFonts w:ascii="Arial" w:eastAsia="Times New Roman" w:hAnsi="Arial" w:cs="Arial"/>
          <w:color w:val="000000"/>
          <w:lang w:eastAsia="es-CO"/>
        </w:rPr>
      </w:pPr>
    </w:p>
    <w:p w14:paraId="68A1C40E" w14:textId="7303732A"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1.1.3.4.</w:t>
      </w:r>
      <w:r w:rsidR="001A437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Comisión Intersectorial para el Programa de Inversión Banca de las Oportunidades  </w:t>
      </w:r>
    </w:p>
    <w:p w14:paraId="7D54695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 w:name="ver_30056610"/>
      <w:bookmarkEnd w:id="10"/>
    </w:p>
    <w:p w14:paraId="2A590C8A" w14:textId="08A1F16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1.1.3.5.</w:t>
      </w:r>
      <w:r w:rsidR="001A437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Comisión Intersectorial de Estadísticas de Finanzas Públicas  </w:t>
      </w:r>
    </w:p>
    <w:p w14:paraId="6C8F960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1" w:name="ver_30056611"/>
      <w:bookmarkEnd w:id="11"/>
    </w:p>
    <w:p w14:paraId="5B7AFB68" w14:textId="4A737218"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1.1.3.6. Comisión Intersectorial del FUT  </w:t>
      </w:r>
    </w:p>
    <w:p w14:paraId="129CF6B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2" w:name="ver_30103636"/>
      <w:bookmarkEnd w:id="12"/>
    </w:p>
    <w:p w14:paraId="2AB2A939" w14:textId="621EAB4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1.1.3.7. Comisión Intersectorial de Extinción de Dominio </w:t>
      </w:r>
    </w:p>
    <w:p w14:paraId="1796633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 w:name="ver_30127246"/>
      <w:bookmarkEnd w:id="13"/>
    </w:p>
    <w:p w14:paraId="7F69CE7C" w14:textId="47B719F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1.1.3.8.</w:t>
      </w:r>
      <w:r w:rsidR="001A437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Comisión Intersectorial para el Aprovechamiento de Activos Públicos – CAAP </w:t>
      </w:r>
    </w:p>
    <w:p w14:paraId="19235526"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1877E830" w14:textId="7C517DF7" w:rsidR="008F7B30" w:rsidRPr="002C1480" w:rsidRDefault="002C1480" w:rsidP="00C32F85">
      <w:pPr>
        <w:spacing w:after="0" w:line="254" w:lineRule="atLeast"/>
        <w:jc w:val="both"/>
        <w:rPr>
          <w:rFonts w:ascii="Arial" w:eastAsia="Times New Roman" w:hAnsi="Arial" w:cs="Arial"/>
          <w:color w:val="000000"/>
          <w:lang w:eastAsia="es-CO"/>
        </w:rPr>
      </w:pPr>
      <w:bookmarkStart w:id="14" w:name="ver_30203437"/>
      <w:bookmarkEnd w:id="14"/>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1.1.3.9 Comisión Intersectorial de Coordinación del Subsector de la Economía Solidaria que presta servicios de ahorro y crédito (CCAC). </w:t>
      </w:r>
    </w:p>
    <w:p w14:paraId="4B132FD6"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515BB456"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15" w:name="ver_30056612"/>
      <w:bookmarkEnd w:id="15"/>
      <w:r w:rsidRPr="002C1480">
        <w:rPr>
          <w:rFonts w:ascii="Arial" w:eastAsia="Times New Roman" w:hAnsi="Arial" w:cs="Arial"/>
          <w:b/>
          <w:bCs/>
          <w:color w:val="000000"/>
          <w:lang w:eastAsia="es-CO"/>
        </w:rPr>
        <w:t>TÍTULO 4</w:t>
      </w:r>
    </w:p>
    <w:p w14:paraId="46222414"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ÓRGANOS SECTORIALES DE ASESORÍA Y COORDINACIÓN</w:t>
      </w:r>
    </w:p>
    <w:p w14:paraId="26CEEF2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6" w:name="ver_30056613"/>
      <w:bookmarkEnd w:id="16"/>
    </w:p>
    <w:p w14:paraId="6BB892FC" w14:textId="566CFEB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1.1.4.1.</w:t>
      </w:r>
      <w:r w:rsidR="001A437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Consejo Superior de Política Fiscal – CONFIS.  </w:t>
      </w:r>
    </w:p>
    <w:p w14:paraId="4BC26A9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 w:name="ver_30056614"/>
      <w:bookmarkEnd w:id="17"/>
    </w:p>
    <w:p w14:paraId="7C8075B3" w14:textId="677BE0F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1.1.4.2. Comité de Seguimiento al Sistema Financiero  </w:t>
      </w:r>
    </w:p>
    <w:p w14:paraId="44E5642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8" w:name="ver_30056615"/>
      <w:bookmarkEnd w:id="18"/>
    </w:p>
    <w:p w14:paraId="2F3F126B" w14:textId="1D327E81"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1.1.4.3. Consejo Macroeconómico.  </w:t>
      </w:r>
    </w:p>
    <w:p w14:paraId="50D403E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9" w:name="ver_30056616"/>
      <w:bookmarkEnd w:id="19"/>
    </w:p>
    <w:p w14:paraId="70A66671" w14:textId="44542052"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1.1.4.4.</w:t>
      </w:r>
      <w:r w:rsidR="000512F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Consejo Nacional de Juegos de Suerte y Azar (CNJSA)  </w:t>
      </w:r>
    </w:p>
    <w:p w14:paraId="4CC3540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 w:name="ver_30056617"/>
      <w:bookmarkEnd w:id="20"/>
    </w:p>
    <w:p w14:paraId="7C7B084C" w14:textId="6A68C14E"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1.1.4.5.</w:t>
      </w:r>
      <w:r w:rsidR="000512F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Comité Consultivo para la Regla Fiscal  </w:t>
      </w:r>
    </w:p>
    <w:p w14:paraId="1B57FB0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1" w:name="ver_30056618"/>
      <w:bookmarkEnd w:id="21"/>
    </w:p>
    <w:p w14:paraId="1945A5F7" w14:textId="50443141"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1.1.4.6. Mecanismo de Participación de Expertos para la Discusión y Revisión de la Metodología para el Cálculo de la Rentabilidad Mínima  </w:t>
      </w:r>
    </w:p>
    <w:p w14:paraId="3EC19D6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2" w:name="ver_30068577"/>
      <w:bookmarkEnd w:id="22"/>
    </w:p>
    <w:p w14:paraId="24C05901" w14:textId="4FCCAD2B"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1.1.4.7.</w:t>
      </w:r>
      <w:r w:rsidR="000512F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Comité para riesgos políticos y extraordinarios.  </w:t>
      </w:r>
    </w:p>
    <w:p w14:paraId="3D960E8B" w14:textId="77777777" w:rsidR="00C32F85" w:rsidRPr="002C1480" w:rsidRDefault="00C32F85" w:rsidP="00C32F85">
      <w:pPr>
        <w:spacing w:after="0" w:line="293" w:lineRule="atLeast"/>
        <w:jc w:val="center"/>
        <w:rPr>
          <w:rFonts w:ascii="Arial" w:eastAsia="Times New Roman" w:hAnsi="Arial" w:cs="Arial"/>
          <w:b/>
          <w:bCs/>
          <w:color w:val="000000"/>
          <w:lang w:eastAsia="es-CO"/>
        </w:rPr>
      </w:pPr>
      <w:bookmarkStart w:id="23" w:name="ver_30056619"/>
      <w:bookmarkEnd w:id="23"/>
    </w:p>
    <w:p w14:paraId="1B8F16DB" w14:textId="096688AD"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TÍTULO 5</w:t>
      </w:r>
    </w:p>
    <w:p w14:paraId="5B6C9924"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SISTEMAS ADMINISTRATIVOS</w:t>
      </w:r>
    </w:p>
    <w:p w14:paraId="703BD2C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4" w:name="ver_30056620"/>
      <w:bookmarkEnd w:id="24"/>
    </w:p>
    <w:p w14:paraId="421291FC" w14:textId="26841F7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1.1.5.1.</w:t>
      </w:r>
      <w:r w:rsidR="000512F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Sistema Administrativo Nacional para la Educación Económica y Financiera. El Sistema Administrativo Nacional para la Educación Económica y Financiera es el conjunto de </w:t>
      </w:r>
      <w:r w:rsidR="008F7B30" w:rsidRPr="002C1480">
        <w:rPr>
          <w:rFonts w:ascii="Arial" w:eastAsia="Times New Roman" w:hAnsi="Arial" w:cs="Arial"/>
          <w:color w:val="000000"/>
          <w:lang w:eastAsia="es-CO"/>
        </w:rPr>
        <w:lastRenderedPageBreak/>
        <w:t>políticas, lineamientos, orientaciones, normas, actividades, recursos, programas e instituciones públicas y privadas relacionados con la educación económica y financiera. </w:t>
      </w:r>
    </w:p>
    <w:p w14:paraId="1A892BF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2232405"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25" w:name="ver_30056621"/>
      <w:bookmarkEnd w:id="25"/>
      <w:r w:rsidRPr="002C1480">
        <w:rPr>
          <w:rFonts w:ascii="Arial" w:eastAsia="Times New Roman" w:hAnsi="Arial" w:cs="Arial"/>
          <w:b/>
          <w:bCs/>
          <w:color w:val="000000"/>
          <w:lang w:eastAsia="es-CO"/>
        </w:rPr>
        <w:t>TÍTULO 6</w:t>
      </w:r>
    </w:p>
    <w:p w14:paraId="5929A9E8"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FONDOS ESPECIALES</w:t>
      </w:r>
    </w:p>
    <w:p w14:paraId="2E681E2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6" w:name="ver_30056622"/>
      <w:bookmarkEnd w:id="26"/>
    </w:p>
    <w:p w14:paraId="6B5A3F3F" w14:textId="35B7B7C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1.1.6.1.</w:t>
      </w:r>
      <w:r w:rsidR="000512F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Fondo de Estabilización de Precios de los Combustibles-FEPC. Es un fondo cuenta sin personería jurídica, adscrito y administrado por el Ministerio de Hacienda y Crédito Público, el cual tendrá como función atenuar en el mercado interno, el impacto de las fluctuaciones de los precios de los combustibles en los mercados internacionales. </w:t>
      </w:r>
    </w:p>
    <w:p w14:paraId="2DCF9C8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7" w:name="ver_30056623"/>
      <w:bookmarkEnd w:id="27"/>
    </w:p>
    <w:p w14:paraId="10B5C7F6" w14:textId="2C7075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1.1.6.2. Fondo CREE. Es un Fondo Especial sin personería jurídica que será administrado por la Dirección General de Crédito Público y Tesoro Nacional del Ministerio de Hacienda y Crédito Público, cuyos recursos están destinados a atender los gastos de que tratan los </w:t>
      </w:r>
      <w:r w:rsidRPr="002C1480">
        <w:rPr>
          <w:rFonts w:ascii="Arial" w:eastAsia="Times New Roman" w:hAnsi="Arial" w:cs="Arial"/>
          <w:color w:val="000000"/>
          <w:lang w:eastAsia="es-CO"/>
        </w:rPr>
        <w:t>A</w:t>
      </w:r>
      <w:r w:rsidR="000512F0">
        <w:rPr>
          <w:rFonts w:ascii="Arial" w:eastAsia="Times New Roman" w:hAnsi="Arial" w:cs="Arial"/>
          <w:color w:val="000000"/>
          <w:lang w:eastAsia="es-CO"/>
        </w:rPr>
        <w:t>rtículos</w:t>
      </w:r>
      <w:r w:rsidR="008F7B30" w:rsidRPr="002C1480">
        <w:rPr>
          <w:rFonts w:ascii="Arial" w:eastAsia="Times New Roman" w:hAnsi="Arial" w:cs="Arial"/>
          <w:color w:val="000000"/>
          <w:lang w:eastAsia="es-CO"/>
        </w:rPr>
        <w:t xml:space="preserve"> 20 y 28 de la Ley 1607 de 2012, así como los necesarios para garantizar el crecimiento estable de los presupuestos del Sena, ICBF y del Sistema de Seguridad Social en Salud a través de los recursos provenientes de la subcuenta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29 de la misma ley. </w:t>
      </w:r>
    </w:p>
    <w:p w14:paraId="17CC242B" w14:textId="77777777" w:rsidR="00B30F19" w:rsidRDefault="00B30F19" w:rsidP="00C32F85">
      <w:pPr>
        <w:spacing w:after="0" w:line="254" w:lineRule="atLeast"/>
        <w:jc w:val="both"/>
        <w:rPr>
          <w:rFonts w:ascii="Arial" w:eastAsia="Times New Roman" w:hAnsi="Arial" w:cs="Arial"/>
          <w:color w:val="000000"/>
          <w:lang w:eastAsia="es-CO"/>
        </w:rPr>
      </w:pPr>
    </w:p>
    <w:p w14:paraId="631AF2EF" w14:textId="48DE6B6E"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1.1.6.3 Fondo de Desarrollo para La Guajira-FONDEG. El Fondo de Desarrollo para La Guajira - FONDEG, es una cuenta especial sin personería jurídica adscrita al Ministerio de Hacienda y Crédito Público. El FONDEG tiene por objeto, administrar los recursos provenientes del impuesto de ingreso a la mercancía,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18 de la Ley 677 de 2001 </w:t>
      </w:r>
    </w:p>
    <w:p w14:paraId="7915A19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8" w:name="ver_30056625"/>
      <w:bookmarkEnd w:id="28"/>
    </w:p>
    <w:p w14:paraId="4DE50AA7" w14:textId="7157909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1.1.6.4.</w:t>
      </w:r>
      <w:r w:rsidR="000512F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Fondo de Reserva para la Estabilización de la Cartera Hipotecaria – FRECH. El Fondo de Reserva para la Estabilización de la Cartera Hipotecaria – FRECH fue creado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48 de la Ley 546 de 1999, como un fondo-cuenta de la Nación y administrado por el Banco de la República. </w:t>
      </w:r>
    </w:p>
    <w:p w14:paraId="67305316" w14:textId="77777777" w:rsidR="00C32F85" w:rsidRPr="002C1480" w:rsidRDefault="00C32F85" w:rsidP="00C32F85">
      <w:pPr>
        <w:spacing w:after="0" w:line="293" w:lineRule="atLeast"/>
        <w:jc w:val="both"/>
        <w:rPr>
          <w:rFonts w:ascii="Arial" w:eastAsia="Times New Roman" w:hAnsi="Arial" w:cs="Arial"/>
          <w:color w:val="000000"/>
          <w:lang w:eastAsia="es-CO"/>
        </w:rPr>
      </w:pPr>
      <w:bookmarkStart w:id="29" w:name="ver_30141248"/>
      <w:bookmarkEnd w:id="29"/>
    </w:p>
    <w:p w14:paraId="18B8F366" w14:textId="77777777" w:rsidR="00753837" w:rsidRDefault="008F7B30" w:rsidP="00753837">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TÍTULO 7 COMISIÓN DE ESTUDIO DEL GASTO PÚBLICO Y DE LA INVERSIÓN EN COLOMBIA</w:t>
      </w:r>
    </w:p>
    <w:p w14:paraId="641FFD5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0" w:name="ver_30141249"/>
      <w:bookmarkEnd w:id="30"/>
    </w:p>
    <w:p w14:paraId="3A481C20" w14:textId="162CE85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1.1.7.1. Conformación de la Comisión. La Comisión ad honórem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361 de la Ley 1819 de 2016, para la consolidación de las propuestas que deberá entregar al Ministro de Hacienda y Crédito Público, contará con un plazo máximo de diez (10) meses contados a partir de la vigencia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que incorpora el presente Título, sin perjuicio de la presentación de informes trimestrales que serán entregados al Ministro de Hacienda y Crédito Público. </w:t>
      </w:r>
    </w:p>
    <w:p w14:paraId="186589E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7B6BBFB4" w14:textId="7E6589D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integrantes de la Comisión, además de su Presidente, son los siguientes: </w:t>
      </w:r>
    </w:p>
    <w:p w14:paraId="7516952B"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6FA6528D" w14:textId="43F04F1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Director del Departamento Nacional de Planeación o su delegado. </w:t>
      </w:r>
    </w:p>
    <w:p w14:paraId="734AA326"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AB9D64B" w14:textId="0A68D89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Raquel Bernal Salazar. </w:t>
      </w:r>
    </w:p>
    <w:p w14:paraId="719FA137"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65EEAD1" w14:textId="1161D7C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Juan Manuel Charry Urueña. </w:t>
      </w:r>
    </w:p>
    <w:p w14:paraId="477CB3E5"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2631929" w14:textId="13F8B6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Jorge Iván González Borrero </w:t>
      </w:r>
    </w:p>
    <w:p w14:paraId="383ADEBF"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EC90D70" w14:textId="160E28A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Juan Carlos Henao Pérez. </w:t>
      </w:r>
    </w:p>
    <w:p w14:paraId="5BDF4C69"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2156FD6" w14:textId="458008D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Roberto Junguito Bonnet. </w:t>
      </w:r>
    </w:p>
    <w:p w14:paraId="64BF7B1B"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B7018AB" w14:textId="2083361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Marcela Meléndez Arjona. </w:t>
      </w:r>
    </w:p>
    <w:p w14:paraId="2FE350AD"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766F2D3D" w14:textId="20E297B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Armando Montenegro Trujillo. </w:t>
      </w:r>
    </w:p>
    <w:p w14:paraId="52C6AB2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2276430" w14:textId="3E9AC6B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Juan Carlos Ramírez Jaramillo. </w:t>
      </w:r>
    </w:p>
    <w:p w14:paraId="7B7E31D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C3B55FC" w14:textId="2AA0F25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José Darío Uribe Escobar. </w:t>
      </w:r>
    </w:p>
    <w:p w14:paraId="66E84B05"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6B5E8880" w14:textId="334B32C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Leonardo Villar Gómez. </w:t>
      </w:r>
    </w:p>
    <w:p w14:paraId="35660D01"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4A77C2E" w14:textId="7FCDDB5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Conforme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361 de la Ley 1819 de 2016, el Ministro de Hacienda y Crédito Público, o su delegado, presidirá las sesiones de la Comisión. Dentro de los cinco (5) días siguientes a la vigencia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incorpora el presente Título. La Comisión establecerá quién ejercerá la SecretarÍa Técnica y detallará sus funciones. Podrán ser invitados especiales de la Comisión, los expertos que designe el Ministro de Hacienda y Crédito Público. </w:t>
      </w:r>
    </w:p>
    <w:p w14:paraId="4853B6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9D36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Ministro de Hacienda y Crédito Público y el Director del Departamento Nacional de Planeación Nacional podrán delegar su asistencia al Comité de Estudios delGasto Público y de la Inversión en Colombia, exclusivamente en sus viceministros y en el Subdirector Territorial y de Inversión Pública o Subdirector Sectorial, respectivamente. </w:t>
      </w:r>
    </w:p>
    <w:p w14:paraId="004B4F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2B43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Comisión podrá conformar mesas de trabajo con expertos nacionales e internacionales, en cada una de las materias objeto de estudio. </w:t>
      </w:r>
    </w:p>
    <w:p w14:paraId="6ABEFC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DB9A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Podrán asistir en calidad de invitados los funcionarios del Gobierno que la Comisión determine. </w:t>
      </w:r>
    </w:p>
    <w:p w14:paraId="72C09EB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5BF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La Dirección General del Presupuesto Público Nacional del Ministerio de Hacienda y Crédito Público y la Dirección de Inversiones del Departamento Nacional de Planeación deberán suministrar la información que la Comisión considere pertinente. </w:t>
      </w:r>
    </w:p>
    <w:p w14:paraId="25D217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CEF58F" w14:textId="6064EA1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5°. La Comisión podrá recibir y discutir estudios y propuestas sobre los temas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361 de la Ley 1819 de 2016, que presenten de manera oportuna y conforme con el reglamento que adopte la Comisión: los Gremios, la Academia, los Centros de Pensamiento en temas económicos, los Organismos y Agencias Internacionales, entre otros. </w:t>
      </w:r>
    </w:p>
    <w:p w14:paraId="07B9FD2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1" w:name="ver_30141252"/>
      <w:bookmarkEnd w:id="31"/>
    </w:p>
    <w:p w14:paraId="053268D7" w14:textId="234DEE6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1.1.7.2. Recursos para el funcionamiento de la Comisión. Para el funcionamiento de la Comisión, Ministerio de Hacienda y Crédito Público, asignará los recursos físicos, tecnológicos, y los demás que se requieran para el cumplimiento del objeto de la Comisión. </w:t>
      </w:r>
    </w:p>
    <w:p w14:paraId="6FC56FA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2" w:name="ver_30141257"/>
      <w:bookmarkEnd w:id="32"/>
    </w:p>
    <w:p w14:paraId="0458ABF7" w14:textId="65334E8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1.1.7.3. Instalación formal para el funcionamiento de la Comisión. Dentro de los diez (10) días siguientes a la vigencia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que incorpora el presente Título, el Ministro de Hacienda y Crédito Público, instalará formalmente la Comisión. </w:t>
      </w:r>
    </w:p>
    <w:p w14:paraId="3698E21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3" w:name="ver_30141259"/>
      <w:bookmarkEnd w:id="33"/>
    </w:p>
    <w:p w14:paraId="222767BA" w14:textId="09AE3F3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1.1.7.4. Reglamento para el funcionamiento de la Comisión. Luego de instalada la Comisión, el Presidente pondrá a consideración de todos los miembros el Proyecto de Reglamento para el funcionamiento. </w:t>
      </w:r>
    </w:p>
    <w:p w14:paraId="5CC30157"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01775AC3" w14:textId="691298C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1.1.7.5. Metodología para el funcionamiento de la Comisión y entrega de informes y propuestas oportunamente al Ministro de Hacienda y Crédito Público. La metodología para el funcionamiento de la Comisión, la entrega de los informes, las propuestas y el ejercicio de las labores que se requieran para el cumplimiento del objeto de la Comisión, será la que apruebe la Comisión.  </w:t>
      </w:r>
    </w:p>
    <w:p w14:paraId="5D14A9A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4" w:name="ver_30141262"/>
      <w:bookmarkEnd w:id="34"/>
    </w:p>
    <w:p w14:paraId="474074FB" w14:textId="064CC7CA" w:rsidR="00C32F85"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1.1.7.6. Gestión Documental. La Gestión Documental y su custodia estará a cargo de la Secretaría Técnica de la Comisión. </w:t>
      </w:r>
    </w:p>
    <w:p w14:paraId="1048A474"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93F7259" w14:textId="0ED4AEF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Secretaría Técnica elaborará un plan para facilitar la identificación, gestión, clasificación, organización, conservación y disposición de la información que se produzca por la Comisión desde su creación hasta su clausura. La Secretaria Técnica será la responsable de garantizar la reserva de la información, al igual que el Presidente, los miembros de la Comisión, los invitados y funcionarios de entidades públicas que tengan acceso a ella. </w:t>
      </w:r>
    </w:p>
    <w:p w14:paraId="582EA5B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5" w:name="ver_30141263"/>
      <w:bookmarkEnd w:id="35"/>
    </w:p>
    <w:p w14:paraId="1098E60E" w14:textId="00E527F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1.1.7.7. Clausura de la Comisión. La Comisión será clausurada en la sesión final que se realice en un término máximo de diez (10) meses contados a partir de la vigencia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que incorpora el presente Título. </w:t>
      </w:r>
    </w:p>
    <w:p w14:paraId="54BE68DF"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101EF90E"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36" w:name="ver_30191385"/>
      <w:bookmarkEnd w:id="36"/>
      <w:r w:rsidRPr="002C1480">
        <w:rPr>
          <w:rFonts w:ascii="Arial" w:eastAsia="Times New Roman" w:hAnsi="Arial" w:cs="Arial"/>
          <w:b/>
          <w:bCs/>
          <w:color w:val="000000"/>
          <w:lang w:eastAsia="es-CO"/>
        </w:rPr>
        <w:t>TÍTULO 8</w:t>
      </w:r>
    </w:p>
    <w:p w14:paraId="0F455725"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COMISIÓN DE ESTUDIO DEL SISTEMA TRIBUTARIO TERRITORIAL</w:t>
      </w:r>
    </w:p>
    <w:p w14:paraId="722CDDB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7" w:name="ver_30191389"/>
      <w:bookmarkEnd w:id="37"/>
    </w:p>
    <w:p w14:paraId="3E437773" w14:textId="125CE9A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1.1.8.1. Conformación de la Comisión. La Comisión ad honorem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106 de la Ley 1943 de 2018, estará conformada por:  </w:t>
      </w:r>
    </w:p>
    <w:p w14:paraId="585D66A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3D4A3DE3" w14:textId="1D2610C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Viceministro Técnico del Ministerio de Hacienda y Crédito Público en calidad de Presidente.  </w:t>
      </w:r>
    </w:p>
    <w:p w14:paraId="24816C72"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6434EF66" w14:textId="1238B4E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Un Gobernador, elegido por la Federación Nacional de Departamentos.  </w:t>
      </w:r>
    </w:p>
    <w:p w14:paraId="2E1E0D11"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DD11643" w14:textId="142A196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Un Alcalde, elegido por la Asociación Colombiana de Ciudades Capitales.  </w:t>
      </w:r>
    </w:p>
    <w:p w14:paraId="4E6B4B9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394FEBFF" w14:textId="51E80DE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Un Alcalde, elegido por la Federación Colombiana de Municipios.  </w:t>
      </w:r>
    </w:p>
    <w:p w14:paraId="18458873"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A1D5F71" w14:textId="4732056B"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Además de los miembros señalados en el inciso anterior, la Comisión estará conformada por nueve (9) expertos en materia tributaria y otras disciplinas relacionadas con los asuntos a estudiar por la Comisión, que podrán ser académicos, miembros de centros de pensamientos en temas económicos o tributarios del sector público o privado. Estos expertos ad honorem serán designados mediante resolución expedida por el Ministro de Hacienda y Crédito Público.  </w:t>
      </w:r>
    </w:p>
    <w:p w14:paraId="6506A83F" w14:textId="77777777" w:rsidR="00753837" w:rsidRPr="002C1480" w:rsidRDefault="00753837" w:rsidP="00C32F85">
      <w:pPr>
        <w:spacing w:after="0" w:line="254" w:lineRule="atLeast"/>
        <w:jc w:val="both"/>
        <w:rPr>
          <w:rFonts w:ascii="Arial" w:eastAsia="Times New Roman" w:hAnsi="Arial" w:cs="Arial"/>
          <w:color w:val="000000"/>
          <w:lang w:eastAsia="es-CO"/>
        </w:rPr>
      </w:pPr>
    </w:p>
    <w:p w14:paraId="63E348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Comisión contará con la asesoría permanente de la Dirección General de Apoyo Fiscal del Ministerio de Hacienda y Crédito Público.  </w:t>
      </w:r>
    </w:p>
    <w:p w14:paraId="45AC050A"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167A110" w14:textId="3E906CD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Secretaría Técnica será designada por la Comisión, esta última podrá conformar mesas de trabajo con expertos nacionales e internacionales ad honorem, en cada una de las materias objeto de estudio.  </w:t>
      </w:r>
    </w:p>
    <w:p w14:paraId="7F96F243"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F9AAD98" w14:textId="734A2C6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Podrán ser invitados a las mesas de trabajo de las que trata este parágrafo y a sus sesiones, los funcionarios del Ministerio de Hacienda y Crédito Público y de otras entidades públicas que para el efecto convoque la Comisión.  </w:t>
      </w:r>
    </w:p>
    <w:p w14:paraId="0B49BD50"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0C025E56" w14:textId="116889D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Comisión de expertos ad honorem podrá recibir y discutir estudios y propuestas sobre los temas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106 de la Ley 1943 de 2018, que se presenten de manera oportuna y conforme con el reglamento que adopte la Comisión.  </w:t>
      </w:r>
    </w:p>
    <w:p w14:paraId="701D587B"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1E9D2F9" w14:textId="26F069F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En ausencia del Viceministro Técnico de Hacienda y Crédito Público la representación de este Ministerio en la Comisión, recaerá en el Viceministro General del Ministerio de Hacienda y Crédito Público o en funcionarios del nivel directivo.  </w:t>
      </w:r>
    </w:p>
    <w:p w14:paraId="75D967B3"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24F6A1C" w14:textId="30D85248"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5°. Las entidades públicas del orden nacional o territorial, deberán suministrar la información que la Comisión considere pertinente para el desarrollo de sus funciones.  </w:t>
      </w:r>
    </w:p>
    <w:p w14:paraId="2F04C3CD" w14:textId="77777777" w:rsidR="00BF0DA9" w:rsidRPr="002C1480" w:rsidRDefault="00BF0DA9" w:rsidP="00C32F85">
      <w:pPr>
        <w:spacing w:after="0" w:line="254" w:lineRule="atLeast"/>
        <w:jc w:val="both"/>
        <w:rPr>
          <w:rFonts w:ascii="Arial" w:eastAsia="Times New Roman" w:hAnsi="Arial" w:cs="Arial"/>
          <w:color w:val="000000"/>
          <w:lang w:eastAsia="es-CO"/>
        </w:rPr>
      </w:pPr>
    </w:p>
    <w:p w14:paraId="0BA66AE0" w14:textId="333644D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6°. Dentro de los quince (15) días hábiles siguientes a la expedición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incorpora este Título, la Federación Nacional de Departamentos, la Asociación Colombiana de Ciudades Capitales y la Federación Colombiana de Municipios deberán comunicar al Ministerio de Hacienda y Crédito Público el miembro elegido para conformar la Comisión.  </w:t>
      </w:r>
    </w:p>
    <w:p w14:paraId="6EAF4581" w14:textId="3A1AFF2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8BEE89" w14:textId="654BD00E" w:rsidR="008F7B30" w:rsidRPr="002C1480" w:rsidRDefault="002C1480" w:rsidP="00C32F85">
      <w:pPr>
        <w:spacing w:after="0" w:line="254" w:lineRule="atLeast"/>
        <w:jc w:val="both"/>
        <w:rPr>
          <w:rFonts w:ascii="Arial" w:eastAsia="Times New Roman" w:hAnsi="Arial" w:cs="Arial"/>
          <w:color w:val="000000"/>
          <w:lang w:eastAsia="es-CO"/>
        </w:rPr>
      </w:pPr>
      <w:bookmarkStart w:id="38" w:name="ver_30191392"/>
      <w:bookmarkEnd w:id="38"/>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1.1.8.2. Entrega de propuestas al Ministro de Hacienda y Crédito Público. La Comisión entregará las propuestas a que se refiere el inciso segundo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106 de la Ley 1943 de 2018, al Ministro de Hacienda y Crédito Público en el término máximo de doce (12) meses, contados a partir de su conformación, sin perjuicio de la presentación de informes trimestrales que serán entregados al mismo. </w:t>
      </w:r>
    </w:p>
    <w:p w14:paraId="6A17747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9" w:name="ver_30191394"/>
      <w:bookmarkEnd w:id="39"/>
    </w:p>
    <w:p w14:paraId="20DD1C15" w14:textId="5BD0EB0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1.1.8.3. Recursos para el funcionamiento de la Comisión. Para el funcionamiento de la Comisión ad honorem, el Ministerio de Hacienda y Crédito Público, asignará los recursos físicos, tecnológicos, y los demás que se requieran para el cumplimiento del objeto de la Comisión. </w:t>
      </w:r>
    </w:p>
    <w:p w14:paraId="5D8B1357"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31C5F3A7" w14:textId="464BC20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1.1.8.4. Instalación formal para el funcionamiento de la Comisión. Una vez expedida la resolución de la que trata el inciso 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1.1.8.1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el Ministerio de Hacienda y Crédito Público instalará formalmente la Comisión dentro de los quince (15) días hábiles siguientes. </w:t>
      </w:r>
    </w:p>
    <w:p w14:paraId="46FA153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 w:name="ver_30191398"/>
      <w:bookmarkEnd w:id="40"/>
    </w:p>
    <w:p w14:paraId="030D4504" w14:textId="38BA88D4"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1.1.8.5. Reglamento para el funcionamiento de la Comisión. Instalada la Comisión, el Presidente pondrá para consideración y aprobación de todos los miembros, el Proyecto de Reglamento para el funcionamiento.  </w:t>
      </w:r>
    </w:p>
    <w:p w14:paraId="671FFFCF" w14:textId="77777777" w:rsidR="00753837" w:rsidRPr="002C1480" w:rsidRDefault="00753837" w:rsidP="00C32F85">
      <w:pPr>
        <w:spacing w:after="0" w:line="254" w:lineRule="atLeast"/>
        <w:jc w:val="both"/>
        <w:rPr>
          <w:rFonts w:ascii="Arial" w:eastAsia="Times New Roman" w:hAnsi="Arial" w:cs="Arial"/>
          <w:color w:val="000000"/>
          <w:lang w:eastAsia="es-CO"/>
        </w:rPr>
      </w:pPr>
    </w:p>
    <w:p w14:paraId="2F1D4F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Reglamento, deberá incluir cuando menos las funciones de la Secretaría Técnica, la metodología para el funcionamiento de la Comisión, reglas de quorum para la deliberación y decisión de los asuntos, la entrega de los informes, las propuestas y el ejercicio de las labores que se requieran para el cumplimiento del objeto de la Comisión. </w:t>
      </w:r>
    </w:p>
    <w:p w14:paraId="644C33D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 w:name="ver_30191401"/>
      <w:bookmarkEnd w:id="41"/>
    </w:p>
    <w:p w14:paraId="5A6D41CD" w14:textId="7C8E71D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1.1.8.6. Gestión documental. La Gestión Documental y su custodia estará a cargo de la Secretaría Técnica de la Comisión.  </w:t>
      </w:r>
    </w:p>
    <w:p w14:paraId="667C158B"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C8243FE" w14:textId="08DB774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Secretaría Técnica elaborará un plan para facilitar la identificación, gestión, clasificación, organización, conservación y disposición de la información que se produzca por la Comisión desde su creación hasta su clausura.  </w:t>
      </w:r>
    </w:p>
    <w:p w14:paraId="3437067E"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C773E0B" w14:textId="4153502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Secretaría Técnica será la responsable de garantizar la reserva de la información, al igual que el Presidente, los miembros de la Comisión, los invitados y funcionarios de entidades públicas que tengan acceso a ella. </w:t>
      </w:r>
    </w:p>
    <w:p w14:paraId="2593EC83"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3340A43F" w14:textId="7F7FD3F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1.1.8.7. Clausura de la Comisión. La Comisión será clausurada en la sesión final que se realice en un término máximo de doce (12) meses contados a partir de la vigencia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w:t>
      </w:r>
    </w:p>
    <w:p w14:paraId="248AEAE6" w14:textId="77777777" w:rsidR="00C32F85" w:rsidRPr="002C1480" w:rsidRDefault="00C32F85" w:rsidP="00C32F85">
      <w:pPr>
        <w:spacing w:after="0" w:line="293" w:lineRule="atLeast"/>
        <w:jc w:val="both"/>
        <w:rPr>
          <w:rFonts w:ascii="Arial" w:eastAsia="Times New Roman" w:hAnsi="Arial" w:cs="Arial"/>
          <w:color w:val="000000"/>
          <w:spacing w:val="45"/>
          <w:lang w:eastAsia="es-CO"/>
        </w:rPr>
      </w:pPr>
      <w:bookmarkStart w:id="42" w:name="ver_30056626"/>
      <w:bookmarkEnd w:id="42"/>
    </w:p>
    <w:p w14:paraId="2ACDC5F0" w14:textId="59441949"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PARTE 2</w:t>
      </w:r>
    </w:p>
    <w:p w14:paraId="332F61F4" w14:textId="51A59D63" w:rsidR="008F7B3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SECTOR DESCENTRALIZADO</w:t>
      </w:r>
    </w:p>
    <w:p w14:paraId="5993BC19" w14:textId="77777777" w:rsidR="00753837" w:rsidRPr="002C1480" w:rsidRDefault="00753837" w:rsidP="00C32F85">
      <w:pPr>
        <w:spacing w:after="0" w:line="293" w:lineRule="atLeast"/>
        <w:jc w:val="center"/>
        <w:rPr>
          <w:rFonts w:ascii="Arial" w:eastAsia="Times New Roman" w:hAnsi="Arial" w:cs="Arial"/>
          <w:b/>
          <w:bCs/>
          <w:color w:val="000000"/>
          <w:lang w:eastAsia="es-CO"/>
        </w:rPr>
      </w:pPr>
    </w:p>
    <w:p w14:paraId="3BCD9858" w14:textId="77777777"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TÍTULO 1</w:t>
      </w:r>
    </w:p>
    <w:p w14:paraId="595A457A"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ENTIDADES ADSCRITAS</w:t>
      </w:r>
    </w:p>
    <w:p w14:paraId="77284D8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 w:name="ver_30056627"/>
      <w:bookmarkEnd w:id="43"/>
    </w:p>
    <w:p w14:paraId="6033500B" w14:textId="32FC2F7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1.2.1.1 Fondo de Garantías de Instituciones Financieras – FOGAFIN. El objeto general del Fondo de Garantías de Instituciones Financieras consistirá en la protección de la confianza de los depositantes y acreedores en las instituciones financieras inscritas, preservando el equilibrio y la equidad económica e impidiendo injustificados beneficios económicos o de cualquier otra naturaleza de los accionistas y administradores causantes de perjuicios a las instituciones financieras. </w:t>
      </w:r>
    </w:p>
    <w:p w14:paraId="601087D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 w:name="ver_30056628"/>
      <w:bookmarkEnd w:id="44"/>
    </w:p>
    <w:p w14:paraId="75380D6E" w14:textId="769686D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1.2.1.2. Fondo Adaptación. El objeto del Fondo Adaptación será la recuperación, construcción y reconstrucción de las zonas afectadas por el fenómeno de “La Niña”, con personería jurídica, autonomía presupuestal y financiera, adscrita al Ministerio de Hacienda y Crédito Público. </w:t>
      </w:r>
    </w:p>
    <w:p w14:paraId="7FA6E23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5" w:name="ver_30056629"/>
      <w:bookmarkEnd w:id="45"/>
    </w:p>
    <w:p w14:paraId="4041A9DB" w14:textId="59B5ED9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1.2.1.3.</w:t>
      </w:r>
      <w:r w:rsidR="003E2DE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Superintendencia Financiera de Colombia. La Superintendencia Financiera de Colombia ejerce la inspección, vigilancia y control sobre las personas que realicen actividades financiera, bursátil, aseguradora y cualquier otra relacionada con el manejo, aprovechamiento o inversión de recursos captados del público. </w:t>
      </w:r>
    </w:p>
    <w:p w14:paraId="321E07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2039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Superintendencia Financiera de Colombia tiene por objetivo supervisar el sistema financiero colombiano con el fin de preservar su estabilidad, seguridad y confianza, así como promover, organizar y desarrollar el mercado de valores colombiano y la protección de los inversionistas, ahorradores y asegurados. </w:t>
      </w:r>
    </w:p>
    <w:p w14:paraId="7F98D3E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FDD7C4" w14:textId="3367CFAF" w:rsidR="008F7B30" w:rsidRPr="002C1480" w:rsidRDefault="002C1480" w:rsidP="00C32F85">
      <w:pPr>
        <w:spacing w:after="0" w:line="254" w:lineRule="atLeast"/>
        <w:jc w:val="both"/>
        <w:rPr>
          <w:rFonts w:ascii="Arial" w:eastAsia="Times New Roman" w:hAnsi="Arial" w:cs="Arial"/>
          <w:color w:val="000000"/>
          <w:lang w:eastAsia="es-CO"/>
        </w:rPr>
      </w:pPr>
      <w:bookmarkStart w:id="46" w:name="ver_30056630"/>
      <w:bookmarkEnd w:id="46"/>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1.2.1.4.</w:t>
      </w:r>
      <w:r w:rsidR="003E2DE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Superintendencia de Economía Solidaria. La Superintendencia de la Economía Solidaria, es un organismo de carácter técnico, adscrito al Ministerio de Hacienda y Crédito Público, con personería jurídica, autonomía administrativa y financiera. En su carácter de autoridad técnica de supervisión desarrollará su gestión con los siguientes objetivos y finalidades generales: </w:t>
      </w:r>
    </w:p>
    <w:p w14:paraId="0E4B69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1CF6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Ejercer el control, inspección y vigilancia sobre las entidades que cobija su acción para asegurar el cumplimiento de las disposiciones legales y reglamentarias y de las normas contenidas en sus propios estatutos. </w:t>
      </w:r>
    </w:p>
    <w:p w14:paraId="38311E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7A35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Proteger los intereses de los asociados de las organizaciones de economía solidaria, de los terceros y de la comunidad en general. </w:t>
      </w:r>
    </w:p>
    <w:p w14:paraId="1E742B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BE5B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Velar por la preservación de la naturaleza jurídica de las entidades sometidas a su supervisión, en orden a hacer prevalecer sus valores, principios y características esenciales. </w:t>
      </w:r>
    </w:p>
    <w:p w14:paraId="46D6BFD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8B83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Vigilar la correcta aplicación de los recursos de estas entidades, así como la debida utilización de las ventajas normativas a ellas otorgadas. </w:t>
      </w:r>
    </w:p>
    <w:p w14:paraId="7E3866F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D36E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Supervisar el cumplimiento del propósito socioeconómico no lucrativo que ha de guiar la organización y funcionamiento de las entidades vigiladas. </w:t>
      </w:r>
    </w:p>
    <w:p w14:paraId="346D51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F06D2F" w14:textId="56AE771E" w:rsidR="008F7B30" w:rsidRPr="002C1480" w:rsidRDefault="002C1480" w:rsidP="00C32F85">
      <w:pPr>
        <w:spacing w:after="0" w:line="254" w:lineRule="atLeast"/>
        <w:jc w:val="both"/>
        <w:rPr>
          <w:rFonts w:ascii="Arial" w:eastAsia="Times New Roman" w:hAnsi="Arial" w:cs="Arial"/>
          <w:color w:val="000000"/>
          <w:lang w:eastAsia="es-CO"/>
        </w:rPr>
      </w:pPr>
      <w:bookmarkStart w:id="47" w:name="ver_30202861"/>
      <w:bookmarkEnd w:id="47"/>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1.2.1.5. UNIDAD ADMINISTRATIVA ESPECIAL DIRECCIÓN DE IMPUESTOS Y ADUANAS NACIONALES - DIAN. La Unidad Administrativa Especial Dirección de Impuestos y Aduanas Nacionales, estará organizada como una unidad administrativa especial del orden nacional de carácter eminentemente técnico y especializado, con personería jurídica, autonomía administrativa y presupuestal y con patrimonio propio. </w:t>
      </w:r>
    </w:p>
    <w:p w14:paraId="4A997A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EDB2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Unidad Administrativa Especial Dirección de Impuestos y Aduanas Nacionales - DIAN - tiene como objeto coadyuvar a garantizar la seguridad fiscal del Estado Colombiano y la protección del orden público económico nacional, mediante la administración y control al debido cumplimiento de las obligaciones tributarias, aduaneras y cambiarias, y la facilitación de las operaciones de comercio exterior en condiciones de equidad, transparencia y legalidad. </w:t>
      </w:r>
    </w:p>
    <w:p w14:paraId="198818A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8" w:name="ver_30056631"/>
      <w:bookmarkEnd w:id="48"/>
    </w:p>
    <w:p w14:paraId="1526DE31" w14:textId="2CA105B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1.2.1.6. Administrativa Especial Contaduría General de la Nación. Unidad Administrativa Especial Contaduría General de la Nación. Corresponde a la Contaduría General de la Nación, a cargo del Contador General de la Nación, llevar la contabilidad general de la Nación y consolidarla con la de las entidades descentralizadas territorialmente o por servicios, cualquiera que sea el orden al que pertenezcan. Igualmente, uniformar, centralizar y consolidar la contabilidad pública, elaborar el balance general y determinar las normas contables que deben regir en el país, conforme a la ley. </w:t>
      </w:r>
    </w:p>
    <w:p w14:paraId="2D7522B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9" w:name="ver_30056632"/>
      <w:bookmarkEnd w:id="49"/>
    </w:p>
    <w:p w14:paraId="01C18400" w14:textId="00B0D12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1.2.1.7. Unidad Administrativa Especial de Información y Análisis Financiero – UIAF. La Unidad de Información y Análisis Financiero, es una Unidad Administrativa Especial con personería jurídica, autonomía administrativa, patrimonio independiente y regímenes especiales en materia de administración de personal, nomenclatura, clasificación, salarios y prestaciones, de carácter técnico. La Unidad tendrá como objetivo la prevención y detección de operaciones que puedan ser utilizadas como instrumento para el ocultamiento, manejo, inversión o aprovechamiento en cualquier forma de dinero u otros bienes provenientes de actividades delictivas o destinados a su financiación, o para dar apariencia de legalidad a las actividades delictivas o a las transacciones y fondos vinculados con las mismas, prioritariamente el lavado de activos y la financiación del terrorismo. </w:t>
      </w:r>
    </w:p>
    <w:p w14:paraId="141DA676" w14:textId="7A0C0B3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0" w:name="ver_30056633"/>
      <w:bookmarkEnd w:id="50"/>
    </w:p>
    <w:p w14:paraId="5087CAB8" w14:textId="514FE4F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1.2.1.8. Unidad Administrativa de Gestión Pensional y Contribuciones Parafiscales de la Protección Social – UGPP. La Unidad Administrativa Especial de Gestión Pensional y Contribuciones Parafiscales de la Protección Social (UGPP) es una entidad administrativa del orden nacional con personería jurídica, autonomía administrativa y patrimonio independiente, adscrita al Ministerio de Hacienda y Crédito Público. </w:t>
      </w:r>
    </w:p>
    <w:p w14:paraId="0478C41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0893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Unidad Administrativa Especial de Gestión Pensional y Contribuciones Parafiscales de la Protección Social (UGPP) tiene por objeto reconocer y administrar los derechos pensionales y prestaciones económicas a cargo de las administradoras exclusivas de servidores públicos del Régimen de Prima Media con Prestación Definida del orden nacional o de las entidades públicas </w:t>
      </w:r>
      <w:r w:rsidRPr="002C1480">
        <w:rPr>
          <w:rFonts w:ascii="Arial" w:eastAsia="Times New Roman" w:hAnsi="Arial" w:cs="Arial"/>
          <w:color w:val="000000"/>
          <w:lang w:eastAsia="es-CO"/>
        </w:rPr>
        <w:lastRenderedPageBreak/>
        <w:t>del orden nacional que se encuentren en proceso de liquidación, se ordene su liquidación o se defina el cese de esa actividad por quien la esté desarrollando. </w:t>
      </w:r>
    </w:p>
    <w:p w14:paraId="6C0EB4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36D0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la entidad tiene por objeto efectuar, en coordinación con las demás entidades del Sistema de la Protección Social, las tareas de seguimiento, colaboración y determinación de la adecuada, completa y oportuna liquidación y pago de las contribuciones parafiscales de la Protección Social, así como el cobro de las mismas. </w:t>
      </w:r>
    </w:p>
    <w:p w14:paraId="3C50FB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CB34CF"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51" w:name="ver_30056634"/>
      <w:bookmarkEnd w:id="51"/>
      <w:r w:rsidRPr="002C1480">
        <w:rPr>
          <w:rFonts w:ascii="Arial" w:eastAsia="Times New Roman" w:hAnsi="Arial" w:cs="Arial"/>
          <w:b/>
          <w:bCs/>
          <w:color w:val="000000"/>
          <w:lang w:eastAsia="es-CO"/>
        </w:rPr>
        <w:t>TÍTULO 2</w:t>
      </w:r>
    </w:p>
    <w:p w14:paraId="53B5AE5B"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ENTIDADES VINCULADAS</w:t>
      </w:r>
    </w:p>
    <w:p w14:paraId="7BEECBF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2" w:name="ver_30056635"/>
      <w:bookmarkEnd w:id="52"/>
    </w:p>
    <w:p w14:paraId="1314E7E8" w14:textId="4450AEA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1.2.2.1. Fondo de Garantías de Entidades Cooperativas Financieras y Ahorro y Crédito - FOGACOOP. El objeto del Fondo consistirá en la protección de la confianza de los depositantes y ahorradores de las entidades cooperativas inscritas, preservando el equilibrio y la equidad económica e impidiendo injustificados beneficios económicos o de cualquier otra naturaleza a los asociados y administradores causantes de perjuicios a las entidades cooperativas. </w:t>
      </w:r>
    </w:p>
    <w:p w14:paraId="52AF24F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3" w:name="ver_30056636"/>
      <w:bookmarkEnd w:id="53"/>
    </w:p>
    <w:p w14:paraId="242A59CC" w14:textId="74F822C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1.2.2.2. Financiera de Desarrollo Territorial S.A - FINDETER. Es una sociedad de economía mixta del orden nacional, del tipo de las anónimas, organizada como un establecimiento de crédito, vinculada al Ministerio de Hacienda y Crédito Público y sometida a la vigilancia de la Superintendencia Financiera de Colombia. El objeto social es la promoción del desarrollo regional y urbano, mediante la financiación y la asesoría en lo referente a diseño, ejecución y administración de proyectos o programas de inversión relacionados con las siguientes actividades: </w:t>
      </w:r>
    </w:p>
    <w:p w14:paraId="07C3AB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A360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Construcción, ampliación y reposición de infraestructura correspondiente al sector de agua potable y saneamiento básico; </w:t>
      </w:r>
    </w:p>
    <w:p w14:paraId="2EB6CD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F67F3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Construcción, pavimentación y remodelación de vías urbanas y rurales; </w:t>
      </w:r>
    </w:p>
    <w:p w14:paraId="4C7C3B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12C03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Construcción, pavimentación y conservación de carreteras departamentales, veredales, caminos vecinales, puentes y puertos fluviales; </w:t>
      </w:r>
    </w:p>
    <w:p w14:paraId="4B65F4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6659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Construcción, dotación y mantenimiento de la planta física de los planteles educativos oficiales de primaria y secundaria; </w:t>
      </w:r>
    </w:p>
    <w:p w14:paraId="6E8045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EA55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Construcción y conservación de centrales de transporte; </w:t>
      </w:r>
    </w:p>
    <w:p w14:paraId="3DDBB8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4C41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Construcción, remodelación y dotación de la planta física de puestos de salud y ancianatos; </w:t>
      </w:r>
    </w:p>
    <w:p w14:paraId="558030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DA80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Construcción, remodelación y dotación de centros de acopio, plazas de mercado y plazas de ferias; </w:t>
      </w:r>
    </w:p>
    <w:p w14:paraId="26827C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EBA4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Recolección, tratamiento y disposición final de basuras; </w:t>
      </w:r>
    </w:p>
    <w:p w14:paraId="49056E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6BC6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Construcción, remodelación y dotación de mataderos; </w:t>
      </w:r>
    </w:p>
    <w:p w14:paraId="71B03B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DEC12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Ampliación de redes de telefonía urbana y rural; </w:t>
      </w:r>
    </w:p>
    <w:p w14:paraId="4CA59F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E8E95C" w14:textId="1F3033B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k) Otros rubros que sean calificados por la Junta Directiva de la Financiera de Desarrollo Territorial S.A., Findeter, como parte o complemento de las actividades señaladas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6A4D1F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AD0B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 Asistencia técnica a las entidades beneficiarias de financiación, requerida para adelantar adecuadamente las actividades enumeradas; </w:t>
      </w:r>
    </w:p>
    <w:p w14:paraId="289140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68AD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m) Financiación de contrapartidas para programas y proyectos relativos a las actividades de que tratan los numerales precedentes, que hayan sido financiados conjuntamente por otras entidades públicas o privadas; </w:t>
      </w:r>
    </w:p>
    <w:p w14:paraId="35D08D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CF507E" w14:textId="0E87438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n) Adquisición de equipos y realización de operaciones de mantenimiento, relacionadas con las actividades enumeradas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6AA17EB" w14:textId="7A3AB9B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4" w:name="ver_30056637"/>
      <w:bookmarkEnd w:id="54"/>
    </w:p>
    <w:p w14:paraId="66644DF0" w14:textId="2CD9446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1.2.2.3 Financiera de Desarrollo Nacional S.A - FDN. La Financiera de Desarrollo Nacional SA, una sociedad de economía mixta del orden nacional, del tipo de las anónimas, organizada como un establecimiento de crédito, vinculada al Ministerio de Hacienda y Crédito Público y sometida a la vigilancia de la Superintendencia Financiera de Colombia, con un régimen legal propio, tiene por objeto principal promover, financiar y apoyar empresas o proyectos de inversión en todos los sectores de la economía, para lo cual podrá: </w:t>
      </w:r>
    </w:p>
    <w:p w14:paraId="310ED9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C4572" w14:textId="5C991F0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Desarrollar las operaciones previstas para las Corporaciones Financieras y las previstas en el numeral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663 de 1993, </w:t>
      </w:r>
    </w:p>
    <w:p w14:paraId="4EC0F6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C67FB5" w14:textId="01A3B58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w:t>
      </w:r>
      <w:r w:rsidR="007C6FC7">
        <w:rPr>
          <w:rFonts w:ascii="Arial" w:eastAsia="Times New Roman" w:hAnsi="Arial" w:cs="Arial"/>
          <w:color w:val="000000"/>
          <w:lang w:eastAsia="es-CO"/>
        </w:rPr>
        <w:t xml:space="preserve"> </w:t>
      </w:r>
      <w:r w:rsidRPr="002C1480">
        <w:rPr>
          <w:rFonts w:ascii="Arial" w:eastAsia="Times New Roman" w:hAnsi="Arial" w:cs="Arial"/>
          <w:color w:val="000000"/>
          <w:lang w:eastAsia="es-CO"/>
        </w:rPr>
        <w:t>Recibir, administrar y canalizar los aportes de organismos públicos o privados, nacionales o extranjeros, o de organismos internacionales, destinados a la consolidación, diseño, construcción, desarrollo y operación de empresas o proyectos, </w:t>
      </w:r>
    </w:p>
    <w:p w14:paraId="691E34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DC3B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Estructurar productos financieros y esquemas de apoyo, soporte, promoción y financiación de empresas o proyectos, </w:t>
      </w:r>
    </w:p>
    <w:p w14:paraId="09D4D2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ABBC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Conseguir y gestionar recursos de financiación para el desarrollo de empresas o proyectos, </w:t>
      </w:r>
    </w:p>
    <w:p w14:paraId="0B5A8A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9278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Proveer cooperación técnica para la preparación, financiamiento y ejecución de proyectos incluyendo la transferencia de tecnología apropiada a través de los esquemas que considere pertinentes, </w:t>
      </w:r>
    </w:p>
    <w:p w14:paraId="25A78874" w14:textId="79C3A09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5" w:name="ver_30056638"/>
      <w:bookmarkEnd w:id="55"/>
    </w:p>
    <w:p w14:paraId="272A9A2A" w14:textId="15FF733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1.2.2.4. La Previsora S.A. Compañía de Seguros S.A. La Previsora S.A. es una sociedad de economía mixta del orden nacional, sometida al régimen de las empresas industriales y comerciales del Estado. Cuenta con personería jurídica y autonomía administrativa, está vinculada al Ministerio de Hacienda y Crédito Público y es vigilada por la Superintendencia Financiera de Colombia. </w:t>
      </w:r>
    </w:p>
    <w:p w14:paraId="286916C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C6C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objeto de la Sociedad es el de celebrar y ejecutar contratos de Seguro, Coaseguro y Reaseguro que amparen los intereses asegurables que tengan las personas naturales o jurídicas privadas, así como los que directa o indirectamente tengan la Nación, el Distrito Capital de Bogotá, los departamentos, los distritos, los municipios y las entidades descentralizadas de cualquier orden, asumiendo todos los riesgos que de acuerdo con la ley puedan ser materia de estos contratos. </w:t>
      </w:r>
    </w:p>
    <w:p w14:paraId="5E01A786" w14:textId="5B2250B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6" w:name="ver_30056639"/>
      <w:bookmarkEnd w:id="56"/>
    </w:p>
    <w:p w14:paraId="00849913" w14:textId="247CF28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1.2.2.5. Administradora del Monopolio Rentístico de los Juegos de Suerte y Azar - COLJUEGOS. La Empresa Industrial y Comercial del Estado COLJUEGOS, tendrá como objeto la explotación, administración, operación y expedición de reglamentos de los juegos que hagan parte del monopolio rentístico sobre los juegos de suerte y azar que por disposición legal no sean atribuidos a otra entidad. Su domicilio será la ciudad de Bogotá D.C. </w:t>
      </w:r>
    </w:p>
    <w:p w14:paraId="21894D9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 w:name="ver_30056640"/>
      <w:bookmarkEnd w:id="57"/>
    </w:p>
    <w:p w14:paraId="2B72A706" w14:textId="7C46AE1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1.2.2.6 Central de Inversiones S.A. - CISA. CISA tendrá por objeto gestionar, adquirir, administrar, comercializar, cobrar, recaudar, intermediar, enajenar y arrendar, a cualquier título, toda clase de bienes inmuebles, muebles, acciones, títulos valores, derechos contractuales, fiduciarios, crediticios o litigiosos, incluidos derechos en procesos liquidatorios, cuyos propietarios sean entidades públicas de cualquier orden o rama, organismos autónomos e independientes previstos en la Constitución Política y en la ley, o sociedades con aportes estatales de régimen especial y patrimonios autónomos titulares de activos provenientes de cualquiera de las entidades descritas, así como prestar asesoría técnica y profesional a dichas entidades en el diagnóstico y/o valoración de sus activos y sobre temas relacionados con el objeto social. </w:t>
      </w:r>
    </w:p>
    <w:p w14:paraId="20B528F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8" w:name="ver_30056641"/>
      <w:bookmarkEnd w:id="58"/>
    </w:p>
    <w:p w14:paraId="60F1A8C7" w14:textId="68EA32A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1.2.2.7. Sociedad de Activos Especiales S.A.S. - SAE. La sociedad tiene por objeto adquirir, administrar, comercializar, intermediar, enajenar y arrendar a cualquier título, bienes muebles, inmuebles, unidades comerciales, empresas, sociedades, acciones, cuotas sociales y partes de interés en sociedades civiles y comerciales, sin distinción de su modalidad de constitución, así como el cobro y recaudo de los frutos producto de los mismos, respecto de los cuales se haya decretado total o parcialmente medidas de incautación, extinción de dominio, comiso, decomiso, embargo, secuestro o cualquier otra que implique la suspensión del poder dispositivo en cabeza de su titular o el traslado de la propiedad del bien a la Nación, por orden de autoridad competente conforme a los procedimientos establecidos por la ley para tales fines. </w:t>
      </w:r>
    </w:p>
    <w:p w14:paraId="4A189AE2" w14:textId="7C17DD7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9" w:name="ver_30056642"/>
      <w:bookmarkEnd w:id="59"/>
    </w:p>
    <w:p w14:paraId="2CFAA43F" w14:textId="231D746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1.2.2.8. Fiduciaria la Previsora S.A. El objeto exclusivo de la sociedad es la celebración, realización y ejecución de todas las operaciones autorizadas a las sociedades fiduciarias, por normas generales, y a la presente sociedad, por normas especiales, esto es, la realización de los negocios fiduciarios, tipificados en el Código de Comercio y previstos tanto en el Estatuto Orgánico del Sistema Financiero como en el Estatuto de Contratación de la Administración Pública, al igual que en las disposiciones que modifiquen, sustituyan, adicionen o reglamenten a las anteriores. </w:t>
      </w:r>
    </w:p>
    <w:p w14:paraId="267BDE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0278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la sociedad podrá: </w:t>
      </w:r>
    </w:p>
    <w:p w14:paraId="6ED205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391369" w14:textId="1CC7F0D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Tener la calidad de fiduciario, según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1.226 del Código de Comercio. </w:t>
      </w:r>
    </w:p>
    <w:p w14:paraId="4AAA68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7044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Celebrar negocios fiduciarios que tengan por objeto la realización de inversiones, al administración de bienes o la ejecución de actividades relacionadas con el otorgamiento de garantías por terceros para asegurar el cumplimiento de obligaciones, la administración o vigilancia de los bienes sobre los que se constituyan las garantías y la realización de las mismas, con sujeción a las restricciones legales. </w:t>
      </w:r>
    </w:p>
    <w:p w14:paraId="1C1090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9414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Obrar como agente de trasferencia y registro de valores. </w:t>
      </w:r>
    </w:p>
    <w:p w14:paraId="45E58A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0298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Obrar como representante de tenedores de bonos. </w:t>
      </w:r>
    </w:p>
    <w:p w14:paraId="0892D2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97C3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 Obrar, en los casos en que sea procedente con arreglo a la Ley, como síndico, curador de bienes </w:t>
      </w:r>
    </w:p>
    <w:p w14:paraId="702C3E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o depositario de sumas consignadas en cualquier juzgado, por orden de autoridad judicial competente o por determinación de la personas que tengan facultad legal para designarlas con tal fin. </w:t>
      </w:r>
    </w:p>
    <w:p w14:paraId="6C6E88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77CC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Prestar servicio de asesoría financiera. </w:t>
      </w:r>
    </w:p>
    <w:p w14:paraId="79F2EC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5575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Emitir bonos por cuenta de una fiducia mercantil o de dos o más empresas, de conformidad con las disposiciones legales. </w:t>
      </w:r>
    </w:p>
    <w:p w14:paraId="2483C92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C88D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Administrar fondos de pensiones de jubilación e invalidez. </w:t>
      </w:r>
    </w:p>
    <w:p w14:paraId="1EE361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18BC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Actuar como intermediario en el mercado de valores en los eventos autorizados por las disposiciones vigentes. </w:t>
      </w:r>
    </w:p>
    <w:p w14:paraId="13FFED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Obrar como agente de titularización de activos. </w:t>
      </w:r>
    </w:p>
    <w:p w14:paraId="5C4C97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6E2A49" w14:textId="007880B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w:t>
      </w:r>
      <w:r w:rsidR="007C6FC7">
        <w:rPr>
          <w:rFonts w:ascii="Arial" w:eastAsia="Times New Roman" w:hAnsi="Arial" w:cs="Arial"/>
          <w:color w:val="000000"/>
          <w:lang w:eastAsia="es-CO"/>
        </w:rPr>
        <w:t xml:space="preserve"> </w:t>
      </w:r>
      <w:r w:rsidRPr="002C1480">
        <w:rPr>
          <w:rFonts w:ascii="Arial" w:eastAsia="Times New Roman" w:hAnsi="Arial" w:cs="Arial"/>
          <w:color w:val="000000"/>
          <w:lang w:eastAsia="es-CO"/>
        </w:rPr>
        <w:t xml:space="preserve">Ejecutar las operaciones especiales determinadas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276 del Estatuto Orgánico del Sistema Financiero. </w:t>
      </w:r>
    </w:p>
    <w:p w14:paraId="7A58E0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A1C3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 En general, realizar todas las actividades que le sean autorizadas por la Ley. </w:t>
      </w:r>
    </w:p>
    <w:p w14:paraId="4D6D7000" w14:textId="4E6D834A"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0" w:name="ver_30056643"/>
      <w:bookmarkEnd w:id="60"/>
    </w:p>
    <w:p w14:paraId="7A6E886A" w14:textId="6266DD1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1.2.2.9. Positiva Compañía de Seguros S.A. Positiva Compañía de Seguros S. A., tiene por objeto la realización de operaciones de seguros de vida y afines, bajo las modalidades y los ramos autorizados expresamente; de coaseguros y reaseguros; y en aplicación de la Ley 100 de 1993, sus </w:t>
      </w:r>
      <w:r w:rsidR="00731A76">
        <w:rPr>
          <w:rFonts w:ascii="Arial" w:eastAsia="Times New Roman" w:hAnsi="Arial" w:cs="Arial"/>
          <w:color w:val="000000"/>
          <w:lang w:eastAsia="es-CO"/>
        </w:rPr>
        <w:t>DECRETOS</w:t>
      </w:r>
      <w:r w:rsidR="008F7B30" w:rsidRPr="002C1480">
        <w:rPr>
          <w:rFonts w:ascii="Arial" w:eastAsia="Times New Roman" w:hAnsi="Arial" w:cs="Arial"/>
          <w:color w:val="000000"/>
          <w:lang w:eastAsia="es-CO"/>
        </w:rPr>
        <w:t xml:space="preserve"> reglamentarios y demás normas que los modifiquen o adicionen, el desarrollo de todas aquellas actividades que por ley sean permitidas a este tipo de sociedades. </w:t>
      </w:r>
    </w:p>
    <w:p w14:paraId="0131D9A7" w14:textId="77777777" w:rsidR="00C32F85" w:rsidRPr="002C1480" w:rsidRDefault="00C32F85" w:rsidP="00C32F85">
      <w:pPr>
        <w:spacing w:after="0" w:line="293" w:lineRule="atLeast"/>
        <w:jc w:val="both"/>
        <w:rPr>
          <w:rFonts w:ascii="Arial" w:eastAsia="Times New Roman" w:hAnsi="Arial" w:cs="Arial"/>
          <w:color w:val="000000"/>
          <w:lang w:eastAsia="es-CO"/>
        </w:rPr>
      </w:pPr>
      <w:bookmarkStart w:id="61" w:name="ver_30056644"/>
      <w:bookmarkEnd w:id="61"/>
    </w:p>
    <w:p w14:paraId="0793D0E5" w14:textId="3A985641"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LIBRO 2</w:t>
      </w:r>
    </w:p>
    <w:p w14:paraId="4CC1A60D" w14:textId="61438B87" w:rsidR="008F7B3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RÉGIMEN REGLAMENTARIO DEL SECTOR HACIENDA Y CRÉDITO PÚBLICO</w:t>
      </w:r>
    </w:p>
    <w:p w14:paraId="774C9620" w14:textId="77777777" w:rsidR="001F3D32" w:rsidRPr="002C1480" w:rsidRDefault="001F3D32" w:rsidP="00C32F85">
      <w:pPr>
        <w:spacing w:after="0" w:line="293" w:lineRule="atLeast"/>
        <w:jc w:val="center"/>
        <w:rPr>
          <w:rFonts w:ascii="Arial" w:eastAsia="Times New Roman" w:hAnsi="Arial" w:cs="Arial"/>
          <w:b/>
          <w:bCs/>
          <w:color w:val="000000"/>
          <w:lang w:eastAsia="es-CO"/>
        </w:rPr>
      </w:pPr>
    </w:p>
    <w:p w14:paraId="3C0C17CA" w14:textId="77777777"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PARTE 1</w:t>
      </w:r>
    </w:p>
    <w:p w14:paraId="36F97CC5"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DISPOSICIONES GENERALES</w:t>
      </w:r>
    </w:p>
    <w:p w14:paraId="1C3469F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 w:name="ver_30056645"/>
      <w:bookmarkEnd w:id="62"/>
    </w:p>
    <w:p w14:paraId="21D2A8EA" w14:textId="37B919E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2.1.1. Objeto. El objeto de este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es compilar la normatividad expedida por el Gobierno Nacional en ejercicio principalmente de la facultad reglamentaria conferida por el numeral 11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189 de la Constitución Política, para la cumplida ejecución de las leyes del Sector Hacienda y Crédito Público. </w:t>
      </w:r>
    </w:p>
    <w:p w14:paraId="29A6CD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2AA0C6" w14:textId="64E9BCB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También se han incluido en la presente compilación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que desarrollan leyes marco sobre régimen cambiario y algunos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expedidos en ejercicio conjunto de las facultades de los numerales 11 y 25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189 de la Constitución Política. Estos últimos aunque tienen disposiciones sobre las actividades financiera, bursátil y/o aseguradora, la temática principal que regulan no corresponde a dichas actividades, y por tanto, no están ni serán incluidos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2166DA9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 w:name="ver_30056646"/>
      <w:bookmarkEnd w:id="63"/>
    </w:p>
    <w:p w14:paraId="01DCCD11" w14:textId="3568825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2.1.2. Ámbito de Aplicación. 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aplica a las entidades del sector Hacienda y Crédito Público y rige en todo el territorio nacional. </w:t>
      </w:r>
    </w:p>
    <w:p w14:paraId="357EF2D5"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0EB3C278" w14:textId="77777777" w:rsidR="00A51B93" w:rsidRDefault="008F7B30" w:rsidP="00C32F85">
      <w:pPr>
        <w:spacing w:after="0" w:line="293" w:lineRule="atLeast"/>
        <w:jc w:val="center"/>
        <w:rPr>
          <w:rFonts w:ascii="Arial" w:eastAsia="Times New Roman" w:hAnsi="Arial" w:cs="Arial"/>
          <w:b/>
          <w:bCs/>
          <w:color w:val="000000"/>
          <w:lang w:eastAsia="es-CO"/>
        </w:rPr>
      </w:pPr>
      <w:bookmarkStart w:id="64" w:name="ver_30068172"/>
      <w:bookmarkEnd w:id="64"/>
      <w:r w:rsidRPr="002C1480">
        <w:rPr>
          <w:rFonts w:ascii="Arial" w:eastAsia="Times New Roman" w:hAnsi="Arial" w:cs="Arial"/>
          <w:b/>
          <w:bCs/>
          <w:color w:val="000000"/>
          <w:lang w:eastAsia="es-CO"/>
        </w:rPr>
        <w:lastRenderedPageBreak/>
        <w:t>PARTE 2</w:t>
      </w:r>
    </w:p>
    <w:p w14:paraId="21383F67" w14:textId="502852E5" w:rsidR="008F7B3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CRÉDITO PÚBLICO</w:t>
      </w:r>
    </w:p>
    <w:p w14:paraId="3600EC0A" w14:textId="77777777" w:rsidR="001F3D32" w:rsidRPr="002C1480" w:rsidRDefault="001F3D32" w:rsidP="00C32F85">
      <w:pPr>
        <w:spacing w:after="0" w:line="293" w:lineRule="atLeast"/>
        <w:jc w:val="center"/>
        <w:rPr>
          <w:rFonts w:ascii="Arial" w:eastAsia="Times New Roman" w:hAnsi="Arial" w:cs="Arial"/>
          <w:b/>
          <w:bCs/>
          <w:color w:val="000000"/>
          <w:lang w:eastAsia="es-CO"/>
        </w:rPr>
      </w:pPr>
    </w:p>
    <w:p w14:paraId="05E519AE" w14:textId="77777777"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TÍTULO 1</w:t>
      </w:r>
    </w:p>
    <w:p w14:paraId="4116D1B9" w14:textId="5C6C1519" w:rsidR="008F7B30" w:rsidRDefault="008F7B30" w:rsidP="001F3D32">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DISPOSICIONES GENERALES DE CRÉDITO PÚBLICO</w:t>
      </w:r>
    </w:p>
    <w:p w14:paraId="39723547" w14:textId="77777777" w:rsidR="001F3D32" w:rsidRPr="002C1480" w:rsidRDefault="001F3D32" w:rsidP="001F3D32">
      <w:pPr>
        <w:spacing w:after="0" w:line="293" w:lineRule="atLeast"/>
        <w:jc w:val="center"/>
        <w:rPr>
          <w:rFonts w:ascii="Arial" w:eastAsia="Times New Roman" w:hAnsi="Arial" w:cs="Arial"/>
          <w:b/>
          <w:bCs/>
          <w:color w:val="000000"/>
          <w:lang w:eastAsia="es-CO"/>
        </w:rPr>
      </w:pPr>
    </w:p>
    <w:p w14:paraId="5EB2F69A" w14:textId="1E8F1A2F" w:rsidR="008F7B30" w:rsidRDefault="002C1480" w:rsidP="001F3D32">
      <w:pPr>
        <w:spacing w:after="0" w:line="254" w:lineRule="atLeast"/>
        <w:jc w:val="both"/>
        <w:rPr>
          <w:rFonts w:ascii="Arial" w:eastAsia="Times New Roman" w:hAnsi="Arial" w:cs="Arial"/>
          <w:color w:val="000000"/>
          <w:lang w:eastAsia="es-CO"/>
        </w:rPr>
      </w:pPr>
      <w:bookmarkStart w:id="65" w:name="ver_30068173"/>
      <w:bookmarkEnd w:id="65"/>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2.2.1.1. Ámbito de aplicación. El presente título se aplica a las operaciones de crédito público, las operaciones asimiladas, las operaciones propias del manejo de la deuda pública y las conexas con las anteriores, de que trata el parágrafo 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41 de la Ley 80 de 1993, que realicen las entidades estatales definidas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 de la mencionada Ley. </w:t>
      </w:r>
    </w:p>
    <w:p w14:paraId="72EC36EB" w14:textId="77777777" w:rsidR="001F3D32" w:rsidRPr="002C1480" w:rsidRDefault="001F3D32" w:rsidP="001F3D32">
      <w:pPr>
        <w:spacing w:after="0" w:line="254" w:lineRule="atLeast"/>
        <w:jc w:val="both"/>
        <w:rPr>
          <w:rFonts w:ascii="Arial" w:eastAsia="Times New Roman" w:hAnsi="Arial" w:cs="Arial"/>
          <w:color w:val="000000"/>
          <w:lang w:eastAsia="es-CO"/>
        </w:rPr>
      </w:pPr>
    </w:p>
    <w:p w14:paraId="12AB5B13" w14:textId="6F331D2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anterior, sin perjuicio de lo establecido en 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 de la Ley 80 de 1993, en relación con las operaciones que, dentro del giro ordinario de las actividades propias de su objeto social, celebren los establecimientos de crédito, las compañías de seguros y las demás entidades financieras de carácter estatal. </w:t>
      </w:r>
    </w:p>
    <w:p w14:paraId="0A35A7E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6" w:name="ver_30056647"/>
      <w:bookmarkEnd w:id="66"/>
    </w:p>
    <w:p w14:paraId="4776AC12" w14:textId="076CCA4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 Celebración de operaciones a nombre de la nación. Se celebrarán a nombre de la nación, las operaciones de crédito público, las operaciones asimiladas, las operaciones de manejo de la deuda y las conexas con las anteriores, de las siguientes entidades estatales: los Ministerios, los Departamentos Administrativos, las Superintendencias, las Unidades Administrativas Especiales, el Consejo Superior de la Judicatura, la Fiscalía General de la Nación, la Contraloría General de la República, la Procuraduría General de la Nación, la Registraduría Nacional del Estado Civil, el Senado de la República, la Cámara de Representantes y los demás organismos o dependencias del Estado del orden nacional que carezcan de personería jurídica y a los que la ley otorgue capacidad para celebrar contratos. </w:t>
      </w:r>
    </w:p>
    <w:p w14:paraId="2EB40B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16DE62" w14:textId="42705B9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embajadores y demás agentes diplomáticos y consulares de la República, podrán suscribir, previa autorización del respectivo representante de la Nación, los actos, documentos y contratos requeridos para la celebración y ejecución de las operaciones de que trata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Tales actos y documentos requerirán la posterior ratificación del representante de la Nación. De igual forma, los agentes consulares podrán ser autorizados por el respectivo representante de la Nación para recibir notificaciones en nombre de ésta en los procesos que se adelanten en relación con las mencionadas operaciones. </w:t>
      </w:r>
    </w:p>
    <w:p w14:paraId="6D4B9EC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7" w:name="ver_30056648"/>
      <w:bookmarkEnd w:id="67"/>
    </w:p>
    <w:p w14:paraId="09181889" w14:textId="14EF74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 Delegación celebración de operaciones en nombre de la Nación. Conforme a lo dispuesto por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11 y 12 de la Ley 80 de 1993 y al inciso primero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y, salvo que se trate de créditos de proveedores, las operaciones a que se refiere este título sólo podrán ser celebradas en nombre de la Nación por el Presidente de la República y por los funcionarios en quienes se delega esta facultad de acuerdo con los dos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siguientes. </w:t>
      </w:r>
    </w:p>
    <w:p w14:paraId="2008B63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8" w:name="ver_30103738"/>
      <w:bookmarkStart w:id="69" w:name="ver_30103737"/>
      <w:bookmarkEnd w:id="68"/>
    </w:p>
    <w:p w14:paraId="094448E3" w14:textId="29EEE9E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w:t>
      </w:r>
      <w:r w:rsidR="007C6FC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Delegación operaciones de empréstito externo por su cuantía. Deléguese en el Ministro de Hacienda y Crédito Público, la facultad de celebrar contratos de empréstito externo en nombre de la Nación, cuando su cuantía no exceda de mil cien millones de dólares de los Estados Unidos de América (US$1.100.000.000), o su equivalente en otras monedas. </w:t>
      </w:r>
    </w:p>
    <w:p w14:paraId="0821B8A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BACD035" w14:textId="3518813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facultad comprende la de suscribir los avales y garantías que se requieran para dichos empréstitos externos. </w:t>
      </w:r>
    </w:p>
    <w:p w14:paraId="260CA98E"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FBC4D61" w14:textId="10B5B5D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Cuando los anteriores contratos de empréstito externo sean atinentes al despacho de los demás ministerios o departamentos administrativos, deléguese en el Ministro de Hacienda y Crédito Público y en el respectivo Ministro o director de departamento administrativo la facultad de celebrar dichos contratos. En consecuencia, tales contratos deberán ser suscritos conjuntamente por el correspondiente ministro o director del departamento administrativo y por el Ministro de Hacienda y Crédito Público. </w:t>
      </w:r>
    </w:p>
    <w:p w14:paraId="42D8165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 w:name="ver_30056650"/>
      <w:bookmarkEnd w:id="69"/>
      <w:bookmarkEnd w:id="70"/>
    </w:p>
    <w:p w14:paraId="76DE1165" w14:textId="4D90778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w:t>
      </w:r>
      <w:r w:rsidR="007C6FC7">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Delegación operaciones diferentes a los de empréstito externo. Delégase en el Ministro de Hacienda y Crédito Público la facultad de celebrar en nombre de la Nación y sin limitación de cuantía, las operaciones a nombre de la Nación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 del presente título, diferentes a los contratos de empréstito externo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w:t>
      </w:r>
    </w:p>
    <w:p w14:paraId="6867F45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 w:name="ver_30219272"/>
      <w:bookmarkStart w:id="72" w:name="ver_30056651"/>
      <w:bookmarkEnd w:id="71"/>
    </w:p>
    <w:p w14:paraId="45B2AE5B" w14:textId="0FD4B7B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 Emisión de autorizaciones y conceptos. Para emitir los conceptos y las autorizaciones que les corresponden, el Consejo Nacional de Política Económica y Social - CONPES, el Departamento Nacional de Planeación y el Ministerio de Hacienda y Crédito Público, tendrán en cuenta, entre otros, la adecuación de las respectivas operaciones a la política del gobierno en materia de crédito publico y su conformidad con el Programa Macroeconómico y el Plan Financiero aprobados por el Consejo Nacional de Política Económica y Social, CONPES, y el Consejo Superior de Política Fiscal, CONFIS.</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Para las operaciones de crédito público y asimiladas que comprendan el financiamiento de gastos de inversión se requerirá concepto del Consejo Nacional de Política Económica y Social- CONPES y el Departamento Nacional de Planeación según corresponda. Los conceptos del Consejo Nacional de Política Económica y Social CONPES y del Departamento Nacional de Planeación, se expedirán sobre la justificación técnica, económica, financiera y social del proyecto y deberán verificar que el endeudamiento de las entidades estatales se encuentra en el nivel adecuado teniendo en cuenta su situación financiera, su plan de financiación por fuentes de recursos y el cronograma de gastos anuales.</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Para las operaciones de crédito público y asimiladas que comprendan el financiamiento de gastos diferentes a inversión, el concepto será emitido por la Dirección General de Crédito Publico y Tesoro Nacional del Ministerio de Hacienda y Crédito Público. Dicho concepto tendrá en cuenta los estados financieros actualizados y sus proyecciones para determinar que la entidad estatal cuenta con niveles adecuados de liquidez, solvencia y capacidad de pago para asumir nuevo endeudamiento.</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PARAGRAFO PRIMERO. Los mencionados conceptos se podrán solicitar por las entidades estatales para una a varias operaciones determinadas. La entidad estatal deberá proveer la información financiera requerida por la instancia competente.</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 xml:space="preserve">PARAGRAFO SEGUNDO. Los conceptos emitidos por el Consejo Nacional de Política Económica y Social CONPES se entenderán vigentes hasta tanto el CONPES emita concepto en sentido contrario. Los conceptos emitidos por el Departamento Nacional de Planeación se entenderán válidos y aplicables durante toda la vigencia para la cual fueron otorgados, sin perjuicio que éstos sean refrendados anualmente siempre y cuando la entidad estatal acredite que no se ha presentado un cambio materialmente adverso sobre la situación jurídica, administrativa o financiera de la entidad Solicitante, que afecte a pueda afectar el cumplimiento de las obligaciones de pago contraídas. Los conceptos emitidos por el Ministerio de Hacienda y Crédito Publico tendrán una vigencia hasta por un año que podrán ser refrendados. La vigencia de los conceptos </w:t>
      </w:r>
      <w:r w:rsidR="008F7B30" w:rsidRPr="002C1480">
        <w:rPr>
          <w:rFonts w:ascii="Arial" w:eastAsia="Times New Roman" w:hAnsi="Arial" w:cs="Arial"/>
          <w:color w:val="000000"/>
          <w:lang w:eastAsia="es-CO"/>
        </w:rPr>
        <w:lastRenderedPageBreak/>
        <w:t>será a partir de la fecha de notificación a la entidad estatal solicitante”</w:t>
      </w:r>
      <w:r w:rsidR="008F7B30" w:rsidRPr="002C1480">
        <w:rPr>
          <w:rFonts w:ascii="Arial" w:eastAsia="Times New Roman" w:hAnsi="Arial" w:cs="Arial"/>
          <w:color w:val="000000"/>
          <w:lang w:eastAsia="es-CO"/>
        </w:rPr>
        <w:br/>
        <w:t> </w:t>
      </w:r>
      <w:bookmarkStart w:id="73" w:name="ver_30056652"/>
      <w:bookmarkEnd w:id="72"/>
      <w:bookmarkEnd w:id="73"/>
    </w:p>
    <w:p w14:paraId="72D7BC09" w14:textId="4C01132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2.2.1.7. Autorizaciones del Ministerio de Hacienda y Crédito Público. Para pronunciarse sobre las autorizaciones de que trata el presente título, el Ministerio de Hacienda y Crédito Público tendrá en cuenta, entre otros criterios, las condiciones del mercado, las fuentes de recursos del crédito, la competitividad de las ofertas, la situación financiera de la entidad, determinada según se establece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siguiente y el cumplido servicio de la deuda por parte de dicha entidad. </w:t>
      </w:r>
    </w:p>
    <w:p w14:paraId="6617A2D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 w:name="ver_30056653"/>
      <w:bookmarkEnd w:id="74"/>
    </w:p>
    <w:p w14:paraId="33CE897D" w14:textId="3E10CDB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2.2.1.8. Situación financiera y cupos de crédito. Corresponde al Departamento Nacional de Planeación, cuando se trate de la emisión de conceptos de dicho organismo o del Consejo Nacional de Política Económica y Social, CONPES, verificar que el endeudamiento de las entidades estatales se encuentra en el nivel adecuado teniendo en cuenta su situación financiera. </w:t>
      </w:r>
    </w:p>
    <w:p w14:paraId="644F3CE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 w:name="ver_30056654"/>
      <w:bookmarkEnd w:id="75"/>
    </w:p>
    <w:p w14:paraId="4EDFDA68" w14:textId="2378C9A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2.2.1.9. Disposiciones transitorias. La celebración de operaciones de crédito público, operaciones asimiladas, operaciones propias del manejo de la deuda y las conexas con las anteriores que estuvieren iniciadas al 31 de diciembre de 1993, se continuarán rigiendo por las normas con las cuales se iniciaron, en cuanto a los trámites y requisitos que faltaren para la suscripción de los respectivos contratos. </w:t>
      </w:r>
    </w:p>
    <w:p w14:paraId="7CCAB0F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F467ED" w14:textId="748B2C6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concordancia con lo previsto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para la celebración de operaciones de crédito público, operaciones asimiladas, operaciones propias del manejo de la deuda pública y las conexas con las anteriores, el contenido de los contratos se someterá a la Ley vigente al momento de la aprobación de la minuta. </w:t>
      </w:r>
    </w:p>
    <w:p w14:paraId="313C1B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E63D3A"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76" w:name="ver_30056655"/>
      <w:bookmarkEnd w:id="76"/>
      <w:r w:rsidRPr="002C1480">
        <w:rPr>
          <w:rFonts w:ascii="Arial" w:eastAsia="Times New Roman" w:hAnsi="Arial" w:cs="Arial"/>
          <w:b/>
          <w:bCs/>
          <w:color w:val="000000"/>
          <w:lang w:eastAsia="es-CO"/>
        </w:rPr>
        <w:t>CAPÍTULO 1</w:t>
      </w:r>
    </w:p>
    <w:p w14:paraId="40C7B7CE" w14:textId="77777777" w:rsidR="008F7B30" w:rsidRDefault="008F7B30" w:rsidP="00A51B93">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DEFINICIONES GENERALES</w:t>
      </w:r>
    </w:p>
    <w:p w14:paraId="0E0FB7EF" w14:textId="77777777" w:rsidR="00A51B93" w:rsidRPr="002C1480" w:rsidRDefault="00A51B93" w:rsidP="00A51B93">
      <w:pPr>
        <w:spacing w:after="0" w:line="240" w:lineRule="auto"/>
        <w:jc w:val="center"/>
        <w:rPr>
          <w:rFonts w:ascii="Arial" w:eastAsia="Times New Roman" w:hAnsi="Arial" w:cs="Arial"/>
          <w:b/>
          <w:bCs/>
          <w:color w:val="000000"/>
          <w:lang w:eastAsia="es-CO"/>
        </w:rPr>
      </w:pPr>
    </w:p>
    <w:p w14:paraId="50985621" w14:textId="44216893" w:rsidR="008F7B30" w:rsidRPr="002C1480" w:rsidRDefault="002C1480" w:rsidP="00A51B93">
      <w:pPr>
        <w:spacing w:after="0" w:line="240" w:lineRule="auto"/>
        <w:jc w:val="both"/>
        <w:rPr>
          <w:rFonts w:ascii="Arial" w:eastAsia="Times New Roman" w:hAnsi="Arial" w:cs="Arial"/>
          <w:color w:val="000000"/>
          <w:lang w:eastAsia="es-CO"/>
        </w:rPr>
      </w:pPr>
      <w:bookmarkStart w:id="77" w:name="ver_30056656"/>
      <w:bookmarkEnd w:id="77"/>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2.2.1.1.1. Operaciones de crédito público. Son operaciones de crédito público los actos o contratos que tienen por objeto dotar a la entidad estatal de recursos, bienes o servicios con plazo para su pago o aquellas mediante las cuales la entidad actúa como deudor solidario o garante de obligaciones de pago. </w:t>
      </w:r>
    </w:p>
    <w:p w14:paraId="7F2D11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0CAE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Dentro de estas operaciones están comprendidas, entre otras, la contratación de empréstitos, la emisión, suscripción y colocación de títulos de deuda pública, los créditos de proveedores y el otorgamiento de garantías para obligaciones de pago a cargo de entidades estatales. </w:t>
      </w:r>
    </w:p>
    <w:p w14:paraId="248036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C7D1FA" w14:textId="768D850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efectos de lo dispuesto en el presente título, las operaciones de crédito público pueden ser internas o externas. Son operaciones de crédito público internas las que, de conformidad con las disposiciones cambiarias, se celebren exclusivamente entre residentes del territorio colombiano para ser pagaderas en moneda legal colombiana. Son operaciones de crédito público externas todas las demás. Se consideran como residentes los definidos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2.17.1.2. del Título 1 de la Parte 17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w:t>
      </w:r>
    </w:p>
    <w:p w14:paraId="3FC935B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8" w:name="ver_30056657"/>
      <w:bookmarkEnd w:id="78"/>
    </w:p>
    <w:p w14:paraId="251F6F00" w14:textId="03FAA65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2.2.1.1.2. Actos asimilados a operaciones de crédito público. Los actos o contratos análogos a las operaciones de crédito público, mediante los cuales se contraigan obligaciones con plazo para su pago, se asimilan a las mencionadas operaciones de crédito público. </w:t>
      </w:r>
    </w:p>
    <w:p w14:paraId="41F2169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594C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Dentro de los actos o contratos asimilados a las operaciones de crédito público se encuentran los créditos documentarios, cuando el banco emisor de la carta de crédito otorgue un plazo para cubrir </w:t>
      </w:r>
      <w:r w:rsidRPr="002C1480">
        <w:rPr>
          <w:rFonts w:ascii="Arial" w:eastAsia="Times New Roman" w:hAnsi="Arial" w:cs="Arial"/>
          <w:color w:val="000000"/>
          <w:lang w:eastAsia="es-CO"/>
        </w:rPr>
        <w:lastRenderedPageBreak/>
        <w:t>el valor de su utilización y la novación o modificación de obligaciones, cuando la nueva obligación implique el otorgamiento de un plazo para el pago. </w:t>
      </w:r>
    </w:p>
    <w:p w14:paraId="1FCCA3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9C0795" w14:textId="752F99D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las operaciones de crédito público asimiladas con plazo superior a un año, les serán aplicables las disposiciones relativas a las operaciones de crédito público, según se trate se operaciones internas o externas y la entidad estatal que las celebre. En consecuencia, las operaciones de crédito público asimiladas con plazo igual o inferior a un (1) año, están autorizadas por vía general y no requerirán los conceptos mencionados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w:t>
      </w:r>
    </w:p>
    <w:p w14:paraId="35882B5E" w14:textId="51E18DED"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9" w:name="ver_30056658"/>
      <w:bookmarkEnd w:id="79"/>
    </w:p>
    <w:p w14:paraId="43F495E2" w14:textId="1C53061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2.2.1.1.3. Operaciones de manejo de la deuda pública. Constituyen operaciones propias del manejo de la deuda pública las que no incrementan el endeudamiento neto de la entidad estatal y contribuyan a mejorar el perfil de la deuda de la misma. Estas operaciones, en tanto no constituyen un nuevo financiamiento, no afectan el cupo de endeudamiento. </w:t>
      </w:r>
    </w:p>
    <w:p w14:paraId="1926C5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7AA8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Dentro de las anteriores operaciones se encuentran comprendidas, entre otras, la refinanciación, reestructuración, renegociación, reordenamiento, conversión o intercambio, sustitución, compra y venta de deuda pública, los acuerdos de pago, el saneamiento de obligaciones crediticias, las operaciones de cobertura de riesgos, la titularización de deudas de terceros, las relativas al manejo de la liquidez de la Dirección General de Crédito Público y Tesoro Nacional y todas aquellas operaciones de similar naturaleza que en el futuro se desarrollen. </w:t>
      </w:r>
    </w:p>
    <w:p w14:paraId="1F9D813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723C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operaciones de intercambio o conversión de deuda pública se podrán realizar siempre y cuando tengan por objeto reducir el valor de la deuda, mejorar su perfil o incentivar proyectos de interés social o de inversión en sectores prioritarios. </w:t>
      </w:r>
    </w:p>
    <w:p w14:paraId="517C2C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operaciones que impliquen adición al monto contratado o incremento en el endeudamiento neto de la entidad deberán tramitarse conforme a lo dispuesto en el presente título para la contratación de nuevos empréstitos. </w:t>
      </w:r>
    </w:p>
    <w:p w14:paraId="32A37A5B" w14:textId="5CFD2618"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0" w:name="ver_30056659"/>
      <w:bookmarkEnd w:id="80"/>
    </w:p>
    <w:p w14:paraId="4499C2E9" w14:textId="4A8CE0A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2.2.1.1.4. Operaciones conexas. Se consideran conexas a las operaciones de crédito público, a las operaciones asimiladas o a las de manejo de la deuda pública, los actos o contratos relacionados que constituyen un medio necesario para la realización de tales operaciones. </w:t>
      </w:r>
    </w:p>
    <w:p w14:paraId="59D733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EF9E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Son conexos a las operaciones de crédito público, entre otros, los contratos necesarios para el otorgamiento de garantías o contragarantías a operaciones de crédito público; los contratos de edición, colocación, incluida la colocación garantizada, fideicomiso, encargo fiduciario, garantía y administración de títulos de deuda pública en el mercado de valores, así como los contratos para la calificación de la inversión o de valores, requeridos para la emisión y colocación de tales títulos en los mercados de capitales. </w:t>
      </w:r>
    </w:p>
    <w:p w14:paraId="16B1D5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5E27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son conexos a operaciones de crédito público, a las operaciones asimiladas a éstas o a las de manejo de la deuda, los contratos de intermediación necesarios para llevar a cabo tales operaciones y los de asistencia o asesoría necesarios para la negociación, contratación, o representación de la entidad estatal en el exterior que deban realizarse por personas o entidades expertas en estas materias. </w:t>
      </w:r>
    </w:p>
    <w:p w14:paraId="1A1B96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7903F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operaciones conexas se contratarán en forma directa, sin someterse al procedimiento de licitación o concurso de méritos. </w:t>
      </w:r>
    </w:p>
    <w:p w14:paraId="4853304C" w14:textId="77777777" w:rsidR="007C6FC7" w:rsidRDefault="007C6FC7" w:rsidP="00C32F85">
      <w:pPr>
        <w:spacing w:after="0" w:line="254" w:lineRule="atLeast"/>
        <w:jc w:val="both"/>
        <w:rPr>
          <w:rFonts w:ascii="Arial" w:eastAsia="Times New Roman" w:hAnsi="Arial" w:cs="Arial"/>
          <w:color w:val="000000"/>
          <w:lang w:eastAsia="es-CO"/>
        </w:rPr>
      </w:pPr>
    </w:p>
    <w:p w14:paraId="017583EC" w14:textId="77777777" w:rsidR="00A51B93" w:rsidRPr="002C1480" w:rsidRDefault="00A51B93" w:rsidP="00C32F85">
      <w:pPr>
        <w:spacing w:after="0" w:line="254" w:lineRule="atLeast"/>
        <w:jc w:val="both"/>
        <w:rPr>
          <w:rFonts w:ascii="Arial" w:eastAsia="Times New Roman" w:hAnsi="Arial" w:cs="Arial"/>
          <w:color w:val="000000"/>
          <w:lang w:eastAsia="es-CO"/>
        </w:rPr>
      </w:pPr>
    </w:p>
    <w:p w14:paraId="4195D831"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81" w:name="ver_30056660"/>
      <w:bookmarkEnd w:id="81"/>
      <w:r w:rsidRPr="002C1480">
        <w:rPr>
          <w:rFonts w:ascii="Arial" w:eastAsia="Times New Roman" w:hAnsi="Arial" w:cs="Arial"/>
          <w:b/>
          <w:bCs/>
          <w:color w:val="000000"/>
          <w:lang w:eastAsia="es-CO"/>
        </w:rPr>
        <w:lastRenderedPageBreak/>
        <w:t>CAPÍTULO 2</w:t>
      </w:r>
    </w:p>
    <w:p w14:paraId="2C9399D5" w14:textId="79F6A98D" w:rsidR="008F7B3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OPERACIONES DE CRÉDITO PÚBLICO</w:t>
      </w:r>
    </w:p>
    <w:p w14:paraId="06D37186" w14:textId="77777777" w:rsidR="001F3D32" w:rsidRPr="002C1480" w:rsidRDefault="001F3D32" w:rsidP="00C32F85">
      <w:pPr>
        <w:spacing w:after="0" w:line="293" w:lineRule="atLeast"/>
        <w:jc w:val="center"/>
        <w:rPr>
          <w:rFonts w:ascii="Arial" w:eastAsia="Times New Roman" w:hAnsi="Arial" w:cs="Arial"/>
          <w:b/>
          <w:bCs/>
          <w:color w:val="000000"/>
          <w:lang w:eastAsia="es-CO"/>
        </w:rPr>
      </w:pPr>
    </w:p>
    <w:p w14:paraId="41C9D444" w14:textId="77777777" w:rsidR="00A51B93" w:rsidRDefault="001F3D32" w:rsidP="00A51B93">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 xml:space="preserve">SECCIÓN 1. </w:t>
      </w:r>
    </w:p>
    <w:p w14:paraId="3581458A" w14:textId="1452A67D" w:rsidR="008F7B30" w:rsidRPr="002C1480" w:rsidRDefault="001F3D32" w:rsidP="00A51B93">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CONTRATACIÓN DE EMPRÉSTITOS</w:t>
      </w:r>
    </w:p>
    <w:p w14:paraId="3B558BB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82" w:name="ver_30056661"/>
      <w:bookmarkEnd w:id="82"/>
    </w:p>
    <w:p w14:paraId="5BDD9105" w14:textId="52CDE13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2.2.1.2.1.1. Contratos de empréstito. Son contratos de empréstito los que tienen por objeto proveer a la entidad estatal contratante de recursos en moneda nacional o extranjera con plazo para su pago. </w:t>
      </w:r>
    </w:p>
    <w:p w14:paraId="5E1146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D34C93" w14:textId="467378C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empréstitos se contratarán en forma directa, sin someterse al procedimiento de licitación o concurso de méritos. Su celebración se sujetará a lo dispuesto en los </w:t>
      </w:r>
      <w:r w:rsidR="00B14EA4">
        <w:rPr>
          <w:rFonts w:ascii="Arial" w:eastAsia="Times New Roman" w:hAnsi="Arial" w:cs="Arial"/>
          <w:color w:val="000000"/>
          <w:lang w:eastAsia="es-CO"/>
        </w:rPr>
        <w:t>artículo</w:t>
      </w:r>
      <w:r w:rsidRPr="002C1480">
        <w:rPr>
          <w:rFonts w:ascii="Arial" w:eastAsia="Times New Roman" w:hAnsi="Arial" w:cs="Arial"/>
          <w:color w:val="000000"/>
          <w:lang w:eastAsia="es-CO"/>
        </w:rPr>
        <w:t>s siguientes. </w:t>
      </w:r>
    </w:p>
    <w:p w14:paraId="602D78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7B2D15" w14:textId="758FC72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De conformidad con lo dispuesto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los sobregiros están autorizados por vía general y no requerirán los conceptos allí mencionados. </w:t>
      </w:r>
    </w:p>
    <w:p w14:paraId="75482ECE" w14:textId="3AC18926"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3" w:name="ver_30056662"/>
      <w:bookmarkEnd w:id="83"/>
    </w:p>
    <w:p w14:paraId="6D387E1C" w14:textId="20EA4BE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2.2.1.2.1.2. Empréstitos externos de la nación. La celebración de contratos de empréstito externo a nombre de la Nación, requerirá: </w:t>
      </w:r>
    </w:p>
    <w:p w14:paraId="2B4AD9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984120" w14:textId="56EC8CA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w:t>
      </w:r>
      <w:r w:rsidR="00B14EA4">
        <w:rPr>
          <w:rFonts w:ascii="Arial" w:eastAsia="Times New Roman" w:hAnsi="Arial" w:cs="Arial"/>
          <w:color w:val="000000"/>
          <w:lang w:eastAsia="es-CO"/>
        </w:rPr>
        <w:t xml:space="preserve"> </w:t>
      </w:r>
      <w:r w:rsidRPr="002C1480">
        <w:rPr>
          <w:rFonts w:ascii="Arial" w:eastAsia="Times New Roman" w:hAnsi="Arial" w:cs="Arial"/>
          <w:color w:val="000000"/>
          <w:lang w:eastAsia="es-CO"/>
        </w:rPr>
        <w:t>Autorización para iniciar gestiones, impartida mediante resolución del Ministerio de Hacienda y Crédito Público, la cual podrá otorgarse una vez se cuente con: </w:t>
      </w:r>
    </w:p>
    <w:p w14:paraId="790760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0E4D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Concepto favorable del Consejo Nacional de Política Económica y Social, CONPES; y </w:t>
      </w:r>
    </w:p>
    <w:p w14:paraId="5EAE75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E001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Concepto de la Comisión de Crédito Público si el empréstito tiene plazo superior a un año. </w:t>
      </w:r>
    </w:p>
    <w:p w14:paraId="5D9737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40FE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Autorización para suscribir el contrato impartida por el Ministerio de Hacienda y Crédito Público con base en la minuta definitiva del mismo. </w:t>
      </w:r>
    </w:p>
    <w:p w14:paraId="54A7AE59" w14:textId="331B6734"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4" w:name="ver_30056663"/>
      <w:bookmarkEnd w:id="84"/>
    </w:p>
    <w:p w14:paraId="3FD86858" w14:textId="397D877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2.2.1.2.1.3. Empréstitos Internos de la Nación. La celebración de contratos de empréstito interno a nombre de la Nación, requerirá autorización para suscribir el contrato, impartida mediante resolución del Ministerio de Hacienda y Crédito Público, la cual podrá otorgarse una vez se cuente con el concepto favorable del Departamento Nacional de Planeación, cuando se trate de proyectos de inversión, y la minuta definitiva del contrato. </w:t>
      </w:r>
    </w:p>
    <w:p w14:paraId="4B22B07D" w14:textId="20154F42"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5" w:name="ver_30056664"/>
      <w:bookmarkEnd w:id="85"/>
    </w:p>
    <w:p w14:paraId="0CD99211" w14:textId="26D274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2.2.1.2.1.4.</w:t>
      </w:r>
      <w:r w:rsidR="00B14EA4">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Empréstitos externos de entidades descentralizadas del orden nacional y de entidades territoriales y sus descentralizadas. La celebración de contratos de empréstito externo por las entidades descentralizadas del orden nacional, diferentes de las mencionadas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2.2.1.2.1.6 del presente capítulo, y por las entidades territoriales y sus descentralizadas requerirá: </w:t>
      </w:r>
    </w:p>
    <w:p w14:paraId="11C543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C727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Autorización para iniciar gestiones, impartida mediante resolución del Ministerio de Hacienda y Crédito Público, la cual podrá otorgarse una vez se cuente con concepto favorable del Departamento Nacional de Planeación; y </w:t>
      </w:r>
    </w:p>
    <w:p w14:paraId="0E4068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F6B4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Autorización para suscribir el contrato y otorgar garantías al prestamista, impartida por el Ministerio de Hacienda y Crédito Público, con base en las correspondientes minutas definitivas. </w:t>
      </w:r>
    </w:p>
    <w:p w14:paraId="0B5F5D83" w14:textId="66623D8C"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6" w:name="ver_30056665"/>
      <w:bookmarkEnd w:id="86"/>
    </w:p>
    <w:p w14:paraId="6493111A" w14:textId="6D81493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2.2.1.2.1.5. Empréstitos internos de entidades descentralizadas del orden nacional. La celebración de contratos de empréstito interno por las entidades descentralizadas del orden nacional, diferentes de las mencionadas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siguiente, requerirá autorización para suscribir el contrato y otorgar garantías al prestamista, impartida mediante resolución del Ministerio de Hacienda y Crédito Público, la cual podrá otorgarse una vez se cuente con el concepto favorable del Departamento Nacional de Planeación y las correspondientes minutas definitivas. </w:t>
      </w:r>
    </w:p>
    <w:p w14:paraId="557726BD" w14:textId="08A1479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7" w:name="ver_30056666"/>
      <w:bookmarkEnd w:id="87"/>
    </w:p>
    <w:p w14:paraId="57160FED" w14:textId="72D463D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2.2.1.2.1.6.</w:t>
      </w:r>
      <w:r w:rsidR="00B14EA4">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Empréstitos de entidades con participación estatal superior al cincuenta por ciento e inferior al noventa por ciento de su capital. La celebración de contratos de empréstito por las entidades estatales con participación del Estado superior al cincuenta por ciento e inferior al noventa por ciento de su capital, requerirá autorización del Ministerio de Hacienda y Crédito Público, la cual podrá otorgarse una vez se cuente con el concepto favorable del Departamento Nacional de Planeación. </w:t>
      </w:r>
    </w:p>
    <w:p w14:paraId="5C10BA17" w14:textId="2AE58661" w:rsidR="008F7B30" w:rsidRPr="002C1480" w:rsidRDefault="008F7B30" w:rsidP="00A51B9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8" w:name="ver_30056667"/>
      <w:bookmarkEnd w:id="88"/>
    </w:p>
    <w:p w14:paraId="08BFECBC" w14:textId="7A5C627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2.2.1.2.1.7. Empréstitos internos de entidades territoriales y sus descentralizadas. La celebración de empréstitos internos de las entidades territoriales y sus descentralizadas continuará rigiéndose por lo señalados en los </w:t>
      </w:r>
      <w:r w:rsidR="00731A76">
        <w:rPr>
          <w:rFonts w:ascii="Arial" w:eastAsia="Times New Roman" w:hAnsi="Arial" w:cs="Arial"/>
          <w:color w:val="000000"/>
          <w:lang w:eastAsia="es-CO"/>
        </w:rPr>
        <w:t>DECRETOS</w:t>
      </w:r>
      <w:r w:rsidR="008F7B30" w:rsidRPr="002C1480">
        <w:rPr>
          <w:rFonts w:ascii="Arial" w:eastAsia="Times New Roman" w:hAnsi="Arial" w:cs="Arial"/>
          <w:color w:val="000000"/>
          <w:lang w:eastAsia="es-CO"/>
        </w:rPr>
        <w:t xml:space="preserve"> Ley 1222 y 1333 de 1986 y sus normas complementarias, según el caso. Lo anterior, sin perjuicio de la obligación de registro de los mismos en la Dirección General de Crédito Público y Tesoro Nacional del Ministerio de Hacienda y Crédito Público. </w:t>
      </w:r>
    </w:p>
    <w:p w14:paraId="45E99C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2F2A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podrán registrarse en la mencionada Dirección los empréstitos que excedan los montos individuales máximos de crédito de las entidades territoriales. </w:t>
      </w:r>
    </w:p>
    <w:p w14:paraId="78CBF917" w14:textId="22A0D8C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9" w:name="ver_30056668"/>
      <w:bookmarkEnd w:id="89"/>
    </w:p>
    <w:p w14:paraId="441FE0AA" w14:textId="46E4A81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2.2.1.2.1.8. Créditos de presupuesto. Los empréstitos que celebren las entidades estatales con la Nación con cargo a apropiaciones presupuestales en los términos del Estatuto Orgánico del Presupuesto General de la Nación requerirán autorización del Ministerio de Hacienda y Crédito Público, la cual se expedirá una vez se cuente con el concepto favorable del Departamento Nacional de Planeación cuando tales empréstitos se efectúen para financiar gastos de inversión. </w:t>
      </w:r>
    </w:p>
    <w:p w14:paraId="15FAB6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3BC1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obstante, el concepto del Departamento Nacional de Planeación no se requerirá en los créditos de presupuesto que celebre la Nación para la transferencia a determinadas entidades estatales de recursos de créditos externos contratados por esta. </w:t>
      </w:r>
    </w:p>
    <w:p w14:paraId="1105245F" w14:textId="353215D9" w:rsidR="008F7B30" w:rsidRPr="002C1480" w:rsidRDefault="008F7B30" w:rsidP="005132E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0" w:name="ver_30219273"/>
      <w:bookmarkStart w:id="91" w:name="ver_30056669"/>
      <w:bookmarkEnd w:id="90"/>
    </w:p>
    <w:p w14:paraId="0D5109E9" w14:textId="0EC02E6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2.2.1.2.1.9 Créditos de corto plazo. Son créditos de corto plazo los empréstitos que celebren las entidades estatales con plazo igual o inferior a un año. Los créditos de corto plazo podrán ser transitorios o de tesorería.</w:t>
      </w:r>
      <w:r w:rsidR="008F7B30" w:rsidRPr="002C1480">
        <w:rPr>
          <w:rFonts w:ascii="Arial" w:eastAsia="Times New Roman" w:hAnsi="Arial" w:cs="Arial"/>
          <w:color w:val="000000"/>
          <w:lang w:eastAsia="es-CO"/>
        </w:rPr>
        <w:br/>
        <w:t>Son créditos de corto plazo de carácter transitorio los que vayan a ser pagados con créditos de plazo mayor a un año, respecto de los cuales exista oferta en firme del negocio. Son créditos de corto plazo de tesorería, los que deben ser pagados con recursos diferentes del crédito.</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La celebración de créditos de corto plazo de entidades estatales diferentes de la Nación, con excepción de los créditos internos de corto plazo de las entidades territoriales y sus descentralizadas, requerirá autorización del Ministerio de Hacienda y Crédito Público.</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 xml:space="preserve">Cuando se trate de créditos de tesorería, dicha autorización podrá solicitarse para toda una vigencia fiscal o para créditos determinados. Para tal efecto, las cuantías de tales créditos o los saldos adeudados, según el caso, no podrán sobrepasar en conjunto el diez por ciento (10%) de los ingresos corrientes de la respectiva entidad, sin incluir los recursos de capital, de la </w:t>
      </w:r>
      <w:r w:rsidR="008F7B30" w:rsidRPr="002C1480">
        <w:rPr>
          <w:rFonts w:ascii="Arial" w:eastAsia="Times New Roman" w:hAnsi="Arial" w:cs="Arial"/>
          <w:color w:val="000000"/>
          <w:lang w:eastAsia="es-CO"/>
        </w:rPr>
        <w:lastRenderedPageBreak/>
        <w:t>correspondiente vigencia fiscal. No obstante, cuando se trate de financiar proyectos de interés social o de inversión en sectores prioritarios o se presente urgencia evidente en obtener dicha financiación, el Ministerio de Hacienda y Crédito Público, podrá autorizar porcentajes superiores al mencionado, siempre y cuando el Consejo Nacional de Política Económica y Social, CONPES, haya conceptuado sobre la ocurrencia de alguno de los mencionados eventos.</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Los créditos de tesorería no podrán convertirse en fuente para financiar adiciones en el presupuesto de gastos. </w:t>
      </w:r>
    </w:p>
    <w:p w14:paraId="65566DC3" w14:textId="77777777" w:rsidR="00B14EA4" w:rsidRDefault="008F7B30" w:rsidP="005132E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br/>
        <w:t xml:space="preserve">Parágrafo. De conformidad con lo dispuesto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los créditos de tesorería que contrate la Nación están autorizados por vía general y no requerirán los conceptos allí mencionados.</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Parágrafo 2. En los eventos en los cuales sea declarada una emergencia económica, social y ecológica por el Presidente de la Republica y mientras dure su declaratoria, las entidades estatales podrán extinguir las obligaciones originadas en créditos de tesorería con recursos provenientes de nuevos créditos. Para estos efectos se podrá utilizar la figura de la novación, entre otras.</w:t>
      </w:r>
      <w:r w:rsidRPr="002C1480">
        <w:rPr>
          <w:rFonts w:ascii="Arial" w:eastAsia="Times New Roman" w:hAnsi="Arial" w:cs="Arial"/>
          <w:color w:val="000000"/>
          <w:lang w:eastAsia="es-CO"/>
        </w:rPr>
        <w:br/>
      </w:r>
    </w:p>
    <w:p w14:paraId="75D24827" w14:textId="3E44121D" w:rsidR="008F7B30" w:rsidRPr="002C1480" w:rsidRDefault="008F7B30" w:rsidP="00B14EA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aquellos eventos en que la entidad estatal requiera contratar créditos de tesorería para aliviar presiones de liquidez devenidas de Una emergencia económica, social y ecológica declarada por el Presidente de la Republica, dichos créditos no podrán sobrepasar en conjunto e/ quince (15%) de los ingresos corrientes de la respectiva entidad, Sin incluir los recursos de capital, de la correspondiente vigencia fiscal. Para el efecto, se requerirá de la autorización previa del Director General de Crédito Publico y Tesoro Nacional del Ministerio de Hacienda y Crédito Público, la cual podrá otorgarse una vez se cuente con.’</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1. Autorización impartida por el órgano directivo para celebrar el crédito de tesorería.</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2. Las proyecciones estresadas del flujo de caja del año en curso y la siguiente vigencia flsC6l, avaladas por el órgano directivo de la entidad estatal.</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3. Certificación del representante legal donde se justifique la necesidad de liquidez como consecuencia de la crisis económica, social y ecológica declarada.</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4. Concepto de no objeción a la operación, emitido por la Dirección General de Crédito Publico y Tesoro Nacional”.</w:t>
      </w:r>
      <w:r w:rsidRPr="002C1480">
        <w:rPr>
          <w:rFonts w:ascii="Arial" w:eastAsia="Times New Roman" w:hAnsi="Arial" w:cs="Arial"/>
          <w:color w:val="000000"/>
          <w:lang w:eastAsia="es-CO"/>
        </w:rPr>
        <w:br/>
        <w:t>  </w:t>
      </w:r>
      <w:bookmarkStart w:id="92" w:name="ver_30056670"/>
      <w:bookmarkEnd w:id="91"/>
      <w:bookmarkEnd w:id="92"/>
    </w:p>
    <w:p w14:paraId="1F26F116" w14:textId="1A72108B"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2.2.1.2.1.10. Líneas de crédito de gobierno a gobierno. Se consideran líneas de crédito de gobierno a gobierno los acuerdos mediante los cuales un gobierno extranjero adquiere el compromiso de poner a disposición del gobierno nacional los recursos necesarios para la financiación de determinados proyectos, bienes o servicios. </w:t>
      </w:r>
    </w:p>
    <w:p w14:paraId="24F15B32" w14:textId="77777777" w:rsidR="001F3D32" w:rsidRPr="002C1480" w:rsidRDefault="001F3D32" w:rsidP="00C32F85">
      <w:pPr>
        <w:spacing w:after="0" w:line="254" w:lineRule="atLeast"/>
        <w:jc w:val="both"/>
        <w:rPr>
          <w:rFonts w:ascii="Arial" w:eastAsia="Times New Roman" w:hAnsi="Arial" w:cs="Arial"/>
          <w:color w:val="000000"/>
          <w:lang w:eastAsia="es-CO"/>
        </w:rPr>
      </w:pPr>
    </w:p>
    <w:p w14:paraId="33FBA8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acuerdos o convenios constitutivos de líneas de crédito de gobierno a gobierno no se consideran empréstitos y sólo requerirán para su celebración el concepto favorable del Ministerio de Hacienda y Crédito Público Dirección General de Crédito Público y Tesoro Nacional. </w:t>
      </w:r>
    </w:p>
    <w:p w14:paraId="588178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FDF5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para la utilización de las líneas de crédito deberán celebrarse contratos de empréstito externo y de garantía, según el caso, que se someterán a lo dispuesto para el efecto en el presente título, según la entidad estatal que los celebre. </w:t>
      </w:r>
    </w:p>
    <w:p w14:paraId="1ED286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72976A" w14:textId="77777777" w:rsidR="008F7B30" w:rsidRPr="002C1480" w:rsidRDefault="008F7B30" w:rsidP="005132E8">
      <w:pPr>
        <w:spacing w:after="0" w:line="240" w:lineRule="auto"/>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adquisición de bienes o servicios con cargo a las líneas de crédito se regirá por lo establecido para tal efecto en la Ley 80 de 1993. </w:t>
      </w:r>
    </w:p>
    <w:p w14:paraId="21E92497" w14:textId="77777777" w:rsidR="005132E8" w:rsidRDefault="005132E8" w:rsidP="005132E8">
      <w:pPr>
        <w:spacing w:after="0" w:line="240" w:lineRule="auto"/>
        <w:jc w:val="center"/>
        <w:rPr>
          <w:rFonts w:ascii="Arial" w:eastAsia="Times New Roman" w:hAnsi="Arial" w:cs="Arial"/>
          <w:b/>
          <w:bCs/>
          <w:color w:val="000000"/>
          <w:lang w:eastAsia="es-CO"/>
        </w:rPr>
      </w:pPr>
      <w:bookmarkStart w:id="93" w:name="ver_30056671"/>
      <w:bookmarkEnd w:id="93"/>
    </w:p>
    <w:p w14:paraId="70F1B656" w14:textId="25434CE1" w:rsidR="008F7B30" w:rsidRPr="002C1480" w:rsidRDefault="008F7B30" w:rsidP="005132E8">
      <w:pPr>
        <w:spacing w:after="0" w:line="240" w:lineRule="auto"/>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SECCIÓN 2. Líneas de Crédito Contingentes</w:t>
      </w:r>
    </w:p>
    <w:p w14:paraId="03ECEE41" w14:textId="77777777" w:rsidR="008F7B30" w:rsidRPr="002C1480" w:rsidRDefault="008F7B30" w:rsidP="005132E8">
      <w:pPr>
        <w:spacing w:after="0" w:line="240" w:lineRule="auto"/>
        <w:jc w:val="both"/>
        <w:rPr>
          <w:rFonts w:ascii="Arial" w:eastAsia="Times New Roman" w:hAnsi="Arial" w:cs="Arial"/>
          <w:color w:val="000000"/>
          <w:lang w:eastAsia="es-CO"/>
        </w:rPr>
      </w:pPr>
      <w:bookmarkStart w:id="94" w:name="ver_30056672"/>
      <w:bookmarkEnd w:id="94"/>
    </w:p>
    <w:p w14:paraId="337CF254" w14:textId="0F12914A" w:rsidR="008F7B30" w:rsidRPr="002C1480" w:rsidRDefault="002C1480" w:rsidP="005132E8">
      <w:pPr>
        <w:spacing w:after="0" w:line="240" w:lineRule="auto"/>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2.2.1.2.2.1. Líneas De Crédito Contingentes. Se consideran líneas de crédito contingentes los acuerdos, convenios o contratos que tienen como propósito permitir a la Nación el acceso a recursos que otorgan los organismos multilaterales y entidades financieras internacionales, en aquellos eventos en los cuales la Nación no pueda obtener recursos para financiar el Presupuesto General de la Nación en condiciones ordinarias y sean necesarios para mantener y/o restablecer la estabilidad fiscal y/o económica del país. </w:t>
      </w:r>
    </w:p>
    <w:p w14:paraId="76A41B0C" w14:textId="77777777" w:rsidR="005132E8"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5" w:name="ver_30056673"/>
      <w:bookmarkEnd w:id="95"/>
    </w:p>
    <w:p w14:paraId="62E56AF9" w14:textId="42C0B9C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2.2.1.2.2.2. Requisitos para la celebración de Líneas de Crédito Contingentes. Los acuerdos, convenios o contratos de líneas de crédito contingente, requerirán para su celebración autorización impartida mediante Resolución del Ministerio de Hacienda y Crédito Público con base en la minuta definitiva de los mismos, la cual podrá otorgarse una vez se cuente con: </w:t>
      </w:r>
    </w:p>
    <w:p w14:paraId="1645BD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70B4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Concepto favorable del Consejo Nacional de Política Económica y Social, CONPES, y </w:t>
      </w:r>
    </w:p>
    <w:p w14:paraId="5AC72E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42D6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Concepto de la Comisión Interparlamentaria de Crédito Público. </w:t>
      </w:r>
    </w:p>
    <w:p w14:paraId="3F2DFE30" w14:textId="19968BA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DAD706" w14:textId="2D6B2625" w:rsidR="008F7B30" w:rsidRPr="002C1480" w:rsidRDefault="002C1480" w:rsidP="00C32F85">
      <w:pPr>
        <w:spacing w:after="0" w:line="254" w:lineRule="atLeast"/>
        <w:jc w:val="both"/>
        <w:rPr>
          <w:rFonts w:ascii="Arial" w:eastAsia="Times New Roman" w:hAnsi="Arial" w:cs="Arial"/>
          <w:color w:val="000000"/>
          <w:lang w:eastAsia="es-CO"/>
        </w:rPr>
      </w:pPr>
      <w:bookmarkStart w:id="96" w:name="ver_30219274"/>
      <w:bookmarkEnd w:id="96"/>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2.2.1.2.2.3. Líneas de Crédito a Entidades Estatales diferentes a la Nación. Las entidades descentralizadas del orden nacional y las entidades territoriales y sus descentralizadas podrán celebrar líneas de crédito a través de acuerdos, convenios o contratos con entidades financieras nacionales e internacionales, organismos bilaterales y multilaterales y, entidades estatales que pertenezcan al mismo grupo económico, cuyo fin sea obtener recursos para aliviar la presión originada en la reducción en los ingresos ordinarios derivada de una emergencia económica, social y ecológica declarada por el Presidente de la República.</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Los acuerdos, convenios o contratos de líneas de crédito, solo requerirán para su celebración, autorización impartida mediante Resolución del Ministerio de Hacienda y Crédito Público con base en la minuta definitiva de los mismos. Dicha autorización podrá otorgarse una vez se cuente con el concepto de no objeción a la operación emitido por el Director General de Crédito Publico y Tesoro Nacional del Ministerio de Hacienda y Crédito Público.</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 xml:space="preserve">Parágrafo. Para la contratación de líneas de crédito de carácter interno, las entidades territoriales y sus descentralizadas continuarán rigiéndose por lo señalado en los </w:t>
      </w:r>
      <w:r w:rsidR="00731A76">
        <w:rPr>
          <w:rFonts w:ascii="Arial" w:eastAsia="Times New Roman" w:hAnsi="Arial" w:cs="Arial"/>
          <w:color w:val="000000"/>
          <w:lang w:eastAsia="es-CO"/>
        </w:rPr>
        <w:t>DECRETOS</w:t>
      </w:r>
      <w:r w:rsidR="008F7B30" w:rsidRPr="002C1480">
        <w:rPr>
          <w:rFonts w:ascii="Arial" w:eastAsia="Times New Roman" w:hAnsi="Arial" w:cs="Arial"/>
          <w:color w:val="000000"/>
          <w:lang w:eastAsia="es-CO"/>
        </w:rPr>
        <w:t xml:space="preserve"> Ley 1222 y 1333 de 1986 y sus normas complementarias, según el caso”.</w:t>
      </w:r>
      <w:r w:rsidR="008F7B30" w:rsidRPr="002C1480">
        <w:rPr>
          <w:rFonts w:ascii="Arial" w:eastAsia="Times New Roman" w:hAnsi="Arial" w:cs="Arial"/>
          <w:color w:val="000000"/>
          <w:lang w:eastAsia="es-CO"/>
        </w:rPr>
        <w:br/>
        <w:t> </w:t>
      </w:r>
    </w:p>
    <w:p w14:paraId="38780401" w14:textId="13858AB2" w:rsidR="008F7B30" w:rsidRPr="002C1480" w:rsidRDefault="005132E8" w:rsidP="00C32F85">
      <w:pPr>
        <w:spacing w:line="293" w:lineRule="atLeast"/>
        <w:jc w:val="center"/>
        <w:rPr>
          <w:rFonts w:ascii="Arial" w:eastAsia="Times New Roman" w:hAnsi="Arial" w:cs="Arial"/>
          <w:b/>
          <w:bCs/>
          <w:color w:val="000000"/>
          <w:lang w:eastAsia="es-CO"/>
        </w:rPr>
      </w:pPr>
      <w:bookmarkStart w:id="97" w:name="ver_30056674"/>
      <w:bookmarkEnd w:id="97"/>
      <w:r w:rsidRPr="002C1480">
        <w:rPr>
          <w:rFonts w:ascii="Arial" w:eastAsia="Times New Roman" w:hAnsi="Arial" w:cs="Arial"/>
          <w:b/>
          <w:bCs/>
          <w:color w:val="000000"/>
          <w:lang w:eastAsia="es-CO"/>
        </w:rPr>
        <w:t>SECCIÓN 3. CRÉDITO DE PROVEEDORES</w:t>
      </w:r>
    </w:p>
    <w:p w14:paraId="6F3E79E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98" w:name="ver_30056675"/>
      <w:bookmarkEnd w:id="98"/>
    </w:p>
    <w:p w14:paraId="4AD736BC" w14:textId="2A4C6D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2.2.1.2.3.1. Créditos de proveedores. Se denominan créditos de proveedores aquellos mediante los cuales se contrata la adquisición de bienes o servicios con plazo para su pago. </w:t>
      </w:r>
    </w:p>
    <w:p w14:paraId="3D5B9D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B7AF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Sin perjuicio del cumplimiento de los requisitos establecidos para la adquisición de bienes o servicios en la Ley 80 de 1993, los créditos de proveedor se sujetarán a lo dispuesto en el Capítulo 1 del presente título, según se trate de empréstitos internos o externos y la entidad estatal que los celebre. </w:t>
      </w:r>
    </w:p>
    <w:p w14:paraId="67DEDC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D03683" w14:textId="0793007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De conformidad con lo dispuesto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están autorizados por vía general y no requerirán los conceptos allí mencionados, los créditos de proveedor con plazo igual o inferior a un año. </w:t>
      </w:r>
    </w:p>
    <w:p w14:paraId="7D7BC245" w14:textId="680A7652" w:rsidR="008F7B30" w:rsidRDefault="008F7B30" w:rsidP="00C32F85">
      <w:pPr>
        <w:spacing w:after="0" w:line="240" w:lineRule="auto"/>
        <w:jc w:val="both"/>
        <w:rPr>
          <w:rFonts w:ascii="Arial" w:eastAsia="Times New Roman" w:hAnsi="Arial" w:cs="Arial"/>
          <w:color w:val="000000"/>
          <w:lang w:eastAsia="es-CO"/>
        </w:rPr>
      </w:pPr>
      <w:bookmarkStart w:id="99" w:name="ver_30056676"/>
      <w:bookmarkEnd w:id="99"/>
    </w:p>
    <w:p w14:paraId="746A1CF9" w14:textId="36C7EB84" w:rsidR="001F3008" w:rsidRPr="001F3008" w:rsidRDefault="001F3008" w:rsidP="00C32F85">
      <w:pPr>
        <w:spacing w:after="0" w:line="240" w:lineRule="auto"/>
        <w:jc w:val="both"/>
        <w:rPr>
          <w:rFonts w:ascii="Arial" w:hAnsi="Arial" w:cs="Arial"/>
          <w:color w:val="000000"/>
          <w:sz w:val="20"/>
          <w:szCs w:val="20"/>
          <w:lang w:val="pt-BR"/>
        </w:rPr>
      </w:pPr>
      <w:r w:rsidRPr="001F3008">
        <w:rPr>
          <w:rFonts w:ascii="Arial" w:eastAsia="Times New Roman" w:hAnsi="Arial" w:cs="Arial"/>
          <w:color w:val="000000"/>
          <w:sz w:val="20"/>
          <w:szCs w:val="20"/>
          <w:lang w:eastAsia="es-CO"/>
        </w:rPr>
        <w:t xml:space="preserve">(Ver conceptos: </w:t>
      </w:r>
      <w:hyperlink r:id="rId8" w:history="1">
        <w:r w:rsidRPr="00F54F26">
          <w:rPr>
            <w:rStyle w:val="Hipervnculo"/>
            <w:rFonts w:ascii="Arial" w:eastAsia="Times New Roman" w:hAnsi="Arial" w:cs="Arial"/>
            <w:sz w:val="20"/>
            <w:szCs w:val="20"/>
            <w:lang w:eastAsia="es-CO"/>
          </w:rPr>
          <w:t xml:space="preserve">C-696 del </w:t>
        </w:r>
        <w:r w:rsidRPr="00F54F26">
          <w:rPr>
            <w:rStyle w:val="Hipervnculo"/>
            <w:rFonts w:ascii="Arial" w:hAnsi="Arial" w:cs="Arial"/>
            <w:sz w:val="20"/>
            <w:szCs w:val="20"/>
            <w:lang w:val="pt-BR"/>
          </w:rPr>
          <w:t>09/12/2020</w:t>
        </w:r>
      </w:hyperlink>
      <w:r w:rsidRPr="001F3008">
        <w:rPr>
          <w:rFonts w:ascii="Arial" w:hAnsi="Arial" w:cs="Arial"/>
          <w:color w:val="000000"/>
          <w:sz w:val="20"/>
          <w:szCs w:val="20"/>
          <w:lang w:val="pt-BR"/>
        </w:rPr>
        <w:t xml:space="preserve">) </w:t>
      </w:r>
    </w:p>
    <w:p w14:paraId="540A6DEC" w14:textId="77777777" w:rsidR="001F3008" w:rsidRPr="002C1480" w:rsidRDefault="001F3008" w:rsidP="00C32F85">
      <w:pPr>
        <w:spacing w:after="0" w:line="240" w:lineRule="auto"/>
        <w:jc w:val="both"/>
        <w:rPr>
          <w:rFonts w:ascii="Arial" w:eastAsia="Times New Roman" w:hAnsi="Arial" w:cs="Arial"/>
          <w:color w:val="000000"/>
          <w:lang w:eastAsia="es-CO"/>
        </w:rPr>
      </w:pPr>
    </w:p>
    <w:p w14:paraId="0FD8D791" w14:textId="128A7E4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2.2.1.2.3.2. Excepción en créditos de proveedores. Exceptúanse de lo dispuesto en el inciso primero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 de este título los créditos de proveedores, los cuales se celebrarán a nombre de las entidades estatales allí mencionadas, con sujeción a lo dispuesto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2.2.1.2.1.4. y 2.2.1.2.1.5. del Capítulo 1 del presente Título para los empréstitos de las entidades descentralizadas del orden nacional y sin perjuicio de lo establecido en el parágrafo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w:t>
      </w:r>
    </w:p>
    <w:p w14:paraId="195D2091" w14:textId="7BA408AE" w:rsidR="00C32F85" w:rsidRPr="002C1480" w:rsidRDefault="008F7B30" w:rsidP="005132E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0" w:name="ver_30056678"/>
      <w:bookmarkEnd w:id="100"/>
    </w:p>
    <w:p w14:paraId="4416F4DF" w14:textId="6A152BCA" w:rsidR="008F7B30" w:rsidRPr="002C1480" w:rsidRDefault="005132E8"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SECCIÓN 4. GARANTÍA DE LA NACIÓN</w:t>
      </w:r>
    </w:p>
    <w:p w14:paraId="3FBCE63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1" w:name="ver_30056677"/>
      <w:bookmarkEnd w:id="101"/>
    </w:p>
    <w:p w14:paraId="4CD92965" w14:textId="37AF23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2.2.1.2.4.1. Garantía de la Nación. Para obtener la garantía de la Nación, las entidades estatales deberán sujetarse a lo establecido en este título y constituir las contragarantías adecuadas, a juicio del Ministerio de Hacienda y Crédito Público. </w:t>
      </w:r>
    </w:p>
    <w:p w14:paraId="4215D7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0720C3" w14:textId="150229C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ningún caso la Nación podrá garantizar obligaciones internas de pago de las entidades territoriales y sus descentralizadas, ni obligaciones de pago de particulares. No podrán contar con la garantía de la Nación los títulos de que trata el inciso segundo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2.2.1.3.1 del Capítulo 3 del presente título; no obstante, cuando la emisión corresponda a títulos de mediano y largo plazo, esto es, con plazo superior a un año, para ser colocados en el exterior, éstos podrán contar con la garantía de la Nación. </w:t>
      </w:r>
    </w:p>
    <w:p w14:paraId="3B80AC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7079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Tampoco podrá la Nación garantizar obligaciones de pago de entidades estatales que no se encuentren a paz y salvo en sus compromisos con la misma, ni podrá extender su garantía a operaciones ya contratadas, si originalmente fueron contraídas sin garantía de la Nación. </w:t>
      </w:r>
    </w:p>
    <w:p w14:paraId="3FE2A0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25E8F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Consejo Nacional de Política Económica y Social, CONPES, determinará los criterios generales que deben satisfacer las operaciones de crédito público y las obligaciones de pago para obtener la garantía de la Nación y las condiciones en que ésta se otorgará. </w:t>
      </w:r>
    </w:p>
    <w:p w14:paraId="0D908F1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2" w:name="ver_30056679"/>
      <w:bookmarkEnd w:id="102"/>
    </w:p>
    <w:p w14:paraId="7DCF0A9F" w14:textId="685465E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2.2.1.2.4.2. Otorgamiento de la garantía de la Nación. La Nación podrá otorgar su garantía a obligaciones de pago de las entidades estatales una vez se cuente con lo siguiente: </w:t>
      </w:r>
    </w:p>
    <w:p w14:paraId="0AD773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7F1A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Concepto favorable del Consejo Nacional de Política Económica y Social, CONPES, respecto del otorgamiento de la garantía y el empréstito o la obligación de pago, según el caso; </w:t>
      </w:r>
    </w:p>
    <w:p w14:paraId="5522FD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7585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Concepto de la Comisión de Crédito Público respecto del otorgamiento de la garantía de la Nación, si ésta se otorga por plazo superior a un año; y </w:t>
      </w:r>
    </w:p>
    <w:p w14:paraId="498511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FC8E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cumplimiento de lo dispuesto en el presente título cuando se garantice la celebración de empréstitos o la emisión y colocación de títulos de deuda pública, según se trate de operaciones internas o externas y la entidad estatal que las celebre. No obstante, no se requerirá en este caso el concepto del Departamento Nacional de Planeación. </w:t>
      </w:r>
    </w:p>
    <w:p w14:paraId="4400FB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C290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La Nación no podrá suscribir el documento en el cual otorgue su garantía a un empréstito, hasta tanto no se hayan constituido las contragarantías a su favor. </w:t>
      </w:r>
    </w:p>
    <w:p w14:paraId="67201B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87EA52" w14:textId="4FC6BEB1" w:rsidR="008F7B30" w:rsidRPr="002C1480" w:rsidRDefault="005132E8" w:rsidP="00C32F85">
      <w:pPr>
        <w:spacing w:after="0" w:line="293" w:lineRule="atLeast"/>
        <w:jc w:val="center"/>
        <w:rPr>
          <w:rFonts w:ascii="Arial" w:eastAsia="Times New Roman" w:hAnsi="Arial" w:cs="Arial"/>
          <w:b/>
          <w:bCs/>
          <w:color w:val="000000"/>
          <w:lang w:eastAsia="es-CO"/>
        </w:rPr>
      </w:pPr>
      <w:bookmarkStart w:id="103" w:name="ver_30192290"/>
      <w:bookmarkEnd w:id="103"/>
      <w:r w:rsidRPr="002C1480">
        <w:rPr>
          <w:rFonts w:ascii="Arial" w:eastAsia="Times New Roman" w:hAnsi="Arial" w:cs="Arial"/>
          <w:b/>
          <w:bCs/>
          <w:color w:val="000000"/>
          <w:lang w:eastAsia="es-CO"/>
        </w:rPr>
        <w:t>SECCIÓN 5</w:t>
      </w:r>
    </w:p>
    <w:p w14:paraId="01351BE4" w14:textId="70F3F91C" w:rsidR="008F7B30" w:rsidRPr="002C1480" w:rsidRDefault="005132E8"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GARANTÍAS DE LA NACIÓN PARA SISTEMAS DE TRANSPORTE PÚBLICO COLECTIVO Y MASIVO</w:t>
      </w:r>
    </w:p>
    <w:p w14:paraId="6D7BB3F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4" w:name="ver_30192292"/>
      <w:bookmarkEnd w:id="104"/>
    </w:p>
    <w:p w14:paraId="3DB42F80" w14:textId="062EFAC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2.2.1.2.5.1. OBJETO. La presente sección aplica para el otorgamiento de la garantía de la Nación a las operaciones de financiamiento externo e interno que realicen las entidades territoriales y sus descentralizadas, en el marco de la cofinanciación de sistemas de transporte público colectivo y masivo que sean desarrollados por medio de contratos de concesión. Dentro de las operaciones de financiamiento que pueden contar con garantía de la Nación se encuentran, entre otras, la emisión de títulos de deuda pública y de títulos valores como mecanismos de pago. </w:t>
      </w:r>
    </w:p>
    <w:p w14:paraId="78542A4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5" w:name="ver_30192293"/>
      <w:bookmarkEnd w:id="105"/>
    </w:p>
    <w:p w14:paraId="4FE68051" w14:textId="251C203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2.2.1.2.5.2. OTORGAMIENTO DE LA GARANTÍA DE LA NACIÓN. La Nación podrá otorgar garantías a las operaciones de financiamiento de las entidades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en el marco de la cofinanciación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107 de la Ley 1955 de 2019, una vez cuenten con lo siguiente: </w:t>
      </w:r>
    </w:p>
    <w:p w14:paraId="58D588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F3D7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Concepto favorable del Consejo Nacional de Política Económica y Social, Conpes, respecto del otorgamiento de la garantía y la respectiva operación de financiamiento. </w:t>
      </w:r>
    </w:p>
    <w:p w14:paraId="2F93A2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C2AD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Concepto de la Comisión de Crédito Público respecto del otorgamiento de la garantía de la Nación, si estas se otorgan por plazo superior a un (1) año. </w:t>
      </w:r>
    </w:p>
    <w:p w14:paraId="40892C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87A25C" w14:textId="3BA0C24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Autorización del Ministerio de Hacienda y Crédito Público para celebrar la operación de financiamiento que va a ser garantizada por la nación, de la que tratan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2.2.1.2.5.3 y 2.2.1.2.5.4 de la presente sección, según corresponda. </w:t>
      </w:r>
    </w:p>
    <w:p w14:paraId="136C9B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A8CFF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Autorización del Ministerio de Hacienda y Crédito Público para otorgar la garantía soberana. </w:t>
      </w:r>
    </w:p>
    <w:p w14:paraId="0F3FF4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9979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Las contragarantías adecuadas a juicio del Ministerio de Hacienda y Crédito Público y debidamente constituidas a favor de la Nación. </w:t>
      </w:r>
    </w:p>
    <w:p w14:paraId="51C574A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1A47AD" w14:textId="2AEC702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Sin perjuicio de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 de la Ley 310 de 1996 para las operaciones de financiamiento externo, la Nación solo podrá otorgar su garantía a las operaciones de financiamiento interno en el marco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107 de la Ley 1955 de 2019, cuando se hayan pignorado a su favor rentas en cuantías suficientes que cubran el pago de la participación de las entidades territoriales. </w:t>
      </w:r>
    </w:p>
    <w:p w14:paraId="4E3C73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19136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Para la constitución de las contragarantías a favor de la Nación, se podrán otorgar como contragarantía los flujos correspondientes a las vigencias futuras de las entidades del orden nacional o territorial aprobado por las instancias correspondientes. La Nación no podrá suscribir el documento mediante el cual otorgue su garantía a las operaciones de financiamiento, hasta tanto no se hayan constituido las contragarantías adecuadas a su favor. </w:t>
      </w:r>
    </w:p>
    <w:p w14:paraId="5D091C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9DC150" w14:textId="7473464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Cuando alguna obligación de pago sea garantizada por la Nación en los términos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 entidad estatal deberá realizar aportes al Fondo de Contingencias de las Entidades Estatales en los términos establecidos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la Resolución 0932 </w:t>
      </w:r>
      <w:r w:rsidRPr="002C1480">
        <w:rPr>
          <w:rFonts w:ascii="Arial" w:eastAsia="Times New Roman" w:hAnsi="Arial" w:cs="Arial"/>
          <w:color w:val="000000"/>
          <w:lang w:eastAsia="es-CO"/>
        </w:rPr>
        <w:lastRenderedPageBreak/>
        <w:t>de 2015, expedida por la Dirección General de Crédito Público y Tesoro Nacional del Ministerio de Hacienda y Crédito Público y las demás normas que los modifiquen, adicionen o sustituyan. </w:t>
      </w:r>
    </w:p>
    <w:p w14:paraId="5C0DDE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1C9B94" w14:textId="27F2662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4°. La garantía de la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solo podrá otorgarse a entidades estatales que hayan suscrito convenios de cofinanciación con la Nación, con el lleno de los requisitos legales y reglamentarios. </w:t>
      </w:r>
    </w:p>
    <w:p w14:paraId="1589C3C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6" w:name="ver_30192295"/>
      <w:bookmarkEnd w:id="106"/>
    </w:p>
    <w:p w14:paraId="6127A69E" w14:textId="432F167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2.2.1.2.5.3. Operaciones de financiamiento interno con garantía nación. La celebración de operaciones de financiamiento interno de las entidades a las que se refiere 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que vayan a ser garantizadas por la Nación, requerirán de la autorización impartida mediante resolución del Ministerio de Hacienda y Crédito Público para celebrar la operación de financiamiento y otorgar garantías, la cual podrá otorgarse una vez se cuente con las correspondientes minutas definitivas o la determinación de las características y condiciones financieras, según corresponda. </w:t>
      </w:r>
    </w:p>
    <w:p w14:paraId="25225686" w14:textId="31EB2639" w:rsidR="008F7B30" w:rsidRPr="002C1480" w:rsidRDefault="008F7B30" w:rsidP="00C32F85">
      <w:pPr>
        <w:spacing w:after="0" w:line="254" w:lineRule="atLeast"/>
        <w:jc w:val="both"/>
        <w:rPr>
          <w:rFonts w:ascii="Arial" w:eastAsia="Times New Roman" w:hAnsi="Arial" w:cs="Arial"/>
          <w:color w:val="000000"/>
          <w:lang w:eastAsia="es-CO"/>
        </w:rPr>
      </w:pPr>
      <w:bookmarkStart w:id="107" w:name="ver_30192296"/>
      <w:bookmarkEnd w:id="107"/>
    </w:p>
    <w:p w14:paraId="04B8B866" w14:textId="4BA5247E" w:rsidR="00C32F85"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2.2.1.2.5.4. Operaciones de financiamiento externo con garantía nación. La celebración de operaciones de financiamiento externo de las entidades a las que se refiere 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que vayan a ser garantizadas por la Nación, requerirán:  </w:t>
      </w:r>
    </w:p>
    <w:p w14:paraId="7749A5F3"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03AB29D5" w14:textId="3D86CBE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Autorización para iniciar gestiones, impartida mediante resolución del Mi</w:t>
      </w:r>
      <w:r w:rsidRPr="002C1480">
        <w:rPr>
          <w:rFonts w:ascii="Arial" w:eastAsia="Times New Roman" w:hAnsi="Arial" w:cs="Arial"/>
          <w:color w:val="000000"/>
          <w:lang w:eastAsia="es-CO"/>
        </w:rPr>
        <w:softHyphen/>
        <w:t>nisterio de Hacienda y Crédito Público.  </w:t>
      </w:r>
    </w:p>
    <w:p w14:paraId="70A99B16"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8706FFF" w14:textId="5F70423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Autorización para celebrar la operación y otorgar las garantías correspon</w:t>
      </w:r>
      <w:r w:rsidRPr="002C1480">
        <w:rPr>
          <w:rFonts w:ascii="Arial" w:eastAsia="Times New Roman" w:hAnsi="Arial" w:cs="Arial"/>
          <w:color w:val="000000"/>
          <w:lang w:eastAsia="es-CO"/>
        </w:rPr>
        <w:softHyphen/>
        <w:t>dientes, impartida por el Ministerio de Hacienda y Crédito Público, con base en las correspondientes minutas definitivas o la determinación de las carac</w:t>
      </w:r>
      <w:r w:rsidRPr="002C1480">
        <w:rPr>
          <w:rFonts w:ascii="Arial" w:eastAsia="Times New Roman" w:hAnsi="Arial" w:cs="Arial"/>
          <w:color w:val="000000"/>
          <w:lang w:eastAsia="es-CO"/>
        </w:rPr>
        <w:softHyphen/>
        <w:t>terísticas y condiciones financieras, según corresponda. </w:t>
      </w:r>
    </w:p>
    <w:p w14:paraId="6C857C80"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2D9E20B5" w14:textId="5B0050C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2.2.1.2.5.5. Remisión normativa. En lo no previsto en la presente Sección y en este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se aplicarán las demás normas vigentes. </w:t>
      </w:r>
    </w:p>
    <w:p w14:paraId="265998B2"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7DAE6687"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108" w:name="ver_30056681"/>
      <w:bookmarkEnd w:id="108"/>
      <w:r w:rsidRPr="002C1480">
        <w:rPr>
          <w:rFonts w:ascii="Arial" w:eastAsia="Times New Roman" w:hAnsi="Arial" w:cs="Arial"/>
          <w:b/>
          <w:bCs/>
          <w:color w:val="000000"/>
          <w:lang w:eastAsia="es-CO"/>
        </w:rPr>
        <w:t>CAPÍTULO 3</w:t>
      </w:r>
    </w:p>
    <w:p w14:paraId="26A03923"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EMISIÓN, SUSCRIPCIÓN Y COLOCACIÓN DE TÍTULOS DE DEUDA PÚBLICA</w:t>
      </w:r>
    </w:p>
    <w:p w14:paraId="6BBCC35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09" w:name="ver_30056680"/>
      <w:bookmarkEnd w:id="109"/>
    </w:p>
    <w:p w14:paraId="439FA3D9" w14:textId="4B3CC9A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2.2.1.3.1 Títulos de deuda pública. Son títulos de deuda pública los bonos y demás valores de contenido crediticio y con plazo para su redención, emitidos por las entidades estatales. </w:t>
      </w:r>
    </w:p>
    <w:p w14:paraId="5E5D86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se consideran títulos de deuda pública los valores que, en relación con las operaciones del giro ordinario de las actividades propias de su objeto social, emitan los establecimientos de crédito, las compañías de seguros y las demás entidades financieras de carácter estatal. </w:t>
      </w:r>
    </w:p>
    <w:p w14:paraId="44F953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06AB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colocación de los títulos de deuda pública se sujetará a las condiciones financieras de carácter general que señale la Junta Directiva del Banco de la República. </w:t>
      </w:r>
    </w:p>
    <w:p w14:paraId="2A654689" w14:textId="6C054970"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0" w:name="ver_30056682"/>
      <w:bookmarkEnd w:id="110"/>
    </w:p>
    <w:p w14:paraId="0A4FBC35" w14:textId="7E9DFC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 Títulos de deuda pública de la Nación. La emisión y colocación de títulos de deuda pública a nombre de la Nación requerirá autorización, impartida mediante resolución del Ministerio de Hacienda y Crédito Público, la cual podrá otorgarse una vez se cuente con lo siguiente: </w:t>
      </w:r>
    </w:p>
    <w:p w14:paraId="2FF3E6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EB98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Concepto favorable del Consejo Nacional de Política Económica y Social, CONPES; y </w:t>
      </w:r>
    </w:p>
    <w:p w14:paraId="7B4D05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CAAC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b) Concepto de la Comisión de Crédito Público si se trata de títulos de deuda pública externa con plazo superior a un año. </w:t>
      </w:r>
    </w:p>
    <w:p w14:paraId="2CAD37A4" w14:textId="16984A64" w:rsidR="008F7B30" w:rsidRPr="002C1480" w:rsidRDefault="008F7B30" w:rsidP="00C32F85">
      <w:pPr>
        <w:spacing w:after="0" w:line="254" w:lineRule="atLeast"/>
        <w:jc w:val="both"/>
        <w:rPr>
          <w:rFonts w:ascii="Arial" w:eastAsia="Times New Roman" w:hAnsi="Arial" w:cs="Arial"/>
          <w:color w:val="000000"/>
          <w:lang w:eastAsia="es-CO"/>
        </w:rPr>
      </w:pPr>
      <w:bookmarkStart w:id="111" w:name="ver_30056683"/>
      <w:bookmarkEnd w:id="111"/>
    </w:p>
    <w:p w14:paraId="0C3C4880" w14:textId="12EA877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2.2.1.3.3. Títulos de deuda externa de entidades descentralizadas del orden nacional y de entidades territoriales y sus descentralizadas. La emisión y colocación de títulos de deuda pública externa de las entidades descentralizadas del orden nacional y de entidades territoriales y sus descentralizadas requerirá: </w:t>
      </w:r>
    </w:p>
    <w:p w14:paraId="7FB619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0252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Autorización para iniciar gestiones, impartida mediante resolución del Ministerio de Hacienda y Crédito Público, la cual podrá otorgarse una vez se cuente con el concepto favorable del Departamento Nacional de Planeación; y  </w:t>
      </w:r>
    </w:p>
    <w:p w14:paraId="5C2267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E517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Autorización de la emisión y colocación, incluida la suscripción de los contratos correspondientes, impartida mediante resolución del Ministerio de Hacienda y Crédito Público, en la cual se determine la oportunidad, características y condiciones de la colocación de acuerdo con las condiciones del mercado. </w:t>
      </w:r>
    </w:p>
    <w:p w14:paraId="25CC47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EBB91A" w14:textId="0F9B357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efectos de determinar si las características y condiciones de la emisión y colocación de los títulos de deuda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ajustan a las condiciones del mercado, en la respectiva resolución de autorización se podrá establecer que previa la colocación se tengan en cuenta las evaluaciones que sobre el particular realice el Viceministerio Técnico del Ministerio de Hacienda y Crédito Público. </w:t>
      </w:r>
    </w:p>
    <w:p w14:paraId="74C856B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12" w:name="ver_30056684"/>
      <w:bookmarkEnd w:id="112"/>
    </w:p>
    <w:p w14:paraId="44B2FFC5" w14:textId="3AC97C6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2.2.1.3.4. Títulos de deuda interna de entidades descentralizadas del orden nacional. La emisión y colocación de títulos de deuda pública interna de entidades descentralizadas del orden nacional requerirá autorización, impartida mediante resolución del Ministerio de Hacienda y Crédito Público, en la cual se determine la oportunidad, características y condiciones de la colocación. La mencionada autorización podrá otorgarse una vez se cuente con el concepto favorable del Departamento Nacional de Planeación. </w:t>
      </w:r>
    </w:p>
    <w:p w14:paraId="66DB7E4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13" w:name="ver_30056685"/>
      <w:bookmarkEnd w:id="113"/>
    </w:p>
    <w:p w14:paraId="0D88B84C" w14:textId="28194E8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2.2.1.3.5. Títulos de deuda interna de entidades territoriales y sus descentralizadas. La emisión y colocación de títulos de deuda pública interna de entidades territoriales y sus descentralizadas requerirá autorización, impartida mediante resolución del Ministerio de Hacienda y Crédito Público, en la cual se determine la oportunidad, características y condiciones de la colocación de acuerdo con las condiciones del mercado. La mencionada autorización podrá otorgarse una vez se cuente con el concepto favorable de los organismos departamentales o distritales de planeación, según el caso. </w:t>
      </w:r>
    </w:p>
    <w:p w14:paraId="511306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E048D4" w14:textId="1FD4D1D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concepto de los organismos departamentales o distritales de planeación se expedirá sobre la justificación técnica, económica y social del proyecto, la capacidad institucional y la situación financiera de la entidad estatal, su plan de financiación por fuentes de recursos y el cronograma de gastos anuales, dentro del término y con los efectos establecidos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w:t>
      </w:r>
    </w:p>
    <w:p w14:paraId="7456E9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4795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deberá pronunciarse sobre la autorización solicitada dentro del término de dos (2) meses, contados a partir de la fecha en que se reciba por el Ministerio de Hacienda y Crédito Público, Dirección General de Crédito Público y Tesoro Nacional la documentación requerida en forma completa. Transcurrido este término se entenderá que opera el silencio administrativo positivo. </w:t>
      </w:r>
    </w:p>
    <w:p w14:paraId="663E77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73F38F" w14:textId="4CAB5C0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Para efectos de determinar si las características y condiciones de la emisión y colocación de los títulos de deuda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ajustan a las condiciones del mercado, en la respectiva resolución de autorización se podrá establecer que previa la colocación se tengan en cuenta las evaluaciones que sobre el particular realice el Viceministerio Técnico del Ministerio de Hacienda y Crédito Público. </w:t>
      </w:r>
    </w:p>
    <w:p w14:paraId="7D182AF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3624D9" w14:textId="4FDBE249" w:rsidR="008F7B30" w:rsidRPr="002C1480" w:rsidRDefault="00BC44E4" w:rsidP="00C32F85">
      <w:pPr>
        <w:spacing w:line="293" w:lineRule="atLeast"/>
        <w:jc w:val="center"/>
        <w:rPr>
          <w:rFonts w:ascii="Arial" w:eastAsia="Times New Roman" w:hAnsi="Arial" w:cs="Arial"/>
          <w:b/>
          <w:bCs/>
          <w:color w:val="000000"/>
          <w:lang w:eastAsia="es-CO"/>
        </w:rPr>
      </w:pPr>
      <w:bookmarkStart w:id="114" w:name="ver_30056686"/>
      <w:bookmarkEnd w:id="114"/>
      <w:r w:rsidRPr="002C1480">
        <w:rPr>
          <w:rFonts w:ascii="Arial" w:eastAsia="Times New Roman" w:hAnsi="Arial" w:cs="Arial"/>
          <w:b/>
          <w:bCs/>
          <w:color w:val="000000"/>
          <w:lang w:eastAsia="es-CO"/>
        </w:rPr>
        <w:t>SECCIÓN 1. REGLAS GENERALES PARA LA EMISIÓN DE TES</w:t>
      </w:r>
    </w:p>
    <w:p w14:paraId="6F3052E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15" w:name="ver_30056687"/>
      <w:bookmarkEnd w:id="115"/>
    </w:p>
    <w:p w14:paraId="2BE938FE" w14:textId="6BABA30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2.2.1.3.1.1. Características y requisitos para emisión de TES clase “B”. Los TES clase “B” para financiar apropiaciones presupuestales y para efectuar operaciones temporales de Tesorería, de que tratan los </w:t>
      </w:r>
      <w:r w:rsidR="008A7FEB">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4 y 6 de la Ley 51 de 1990 tendrán las siguientes características y se sujetarán a los siguientes requisitos: </w:t>
      </w:r>
    </w:p>
    <w:p w14:paraId="2D3C30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1AC2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Podrán ser administrados directamente por la Nación o ésta podrá celebrar con el Banco de la República o con otras entidades nacionales o extranjeras, contratos de administración fiduciaria, y todos aquellos necesarios para la agencia, edición, emisión, colocación, garantía, administración o servicio de los respectivos títulos. </w:t>
      </w:r>
    </w:p>
    <w:p w14:paraId="12AD40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8E3E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 contarán con garantía del Banco de la República. </w:t>
      </w:r>
    </w:p>
    <w:p w14:paraId="3AFC482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6931D2" w14:textId="02228C3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La emisión o emisiones de los TES clase “B” para financiar apropiaciones presupuestales, no afectarán el cupo de endeudamiento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 de la Ley 51 de 1990 y leyes que lo adicionen. El monto de la emisión o emisiones se limitará al monto de la apropiación presupuestal que sea financiada con dicha fuente de recursos. En el caso de los TES “B” para efectuar operaciones temporales de Tesorería el monto de emisiones se fijará mediante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la autorice. </w:t>
      </w:r>
    </w:p>
    <w:p w14:paraId="0DA938D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F5FA74" w14:textId="43ECCC4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El servicio de la deuda de los títulos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será apropiado en el Presupuesto General de la Nación. </w:t>
      </w:r>
    </w:p>
    <w:p w14:paraId="0A95FB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CBE8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Su emisión solo requerirá: </w:t>
      </w:r>
    </w:p>
    <w:p w14:paraId="47A62F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7D56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Concepto de la Junta Directiva del Banco de la República sobre las características de la emisión y sus condiciones financieras. </w:t>
      </w:r>
    </w:p>
    <w:p w14:paraId="5C60DD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151B0D" w14:textId="16F7735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del Gobierno Nacional que autorice la emisión y fije las características financieras y de colocación de los títulos. </w:t>
      </w:r>
    </w:p>
    <w:p w14:paraId="5FA93C6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16" w:name="ver_30056688"/>
      <w:bookmarkEnd w:id="116"/>
    </w:p>
    <w:p w14:paraId="7A801BF4" w14:textId="23E42D4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2.2.1.3.1.2. Normas reguladoras de los TES clase “A”. Los TES clase “A” continuarán rigiéndose por lo dispuesto en la Ley 51 de 1990 y normas que la desarrollen. </w:t>
      </w:r>
    </w:p>
    <w:p w14:paraId="4BCC9CC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17" w:name="ver_30056689"/>
      <w:bookmarkEnd w:id="117"/>
    </w:p>
    <w:p w14:paraId="03A7C349" w14:textId="7CB12DC9" w:rsidR="008F7B30" w:rsidRPr="002C1480" w:rsidRDefault="002C1480" w:rsidP="00BC44E4">
      <w:pPr>
        <w:spacing w:after="0" w:line="240" w:lineRule="auto"/>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2.2.1.3.1.3. Apropiaciones financiadas con emisiones de títulos. Las apropiaciones financiadas con recursos provenientes de emisión de títulos se afectarán a partir del momento en que se expida el Acto Administrativo que ordene su emisión. </w:t>
      </w:r>
    </w:p>
    <w:p w14:paraId="3A07FF18" w14:textId="77777777" w:rsidR="00BC44E4" w:rsidRDefault="00BC44E4" w:rsidP="00BC44E4">
      <w:pPr>
        <w:spacing w:after="0" w:line="240" w:lineRule="auto"/>
        <w:jc w:val="both"/>
        <w:rPr>
          <w:rFonts w:ascii="Arial" w:eastAsia="Times New Roman" w:hAnsi="Arial" w:cs="Arial"/>
          <w:color w:val="000000"/>
          <w:lang w:eastAsia="es-CO"/>
        </w:rPr>
      </w:pPr>
      <w:bookmarkStart w:id="118" w:name="ver_30056690"/>
      <w:bookmarkEnd w:id="118"/>
    </w:p>
    <w:p w14:paraId="4D9A8638" w14:textId="1A3B78FE" w:rsidR="008F7B30" w:rsidRPr="00BC44E4" w:rsidRDefault="00BC44E4" w:rsidP="00BC44E4">
      <w:pPr>
        <w:spacing w:after="0" w:line="240" w:lineRule="auto"/>
        <w:jc w:val="center"/>
        <w:rPr>
          <w:rFonts w:ascii="Arial" w:eastAsia="Times New Roman" w:hAnsi="Arial" w:cs="Arial"/>
          <w:b/>
          <w:bCs/>
          <w:color w:val="000000"/>
          <w:lang w:eastAsia="es-CO"/>
        </w:rPr>
      </w:pPr>
      <w:r w:rsidRPr="00BC44E4">
        <w:rPr>
          <w:rFonts w:ascii="Arial" w:eastAsia="Times New Roman" w:hAnsi="Arial" w:cs="Arial"/>
          <w:b/>
          <w:bCs/>
          <w:color w:val="000000"/>
          <w:lang w:eastAsia="es-CO"/>
        </w:rPr>
        <w:t>SECCIÓN 2. EMISIÓN DE TES CLASE B PARA LA VIGENCIA FISCAL DEL AÑO 2015</w:t>
      </w:r>
    </w:p>
    <w:p w14:paraId="3C1BFA1F" w14:textId="77777777" w:rsidR="008F7B30" w:rsidRPr="002C1480" w:rsidRDefault="008F7B30" w:rsidP="00BC44E4">
      <w:pPr>
        <w:spacing w:after="0" w:line="240" w:lineRule="auto"/>
        <w:jc w:val="both"/>
        <w:rPr>
          <w:rFonts w:ascii="Arial" w:eastAsia="Times New Roman" w:hAnsi="Arial" w:cs="Arial"/>
          <w:color w:val="000000"/>
          <w:lang w:eastAsia="es-CO"/>
        </w:rPr>
      </w:pPr>
      <w:bookmarkStart w:id="119" w:name="ver_30056691"/>
      <w:bookmarkEnd w:id="119"/>
    </w:p>
    <w:p w14:paraId="185740B2" w14:textId="256D59F6" w:rsidR="008F7B30" w:rsidRPr="002C1480" w:rsidRDefault="002C1480" w:rsidP="00BC44E4">
      <w:pPr>
        <w:spacing w:after="0" w:line="240" w:lineRule="auto"/>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2.2.1.3.2.1 Emisión de “Títulos de Tesorería -TES- Clase B” para financiar apropiaciones del Presupuesto General de la Nación de la vigencia fiscal del año 2015. Ordénese </w:t>
      </w:r>
      <w:r w:rsidR="008F7B30" w:rsidRPr="002C1480">
        <w:rPr>
          <w:rFonts w:ascii="Arial" w:eastAsia="Times New Roman" w:hAnsi="Arial" w:cs="Arial"/>
          <w:color w:val="000000"/>
          <w:lang w:eastAsia="es-CO"/>
        </w:rPr>
        <w:lastRenderedPageBreak/>
        <w:t>la emisión, a través del Ministerio de Hacienda y Crédito Público, de ‘’Títulos de Tesorería -TES- Clase B” hasta por la suma de TREINTA Y CUATRO BILLONES CUATROCIENTOS SETENTA Y SIETE MIL MILLONES DE PESOS ($34,477,000,000,000) moneda legal colombiana, destinados a financiar apropiaciones del Presupuesto General de la Nación de la vigencia fiscal del año 2015. </w:t>
      </w:r>
    </w:p>
    <w:p w14:paraId="15E6BD1E" w14:textId="38484095" w:rsidR="008F7B30" w:rsidRPr="002C1480" w:rsidRDefault="008F7B30" w:rsidP="006E436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0" w:name="ver_30056692"/>
      <w:bookmarkEnd w:id="120"/>
    </w:p>
    <w:p w14:paraId="4FF1E590" w14:textId="669D0A2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2.2.1.3.2.2. Emisión de “Títulos de Tesorería -TES- Clase B” para financiar operaciones temporales de tesorería. Ordénese la emisión, a través del Ministerio de Hacienda y Crédito Público de “Títulos de Tesorería -TES- Clase B”, denominados en moneda legal colombiana, hasta por la suma de DIEZ BILLONES DE PESOS ($10,000,000,000,000) moneda legal colombiana, destinados a financiar operaciones temporales de tesorería, los cuales tendrán las características y condiciones de emisión y colocación establecidas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2.2.1.3.2.4. de la presente sección salvo el plazo, el cual deberá ser superior a treinta (30) días calendario e inferior a un (1) año. </w:t>
      </w:r>
    </w:p>
    <w:p w14:paraId="0E00B1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B7EC61" w14:textId="25A0CDB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autorización conferida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comprende también la facultad de emitir nuevos “Títulos de Tesorería - TES- Clase B” para reemplazar los que se amorticen por redención o recompra hasta por la cuantía anteriormente señalada. </w:t>
      </w:r>
    </w:p>
    <w:p w14:paraId="589589A0" w14:textId="330C034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1" w:name="ver_30056693"/>
      <w:bookmarkEnd w:id="121"/>
    </w:p>
    <w:p w14:paraId="7BCDA9E5" w14:textId="4C11675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2.2.1.3.2.3. Características financieras y condiciones de las colocaciones. De acuerdo con el Plan Financiero aprobado por el CONFIS, el Programa Anual Mensualizado de Caja y los requerimientos de tesorería, entre otros, el Ministerio de Hacienda y Crédito Público determinará las características y condiciones de las colocaciones, así como su oportunidad y monto de las mismas; tanto de los “Títulos de Tesorería -TES-Clase B” destinados a financiar apropiaciones presupuestales como de los destinados a financiar operaciones temporales de tesorería. </w:t>
      </w:r>
    </w:p>
    <w:p w14:paraId="71A5FE3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22" w:name="ver_30056694"/>
      <w:bookmarkEnd w:id="122"/>
    </w:p>
    <w:p w14:paraId="0817B2BF" w14:textId="50C8096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2.2.1.3.2.4 Características financieras y condiciones de emisión de “Títulos de Tesorería -TES- Clase B” para financiar apropiaciones del Presupuesto General de la Nación de la vigencia fiscal del año 2015. Los “Títulos de Tesorería -TES- Clase B”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2.2.1.3.2.1. de la presente sección tendrán las siguientes características financieras y condiciones de emisión y colocación </w:t>
      </w:r>
    </w:p>
    <w:p w14:paraId="103106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D72B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Nombre de los títulos: Títulos de Tesorería -TES- Clase B. </w:t>
      </w:r>
    </w:p>
    <w:p w14:paraId="309F05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968E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Denominación: Moneda Legal Colombiana, Moneda Extranjera o UVR. </w:t>
      </w:r>
    </w:p>
    <w:p w14:paraId="2DDD08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8C53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Moneda de pago de principal e intereses: Legal Colombiana. </w:t>
      </w:r>
    </w:p>
    <w:p w14:paraId="0969DD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72EE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Ley de circulación y recompra anticipada: Serán títulos a la orden y libremente negociables en el mercado. Podrán tener cupones para intereses, también libremente negociables. No podrán colocarse con derecho de recompra anticipada. </w:t>
      </w:r>
    </w:p>
    <w:p w14:paraId="7D35F5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09DA64" w14:textId="3299C73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Cuantía mínima de los títulos:</w:t>
      </w:r>
      <w:r w:rsidR="008A7FEB">
        <w:rPr>
          <w:rFonts w:ascii="Arial" w:eastAsia="Times New Roman" w:hAnsi="Arial" w:cs="Arial"/>
          <w:color w:val="000000"/>
          <w:lang w:eastAsia="es-CO"/>
        </w:rPr>
        <w:t xml:space="preserve"> </w:t>
      </w:r>
      <w:r w:rsidRPr="002C1480">
        <w:rPr>
          <w:rFonts w:ascii="Arial" w:eastAsia="Times New Roman" w:hAnsi="Arial" w:cs="Arial"/>
          <w:color w:val="000000"/>
          <w:lang w:eastAsia="es-CO"/>
        </w:rPr>
        <w:t>Para los títulos denominados en moneda legal colombiana, la cuantía mínima será de quinientos mil pesos ($500.000) y para sumas superiores, esta cuantía se adicionará en múltiplos de cien mil pesos ($100.000). Para los títulos denominados en moneda extranjera, la cuantía mínima será de mil dólares de los Estados Unidos de América (US$1.000) o su equivalente en otras monedas extranjeras y para sumas superiores esta cuantía se adicionará en múltiplos de cien dólares de los Estados Unidos de América (US$100) o su equivalente en otras monedas extranjeras. Para los títulos denominados en UVR, la cuantía mínima será de diez mil (10.000) UVR y para valores superiores esta cuantía se adicionará en múltiplos de mil (1.000) UVR. </w:t>
      </w:r>
    </w:p>
    <w:p w14:paraId="070BFB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1B3C1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Plazo y Pago del Principal: Para títulos destinados a financiar apropiaciones del Presupuesto General de la Nación, el plazo se determinará con sujeción a las necesidades presupuestales y no podrá ser inferior a un (1) año. En todo caso, el pago del principal se deberá efectuar con cargo a recursos presupuestales de vigencias fiscales posteriores a aquellas en las cuales se emitan los títulos. </w:t>
      </w:r>
    </w:p>
    <w:p w14:paraId="181490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F619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Tasas Máximas de Interés: Las tasas máximas de rentabilidad efectiva estarán dentro de los límites que registre el mercado, según las directrices que establezca la Junta Directiva del Banco de la República. </w:t>
      </w:r>
    </w:p>
    <w:p w14:paraId="674273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4A8E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Lugar de Colocación: Mercado de Capitales Colombiano. </w:t>
      </w:r>
    </w:p>
    <w:p w14:paraId="7654FA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0AC6AE" w14:textId="6DCC970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9. Forma de Colocación: Podrán ser colocados en el mercado bien directamente o por medio de sistemas de oferta, remates o subastas, según lo determine el Ministerio de Hacienda y Crédito Público. Para este propósito se podrán utilizar como intermediarios a las personas legalmente habilitadas para el efecto. También se entienden como colocaciones directas las colocaciones privadas de “Títulos de Tesorería –TES Clase B”, así como la entrega de “Títulos de Tesorería -TES- Clase B” a beneficiarios de sentencias y conciliaciones judiciales conforme a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29 de la Ley 344 de 1996 y demás normas concordantes. </w:t>
      </w:r>
    </w:p>
    <w:p w14:paraId="7974CC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E7EBB6" w14:textId="507C5F1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10.Compra:</w:t>
      </w:r>
      <w:r w:rsidR="008A7FEB">
        <w:rPr>
          <w:rFonts w:ascii="Arial" w:eastAsia="Times New Roman" w:hAnsi="Arial" w:cs="Arial"/>
          <w:color w:val="000000"/>
          <w:lang w:eastAsia="es-CO"/>
        </w:rPr>
        <w:t xml:space="preserve"> </w:t>
      </w:r>
      <w:r w:rsidRPr="002C1480">
        <w:rPr>
          <w:rFonts w:ascii="Arial" w:eastAsia="Times New Roman" w:hAnsi="Arial" w:cs="Arial"/>
          <w:color w:val="000000"/>
          <w:lang w:eastAsia="es-CO"/>
        </w:rPr>
        <w:t>Con descuento o prima sobre su valor nominal, según las condiciones del mercado, que serán reflejadas mediante los sistemas previstos en la forma de colocación que determine el Ministerio de Hacienda y Crédito Público, de conformidad con lo dispuesto en la presente sección. </w:t>
      </w:r>
    </w:p>
    <w:p w14:paraId="6B6C09B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23" w:name="ver_30056695"/>
      <w:bookmarkEnd w:id="123"/>
    </w:p>
    <w:p w14:paraId="2ABDCA09" w14:textId="1BF0D86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2.2.1.3.2.5. Unidad de Valor Real o UVR. Para efectos de lo previsto en la presente sección, la Unidad de Valor Real o UVR es una unidad de cuenta que refleja el poder adquisitivo de la moneda, con base exclusivamente en la variación del índice de precios al consumidor certificada por el DANE, cuyo valor en pesos se calculará de conformidad con la metodología que establezca la Junta Directiva del Banco de la República. </w:t>
      </w:r>
    </w:p>
    <w:p w14:paraId="35D13DE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24" w:name="ver_30056696"/>
      <w:bookmarkEnd w:id="124"/>
    </w:p>
    <w:p w14:paraId="37413291" w14:textId="70B5CCD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2.2.1.3.2.6. Administración de los “Títulos de Tesorería -TES- Clase B”. Los “Títulos de Tesorería -TES- Clase B” podrán ser administrados directamente por la Nación, o ésta podrá celebrar con el Banco de la República o con otras entidades nacionales o extranjeras contratos de administración fiduciaria y todos aquellos necesarios para la agencia, administración o servicio de los respectivos títulos, en los cuales se podrá prever que la administración de los “Títulos de Tesorería -TES- Clase B” y de los cupones que representan los rendimientos de los mismos se realice a través de depósitos centralizados de valores. </w:t>
      </w:r>
    </w:p>
    <w:p w14:paraId="48AABF4C" w14:textId="44FD77E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5" w:name="ver_30056697"/>
      <w:bookmarkEnd w:id="125"/>
    </w:p>
    <w:p w14:paraId="59799848" w14:textId="2C3B65B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2.2.1.3.2.7. Remanente del Cupo de Emisión. El cupo de emisión de “Títulos de Tesorería -TES- Clase B” autorizado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2.2.1.3.2.1. de la presente sección que no se haya utilizado para realizar pagos correspondientes a la vigencia presupuestal del año 2015 podrá ser utilizado en el año 2016 para atender las reservas presupuestales correspondientes a la vigencia del año 2015 y en todo caso se entenderá agotado el 31 de diciembre del año 2016. </w:t>
      </w:r>
    </w:p>
    <w:p w14:paraId="56320FBE" w14:textId="5FF4D5AC" w:rsidR="008F7B30" w:rsidRPr="002C1480" w:rsidRDefault="008F7B30" w:rsidP="00BC44E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6" w:name="ver_30056698"/>
      <w:bookmarkEnd w:id="126"/>
    </w:p>
    <w:p w14:paraId="5992DE5D" w14:textId="3576228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2.2.1.3.2.8. Aclaración de vigencia.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2.2.1.3.2.1. a 2.2.1.3.2.7 de la presente sección compilan 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2684 de 2014 que fue publicado en el Diario Oficial el 23 de diciembre de 2014. Por lo anterior las órdenes contenidas en esta sección de la compilación no pueden entenderse como nuevas instrucciones de emisión. </w:t>
      </w:r>
    </w:p>
    <w:p w14:paraId="726976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56DCC9" w14:textId="257462E8" w:rsidR="008F7B30" w:rsidRPr="002C1480" w:rsidRDefault="008F7B30" w:rsidP="00BC44E4">
      <w:pPr>
        <w:spacing w:after="0" w:line="254" w:lineRule="atLeast"/>
        <w:jc w:val="center"/>
        <w:rPr>
          <w:rFonts w:ascii="Arial" w:eastAsia="Times New Roman" w:hAnsi="Arial" w:cs="Arial"/>
          <w:b/>
          <w:bCs/>
          <w:color w:val="000000"/>
          <w:lang w:eastAsia="es-CO"/>
        </w:rPr>
      </w:pPr>
      <w:bookmarkStart w:id="127" w:name="ver_30056699"/>
      <w:bookmarkEnd w:id="127"/>
      <w:r w:rsidRPr="002C1480">
        <w:rPr>
          <w:rFonts w:ascii="Arial" w:eastAsia="Times New Roman" w:hAnsi="Arial" w:cs="Arial"/>
          <w:b/>
          <w:bCs/>
          <w:color w:val="000000"/>
          <w:lang w:eastAsia="es-CO"/>
        </w:rPr>
        <w:lastRenderedPageBreak/>
        <w:t>CAPÍTULO 4</w:t>
      </w:r>
    </w:p>
    <w:p w14:paraId="2760E503"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OPERACIONES PROPIAS DEL MANEJO DE LA DEUDA PÚBLICA</w:t>
      </w:r>
    </w:p>
    <w:p w14:paraId="4B3E5D5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28" w:name="ver_30056700"/>
      <w:bookmarkEnd w:id="128"/>
    </w:p>
    <w:p w14:paraId="328F7D64" w14:textId="35CCA14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2.2.1.4.1. Contratación de operaciones de manejo de deuda. Las operaciones propias del manejo de la deuda se podrán celebrar directa o indirectamente por la entidad estatal a través de contratos de agencia y demás formas de intermediación. </w:t>
      </w:r>
    </w:p>
    <w:p w14:paraId="45CA34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45590B" w14:textId="7790ACD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operaciones para el manejo de la deuda se contratarán en forma directa, sin someterse al procedimiento de licitación o concurso de méritos y se sujetarán a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siguientes. </w:t>
      </w:r>
    </w:p>
    <w:p w14:paraId="7475EA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B1A2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obstante, el saneamiento de obligaciones crediticias se continuará rigiendo, en lo pertinente, por las normas del capítulo III de la Ley 51 de 1990 y la titularización de deudas de terceros, por las normas especiales que al efecto se expidan. </w:t>
      </w:r>
    </w:p>
    <w:p w14:paraId="1CC2B6F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29" w:name="ver_30056701"/>
      <w:bookmarkEnd w:id="129"/>
    </w:p>
    <w:p w14:paraId="74F0FF48" w14:textId="32A5C0D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2.2.1.4.2. Operaciones de manejo de deuda externa de la Nación. La celebración de operaciones para el manejo de la deuda externa de la Nación requerirá autorización, impartida mediante resolución del Ministerio de Hacienda y Crédito Público, la cual podrá otorgarse siempre y cuando se demuestre la conveniencia y justificación financiera de la operación y sus efectos sobre el perfil de la deuda. </w:t>
      </w:r>
    </w:p>
    <w:p w14:paraId="22303D87" w14:textId="2BB83635"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0" w:name="ver_30056702"/>
      <w:bookmarkEnd w:id="130"/>
    </w:p>
    <w:p w14:paraId="2FB52934" w14:textId="783A1D1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2.2.1.4.3. Operaciones de manejo de la deuda externa de entidades descentralizadas del orden nacional y de entidades territoriales y sus descentralizadas. La celebración de operaciones para el manejo de la deuda externa de entidades descentralizadas del orden nacional y de entidades territoriales y sus descentralizadas, requerirá autorización del Ministerio de Hacienda y Crédito Público, la cual podrá otorgarse siempre y cuando se demuestre la conveniencia y justificación financiera de la operación y sus efectos sobre el perfil de la deuda, mediante documento justificativo de la operación, elaborado por la entidad estatal con base en las instrucciones de carácter general que imparta el Ministerio de Hacienda y Crédito Público. </w:t>
      </w:r>
    </w:p>
    <w:p w14:paraId="680F890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1" w:name="ver_30056703"/>
      <w:bookmarkEnd w:id="131"/>
    </w:p>
    <w:p w14:paraId="3709905D" w14:textId="4BB08C9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2.2.1.4.4. Operaciones de sustitución de deuda pública. Son operaciones de sustitución de deuda pública aquellas en virtud de las cuales la entidad estatal contrae una obligación crediticia cuyos recursos se destinan a pagar de manera anticipada otra obligación ya vigente. Con la realización de estas operaciones no se podrá aumentar el endeudamiento neto y se deberán mejorar los plazos, intereses o las demás condiciones del portafolio de la deuda. </w:t>
      </w:r>
    </w:p>
    <w:p w14:paraId="04F4150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D888B0" w14:textId="542ECC4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Sin perjuicio de lo que establezcan normas especiales, la celebración de operaciones de sustitución de deuda externa de la Nación y las demás entidades estatales se sujetará a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anteriores para las operaciones de manejo de la deuda externa. </w:t>
      </w:r>
    </w:p>
    <w:p w14:paraId="519948D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2" w:name="ver_30056704"/>
      <w:bookmarkEnd w:id="132"/>
    </w:p>
    <w:p w14:paraId="008B3CFE" w14:textId="3ACEAC3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2.2.1.4.5. Acuerdos de pago. Son acuerdos de pago los que se celebran para establecer la forma y condiciones de pago de obligaciones adquiridas por determinada entidad estatal. La celebración de acuerdos de pago entre entidades estatales sólo requerirá para su perfeccionamiento la firma de las partes. </w:t>
      </w:r>
    </w:p>
    <w:p w14:paraId="0243CC6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3" w:name="ver_30056705"/>
      <w:bookmarkEnd w:id="133"/>
    </w:p>
    <w:p w14:paraId="7E055991" w14:textId="1BD362F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2.2.1.4.6. Operaciones de manejo de deuda en relación con obligaciones de operaciones de crédito público o asimiladas. Las operaciones de manejo de deuda de las entidades estatales se podrán celebrar en relación con obligaciones de pago de una o varias </w:t>
      </w:r>
      <w:r w:rsidR="008F7B30" w:rsidRPr="002C1480">
        <w:rPr>
          <w:rFonts w:ascii="Arial" w:eastAsia="Times New Roman" w:hAnsi="Arial" w:cs="Arial"/>
          <w:color w:val="000000"/>
          <w:lang w:eastAsia="es-CO"/>
        </w:rPr>
        <w:lastRenderedPageBreak/>
        <w:t>operaciones de crédito público o asimiladas, no podrán incrementar el endeudamiento neto de la entidad estatal y deberán contribuir a mejorar su perfil. </w:t>
      </w:r>
    </w:p>
    <w:p w14:paraId="2E49FA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2857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 celebración de operaciones de cobertura de riesgo de las cuales se puedan originar obligaciones de pago que no coincidan en montos y plazos con las obligaciones de pago de las operaciones de crédito público o asimiladas objeto de la cobertura, se deberá evaluar previamente la conveniencia de tales operaciones de cobertura de riesgo teniendo en cuenta los efectos financieros que se generen por dichas diferencias. </w:t>
      </w:r>
    </w:p>
    <w:p w14:paraId="11BE3E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6DB0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una entidad estatal otorgue garantía de pago a otras entidades estatales sobre operaciones de crédito público o asimiladas, podrá asumir las obligaciones que se originen o deriven con ocasión de la contratación y el cumplimiento de operaciones de manejo sobre la garantía otorgada, así como los costos y gastos asociados, o acordar los términos y condiciones en los cuales la entidad garantizada asuma o comparta el pago de dichas obligaciones, costos y/o gastos. </w:t>
      </w:r>
    </w:p>
    <w:p w14:paraId="6B1BF91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4" w:name="ver_30056706"/>
      <w:bookmarkEnd w:id="134"/>
    </w:p>
    <w:p w14:paraId="2B2F29EA" w14:textId="70A979C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2.2.1.4.7. De la contratación de derivados con las operaciones de crédito público y asimiladas. Cuando las necesidades de financiamiento así lo justifiquen y las condiciones de mercado así lo requieran, las operaciones de crédito público o asimiladas se podrán contratar con derivados de los autorizados por las autoridades competentes. Cuando se trate de operaciones de crédito público o asimiladas sujetas a la aprobación del Ministerio de Hacienda y Crédito Público, la Dirección General de Crédito Público y Tesoro Nacional de ese Ministerio verificará, con anterioridad a dicha aprobación, la existencia de las necesidades y condiciones aquí señaladas. </w:t>
      </w:r>
    </w:p>
    <w:p w14:paraId="4B67D1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EE05E1" w14:textId="2B0EF53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obligaciones de pago que se puedan derivar de la ejecución o cumplimiento de los derivados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reputarán como intereses de las operaciones de crédito público o asimiladas correspondientes. Tales obligaciones se deberán incluir en el presupuesto de deuda de las respectivas vigencias fiscales, en las cuantías que recomiende el estudio técnico sobre medición de probabilidades que para el efecto realice la entidad estatal. </w:t>
      </w:r>
    </w:p>
    <w:p w14:paraId="0E6488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C99884" w14:textId="1D8A513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cualquier caso, las entidades estatales que celebren las operaciones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deberán informar de este hecho a la Dirección General de Crédito Público y Tesoro Nacional del Ministerio de Hacienda y Crédito Público en los términos y condiciones que esta lo determine. </w:t>
      </w:r>
    </w:p>
    <w:p w14:paraId="3FD8A8E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5" w:name="ver_30056707"/>
      <w:bookmarkEnd w:id="135"/>
    </w:p>
    <w:p w14:paraId="75D4DACB" w14:textId="6809FC1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2.2.1.4.8. Operaciones de cobertura de riesgo en relación con obligaciones de pago derivadas de operaciones de dicha naturaleza. Las operaciones de cobertura de riesgo que celebren las entidades estatales, podrán consistir en operaciones de cobertura sobre las obligaciones de pago derivadas de operaciones de esa naturaleza previamente celebradas, siempre que se demuestre la conveniencia y la justificación financiera de la operación, para lo cual se deberá tener en cuenta el efecto sobre dichas obligaciones y sobre el endeudamiento neto de la respectiva entidad estatal. </w:t>
      </w:r>
    </w:p>
    <w:p w14:paraId="3F1C544E" w14:textId="41E2500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6" w:name="ver_30056708"/>
      <w:bookmarkEnd w:id="136"/>
    </w:p>
    <w:p w14:paraId="3CDB076F" w14:textId="6734980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2.2.1.4.9. Terminación anticipada de operaciones de cobertura de riesgo. Sin perjuicio del cumplimiento de las normas presupuestales y previa la autorización del Ministerio de Hacienda y Crédito Público, las operaciones de cobertura de riesgo se podrán dar por terminadas anticipadamente por mutuo acuerdo de las partes contratantes, para lo cual la respectiva entidad estatal deberá realizar un estudio técnico en el que se demuestre la conveniencia y justificación financiera de la terminación anticipada. </w:t>
      </w:r>
    </w:p>
    <w:p w14:paraId="39B8F1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CA783B" w14:textId="22263115" w:rsidR="008F7B30" w:rsidRPr="002C1480" w:rsidRDefault="008F7B30" w:rsidP="00C32F85">
      <w:pPr>
        <w:spacing w:after="0" w:line="293" w:lineRule="atLeast"/>
        <w:jc w:val="center"/>
        <w:rPr>
          <w:rFonts w:ascii="Arial" w:eastAsia="Times New Roman" w:hAnsi="Arial" w:cs="Arial"/>
          <w:b/>
          <w:bCs/>
          <w:color w:val="000000"/>
          <w:lang w:eastAsia="es-CO"/>
        </w:rPr>
      </w:pPr>
      <w:bookmarkStart w:id="137" w:name="ver_30068174"/>
      <w:bookmarkEnd w:id="137"/>
      <w:r w:rsidRPr="002C1480">
        <w:rPr>
          <w:rFonts w:ascii="Arial" w:eastAsia="Times New Roman" w:hAnsi="Arial" w:cs="Arial"/>
          <w:b/>
          <w:bCs/>
          <w:color w:val="000000"/>
          <w:lang w:eastAsia="es-CO"/>
        </w:rPr>
        <w:lastRenderedPageBreak/>
        <w:t>CAPÍTULO 5</w:t>
      </w:r>
    </w:p>
    <w:p w14:paraId="3173453A"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CONTRATACIÓN</w:t>
      </w:r>
    </w:p>
    <w:p w14:paraId="2E339B1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38" w:name="ver_30056709"/>
      <w:bookmarkEnd w:id="138"/>
    </w:p>
    <w:p w14:paraId="0CD16CBE" w14:textId="35F446D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2.2.1.5.1. Contratación directa y selección de contratistas. Las operaciones de crédito público, las operaciones asimiladas, las operaciones de manejo de la deuda y las conexas con las anteriores, se contratarán en forma directa, sin someterse al procedimiento de licitación o concurso de méritos. </w:t>
      </w:r>
    </w:p>
    <w:p w14:paraId="59456F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C0DCEB" w14:textId="3972C94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la selección de los contratistas se aplicarán los principios de economía, transparencia y selección objetiva contenidos en la Ley 80 de 1993, según lo dispuesto en este capítulo en desarrollo de lo previsto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citada Ley. </w:t>
      </w:r>
    </w:p>
    <w:p w14:paraId="1D1C705E" w14:textId="4BB0487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9" w:name="ver_30056711"/>
      <w:bookmarkEnd w:id="139"/>
    </w:p>
    <w:p w14:paraId="670F8A42" w14:textId="61C04AE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2.2.1.5.2. Evaluación de formas de financiamiento. Previa la celebración de operaciones de crédito público, las entidades estatales deberán evaluar diferentes formas de financiamiento y la conveniencia financiera y fiscal de realizar tales operaciones frente al financiamiento con recursos diferentes del crédito. </w:t>
      </w:r>
    </w:p>
    <w:p w14:paraId="5A37E4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35FF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Dirección General de Crédito Público y Tesoro Nacional del Ministerio de Hacienda y Crédito Público podrá asesorar a las entidades estatales respecto de la obtención de recursos del crédito en condiciones favorables de acuerdo al tipo de proyecto que se financiará. </w:t>
      </w:r>
    </w:p>
    <w:p w14:paraId="0B8D28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60BE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Departamento Nacional de Planeación elaborará indicadores y evaluará la evolución del gasto y del déficit de las entidades territoriales y sus descentralizadas. Con base en tales indicadores, dicho organismo presentará al Ministerio de Hacienda y Crédito Público las recomendaciones necesarias para asesorar a las entidades territoriales sobre la utilización eficiente del crédito, procurando un incremento en el esfuerzo fiscal de las mencionadas entidades. </w:t>
      </w:r>
    </w:p>
    <w:p w14:paraId="1694892C" w14:textId="6B2DA67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0" w:name="ver_30056710"/>
      <w:bookmarkEnd w:id="140"/>
    </w:p>
    <w:p w14:paraId="5B5F0957" w14:textId="1488FEB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2.2.1.5.3. Evaluación de alternativas de mercado. En todo caso las entidades estatales deberán evaluar las diferentes alternativas del mercado, para lo cual, en cuanto lo permitan las condiciones del mismo y el tipo de la operación a realizar solicitarán al menos dos cotizaciones. </w:t>
      </w:r>
    </w:p>
    <w:p w14:paraId="67F63C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884B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las entidades estatales deberán tener en cuenta el ofrecimiento más favorable, considerando factores de escogencia tales como clase de entidad financiera, cumplimiento, experiencia, organización, tipo de crédito, tasa de interés, plazos, comisiones, y en general, el costo efectivo de la oferta, con el propósito de seleccionar la que resulte más conveniente para la entidad. </w:t>
      </w:r>
    </w:p>
    <w:p w14:paraId="0CB8E60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41" w:name="ver_30056712"/>
      <w:bookmarkEnd w:id="141"/>
    </w:p>
    <w:p w14:paraId="2C5C9EFD" w14:textId="5E8F3DA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2.2.1.5.4. Adquisición de bienes o servicios con financiación. Cuando se vayan a adquirir bienes o servicios para los cuales la entidad estatal proyecte obtener financiación, dicha adquisición de bienes o servicios se someterá al procedimiento y requisitos establecidos para el efecto por la Ley 80 de 1993 y el empréstito respectivo, a lo establecido en el presente título. </w:t>
      </w:r>
    </w:p>
    <w:p w14:paraId="784C15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E53F3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los contratos de empréstito y demás formas de financiamiento, distintos de los créditos de proveedores y de aquellos que sean resultado de una licitación, se buscará que no se exija el empleo, la adquisición de bienes o la prestación de servicios de procedencia extranjera específica o que a ello se condicione el otorgamiento del empréstito. Así mismo, se buscará incorporar condiciones que garanticen la participación de oferentes de bienes y servicios de origen nacional. </w:t>
      </w:r>
    </w:p>
    <w:p w14:paraId="0AB6D0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5AA5AE" w14:textId="46D43DD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Cuando se trate de los contratos regulados por reglamentos de entidades de derecho público internacional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2.2.1.5.10. del presente capítulo, se buscará la utilización de procedimientos que aseguren la libre competencia y la aplicación de los principios de economía, transparencia y selección objetiva, contenidos en la Ley 80 de 1993. </w:t>
      </w:r>
    </w:p>
    <w:p w14:paraId="0A92C0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DF9E20" w14:textId="0D52DD5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Ministerio de Hacienda y Crédito Público para pronunciarse sobre las autorizaciones que le correspondan, evaluará que se haya dado aplicación a lo dispuesto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tendrá en cuenta para tal efecto la justificación que sobre el particular presente la entidad. </w:t>
      </w:r>
    </w:p>
    <w:p w14:paraId="7E624EB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42" w:name="ver_30056713"/>
      <w:bookmarkEnd w:id="142"/>
    </w:p>
    <w:p w14:paraId="1C728877" w14:textId="21CA00B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2.2.1.5.5. Previsiones y particularidades en contratación con organismos multilaterales. Conforme a lo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40 de la Ley 80 de 1993 en los contratos de empréstito o cualquier otra forma de financiación que se contrate con organismos multilaterales se podrán incluir las previsiones y particularidades contempladas en los reglamentos de tales entidades que no sean contrarias a la Constitución Política o a la ley. </w:t>
      </w:r>
    </w:p>
    <w:p w14:paraId="3D4FC708" w14:textId="77777777" w:rsidR="00FD0979" w:rsidRDefault="00FD0979" w:rsidP="00C32F85">
      <w:pPr>
        <w:spacing w:after="0" w:line="254" w:lineRule="atLeast"/>
        <w:jc w:val="both"/>
        <w:rPr>
          <w:rFonts w:ascii="Arial" w:eastAsia="Times New Roman" w:hAnsi="Arial" w:cs="Arial"/>
          <w:color w:val="000000"/>
          <w:lang w:eastAsia="es-CO"/>
        </w:rPr>
      </w:pPr>
    </w:p>
    <w:p w14:paraId="70EA09E1" w14:textId="11D8981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Constituyen previsiones o particularidades en los contratos de empréstito, la auditoría, la presentación de reportes o informes de ejecución, la apertura de cuentas para el manejo de los recursos del crédito, y en general, las propias de la debida ejecución de dichos contratos. </w:t>
      </w:r>
    </w:p>
    <w:p w14:paraId="5D89F5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AE27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programación del crédito multilateral corresponde al Ministerio de Hacienda y Crédito Público y al Departamento Nacional de Planeación. En consecuencia, sólo podrán celebrarse los empréstitos que se encuentren incluidos en el programa de crédito con los organismos multilaterales. Las gestiones propias de la celebración de tales empréstitos deberán, ser coordinadas con el Ministerio de Hacienda y Crédito Público y el Departamento Nacional de Planeación. </w:t>
      </w:r>
    </w:p>
    <w:p w14:paraId="28C57C8F" w14:textId="0812EF0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3" w:name="ver_30056715"/>
      <w:bookmarkEnd w:id="143"/>
    </w:p>
    <w:p w14:paraId="3B48433B" w14:textId="1FE324F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2.2.1.5.6. Estipulaciones prohibidas. Salvo lo que determine el Consejo de Ministros, queda prohibida cualquier estipulación que obligue a la entidad estatal prestataria a adoptar medidas en materia de precios, tarifas, y en general, el compromiso de asumir decisiones o actuaciones sobre asuntos de su exclusiva competencia en virtud de su carácter público. De igual manera, y salvo lo que determine el mencionado Consejo, en los contratos de garantía la Nación no podrá garantizar obligaciones diferentes a las de pago. </w:t>
      </w:r>
    </w:p>
    <w:p w14:paraId="2EA971B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44" w:name="ver_30056714"/>
      <w:bookmarkEnd w:id="144"/>
    </w:p>
    <w:p w14:paraId="357D1011" w14:textId="2077046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2.2.1.5.7. Ley y jurisdicción. Las operaciones de crédito público, las operaciones asimiladas, las operaciones de manejo de la deuda y las conexas con las anteriores, que se celebren en Colombia para ser ejecutadas en el exterior se podrán regir por la ley extranjera; las que se celebren en el exterior para ser ejecutadas en el exterior, se podrán regir por la ley del país en donde se hayan suscrito. Tales operaciones se someterán a la jurisdicción que se pacte en los respectivos contratos. </w:t>
      </w:r>
    </w:p>
    <w:p w14:paraId="19DE1C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FF74D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anterior, salvo que tales operaciones se celebren para ser ejecutadas exclusivamente en Colombia. </w:t>
      </w:r>
    </w:p>
    <w:p w14:paraId="7B321A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418538" w14:textId="6064FA8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Se entenderá que la ejecución de los contratos se verifica en aquel país en el cual deban cumplirse las obligaciones esenciales de las partes; no obstante, para fines de lo dispuesto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considerará que la operación se ejecuta en el exterior cuando una de tales obligaciones esenciales debe cumplirse en el exterior. </w:t>
      </w:r>
    </w:p>
    <w:p w14:paraId="40C5CE03" w14:textId="77777777" w:rsidR="00F72789" w:rsidRDefault="00F72789" w:rsidP="00C32F85">
      <w:pPr>
        <w:spacing w:after="0" w:line="254" w:lineRule="atLeast"/>
        <w:jc w:val="both"/>
        <w:rPr>
          <w:rFonts w:ascii="Arial" w:eastAsia="Times New Roman" w:hAnsi="Arial" w:cs="Arial"/>
          <w:color w:val="000000"/>
          <w:lang w:eastAsia="es-CO"/>
        </w:rPr>
      </w:pPr>
    </w:p>
    <w:p w14:paraId="1821CF8D" w14:textId="589E022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2.2.1.5.8. Perfeccionamiento y publicación. Las operaciones de crédito público, las operaciones asimiladas, las operaciones de manejo de la deuda y las conexas con las anteriores, se perfeccionarán con la firma de las partes. </w:t>
      </w:r>
    </w:p>
    <w:p w14:paraId="64241F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C627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Su publicación se efectuará en el en el Sistema Electrónico para Ia Contratación Pública –SECOP si se trata de operaciones a nombre de la Nación y sus entidades descentralizadas. Para las operaciones a nombre de la Nación, éste requisito se entenderá cumplido en la fecha de la orden de publicación impartida por el Director General de Crédito Público y Tesoro Nacional del Ministerio de Hacienda y Crédito Público. En los contratos de las entidades descentralizadas del orden nacional, el requisito de publicación se entenderá surtido en la fecha de publicación en el Sistema Electrónico para Ia Contratación Pública –SECOP. </w:t>
      </w:r>
    </w:p>
    <w:p w14:paraId="44E563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23A928" w14:textId="55044786"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contratos de las entidades territoriales y sus descentralizadas se publicarán en la gaceta oficial correspondiente a la respectiva entidad territorial, o a falta de dicho medio, por algún mecanismo determinado en forma general por la autoridad administrativa territorial, que permita a los habitantes conocer su contenido. </w:t>
      </w:r>
    </w:p>
    <w:p w14:paraId="2038C955" w14:textId="77777777" w:rsidR="001F3D32" w:rsidRPr="002C1480" w:rsidRDefault="001F3D32" w:rsidP="00C32F85">
      <w:pPr>
        <w:spacing w:after="0" w:line="254" w:lineRule="atLeast"/>
        <w:jc w:val="both"/>
        <w:rPr>
          <w:rFonts w:ascii="Arial" w:eastAsia="Times New Roman" w:hAnsi="Arial" w:cs="Arial"/>
          <w:color w:val="000000"/>
          <w:lang w:eastAsia="es-CO"/>
        </w:rPr>
      </w:pPr>
    </w:p>
    <w:p w14:paraId="061D40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se utilice un medio de divulgación oficial, este requisito se entiende cumplido con el pago de los derechos correspondientes o con la publicación en el SECOP. </w:t>
      </w:r>
    </w:p>
    <w:p w14:paraId="63D01F2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45" w:name="ver_30056717"/>
      <w:bookmarkEnd w:id="145"/>
    </w:p>
    <w:p w14:paraId="4248CF20" w14:textId="798898C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2.2.1.5.9. Cesión. Las operaciones de crédito público, las operaciones asimiladas, las operaciones de manejo de la deuda y las conexas con las anteriores, no podrán cederse sin previa autorización escrita de la entidad contratante. </w:t>
      </w:r>
    </w:p>
    <w:p w14:paraId="60D81E7A" w14:textId="24BDDDFC"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6" w:name="ver_30056718"/>
      <w:bookmarkEnd w:id="146"/>
    </w:p>
    <w:p w14:paraId="5E160C81" w14:textId="4C0BC0F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2.2.1.5.10. Contratos regulados por reglamentos de entidades de derecho público internacional. Conforme a lo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13 de la Ley 80 de 1993, cuando se celebren contratos con personas de derecho público internacional, organismos internacionales de cooperación, asistencia o ayuda internacional o se trate de contratos cuya financiación provenga de empréstitos de organismos multilaterales, tales contratos se podrán someter a los reglamentos de dichas entidades, en todo lo relacionado con los procedimientos para su formación y adjudicación, así como a las cláusulas especiales de ejecución, cumplimiento, pago y ajustes. </w:t>
      </w:r>
    </w:p>
    <w:p w14:paraId="0EEA97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B237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reglamentos de los organismos multilaterales incluyen las leyes de adhesión del país a los tratados o convenios respectivos, los acuerdos constitutivos, los normativos y las disposiciones generales que hayan adoptado dichos organismos para regir los contratos de empréstito que se celebren con las mismas. </w:t>
      </w:r>
    </w:p>
    <w:p w14:paraId="174C70C1" w14:textId="77777777" w:rsidR="00C32F85" w:rsidRPr="002C1480" w:rsidRDefault="00C32F85" w:rsidP="00C32F85">
      <w:pPr>
        <w:spacing w:after="0" w:line="293" w:lineRule="atLeast"/>
        <w:jc w:val="center"/>
        <w:rPr>
          <w:rFonts w:ascii="Arial" w:eastAsia="Times New Roman" w:hAnsi="Arial" w:cs="Arial"/>
          <w:color w:val="000000"/>
          <w:lang w:eastAsia="es-CO"/>
        </w:rPr>
      </w:pPr>
      <w:bookmarkStart w:id="147" w:name="ver_30056719"/>
      <w:bookmarkEnd w:id="147"/>
    </w:p>
    <w:p w14:paraId="01C8C78A" w14:textId="49352800"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CAPÍTULO 6</w:t>
      </w:r>
    </w:p>
    <w:p w14:paraId="0E9BAD36"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CONCEPTO DE LA COMISIÓN INTERPARLAMENTARIA DE CRÉDITO PÚBLICO</w:t>
      </w:r>
    </w:p>
    <w:p w14:paraId="0550AD5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48" w:name="ver_30056720"/>
      <w:bookmarkEnd w:id="148"/>
    </w:p>
    <w:p w14:paraId="0315A57E" w14:textId="60FC9AD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2.2.1.6.1 Solicitud. Con el fin de someter las operaciones de crédito público y asimiladas a concepto de los miembros de la Comisión Interparlamentaria de Crédito Público, las entidades estatales deberán efectuar la respectiva solicitud al Ministerio de Hacienda y Crédito Público-Dirección General de Crédito Público y Tesoro Nacional, como mínimo con quince (15) días hábiles de antelación a la celebración de la respectiva reunión, proporcionando la información y la documentación que se requiera. </w:t>
      </w:r>
    </w:p>
    <w:p w14:paraId="707A74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D6B5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Dirección General de Crédito Público y Tesoro Nacional se abstendrá de tramitar la convocatoria de la Comisión Interparlamentaria de Crédito Público cuando no se cumplan los términos y requisitos que se establecen en el presente capítulo. </w:t>
      </w:r>
    </w:p>
    <w:p w14:paraId="326C0ECA" w14:textId="3FA2752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9" w:name="ver_30056721"/>
      <w:bookmarkEnd w:id="149"/>
    </w:p>
    <w:p w14:paraId="76801DB1" w14:textId="3F88B49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2.2.1.6.2. Convocatoria. Los miembros de la Comisión Interparlamentaria de Crédito Público serán convocados de forma ordinaria por escrito por el Ministro de Hacienda y Crédito Público o el Viceministro, como mínimo con ocho (8) días corrientes de antelación. La respectiva reunión se llevará a cabo en las instalaciones del Ministerio de Hacienda y Crédito Público, salvo que el Ministerio disponga otra cosa. </w:t>
      </w:r>
    </w:p>
    <w:p w14:paraId="4EA36E0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50" w:name="ver_30056722"/>
      <w:bookmarkEnd w:id="150"/>
    </w:p>
    <w:p w14:paraId="6EC1875E" w14:textId="3B5C1B7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2.2.1.6.3. Contenido de la convocatoria. La convocatoria para la emisión del concepto deberá contener la fecha, hora y lugar de la reunión, el temario y el tiempo estimado para cumplir con el objeto de la misma. A esta se deberá acompañar copia del proyecto de acta de la penúltima reunión y de la información que soporta la solicitud por parte de las entidades estatales interesadas y la que suministre el Ministerio de Hacienda y Crédito Público para cada operación en los términos del presente capítulo. Además de lo anterior, en la convocatoria deberá tenerse en cuenta que únicamente podrán incorporarse operaciones que cumplan las condiciones establecidas en el presente capítulo. </w:t>
      </w:r>
    </w:p>
    <w:p w14:paraId="4F27083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51" w:name="ver_30056723"/>
      <w:bookmarkEnd w:id="151"/>
    </w:p>
    <w:p w14:paraId="277378C1" w14:textId="6E3CDD3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2.2.1.6.4. Solicitud de concepto. El Ministro de Hacienda y Crédito Público o el Viceministro que presida la reunión para la cual se convocó a los miembros de la Comisión Interparlamentaria de Crédito Público, deberá solicitar el concepto a los miembros de dicha Comisión sobre cada operación una vez la misma haya sido estudiada, antes de continuar con el siguiente tema listado en la convocatoria respectiva. </w:t>
      </w:r>
    </w:p>
    <w:p w14:paraId="7E2C953A" w14:textId="6F741F7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2" w:name="ver_30056724"/>
      <w:bookmarkEnd w:id="152"/>
    </w:p>
    <w:p w14:paraId="0F65D0C7" w14:textId="7BCC06F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2.2.1.6.5. Secretaría de la reunión convocada. La secretaría de la reunión convocada será ejercida por el funcionario que para tal efecto designe el Ministro de Hacienda y Crédito Público quien, entre otras funciones, estará a cargo de la elaboración de las actas de cada reunión. Todas las reuniones serán grabadas y, dichas grabaciones, servirán de soporte para la elaboración de las actas y reposarán en los archivos del Ministerio de Hacienda y Crédito Público Dirección General de Crédito Público y Tesoro Nacional. Las actas serán una trascripción de las grabaciones. </w:t>
      </w:r>
    </w:p>
    <w:p w14:paraId="248AA0AC" w14:textId="2C56568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3" w:name="ver_30056725"/>
      <w:bookmarkEnd w:id="153"/>
    </w:p>
    <w:p w14:paraId="7542A50C" w14:textId="3B8294E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2.2.1.6.6. Invitados y deber de asistencia. El Ministerio de Hacienda y Crédito Público citará a los Ministros o Viceministros de Despacho, Directores o Subdirectores de Departamentos Administrativos y los demás funcionarios de las entidades estatales que tengan interés en las operaciones sometidas a concepto de la Comisión Interparlamentaria de Crédito Público. La asistencia de los invitados será obligatoria. </w:t>
      </w:r>
    </w:p>
    <w:p w14:paraId="7EA88B2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54" w:name="ver_30056726"/>
      <w:bookmarkEnd w:id="154"/>
    </w:p>
    <w:p w14:paraId="22EF50EE" w14:textId="213BD92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2.2.1.6.7. Documentos de la convocatoria. Con el fin de que los miembros de la Comisión Interparlamentaria de Crédito Público cuenten con la adecuada información para la emisión del concepto respectivo, el Ministerio de Hacienda y Crédito Público deberá acompañar la convocatoria de la siguiente documentación: </w:t>
      </w:r>
    </w:p>
    <w:p w14:paraId="520082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88BF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Para las operaciones de crédito público o asimiladas de la Nación de libre destinación,diferentes a la emisión de bonos, que se someten a concepto previo de la Comisión Interparlamentaria de Crédito Público: </w:t>
      </w:r>
    </w:p>
    <w:p w14:paraId="311BE9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C6D7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Ficha técnica de la operación la cual deberá contener: </w:t>
      </w:r>
    </w:p>
    <w:p w14:paraId="654DF6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F271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1.1.1. Monto máximo que se proyecta gestionar </w:t>
      </w:r>
    </w:p>
    <w:p w14:paraId="41E63E4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F021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1.1.2. Entidad prestataria </w:t>
      </w:r>
    </w:p>
    <w:p w14:paraId="6F2EFC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A626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1.1.3. Destinación de los recursos </w:t>
      </w:r>
    </w:p>
    <w:p w14:paraId="1914AD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4A1C8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1.1.4. Contextualización del monto a gestionar dentro de las fuentes del Plan Financiero del año en curso </w:t>
      </w:r>
    </w:p>
    <w:p w14:paraId="3B3607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B9F9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1.1.5. Posibles fuentes de financiación y sus características </w:t>
      </w:r>
    </w:p>
    <w:p w14:paraId="53AD691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A6B8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1.1.6. Justificación </w:t>
      </w:r>
    </w:p>
    <w:p w14:paraId="1CFA68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7C45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1.1.7. Aprobación Conpes: Número de documento y fecha de aprobación </w:t>
      </w:r>
    </w:p>
    <w:p w14:paraId="338D56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49E3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1.1.8. Recomendación y solicitud del concepto. </w:t>
      </w:r>
    </w:p>
    <w:p w14:paraId="3DAB89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D2D8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Fotocopia del documento del Consejo Nacional de Política Económica Social, Conpes. </w:t>
      </w:r>
    </w:p>
    <w:p w14:paraId="4BC80A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5246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Para las operaciones de crédito público o asimiladas de la Nación de libre destinación, diferentes a la emisión de bonos, que se someten a concepto definitivo de la Comisión Interparlamentaria de Crédito Público: </w:t>
      </w:r>
    </w:p>
    <w:p w14:paraId="73614D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E5FA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 Ficha técnica de la operación la cual debe contener: </w:t>
      </w:r>
    </w:p>
    <w:p w14:paraId="6FD8BD4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E1280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2.1.1. Ficha técnica presentada para concepto previo </w:t>
      </w:r>
    </w:p>
    <w:p w14:paraId="20C95E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29D3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2.1.2. Fecha y monto del concepto previo </w:t>
      </w:r>
    </w:p>
    <w:p w14:paraId="27A265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22A7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2.1.3. Monto de la operación </w:t>
      </w:r>
    </w:p>
    <w:p w14:paraId="787974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6E24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2.1.4. Entidad prestataria y prestamista </w:t>
      </w:r>
    </w:p>
    <w:p w14:paraId="2A6CCE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2D38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2.1.5. Cronograma de los desembolsos: monto(s) y vigencia(s) </w:t>
      </w:r>
    </w:p>
    <w:p w14:paraId="00D230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8D4A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2.1.6. Objetivos de política derivados de la operación (si aplica) </w:t>
      </w:r>
    </w:p>
    <w:p w14:paraId="397ECB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5939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2.1.7. Condiciones especiales de desembolso (si aplica) </w:t>
      </w:r>
    </w:p>
    <w:p w14:paraId="0A0D3B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B49A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2.1.8. Condiciones financieras de la operación </w:t>
      </w:r>
    </w:p>
    <w:p w14:paraId="038D72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73FA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2.1.9. Evaluación de costo de la operación respecto a la curva de rendimientos </w:t>
      </w:r>
    </w:p>
    <w:p w14:paraId="504BF9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BAC8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2.1.10. Recomendación y solicitud del concepto definitivo. </w:t>
      </w:r>
    </w:p>
    <w:p w14:paraId="51A5C6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B7E6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Para las operaciones de crédito público o asimiladas de la Nación de destinación específica, que se someten a concepto previo de la Comisión Interparlamentaria de Crédito Público: </w:t>
      </w:r>
    </w:p>
    <w:p w14:paraId="2D13B5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33C9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 Ficha técnica de la operación la cual deberá contener: </w:t>
      </w:r>
    </w:p>
    <w:p w14:paraId="25B4F0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813D5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3.1.1. Monto máximo de la operación que se proyecta gestionar </w:t>
      </w:r>
    </w:p>
    <w:p w14:paraId="5E1A0F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D3D7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3.1.2. Entidad prestataria </w:t>
      </w:r>
    </w:p>
    <w:p w14:paraId="620177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4E2D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3.1.3. Destinación de los recursos </w:t>
      </w:r>
    </w:p>
    <w:p w14:paraId="6B33FF6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DA21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3.1.4. Objetivos y descripción preliminar del proyecto </w:t>
      </w:r>
    </w:p>
    <w:p w14:paraId="7F3C96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5981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3.1.5. Costo estimado del proyecto (crédito/contrapartida) </w:t>
      </w:r>
    </w:p>
    <w:p w14:paraId="4EBCA2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B26F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3.1.6. Contextualización del monto a gestionar dentro de las fuentes del Plan Financiero del año en </w:t>
      </w:r>
    </w:p>
    <w:p w14:paraId="1976DB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curso </w:t>
      </w:r>
    </w:p>
    <w:p w14:paraId="7FBD0B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6999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3.1.7. Cronograma estimado de desembolsos (montos y vigencias) </w:t>
      </w:r>
    </w:p>
    <w:p w14:paraId="7829C5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8EA7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3.1.8. Posibles fuentes de financiación y sus características </w:t>
      </w:r>
    </w:p>
    <w:p w14:paraId="7CBB90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A7D8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3.1.9. Justificación </w:t>
      </w:r>
    </w:p>
    <w:p w14:paraId="3C1B8F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576B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3.1.10. Aprobación Conpes: Número de documento y fecha de aprobación </w:t>
      </w:r>
    </w:p>
    <w:p w14:paraId="1CBD44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EAFB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3.1.11. Recomendación y solicitud del concepto. </w:t>
      </w:r>
    </w:p>
    <w:p w14:paraId="08B0FE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28E1F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3.2. Fotocopia del documento del Consejo Nacional de Política Económica Social, </w:t>
      </w:r>
    </w:p>
    <w:p w14:paraId="007183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Conpes </w:t>
      </w:r>
    </w:p>
    <w:p w14:paraId="1DD40C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E820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Para las operaciones de crédito público o asimiladas de la Nación de destinación específica, que se someten a concepto definitivo de la Comisión Interparlamentaria de Crédito Público: </w:t>
      </w:r>
    </w:p>
    <w:p w14:paraId="66457D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FC0B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 Ficha técnica de la operación la cual debe contener: </w:t>
      </w:r>
    </w:p>
    <w:p w14:paraId="6A453A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F35D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4.1.1. Ficha técnica presentada para concepto previo </w:t>
      </w:r>
    </w:p>
    <w:p w14:paraId="1F4F82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4106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4.1.2. Fecha y monto del concepto previo </w:t>
      </w:r>
    </w:p>
    <w:p w14:paraId="01932D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4146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4.1.3. Monto de la operación </w:t>
      </w:r>
    </w:p>
    <w:p w14:paraId="11366E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2E9A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4.1.4. Entidad(es) prestataria(s), prestamistas(s) y ejecutora(s) </w:t>
      </w:r>
    </w:p>
    <w:p w14:paraId="46DFEC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7F2F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4.1.5. Objetivos y descripción definitiva del proyecto </w:t>
      </w:r>
    </w:p>
    <w:p w14:paraId="055C89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0F22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4.1.6. Costo definitivo del proyecto por componente (crédito/contrapartida) </w:t>
      </w:r>
    </w:p>
    <w:p w14:paraId="41A6E2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5658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4.1.7. Cronograma de los desembolsos: monto(s) y vigencia(s) </w:t>
      </w:r>
    </w:p>
    <w:p w14:paraId="1D9CD4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9422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4.1.8. Fuentes definitivas de financiación y sus características </w:t>
      </w:r>
    </w:p>
    <w:p w14:paraId="620EE2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1926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4.1.9. Condiciones financieras de la operación </w:t>
      </w:r>
    </w:p>
    <w:p w14:paraId="0FE54C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C3A0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4.1.10. Evaluación de costo de la operación respecto a la curva de rendimientos </w:t>
      </w:r>
    </w:p>
    <w:p w14:paraId="6DEC12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874A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4.1.11. Recomendación y solicitud del concepto. </w:t>
      </w:r>
    </w:p>
    <w:p w14:paraId="2544B6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0EC9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Para concepto único de la Comisión Interparlamentaria de Crédito Público cuando la Nación proyecte endeudarse a través del mecanismo de emisión de bonos: </w:t>
      </w:r>
    </w:p>
    <w:p w14:paraId="4A5CA5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48F8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 Ficha técnica de la operación la cual debe contener: </w:t>
      </w:r>
    </w:p>
    <w:p w14:paraId="0D7344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08C3A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5.1.1. Monto solicitado. </w:t>
      </w:r>
    </w:p>
    <w:p w14:paraId="5D47DE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2CCA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5.1.2. Prestamistas </w:t>
      </w:r>
    </w:p>
    <w:p w14:paraId="366FAD9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637F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5.1.3. Contextualización del monto a aprobar dentro de las fuentes del Plan Financiero del año en curso (si aplica) </w:t>
      </w:r>
    </w:p>
    <w:p w14:paraId="0514BA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3800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 Contextualización frente al límite máximo establecido en el numeral 5.3. (si aplica).Debe incluir: </w:t>
      </w:r>
    </w:p>
    <w:p w14:paraId="0A6BD3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A774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5.1.4.1. Proyección anual y mensual del servicio de la deuda externa proyectado para el año siguiente discriminando capital e intereses </w:t>
      </w:r>
    </w:p>
    <w:p w14:paraId="642551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B9C5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5.1.4.2. Capacidad máxima de prefinanciamiento </w:t>
      </w:r>
    </w:p>
    <w:p w14:paraId="1FE3B0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ECE00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5.1.4.3. Capacidad máxima de prefinanciamiento disponible </w:t>
      </w:r>
    </w:p>
    <w:p w14:paraId="265C9F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687B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5.1.4.4. Recientes emisiones efectuadas y condiciones obtenidas </w:t>
      </w:r>
    </w:p>
    <w:p w14:paraId="254B9B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A822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5.1.4.5. Condiciones actuales del mercado y otros </w:t>
      </w:r>
    </w:p>
    <w:p w14:paraId="2D2FAE6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42A9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5.1.4.6. Aprobación Conpes: Número de documento y fecha de aprobación </w:t>
      </w:r>
    </w:p>
    <w:p w14:paraId="2D6E0F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5D7C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5.1.4.7. Recomendación y solicitud del concepto único. </w:t>
      </w:r>
    </w:p>
    <w:p w14:paraId="076BFA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6C3D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5.2. Fotocopia del documento del Consejo Nacional de Política Económica Social, Conpes. </w:t>
      </w:r>
    </w:p>
    <w:p w14:paraId="5787A4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B86C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5.3. En caso de que el concepto solicitado a la Comisión Interparlamentaria de Crédito Público de que trata este numeral se destine a prefinanciación, se deberá tener en cuenta que el monto solicitado no puede superar el 80% del servicio de la deuda externa proyectado por el Ministerio de Hacienda y Crédito Público para el año siguiente. </w:t>
      </w:r>
    </w:p>
    <w:p w14:paraId="0332F4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D8C2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Para concepto único de operaciones de crédito público o asimilado que proyecten celebrar las entidades estatales diferentes de la Nación con la garantía de la Nación: </w:t>
      </w:r>
    </w:p>
    <w:p w14:paraId="1ABA24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05515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 Ficha técnica de la operación la cual debe contener: </w:t>
      </w:r>
    </w:p>
    <w:p w14:paraId="510F9D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0BB8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6.1.1. Monto de la garantía solicitada </w:t>
      </w:r>
    </w:p>
    <w:p w14:paraId="5FC34A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194C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6.1.2. Prestatario y garante </w:t>
      </w:r>
    </w:p>
    <w:p w14:paraId="7F8578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6566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6.1.3. Aprobación Conpes: Número de documento y fecha de aprobación </w:t>
      </w:r>
    </w:p>
    <w:p w14:paraId="531A742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E6B7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6.1.4. Descripción del proyecto </w:t>
      </w:r>
    </w:p>
    <w:p w14:paraId="061531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10E12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6.1.5. Justificación de la operación </w:t>
      </w:r>
    </w:p>
    <w:p w14:paraId="009AD6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2BBE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6.1.6. Condiciones financieras estimadas de la operación </w:t>
      </w:r>
    </w:p>
    <w:p w14:paraId="5C3787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6904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6.1.7. Flujo de caja del proyecto </w:t>
      </w:r>
    </w:p>
    <w:p w14:paraId="2CE330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C609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6.1.8. Contragarantías elegibles a favor de la Nación </w:t>
      </w:r>
    </w:p>
    <w:p w14:paraId="225487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D13B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6.1.9. Recomendación y solicitud del concepto. </w:t>
      </w:r>
    </w:p>
    <w:p w14:paraId="38EE46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12E8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6.2. Fotocopia del documento del Consejo Nacional de Política Económica Social, </w:t>
      </w:r>
    </w:p>
    <w:p w14:paraId="785D0E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Conpes. </w:t>
      </w:r>
    </w:p>
    <w:p w14:paraId="251033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A092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Adicional a los requisitos de información relacionados para las respectivas operaciones en los numerales anteriores, el Ministerio de Hacienda y Crédito Público deberá presentar en cada reunión de la Comisión Interparlamentaria de Crédito Público la siguiente información: </w:t>
      </w:r>
    </w:p>
    <w:p w14:paraId="201D12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64EC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 Informe resumen sobre el cupo de la ley de endeudamiento de la Nación: </w:t>
      </w:r>
    </w:p>
    <w:p w14:paraId="38C441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1481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7.1.1. Cupo autorizado </w:t>
      </w:r>
    </w:p>
    <w:p w14:paraId="19A91D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D529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7.1.2. Monto de reembolsos y/o cancelaciones </w:t>
      </w:r>
    </w:p>
    <w:p w14:paraId="17A20A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7A49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7.1.3. Afectaciones de conformidad con las leyes vigentes </w:t>
      </w:r>
    </w:p>
    <w:p w14:paraId="745C4A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B042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7.1.4. Cupo disponible real </w:t>
      </w:r>
    </w:p>
    <w:p w14:paraId="6BE755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CD75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7.1.5. Relación de conceptos previos, definitivos y únicos emitidos por la Comisión Interparlamentaria de Crédito Público que no han afectado el cupo de endeudamiento </w:t>
      </w:r>
    </w:p>
    <w:p w14:paraId="79258D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A132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7.1.6. Relación de operaciones con concepto previo, definitivo y único que no continuarán su trámite </w:t>
      </w:r>
    </w:p>
    <w:p w14:paraId="331909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4BF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7.1.7. Cupo disponible proyectado tomando como base el cupo disponible real y los conceptos de la Comisión Interparlamentaria de Crédito Público cuyas operaciones no han dado lugar a la afectación correspondiente y que continuarán su trámite </w:t>
      </w:r>
    </w:p>
    <w:p w14:paraId="7F7754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F757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 Informe resumen sobre el cupo de garantías Nación: </w:t>
      </w:r>
    </w:p>
    <w:p w14:paraId="6EEC17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3BB5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7.2.1. Cupo autorizado </w:t>
      </w:r>
    </w:p>
    <w:p w14:paraId="77B42F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938E8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7.2.2. Monto de cancelaciones </w:t>
      </w:r>
    </w:p>
    <w:p w14:paraId="75D07C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3508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7.2.3. Afectaciones de conformidad con las leyes vigentes </w:t>
      </w:r>
    </w:p>
    <w:p w14:paraId="3F9B713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5297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7.2.4. Cupo disponible real </w:t>
      </w:r>
    </w:p>
    <w:p w14:paraId="009971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199973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7.2.5. Relación de conceptos emitidos por la Comisión Interparlamentaria de Crédito Público que no han afectado el cupo de garantías Nación </w:t>
      </w:r>
    </w:p>
    <w:p w14:paraId="2EEDB6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7772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7.2.6. Relación de operaciones con concepto de la Comisión Interparlamentaria de Crédito Público que no continuarán su trámite </w:t>
      </w:r>
    </w:p>
    <w:p w14:paraId="3172E4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B6DC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7.2.7. Cupo disponible proyectado tomando como base el cupo disponible real y los conceptos de la Comisión Interparlamentaria de Crédito Público cuyas operaciones no han dado lugar a la afectación correspondiente y que continuarán su trámite </w:t>
      </w:r>
    </w:p>
    <w:p w14:paraId="4537D3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AE64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7.3. Relación deuda/PIB </w:t>
      </w:r>
    </w:p>
    <w:p w14:paraId="025C2B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FA39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7.3.1. Relación deuda/PIB fin año anterior </w:t>
      </w:r>
    </w:p>
    <w:p w14:paraId="2E7071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D173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7.3.2. Relación deuda/PIB año en curso </w:t>
      </w:r>
    </w:p>
    <w:p w14:paraId="404D282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0B0D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por la especial naturaleza de una operación se requiere información adicional a la anteriormente señalada, el Ministerio de Hacienda y Crédito Público evaluará su relevancia frente a la operación de crédito público o asimilada sujeta a consideración de la Comisión Interparlamentaria de Crédito Público, y podrá solicitar, por una sola vez, un término adicional de máximo diez (10) días hábiles para suministrar información complementaria, y aprobada dicha solicitud deberá convocar a una nueva reunión dentro de dicho lapso para la rendición del concepto. En el acta respectiva se consignará la motivación de la administración en relación con la relevancia o no de la información adicional solicitada. </w:t>
      </w:r>
    </w:p>
    <w:p w14:paraId="2212E3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A743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los anteriores efectos, las entidades estatales deberán remitir al Ministerio de Hacienda y Crédito Público-Dirección General de Crédito Público y Tesoro Nacional, la respectiva información a más tardar cuatro (4) días hábiles antes del vencimiento del plazo solicitado por el Ministerio de Hacienda y Crédito Público a los miembros de la Comisión Interparlamentaria de Crédito Público. </w:t>
      </w:r>
    </w:p>
    <w:p w14:paraId="30E339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31D4E6" w14:textId="37C017E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caso de que la Comisión Interparlamentaria de Crédito Público no rinda concepto, habiendo sido convocada previamente y suministrada la información a que hace referencia el presente capítulo se dará aplicación a lo establecido en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 de la Ley 51 de 1990 y el Ministerio de Hacienda y Crédito Público deberá dar por cumplido este requisito. </w:t>
      </w:r>
    </w:p>
    <w:p w14:paraId="6C9BBF1B" w14:textId="6B7C0EE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5" w:name="ver_30056727"/>
      <w:bookmarkEnd w:id="155"/>
    </w:p>
    <w:p w14:paraId="2DFF56A9" w14:textId="2BDE052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2.2.1.6.8. Informes periódicos. Para rendir los informes semestrales al Congreso de la República, el Ministerio de Hacienda y Crédito Público suministrará la siguiente información a la Comisión Interparlamentaria de Crédito Público, a más tardar el 30 de marzo y el 30 de septiembre con corte 31 de diciembre y 30 de junio, respectivamente: </w:t>
      </w:r>
    </w:p>
    <w:p w14:paraId="37AC61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363E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Informe sobre el cupo de endeudamiento de la Nación: </w:t>
      </w:r>
    </w:p>
    <w:p w14:paraId="1B08C0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CF5A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Relación de operaciones de crédito público y asimiladas contratadas por la Nación que han afectado el cupo de endeudamiento, con la siguiente discriminación: </w:t>
      </w:r>
    </w:p>
    <w:p w14:paraId="62D78C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414D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1.1.1 Sector beneficiado </w:t>
      </w:r>
    </w:p>
    <w:p w14:paraId="1E357E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3592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1.1.1.1 Fuente de financiación </w:t>
      </w:r>
    </w:p>
    <w:p w14:paraId="7337E0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9E7E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1.1.2 Prestamista </w:t>
      </w:r>
    </w:p>
    <w:p w14:paraId="7866C7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F477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1.1.3 Ejecutor </w:t>
      </w:r>
    </w:p>
    <w:p w14:paraId="52981A5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36B2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1.1.4 Valor del crédito en dólares de los Estados Unidos de América </w:t>
      </w:r>
    </w:p>
    <w:p w14:paraId="3D7B009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D2A0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1.1.5 Fecha de firma del contrato </w:t>
      </w:r>
    </w:p>
    <w:p w14:paraId="55656F0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612F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1.1.6 Destinación </w:t>
      </w:r>
    </w:p>
    <w:p w14:paraId="3E64E7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10F1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1.1.7 Monto desembolsado </w:t>
      </w:r>
    </w:p>
    <w:p w14:paraId="65083F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7AB1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1.1.8 Monto por desembolsar </w:t>
      </w:r>
    </w:p>
    <w:p w14:paraId="65FD4A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136E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1.1.9 Marco dentro del plan de desarrollo </w:t>
      </w:r>
    </w:p>
    <w:p w14:paraId="217A49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6927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1.1.10 Estado de avance del proyecto </w:t>
      </w:r>
    </w:p>
    <w:p w14:paraId="3C2E4E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7E9C4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Reembolsos de créditos contratados por la Nación que incrementan la disponibilidad del cupo de endeudamiento, con la siguiente discriminación: </w:t>
      </w:r>
    </w:p>
    <w:p w14:paraId="2F3EA5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5408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1.2.1 Sector </w:t>
      </w:r>
    </w:p>
    <w:p w14:paraId="5FCDEC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013A1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1.2.2 Fuente de financiación </w:t>
      </w:r>
    </w:p>
    <w:p w14:paraId="1C1FC1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4C70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1.2.3 Prestamista </w:t>
      </w:r>
    </w:p>
    <w:p w14:paraId="548C77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DB73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1.2.4 Valor del crédito en dólares de los Estados Unidos de América </w:t>
      </w:r>
    </w:p>
    <w:p w14:paraId="1CF9DB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1.2.5 Fecha de firma del contrato </w:t>
      </w:r>
    </w:p>
    <w:p w14:paraId="3876F4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97776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1.2.6 Destinación </w:t>
      </w:r>
    </w:p>
    <w:p w14:paraId="3BCCC9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6BF1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1.2.7 Monto desembolsado </w:t>
      </w:r>
    </w:p>
    <w:p w14:paraId="5A17CD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20BD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1.2.8 Monto por desembolsar </w:t>
      </w:r>
    </w:p>
    <w:p w14:paraId="29113B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2DED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1.2.9 Reembolsos efectuados </w:t>
      </w:r>
    </w:p>
    <w:p w14:paraId="1DEDA2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7997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Cancelaciones de créditos de la Nación que incrementan la disponibilidad del cupo de endeudamiento señalando lo siguiente: </w:t>
      </w:r>
    </w:p>
    <w:p w14:paraId="13AE71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54EB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1.3.1 Sector </w:t>
      </w:r>
    </w:p>
    <w:p w14:paraId="22C987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649F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1.3.2 Fuente de financiación </w:t>
      </w:r>
    </w:p>
    <w:p w14:paraId="375908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9B19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1.3.3 Prestamista </w:t>
      </w:r>
    </w:p>
    <w:p w14:paraId="723813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6032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1.3.4 Valor del crédito en dólares de los Estados Unidos de América </w:t>
      </w:r>
    </w:p>
    <w:p w14:paraId="416ED7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4686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1.3.5 Fecha de firma del contrato (si aplica) </w:t>
      </w:r>
    </w:p>
    <w:p w14:paraId="309B36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4D7F0B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1.3.6 Destinación </w:t>
      </w:r>
    </w:p>
    <w:p w14:paraId="1DDF89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BBA76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1.3.7 Monto desembolsado (si aplica) </w:t>
      </w:r>
    </w:p>
    <w:p w14:paraId="71123E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E97A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1.3.8 Monto por desembolsar (si aplica) </w:t>
      </w:r>
    </w:p>
    <w:p w14:paraId="0EFA50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FCA8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1.3.9 Cancelaciones efectuadas por no utilización </w:t>
      </w:r>
    </w:p>
    <w:p w14:paraId="7EE809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C7D2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1.3.10 Razones de la cancelación </w:t>
      </w:r>
    </w:p>
    <w:p w14:paraId="5AF532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A54A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informe de garantías deberá contener: </w:t>
      </w:r>
    </w:p>
    <w:p w14:paraId="5F2AA05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556F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Relación de operaciones de crédito público y asimiladas garantizadas por la Nación que han afectado el cupo de garantías, la cual deberá contener la siguiente información: </w:t>
      </w:r>
    </w:p>
    <w:p w14:paraId="45A1DD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 Sector </w:t>
      </w:r>
    </w:p>
    <w:p w14:paraId="6DBB7D5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C3A7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2.2. Fuente de financiación </w:t>
      </w:r>
    </w:p>
    <w:p w14:paraId="090A3F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2DBA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2.3. Prestamista </w:t>
      </w:r>
    </w:p>
    <w:p w14:paraId="1A5250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D8E8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2.4. Prestatario </w:t>
      </w:r>
    </w:p>
    <w:p w14:paraId="365BEFD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0C91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2.5. Valor del crédito en dólares de los Estados Unidos de América </w:t>
      </w:r>
    </w:p>
    <w:p w14:paraId="7D4419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8040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2.6. Fecha de firma del contrato </w:t>
      </w:r>
    </w:p>
    <w:p w14:paraId="2B2961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8482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2.7. Destinación </w:t>
      </w:r>
    </w:p>
    <w:p w14:paraId="0F85E5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C93D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2.8. Fecha del concepto único </w:t>
      </w:r>
    </w:p>
    <w:p w14:paraId="295B33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CBF3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2.9. Contragarantías </w:t>
      </w:r>
    </w:p>
    <w:p w14:paraId="6D4970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2.10. Monto desembolsado </w:t>
      </w:r>
    </w:p>
    <w:p w14:paraId="356375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9FA9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2.11. Monto por desembolsar </w:t>
      </w:r>
    </w:p>
    <w:p w14:paraId="5F2D29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1D2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2.12. Cancelaciones efectuadas por no utilización </w:t>
      </w:r>
    </w:p>
    <w:p w14:paraId="0F4958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DBD2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2.13. Razones de la cancelación </w:t>
      </w:r>
    </w:p>
    <w:p w14:paraId="0B3754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B8E3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2.14. Informe de cumplimiento del prestatario de sus obligaciones de pago </w:t>
      </w:r>
    </w:p>
    <w:p w14:paraId="23FE0BC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16F2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2.15. Estado de avance del proyecto. </w:t>
      </w:r>
    </w:p>
    <w:p w14:paraId="5F4F4E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8A5124" w14:textId="71B671B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efecto de dar cumplimiento a lo establecido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las entidades estatales deberán remitir al Ministerio de Hacienda y Crédito Público-Dirección General de Crédito Público y Tesoro Nacional, a más tardar el 1º de marzo y el 1º de septiembre de cada año, con corte a 31 de diciembre y 30 de junio respectivamente, el estado de avance de todos los proyectos financiados con recursos de fuente específica o garantizada por la Nación tanto aquellos que no </w:t>
      </w:r>
      <w:r w:rsidRPr="002C1480">
        <w:rPr>
          <w:rFonts w:ascii="Arial" w:eastAsia="Times New Roman" w:hAnsi="Arial" w:cs="Arial"/>
          <w:color w:val="000000"/>
          <w:lang w:eastAsia="es-CO"/>
        </w:rPr>
        <w:lastRenderedPageBreak/>
        <w:t>hubieran culminado su ejecución antes de la presentación del informe inmediatamente anterior como los que se hubieran iniciado a partir de la presentación de dicho informe. </w:t>
      </w:r>
    </w:p>
    <w:p w14:paraId="2904A47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56" w:name="ver_30056728"/>
      <w:bookmarkEnd w:id="156"/>
    </w:p>
    <w:p w14:paraId="32253CE6" w14:textId="1752673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2.2.1.6.9. Carácter de los conceptos. Los conceptos de la Comisión Interparlamentaria de Crédito Público en ejercicio de sus funciones legales, no tendrán carácter vinculante, excepto cuando la motivación del mismo sea la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de la Ley 18 de 1970. </w:t>
      </w:r>
    </w:p>
    <w:p w14:paraId="599DFF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683094" w14:textId="65FF0F5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la aplicación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siempre debe entenderse que los recursos internos complementarios del endeudamiento externo para financiar el gasto de la Nación son sanos en los términos definidos en el referido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3º de la Ley 18 de 1970, cuando no correspondan a emisión primaria del Banco de la República. No obstante lo anterior, si se presenta este evento, le corresponderá al Ministerio de Hacienda y Crédito Público aportar el documento técnico respectivo donde se demuestre que dichos recursos no son inflacionarios por sí solos. </w:t>
      </w:r>
    </w:p>
    <w:p w14:paraId="7E90CB07" w14:textId="55F3D93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C9D8A3" w14:textId="77777777" w:rsidR="008F7B30" w:rsidRPr="002C1480" w:rsidRDefault="008F7B30" w:rsidP="00C32F85">
      <w:pPr>
        <w:spacing w:after="0" w:line="293" w:lineRule="atLeast"/>
        <w:jc w:val="center"/>
        <w:rPr>
          <w:rFonts w:ascii="Arial" w:eastAsia="Times New Roman" w:hAnsi="Arial" w:cs="Arial"/>
          <w:b/>
          <w:bCs/>
          <w:color w:val="000000"/>
          <w:lang w:eastAsia="es-CO"/>
        </w:rPr>
      </w:pPr>
      <w:bookmarkStart w:id="157" w:name="ver_30056729"/>
      <w:bookmarkEnd w:id="157"/>
      <w:r w:rsidRPr="002C1480">
        <w:rPr>
          <w:rFonts w:ascii="Arial" w:eastAsia="Times New Roman" w:hAnsi="Arial" w:cs="Arial"/>
          <w:b/>
          <w:bCs/>
          <w:color w:val="000000"/>
          <w:lang w:eastAsia="es-CO"/>
        </w:rPr>
        <w:t>TÍTULO 2</w:t>
      </w:r>
    </w:p>
    <w:p w14:paraId="418899E4" w14:textId="22F9CA24" w:rsidR="008F7B3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ASPECTOS ESPECIALES DEL ENDEUDAMIENTO DE ALGUNAS ENTIDADES PÚBLICAS</w:t>
      </w:r>
    </w:p>
    <w:p w14:paraId="63CC8664" w14:textId="77777777" w:rsidR="001F3D32" w:rsidRPr="002C1480" w:rsidRDefault="001F3D32" w:rsidP="00C32F85">
      <w:pPr>
        <w:spacing w:after="0" w:line="293" w:lineRule="atLeast"/>
        <w:jc w:val="center"/>
        <w:rPr>
          <w:rFonts w:ascii="Arial" w:eastAsia="Times New Roman" w:hAnsi="Arial" w:cs="Arial"/>
          <w:b/>
          <w:bCs/>
          <w:color w:val="000000"/>
          <w:lang w:eastAsia="es-CO"/>
        </w:rPr>
      </w:pPr>
    </w:p>
    <w:p w14:paraId="30848DE8" w14:textId="77777777"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CAPÍTULO 1</w:t>
      </w:r>
    </w:p>
    <w:p w14:paraId="6844BB18"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DETERMINACIÓN DE LA CAPACIDAD DE PAGO DE LAS ENTIDADES TERRITORIALES</w:t>
      </w:r>
    </w:p>
    <w:p w14:paraId="2FCA824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58" w:name="ver_30056730"/>
      <w:bookmarkEnd w:id="158"/>
    </w:p>
    <w:p w14:paraId="06F5A41C" w14:textId="64A62A5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2.2.2.1.1. Operaciones de crédito público. Para efectos de lo previsto en la Ley 358 de 1997, se encuentran comprendidos dentro de las operaciones de crédito público los actos o contratos que tengan por objeto dotar a las entidades territoriales de recursos con plazo para su pago, de bienes o servicios con plazo para su pago superior a un año, así como los actos o contratos análogos a los anteriores. También se encuentran comprendidos aquellos actos o contratos mediante los cuales las entidades territoriales actúen como deudoras solidarias o garantes de obligaciones de pago y aquellos relacionados con operaciones de manejo de la deuda pública. </w:t>
      </w:r>
    </w:p>
    <w:p w14:paraId="43BE21B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59" w:name="ver_30056731"/>
      <w:bookmarkEnd w:id="159"/>
    </w:p>
    <w:p w14:paraId="701F8081" w14:textId="03F037E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2.2.2.1.2. Información para determinar los ingresos corrientes. Para efectuar el cálculo de los indicadores intereses/ahorro operacional y saldo de la deuda/ingresos corrientes, a los que se refiere la Ley 358 de 1997, la información sobre ingresos corrientes corresponde a los ingresos presupuestados y efectivamente recibidos en la vigencia fiscal inmediatamente anterior, incluidos los ingresos por recuperación de cartera tributarios y no tributarios. </w:t>
      </w:r>
    </w:p>
    <w:p w14:paraId="0391C2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E77E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determinar los ingresos corrientes aludidos no se tienen en cuenta los siguientes conceptos: </w:t>
      </w:r>
    </w:p>
    <w:p w14:paraId="10F3CC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02BF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recursos de cofinanciación; </w:t>
      </w:r>
    </w:p>
    <w:p w14:paraId="28679B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C8586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producto de las cuotas de fiscalización percibido por los órganos de control fiscal </w:t>
      </w:r>
    </w:p>
    <w:p w14:paraId="05F446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4FE8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ingresos percibidos en favor de terceros que, por mandato legal o convencional, las entidades territoriales estén encargadas de administrar, recaudar o ejecutar; </w:t>
      </w:r>
    </w:p>
    <w:p w14:paraId="1FA889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AF91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Los activos, inversiones y rentas titularizados, así como el producto de los procesos de titularización; </w:t>
      </w:r>
    </w:p>
    <w:p w14:paraId="2D5E3C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3A71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Los recursos del Sistema General de Participaciones cuando los departamentos, distritos o municipios no hayan sido certificados para administrarlos autónomamente; </w:t>
      </w:r>
    </w:p>
    <w:p w14:paraId="441153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67B48F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producto de la venta de activos fijos; y </w:t>
      </w:r>
    </w:p>
    <w:p w14:paraId="14E0D1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DC49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Los excedentes financieros de las entidades descentralizadas que se transfieran a la administración central. </w:t>
      </w:r>
    </w:p>
    <w:p w14:paraId="3B0C8F95" w14:textId="3CB4F61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0" w:name="ver_30056732"/>
      <w:bookmarkEnd w:id="160"/>
    </w:p>
    <w:p w14:paraId="6BED22D7" w14:textId="634A5C1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2.2.2.1.3. Determinación de los intereses de la deuda. Para determinar el monto de los intereses de la deuda que ha de emplearse en el cálculo del indicador intereses/ ahorro operacional se suman los intereses pagados durante la vigencia fiscal; los causados cuyo pago deba efectuarse dentro de la misma vigencia; los de la nueva operación de crédito público; los intereses de mora; los de créditos de corto plazo; y los de sobregiros. Para este propósito, la vigencia fiscal corresponde al período comprendido entre el 1 de enero y el 31 de diciembre del año en el que se realice el cálculo del respectivo indicador de capacidad de pago. </w:t>
      </w:r>
    </w:p>
    <w:p w14:paraId="526F556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61" w:name="ver_30056733"/>
      <w:bookmarkEnd w:id="161"/>
    </w:p>
    <w:p w14:paraId="142B7349" w14:textId="3A1D1DD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2.2.2.1.4. Créditos de corto plazo. Los créditos de corto plazo que celebren las entidades territoriales podrán destinarse a fines distintos al gasto de inversión, siempre y cuando sean cancelados con recursos diferentes del crédito y dentro de la misma vigencia fiscal en que se contraten. </w:t>
      </w:r>
    </w:p>
    <w:p w14:paraId="3C5CF17E" w14:textId="62AAB37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2" w:name="ver_30056734"/>
      <w:bookmarkEnd w:id="162"/>
    </w:p>
    <w:p w14:paraId="54A95294" w14:textId="652A5DF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2.2.2.1.5. Obligaciones contingentes. Para efectos del cálculo del saldo de la deuda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 la Ley 358 de 1997, el Ministerio de Hacienda y Crédito Público fijará el porcentaje por el cual se computarán las obligaciones contingentes según la clase de operación de que se trate. </w:t>
      </w:r>
    </w:p>
    <w:p w14:paraId="2A42F9C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63" w:name="ver_30056735"/>
      <w:bookmarkEnd w:id="163"/>
    </w:p>
    <w:p w14:paraId="667565B0" w14:textId="595EA3C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2.2.2.1.6. Cálculo de indicadores. Los indicadores intereses/ahorro operacional y saldo de la deuda/ingresos corrientes, de que trata la Ley 358 de 1997, se deben calcular para la celebración de cada operación de crédito público. </w:t>
      </w:r>
    </w:p>
    <w:p w14:paraId="7C6AD015" w14:textId="7EE4638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 w:name="ver_30056736"/>
      <w:bookmarkEnd w:id="164"/>
    </w:p>
    <w:p w14:paraId="28BDBCE0" w14:textId="7E98275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2.2.2.1.7. Verificación y estudio de la capacidad de pago. Las entidades que otorguen créditos a las entidades territoriales deberán verificar la capacidad de pago de las mismas. Si hay lugar a ello, deberán, asimismo, acordar el diseño del plan de desempeño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2.2.2.1.10. del presente título y exigir la autorización de endeudamiento. La inobservancia de esta disposición dará lugar a la aplicación de sanciones correspondientes. </w:t>
      </w:r>
    </w:p>
    <w:p w14:paraId="56CB0DB6" w14:textId="27DFFE88" w:rsidR="008F7B30" w:rsidRPr="002C1480" w:rsidRDefault="008F7B30" w:rsidP="00F72789">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5" w:name="ver_30056737"/>
      <w:bookmarkEnd w:id="165"/>
    </w:p>
    <w:p w14:paraId="46D9D97B" w14:textId="20CC027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2.2.2.1.8. Endeudamiento que requiere autorización. Las entidades territoriales requieren autorización de endeudamiento cuando se presente cualquiera de los siguientes eventos: </w:t>
      </w:r>
    </w:p>
    <w:p w14:paraId="2E791F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C4AB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Cuando la relación intereses/ahorro operacional sea superior al 40% sin exceder el 60%, siempre que el saldo de la deuda de la vigencia anterior se incremente, con la nueva operación, a una tasa superior a la variación del índice de precios al consumidor (IPC), o meta de inflación, proyectada por el Banco de la República para la vigencia; </w:t>
      </w:r>
    </w:p>
    <w:p w14:paraId="4EF311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FEE5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Cuando la relación intereses/ahorro operacional supere el 60%; </w:t>
      </w:r>
    </w:p>
    <w:p w14:paraId="16B270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80F3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Cuando la relación saldo de la deuda/ingresos corrientes supere el 80%. </w:t>
      </w:r>
    </w:p>
    <w:p w14:paraId="2BFC9F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730E77" w14:textId="5F80419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operaciones de manejo de la deuda pública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2.2.1.1.3. del Capítulo 1 del Título 1 de esta misma parte no requieren autorización de endeudamiento. </w:t>
      </w:r>
    </w:p>
    <w:p w14:paraId="79FE96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6E20586" w14:textId="5854D4E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operaciones de crédito público que impliquen la refinanciación de intereses requieren autorización de endeudamiento cuando se presente cualquiera de los eventos descritos en los literales a), b) y c)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6FF96A2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66" w:name="ver_30056738"/>
      <w:bookmarkEnd w:id="166"/>
    </w:p>
    <w:p w14:paraId="4E69A1F9" w14:textId="3715345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2.2.2.1.9. Solicitud de autorizaciones. Los municipios no capitales que se encuentren en la situación prevista en el literal a)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presentarán la solicitud de autorización de endeudamiento ante el respectivo Departamento. </w:t>
      </w:r>
    </w:p>
    <w:p w14:paraId="45779E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0C6F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los demás casos en que se requiera autorización de endeudamiento, la misma se solicitará ante el Ministerio de Hacienda y Crédito Público, a través de la Dirección General de Crédito Público y Tesoro Nacional. </w:t>
      </w:r>
    </w:p>
    <w:p w14:paraId="29F1E0F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67" w:name="ver_30056739"/>
      <w:bookmarkEnd w:id="167"/>
    </w:p>
    <w:p w14:paraId="3F4F5538" w14:textId="068D728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2.2.2.1.10. Planes de desempeño. Los planes de desempeño de que trata la Ley 358 de 1997 y el presente capítulo contendrán un diagnóstico financiero e institucional de las respectivas entidades territoriales, incluido el cálculo de los indicadores de capacidad de pago. Contendrán, así mismo, las acciones, medidas y metas que se comprometen a instaurar o lograr en un período determinado, con base en las capacidades, instrumentos y restricciones con que cuenten las entidades territoriales, y deberán estar orientados a restablecer su solidez económica y financiera. </w:t>
      </w:r>
    </w:p>
    <w:p w14:paraId="61850C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46FF8F" w14:textId="384C96D3"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contenido de los planes de desempeño deberá ser acordado entre la entidad territorial y la entidad prestamista, teniendo en cuenta, para el efecto, su viabilidad e incidencia fiscal y financiera, así como la correspondencia entre el uso previsto de los recursos del crédito y el uso legalmente autorizado. </w:t>
      </w:r>
    </w:p>
    <w:p w14:paraId="6D42F717" w14:textId="77777777" w:rsidR="001F3D32" w:rsidRPr="002C1480" w:rsidRDefault="001F3D32" w:rsidP="00C32F85">
      <w:pPr>
        <w:spacing w:after="0" w:line="254" w:lineRule="atLeast"/>
        <w:jc w:val="both"/>
        <w:rPr>
          <w:rFonts w:ascii="Arial" w:eastAsia="Times New Roman" w:hAnsi="Arial" w:cs="Arial"/>
          <w:color w:val="000000"/>
          <w:lang w:eastAsia="es-CO"/>
        </w:rPr>
      </w:pPr>
    </w:p>
    <w:p w14:paraId="66C6FA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ejecución y el cumplimiento de los planes de desempeño son responsabilidad exclusiva de la respectiva entidad territorial. </w:t>
      </w:r>
    </w:p>
    <w:p w14:paraId="772E0C9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68" w:name="ver_30056740"/>
      <w:bookmarkEnd w:id="168"/>
    </w:p>
    <w:p w14:paraId="3CA67DB6" w14:textId="6BDCB6A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2.2.2.1.11. Conformidad con los planes de desempeño. Para efectos de dar su conformidad con los planes de desempeño que les presenten las entidades territoriales, el Ministerio de Hacienda y Crédito Público - Dirección General de Apoyo Fiscal- o los departamentos, según el caso, observarán los siguientes aspectos: </w:t>
      </w:r>
    </w:p>
    <w:p w14:paraId="5A317C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7186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Viabilidad de las medidas, acciones y metas previstas en el plan de desempeño; </w:t>
      </w:r>
    </w:p>
    <w:p w14:paraId="1951D1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CD6D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Incidencia del plan de desempeño sobre la situación fiscal, financiera y administrativa de la respectiva entidad territorial; y efectividad probable de las medidas, acciones y metas previstas para restablecer la solidez económica y financiera de las mismas o para evitar su deterioro; </w:t>
      </w:r>
    </w:p>
    <w:p w14:paraId="4DEEFE4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9CB7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Efectos del crédito que se pretende contratar sobre las finanzas de la entidad territorial, y correspondencia entre el uso previsto de los recursos del crédito y el uso autorizado por la Ley; y </w:t>
      </w:r>
    </w:p>
    <w:p w14:paraId="6B4B3D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823F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Antecedentes de la entidad territorial en relación con el cumplimiento de planes de desempeño. </w:t>
      </w:r>
    </w:p>
    <w:p w14:paraId="5FCF89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DD01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conformidad con los planes de desempeño y las autorizaciones de endeudamiento, por parte del Ministerio de Hacienda y Crédito Público o de los Departamentos, en ningún caso constituye aval, garantía o compromiso en relación con las operaciones de crédito público que en desarrollo de las mismas celebre la entidad territorial. </w:t>
      </w:r>
    </w:p>
    <w:p w14:paraId="3499E6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D55A5E" w14:textId="4748A006" w:rsidR="008F7B30" w:rsidRPr="002C1480" w:rsidRDefault="002C1480" w:rsidP="00C32F85">
      <w:pPr>
        <w:spacing w:after="0" w:line="254" w:lineRule="atLeast"/>
        <w:jc w:val="both"/>
        <w:rPr>
          <w:rFonts w:ascii="Arial" w:eastAsia="Times New Roman" w:hAnsi="Arial" w:cs="Arial"/>
          <w:color w:val="000000"/>
          <w:lang w:eastAsia="es-CO"/>
        </w:rPr>
      </w:pPr>
      <w:bookmarkStart w:id="169" w:name="ver_30056741"/>
      <w:bookmarkEnd w:id="169"/>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2.2.2.1.12. Cumplimiento de los planes de desempeño. Sin perjuicio de la función de evaluación atribuida por la Ley 358 de 1997 a la Dirección General de Apoyo Fiscal, los Departamentos harán el seguimiento de los planes de desempeño de los municipios no capitales a los que les otorguen autorización de endeudamiento. En el evento de que estos municipios incumplan los planes de desempeño, los Departamentos enviarán a la Dirección General de Apoyo Fiscal los informes correspondientes para dar aplicación a lo dispuesto en el siguiente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w:t>
      </w:r>
    </w:p>
    <w:p w14:paraId="4B04444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0" w:name="ver_30056742"/>
      <w:bookmarkEnd w:id="170"/>
    </w:p>
    <w:p w14:paraId="7DBC4B2E" w14:textId="70C8C4F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2.2.2.1.13. Información sobre incumplimiento. El Ministerio de Hacienda y Crédito Público - Dirección General de Apoyo Fiscal - informará, para los efectos previstos en las normas vigentes, a la Superintendencia Financiera de Colombia sobre las entidades territoriales que incumplan con los planes de desempeño. </w:t>
      </w:r>
    </w:p>
    <w:p w14:paraId="36D078C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1" w:name="ver_30056743"/>
      <w:bookmarkEnd w:id="171"/>
    </w:p>
    <w:p w14:paraId="76B64CAC" w14:textId="4629E78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2.2.2.1.14. Sobre el alcance del registro del crédito. El registro de las operaciones de crédito público que deben realizar las entidades territoriales no las exime de las autorizaciones y requisitos exigidos por la Ley 358 de 1997 y el presente capítulo. </w:t>
      </w:r>
    </w:p>
    <w:p w14:paraId="4A239ABB" w14:textId="77777777" w:rsidR="00F72789" w:rsidRDefault="00F72789" w:rsidP="00C32F85">
      <w:pPr>
        <w:spacing w:after="0" w:line="293" w:lineRule="atLeast"/>
        <w:jc w:val="center"/>
        <w:rPr>
          <w:rFonts w:ascii="Arial" w:eastAsia="Times New Roman" w:hAnsi="Arial" w:cs="Arial"/>
          <w:b/>
          <w:bCs/>
          <w:color w:val="000000"/>
          <w:lang w:eastAsia="es-CO"/>
        </w:rPr>
      </w:pPr>
      <w:bookmarkStart w:id="172" w:name="ver_30056744"/>
      <w:bookmarkEnd w:id="172"/>
    </w:p>
    <w:p w14:paraId="196B8486" w14:textId="3E792F97"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CAPÍTULO 2</w:t>
      </w:r>
    </w:p>
    <w:p w14:paraId="4CC7CBD1" w14:textId="77777777" w:rsidR="008F7B30" w:rsidRPr="002C1480" w:rsidRDefault="008F7B30" w:rsidP="00C32F85">
      <w:pPr>
        <w:spacing w:after="0"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DETERMINACIÓN DE LA CAPACIDAD DE PAGO PARA LAS ENTIDADES</w:t>
      </w:r>
    </w:p>
    <w:p w14:paraId="27E2E12D" w14:textId="77777777" w:rsidR="008F7B30" w:rsidRPr="002C1480" w:rsidRDefault="008F7B30" w:rsidP="00C32F85">
      <w:pPr>
        <w:spacing w:line="293" w:lineRule="atLeast"/>
        <w:jc w:val="center"/>
        <w:rPr>
          <w:rFonts w:ascii="Arial" w:eastAsia="Times New Roman" w:hAnsi="Arial" w:cs="Arial"/>
          <w:b/>
          <w:bCs/>
          <w:color w:val="000000"/>
          <w:lang w:eastAsia="es-CO"/>
        </w:rPr>
      </w:pPr>
      <w:r w:rsidRPr="002C1480">
        <w:rPr>
          <w:rFonts w:ascii="Arial" w:eastAsia="Times New Roman" w:hAnsi="Arial" w:cs="Arial"/>
          <w:b/>
          <w:bCs/>
          <w:color w:val="000000"/>
          <w:lang w:eastAsia="es-CO"/>
        </w:rPr>
        <w:t>DESCENTRALIZADAS DEL ORDEN TERRITORIAL</w:t>
      </w:r>
    </w:p>
    <w:p w14:paraId="45E5436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3" w:name="ver_30056745"/>
      <w:bookmarkEnd w:id="173"/>
    </w:p>
    <w:p w14:paraId="0758A2C3" w14:textId="2DE4335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2.2.2.2.1. Calificación de capacidad de pago. Establécese el sistema obligatorio de calificación de capacidad de pago para las entidades descentralizadas del orden territorial. En consecuencia, dichas entidades no podrán gestionar endeudamiento externo ni efectuar operaciones de crédito público externo o interno con plazo superior a un año, si no han obtenido previamente la calificación sobre su capacidad de pago. </w:t>
      </w:r>
    </w:p>
    <w:p w14:paraId="6E68D7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1F25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atrás indicadas también deberán contar con la calificación sobre su capacidad de pago cuando vayan a llevar a cabo titularizaciones a que se refiere la Circular Externa número 001 expedida por el Ministerio de Hacienda y Crédito Público el 25 de enero de 1996. </w:t>
      </w:r>
    </w:p>
    <w:p w14:paraId="526FDF3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4" w:name="ver_30102914"/>
      <w:bookmarkStart w:id="175" w:name="ver_30102913"/>
      <w:bookmarkEnd w:id="174"/>
    </w:p>
    <w:p w14:paraId="28D333C6" w14:textId="59B14D1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2.2.2.2.2. Criterios para determinar la capacidad de pago. La capacidad de pago de las entidades descentralizadas de los entes territoriales será determinada a partir de los siguientes criterios, cuyo análisis es obligatorio: </w:t>
      </w:r>
    </w:p>
    <w:p w14:paraId="7946E657"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975F0E5" w14:textId="78D4081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 respecto a las características de la entidad: </w:t>
      </w:r>
    </w:p>
    <w:p w14:paraId="7BCBADCE"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CA76359" w14:textId="2FFF9A3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Naturaleza jurídica de la entidad calificada. </w:t>
      </w:r>
    </w:p>
    <w:p w14:paraId="20325B2D"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C9B2539" w14:textId="4FD7ADC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Descripción del sector e índole de las actividades a su cargo. </w:t>
      </w:r>
    </w:p>
    <w:p w14:paraId="2E1F8BCD"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76EFD804" w14:textId="46E0837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Competidores y posición competitiva. </w:t>
      </w:r>
    </w:p>
    <w:p w14:paraId="228C8ED2"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6A3F0943" w14:textId="0B42F3B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Situación económica, de orden público, política y social en que se desenvuelve la entidad objeto de la calificación. </w:t>
      </w:r>
    </w:p>
    <w:p w14:paraId="62335211"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0F533A44" w14:textId="054FD1E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Recursos tecnológicos con que cuenta la entidad. </w:t>
      </w:r>
    </w:p>
    <w:p w14:paraId="69C08005"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06EEFDE6" w14:textId="65E0524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Promoción de las actividades y servicios que constituyen el objeto de la entidad pública calificada. </w:t>
      </w:r>
    </w:p>
    <w:p w14:paraId="1F98785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98F2711" w14:textId="18FC3C0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Solidez de la posición de la entidad frente a condiciones adversas de cualquier índole. </w:t>
      </w:r>
    </w:p>
    <w:p w14:paraId="23DA67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CA3F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 respecto a las actividades propias de su objeto: </w:t>
      </w:r>
    </w:p>
    <w:p w14:paraId="3670C8F4"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5EE7342" w14:textId="374D959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Índole del objeto y destinación de recursos de la entidad. </w:t>
      </w:r>
    </w:p>
    <w:p w14:paraId="09210B99"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67C890F4" w14:textId="1FD9FF3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Estructura administrativa de la entidad y recursos humanos. </w:t>
      </w:r>
    </w:p>
    <w:p w14:paraId="03A42BE5"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46DC2A6" w14:textId="53C6908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Orientación estratégica de la entidad. </w:t>
      </w:r>
    </w:p>
    <w:p w14:paraId="1BC239E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1D12442" w14:textId="4C34AC4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Actividad de la entidad y tendencia actual. </w:t>
      </w:r>
    </w:p>
    <w:p w14:paraId="584B0D42"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F68DC87" w14:textId="0534DE9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Grado de regulación normativa acerca de su acción. </w:t>
      </w:r>
    </w:p>
    <w:p w14:paraId="41731C8E"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4E11E1A" w14:textId="524879B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Barreras de entrada y salida para la actividad desarrollada por la entidad objeto de la calificación. </w:t>
      </w:r>
    </w:p>
    <w:p w14:paraId="494E0D97"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B4CBD56" w14:textId="781B45B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Logros más importantes de la entidad con respecto a su gestión financiera y operativa. </w:t>
      </w:r>
    </w:p>
    <w:p w14:paraId="1C5881B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2A0869AE" w14:textId="526C35C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Propiedad y posible apoyo en caso de dificultades financieras. </w:t>
      </w:r>
    </w:p>
    <w:p w14:paraId="4ABC13C1"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FCAFF18" w14:textId="0A75229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Contingencias económicas que pueden surgir por pleitos legales. </w:t>
      </w:r>
    </w:p>
    <w:p w14:paraId="49A90F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B5AB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Con respecto a la composición general de ingresos y gastos: </w:t>
      </w:r>
    </w:p>
    <w:p w14:paraId="61A9DA2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58A7A8E" w14:textId="2C4EAF5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Análisis financiero, incluyendo proyecciones sobre los principales indicadores de rentabilidad, endeudamiento, capital, activos y liquidez. </w:t>
      </w:r>
    </w:p>
    <w:p w14:paraId="117B42D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3C8C6E08" w14:textId="4C23B8F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Análisis de debilidades, oportunidades, fortalezas y amenazas de la entidad. </w:t>
      </w:r>
    </w:p>
    <w:p w14:paraId="37D59FE7"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7265F794" w14:textId="40C099B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Requerimientos de inversión y desarrollo futuro. </w:t>
      </w:r>
    </w:p>
    <w:p w14:paraId="33B946F6"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CD7DE54" w14:textId="1964310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Políticas de financiación y capitalización. </w:t>
      </w:r>
    </w:p>
    <w:p w14:paraId="7C2F3707"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0791635" w14:textId="65E4236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Cumplimiento de presupuestos anteriores y políticas para presupuestación futura. </w:t>
      </w:r>
    </w:p>
    <w:p w14:paraId="683AD8D7"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055B2FE" w14:textId="3A5EF71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Compromisos adquiridos con proveedores, Gobierno Nacional, otras entidades públicas y clientes. </w:t>
      </w:r>
    </w:p>
    <w:p w14:paraId="209B7736"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2C0758B" w14:textId="349DB0F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Garantías otorgadas por la entidad calificada. </w:t>
      </w:r>
    </w:p>
    <w:p w14:paraId="31CB36F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6C6A22F8" w14:textId="073906E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Garantías recibidas por la entidad calificada. </w:t>
      </w:r>
    </w:p>
    <w:p w14:paraId="511C8C4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3ECC7D41" w14:textId="5C089A8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Información pública de organismos reguladores. </w:t>
      </w:r>
    </w:p>
    <w:p w14:paraId="46551932"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45EDF583" w14:textId="4F3F315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En caso de existir documentos externos de análisis financiero provistos por analistas independientes. </w:t>
      </w:r>
    </w:p>
    <w:p w14:paraId="54F086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6C27EB" w14:textId="27EAA98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Cuando las entidades descentralizadas del orden territorial requieran celebrar operaciones relacionadas con crédito público externo o interno, con plazo mayor a un año, para atender gastos diferentes a inversión, deberán cumplir además de lo establecido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los criterios especiales que se exponen a continuación, sin perjuicio de las autorizaciones legales, estatutarias y demás trámites que sean requeridos: </w:t>
      </w:r>
    </w:p>
    <w:p w14:paraId="282B8388"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12442044" w14:textId="49B4624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Tener capacidad de pago de acuerdo a lo establecido en el presente Capítulo; </w:t>
      </w:r>
    </w:p>
    <w:p w14:paraId="480E57A0"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A968587" w14:textId="2861B94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Para operaciones internas, haber contado en los últimos 3 años con una calificación de riesgo de largo plazo de por lo menos AA+ o sus equivalentes de acuerdo con las escalas usadas por las sociedades calificadoras; </w:t>
      </w:r>
    </w:p>
    <w:p w14:paraId="00003B50"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B8D680E" w14:textId="694465B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Para las operaciones externas, contar con una calificación de riesgo inferior en una escala, a la calificación de riesgo de la Nación; </w:t>
      </w:r>
    </w:p>
    <w:p w14:paraId="4F1ED57C" w14:textId="77777777" w:rsidR="00C32F85" w:rsidRPr="002C1480" w:rsidRDefault="00C32F85" w:rsidP="00C32F85">
      <w:pPr>
        <w:spacing w:after="0" w:line="254" w:lineRule="atLeast"/>
        <w:jc w:val="both"/>
        <w:rPr>
          <w:rFonts w:ascii="Arial" w:eastAsia="Times New Roman" w:hAnsi="Arial" w:cs="Arial"/>
          <w:color w:val="000000"/>
          <w:lang w:eastAsia="es-CO"/>
        </w:rPr>
      </w:pPr>
    </w:p>
    <w:p w14:paraId="5ADDBD06" w14:textId="23F0274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Dichas calificaciones deben ser emitidas por una calificadora de riesgo nacional o internacional según corresponda, autorizadas por la Superintendencia Financiera de Colombia, de las que califiquen la deuda externa de la Nación y estén vigentes”. </w:t>
      </w:r>
    </w:p>
    <w:p w14:paraId="22C0DDB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6" w:name="ver_30056747"/>
      <w:bookmarkEnd w:id="175"/>
      <w:bookmarkEnd w:id="176"/>
    </w:p>
    <w:p w14:paraId="5C068FC5" w14:textId="555CE25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2.2.2.2.3. Entidades autorizadas para calificar la capacidad de pago. La calificación de la capacidad de pago de las entidades descentralizadas de los entes territoriales, será realizada por las sociedades calificadoras de valores y actividades análogas que se encuentren debidamente autorizadas por la Superintendencia Financiera de Colombia. </w:t>
      </w:r>
    </w:p>
    <w:p w14:paraId="2D5D2726" w14:textId="77777777" w:rsidR="00F72789" w:rsidRDefault="00F72789" w:rsidP="00C32F85">
      <w:pPr>
        <w:spacing w:after="0" w:line="254" w:lineRule="atLeast"/>
        <w:jc w:val="both"/>
        <w:rPr>
          <w:rFonts w:ascii="Arial" w:eastAsia="Times New Roman" w:hAnsi="Arial" w:cs="Arial"/>
          <w:color w:val="000000"/>
          <w:lang w:eastAsia="es-CO"/>
        </w:rPr>
      </w:pPr>
    </w:p>
    <w:p w14:paraId="505E71DA" w14:textId="0140C89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2.2.2.2.4. Obligaciones de las Calificadoras de valores. La calificación sobre capacidad de pago de las entidades descentralizadas del orden territorial que emitan las calificadoras de valores, deberá expresar que se siguieron los criterios señalados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2.2.2.2.2. del presente capítulo. </w:t>
      </w:r>
    </w:p>
    <w:p w14:paraId="524289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A743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la entidad calificadora estime que alguno de los criterios indicados no puede aplicarse a la entidad descentralizada, deberá justificarlo expresamente al emitirla correspondiente calificación sobre su capacidad de pago. </w:t>
      </w:r>
    </w:p>
    <w:p w14:paraId="74D287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9907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cuando se califique la capacidad de pago de una entidad descentralizada del orden territorial, quien haya emitido la calificación deberá efectuar un seguimiento sobre la calificada a fin de verificar periódicamente su vigencia. </w:t>
      </w:r>
    </w:p>
    <w:p w14:paraId="48B0ED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9C7D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Calificada la capacidad de pago de una entidad descentralizada del orden territorial, la entidad que haya emitido la correspondiente calificación deberá ponerla en conocimiento del Ministerio de Hacienda y Crédito Público -Dirección General de Crédito Público y Tesoro Nacional, así como todos los cambios que advierta en lo sucesivo, en relación con la misma, a raíz del correspondiente seguimiento. </w:t>
      </w:r>
    </w:p>
    <w:p w14:paraId="11F5A8FE" w14:textId="77777777" w:rsidR="00F72789" w:rsidRDefault="00F72789" w:rsidP="00C32F85">
      <w:pPr>
        <w:spacing w:after="0" w:line="254" w:lineRule="atLeast"/>
        <w:jc w:val="both"/>
        <w:rPr>
          <w:rFonts w:ascii="Arial" w:eastAsia="Times New Roman" w:hAnsi="Arial" w:cs="Arial"/>
          <w:color w:val="000000"/>
          <w:lang w:eastAsia="es-CO"/>
        </w:rPr>
      </w:pPr>
    </w:p>
    <w:p w14:paraId="7D4E85D2" w14:textId="67F3E06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2.2.2.2.5. Selección de la Calificadora de Valores. Las entidades señaladas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2.2.2.2.1. del presente capítulo que requieran una calificación sobre su capacidad de pago, deberán escoger quien deba efectuarla de acuerdo con las disposiciones aplicables en materia de Contratación Administrativa. </w:t>
      </w:r>
    </w:p>
    <w:p w14:paraId="4870CA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227632" w14:textId="2C96C3F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Sin perjuicio de lo anterior, los contratos que se celebren para obtener la calificación de la capacidad de pago de las entidades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considerarán </w:t>
      </w:r>
      <w:r w:rsidRPr="002C1480">
        <w:rPr>
          <w:rFonts w:ascii="Arial" w:eastAsia="Times New Roman" w:hAnsi="Arial" w:cs="Arial"/>
          <w:color w:val="000000"/>
          <w:lang w:eastAsia="es-CO"/>
        </w:rPr>
        <w:lastRenderedPageBreak/>
        <w:t xml:space="preserve">incluidos dentro de las operaciones reguladas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2.2.1.1.4 del Capítulo 1 del Título 1 de la presente parte o las normas que lo modifiquen. </w:t>
      </w:r>
    </w:p>
    <w:p w14:paraId="51349257" w14:textId="3E39D85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7" w:name="ver_30056750"/>
      <w:bookmarkEnd w:id="177"/>
    </w:p>
    <w:p w14:paraId="68DEF23D" w14:textId="363AD376" w:rsidR="008F7B30" w:rsidRPr="001F3D32" w:rsidRDefault="002C1480" w:rsidP="00C32F85">
      <w:pPr>
        <w:spacing w:after="0" w:line="254" w:lineRule="atLeast"/>
        <w:jc w:val="both"/>
        <w:rPr>
          <w:rFonts w:ascii="Arial" w:eastAsia="Times New Roman" w:hAnsi="Arial" w:cs="Arial"/>
          <w:color w:val="000000"/>
          <w:lang w:eastAsia="es-CO"/>
        </w:rPr>
      </w:pPr>
      <w:r w:rsidRPr="001F3D32">
        <w:rPr>
          <w:rFonts w:ascii="Arial" w:eastAsia="Times New Roman" w:hAnsi="Arial" w:cs="Arial"/>
          <w:color w:val="000000"/>
          <w:lang w:eastAsia="es-CO"/>
        </w:rPr>
        <w:t>ARTÍCULO</w:t>
      </w:r>
      <w:r w:rsidR="008F7B30" w:rsidRPr="001F3D32">
        <w:rPr>
          <w:rFonts w:ascii="Arial" w:eastAsia="Times New Roman" w:hAnsi="Arial" w:cs="Arial"/>
          <w:color w:val="000000"/>
          <w:lang w:eastAsia="es-CO"/>
        </w:rPr>
        <w:t xml:space="preserve"> 2.2.2.2.6. Información financiera básica. No obstante que las personas autorizadas para calificar capacidad de pago de las entidades a que se refiere el presente capítulo puedan emplear información complementaria para la elaboración de los estudios pertinentes, la información financiera básica que deberán utilizar será la registrada en la Contaduría General de la Nación. </w:t>
      </w:r>
    </w:p>
    <w:p w14:paraId="6C12FBC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78" w:name="ver_30102916"/>
      <w:bookmarkStart w:id="179" w:name="ver_30102915"/>
      <w:bookmarkEnd w:id="178"/>
    </w:p>
    <w:p w14:paraId="2F52DE63" w14:textId="13DDB54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2.2.2.2.7. Obligaciones de las Juntas o Consejos Directivos para la gestión o autorización de operaciones de crédito público.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8° de la Ley 358 de 1997, los miembros de las Juntas o Consejos Directivos de las entidades descentralizadas del orden territorial son responsables y deberán verificar al autorizar la gestión o celebración de operaciones de crédito público, el cabal cumplimiento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364 de la Constitución Política en el sentido de no exceder la capacidad de pago, tener presente la situación financiera de la entidad, las eficiencias que se generen y el uso adecuado de los recursos </w:t>
      </w:r>
    </w:p>
    <w:p w14:paraId="68EDEB2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80" w:name="ver_30102917"/>
      <w:bookmarkEnd w:id="179"/>
      <w:bookmarkEnd w:id="180"/>
    </w:p>
    <w:p w14:paraId="0A6267F9" w14:textId="5B2EDFC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2.2.2.2.8. Deberes de las entidades prestamistas. El cumplimiento de los requisitos señalados en este Capítulo por parte de las entidades descentralizadas del orden territorial, no eximirá a las entidades prestamistas de adelantar los análisis de riesgo crediticio que le corresponden </w:t>
      </w:r>
    </w:p>
    <w:p w14:paraId="7C3B6F27"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7B895745" w14:textId="77777777" w:rsidR="008F7B30" w:rsidRPr="001F3D32" w:rsidRDefault="008F7B30" w:rsidP="001F3D32">
      <w:pPr>
        <w:spacing w:after="0" w:line="293" w:lineRule="atLeast"/>
        <w:jc w:val="center"/>
        <w:rPr>
          <w:rFonts w:ascii="Arial" w:eastAsia="Times New Roman" w:hAnsi="Arial" w:cs="Arial"/>
          <w:b/>
          <w:bCs/>
          <w:color w:val="000000"/>
          <w:lang w:eastAsia="es-CO"/>
        </w:rPr>
      </w:pPr>
      <w:bookmarkStart w:id="181" w:name="ver_30056752"/>
      <w:bookmarkEnd w:id="181"/>
      <w:r w:rsidRPr="001F3D32">
        <w:rPr>
          <w:rFonts w:ascii="Arial" w:eastAsia="Times New Roman" w:hAnsi="Arial" w:cs="Arial"/>
          <w:b/>
          <w:bCs/>
          <w:color w:val="000000"/>
          <w:lang w:eastAsia="es-CO"/>
        </w:rPr>
        <w:t>CAPÍTULO 3</w:t>
      </w:r>
    </w:p>
    <w:p w14:paraId="5EE5EEBF" w14:textId="77777777"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DETERMINACIÓN DE LA CAPACIDAD DE PAGO PARA ÁREAS</w:t>
      </w:r>
    </w:p>
    <w:p w14:paraId="3604F8D1" w14:textId="77777777"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METROPOLITANAS, ASOCIACIONES DE MUNICIPIOS Y OTRAS</w:t>
      </w:r>
    </w:p>
    <w:p w14:paraId="77CA452F"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ENTIDADES ESTATALES DE NATURALEZA ESPECIAL</w:t>
      </w:r>
    </w:p>
    <w:p w14:paraId="25CD256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82" w:name="ver_30056753"/>
      <w:bookmarkEnd w:id="182"/>
    </w:p>
    <w:p w14:paraId="4A2151C3" w14:textId="0F978D9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2.2.2.3.1. Ámbito de aplicación. Para los efectos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 de la Ley 781 de 2002, las siguientes entidades estatales podrán demostrar su capacidad de pago según lo dispuesto por el Capítulo 2 anterior: </w:t>
      </w:r>
    </w:p>
    <w:p w14:paraId="7B4A822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6FE3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áreas metropolitanas. </w:t>
      </w:r>
    </w:p>
    <w:p w14:paraId="037BE8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A4E0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asociaciones de municipios. </w:t>
      </w:r>
    </w:p>
    <w:p w14:paraId="274A9A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1D4B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entes universitarios autónomos. </w:t>
      </w:r>
    </w:p>
    <w:p w14:paraId="22D6CC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7FBD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corporaciones autónomas regionales. </w:t>
      </w:r>
    </w:p>
    <w:p w14:paraId="309283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C1C5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 Autoridad Nacional de Televisión. </w:t>
      </w:r>
    </w:p>
    <w:p w14:paraId="32EF879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83" w:name="ver_30056754"/>
      <w:bookmarkEnd w:id="183"/>
    </w:p>
    <w:p w14:paraId="2A316C12" w14:textId="4093FC9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2.2.2.3.2. Verificación de la existencia de capacidad de pago. El funcionario competente para autorizar las operaciones de crédito público de las entidades señaladas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deberá comprobar previamente que ellas tienen capacidad de pago, mediante el concepto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2.2.1.8. del Título 1 de la presente parte de este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Único o por medio de la calificación expedida según el Capítulo 2 anterior y que tales requisitos han sido satisfechos siguiendo los criterios que establece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2.2.2.2.2. de este último. </w:t>
      </w:r>
    </w:p>
    <w:p w14:paraId="450BC7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30E1E2" w14:textId="27194EEC" w:rsidR="008F7B30" w:rsidRPr="002C1480" w:rsidRDefault="002C1480" w:rsidP="00C32F85">
      <w:pPr>
        <w:spacing w:after="0" w:line="254" w:lineRule="atLeast"/>
        <w:jc w:val="both"/>
        <w:rPr>
          <w:rFonts w:ascii="Arial" w:eastAsia="Times New Roman" w:hAnsi="Arial" w:cs="Arial"/>
          <w:color w:val="000000"/>
          <w:lang w:eastAsia="es-CO"/>
        </w:rPr>
      </w:pPr>
      <w:bookmarkStart w:id="184" w:name="ver_30056755"/>
      <w:bookmarkEnd w:id="184"/>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2.2.2.3.3. Informe al Ministerio de Hacienda y Crédito Público sobre variaciones de la situación financiera. Las entidades estatales enumeradas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2.2.2.3.1. del presente capítulo que celebren operaciones de crédito público autorizadas con fundamento en los documentos que indica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precedente, deberán informar trimestralmente al Ministerio de Hacienda y Crédito Público -Dirección General de Crédito Público y Tesoro Nacional- las variaciones en su situación financiera que, a juicio de la entidad que efectuó inicialmente su valoración, pueden afectarla de manera significativa y adversa. </w:t>
      </w:r>
    </w:p>
    <w:p w14:paraId="22DE5BAA" w14:textId="00A689EB"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85" w:name="ver_30056756"/>
      <w:bookmarkEnd w:id="185"/>
    </w:p>
    <w:p w14:paraId="476F4C1E" w14:textId="353FA95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2.2.2.3.4. Validez de la calificación de capacidad de pago. La calificación sobre capacidad de pago será válida solamente si se fundamenta en la información financiera registrada en la Contaduría General de la Nación. </w:t>
      </w:r>
    </w:p>
    <w:p w14:paraId="530EB3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12F9E8" w14:textId="77777777" w:rsidR="008F7B30" w:rsidRPr="001F3D32" w:rsidRDefault="008F7B30" w:rsidP="001F3D32">
      <w:pPr>
        <w:spacing w:after="0" w:line="293" w:lineRule="atLeast"/>
        <w:jc w:val="center"/>
        <w:rPr>
          <w:rFonts w:ascii="Arial" w:eastAsia="Times New Roman" w:hAnsi="Arial" w:cs="Arial"/>
          <w:b/>
          <w:bCs/>
          <w:color w:val="000000"/>
          <w:lang w:eastAsia="es-CO"/>
        </w:rPr>
      </w:pPr>
      <w:bookmarkStart w:id="186" w:name="ver_30056757"/>
      <w:bookmarkEnd w:id="186"/>
      <w:r w:rsidRPr="001F3D32">
        <w:rPr>
          <w:rFonts w:ascii="Arial" w:eastAsia="Times New Roman" w:hAnsi="Arial" w:cs="Arial"/>
          <w:b/>
          <w:bCs/>
          <w:color w:val="000000"/>
          <w:lang w:eastAsia="es-CO"/>
        </w:rPr>
        <w:t>TÍTULO 3</w:t>
      </w:r>
    </w:p>
    <w:p w14:paraId="510A30B7"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PRÉSTAMOS DE LA NACIÓN A LAS ENTIDADES TERRITORIALES Y A LAS ENTIDADES DESCENTRALIZADAS</w:t>
      </w:r>
    </w:p>
    <w:p w14:paraId="0EFBCB0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87" w:name="ver_30056758"/>
      <w:bookmarkEnd w:id="187"/>
    </w:p>
    <w:p w14:paraId="6CA795C4" w14:textId="441472F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2.2.3.1. Préstamos a las Entidades Territoriales y a las Entidades Descentralizadas. </w:t>
      </w:r>
    </w:p>
    <w:p w14:paraId="74296714" w14:textId="09AAEEF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efectos de los préstamos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43 del Estatuto Orgánico del Presupuesto General de la Nación corresponderá al Ministerio de Hacienda y Crédito Público fijar en los contratos respectivos las condiciones financieras y las garantías, de conformidad con el estudio que adelante a través de la Dirección General de Crédito Público y Tesoro Nacional, para lo cual el ente destinatario o la entidad prestataria deberá presentar ante la citada dependencia los siguientes documentos: </w:t>
      </w:r>
    </w:p>
    <w:p w14:paraId="736453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DA37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Solicitud suscrita por el ministro, jefe de departamento administrativo, gobernador, alcalde, administrador o representante del ente destinatario de los recursos, de ser éste el caso; </w:t>
      </w:r>
    </w:p>
    <w:p w14:paraId="508D62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193AEC" w14:textId="17B85E2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Copia debidamente autenticada de la ordenanza, acuerdo,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resolución o acta que autorice al representante del prestatario o a éste como administrador o representante del ente destinatario de los recursos, de ser el caso, para contratar el préstamo y otorgar las garantías que lo respalden. </w:t>
      </w:r>
    </w:p>
    <w:p w14:paraId="71F650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71329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En los casos en que la autorización proceda mediante acta de junta directiva u otro organismo directivo que haga sus veces, bastará allegar la certificación del secretario de la misma, la cual deberá contener el extracto correspondiente; </w:t>
      </w:r>
    </w:p>
    <w:p w14:paraId="3EADA8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2B45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Certificado de libertad de las garantías que habrán de otorgarse, suscrito por la autoridad competente, y </w:t>
      </w:r>
    </w:p>
    <w:p w14:paraId="4211CE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2998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Los documentos demostrativos de la situación financiera de la entidad prestataria y del ente destinatario de los recursos, de ser éste el caso, así como los demás que, a juicio del Ministerio de Hacienda y Crédito Público -Dirección General de Crédito Público y Tesoro Nacional-, deba aportar. </w:t>
      </w:r>
    </w:p>
    <w:p w14:paraId="641A4CB0" w14:textId="690D7141"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88" w:name="ver_30056759"/>
      <w:bookmarkEnd w:id="188"/>
    </w:p>
    <w:p w14:paraId="5FFCD879" w14:textId="0A18F7E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2.2.3.2. Suscripción y perfeccionamiento de los contratos de préstamo. Los contratos de préstamo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serán suscritos por el Presidente de la República y el Ministro de Hacienda y Crédito Público, en nombre de la Nación, o por este último, conforme a las normas de delegación vigentes, y, por el representante del prestatario. Estos contratos se </w:t>
      </w:r>
      <w:r w:rsidR="008F7B30" w:rsidRPr="002C1480">
        <w:rPr>
          <w:rFonts w:ascii="Arial" w:eastAsia="Times New Roman" w:hAnsi="Arial" w:cs="Arial"/>
          <w:color w:val="000000"/>
          <w:lang w:eastAsia="es-CO"/>
        </w:rPr>
        <w:lastRenderedPageBreak/>
        <w:t>perfeccionarán mediante su publicación en el Sistema Electrónico para Ia Contratación Pública -SECOP. </w:t>
      </w:r>
    </w:p>
    <w:p w14:paraId="3AE127C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89" w:name="ver_30056760"/>
      <w:bookmarkEnd w:id="189"/>
    </w:p>
    <w:p w14:paraId="6AC04772" w14:textId="0A0CD57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2.2.3.3. Desembolsos. Previo el cumplimiento de los requisitos contractuales, el Gobierno Nacional efectuará los desembolsos con sujeción a las apropiaciones presupuestales y con estricto cumplimiento de las disposiciones presupuestales. </w:t>
      </w:r>
    </w:p>
    <w:p w14:paraId="04DE9F3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90" w:name="ver_30056761"/>
      <w:bookmarkEnd w:id="190"/>
    </w:p>
    <w:p w14:paraId="6B8EB594" w14:textId="5B798FC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2.2.3.4. Requisito previo a la celebración de los contratos de préstamo. Los contratos de préstamo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43 del Estatuto Orgánico del Presupuesto General de la Nación, sólo podrán celebrarse con los entes y entidades que se encuentren a paz y salvo con la Nación en el pago de préstamos u otras operaciones de crédito respectivamente otorgados o celebrados con anterioridad. </w:t>
      </w:r>
    </w:p>
    <w:p w14:paraId="5CD8DC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85D22D" w14:textId="25E19DE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anterior es igualmente aplicable a las entidades de cualquier naturaleza que, como administradoras o representantes de los entes destinatarios de los recursos, actúen como prestatarias en los contratos de préstamo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43 del Estatuto Orgánico del Presupuesto General de la Nación. </w:t>
      </w:r>
    </w:p>
    <w:p w14:paraId="5902D181" w14:textId="459E6CF3"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91" w:name="ver_30056762"/>
      <w:bookmarkEnd w:id="191"/>
    </w:p>
    <w:p w14:paraId="5C2C3A7F" w14:textId="75792E2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2.2.3.5. Reestructuración de los préstamos. El Ministerio de Hacienda y Crédito Público podrá autorizar mediante resolución, la restructuración de los préstamos otorgados por la Nación en desarrollo de lo previsto en el 43 del Estatuto Orgánico del Presupuesto General de la Nación, previo estudio correspondiente que adelante la Dirección General de Crédito Público y Tesoro Nacional, para lo cual, la entidad o ente interesado deberá allegar a dicha Dirección los siguientes documentos: </w:t>
      </w:r>
    </w:p>
    <w:p w14:paraId="27CD04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4232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Solicitud motivada suscrita por el representante de la entidad prestataria; </w:t>
      </w:r>
    </w:p>
    <w:p w14:paraId="298F29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361D61" w14:textId="78AEF30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Copia debidamente autenticada de la ordenanza, acuerdo,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resolución o acta que autorice al representante del prestatario o a éste como administrador o representante del ente destinatario de los recursos, de ser el caso, para contratar el préstamo y otorgar las garantías que lo respalden. </w:t>
      </w:r>
    </w:p>
    <w:p w14:paraId="5B1215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BEE6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En los casos en que la autorización proceda mediante acta de junta directiva u otro organismo directivo que haga sus veces, bastará allegar la certificación del secretario de la misma, la cual deberá contener el extracto correspondiente; </w:t>
      </w:r>
    </w:p>
    <w:p w14:paraId="3997AE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0EAA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Certificado de libertad de las garantías que habrán de otorgarse, suscrito por la autoridad competente, y </w:t>
      </w:r>
    </w:p>
    <w:p w14:paraId="4CB6E6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ACD8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Los documentos demostrativos de la situación financiera de la entidad prestataria y los demás que, a juicio del Ministerio de Hacienda y Crédito Público -Dirección General de Crédito Público y Tesoro Nacional -, deba aportar. </w:t>
      </w:r>
    </w:p>
    <w:p w14:paraId="44EA70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EAB44A" w14:textId="640A7D7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Una vez cumplidos los requisitos anteriores y aprobada la restructuración de los contratos de préstamo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los contratos respectivos serán elaborados por la Dirección General de Crédito Público y Tesoro Nacional y suscritos por el Presidente de la República y el Ministro de Hacienda y Crédito Público, en nombre de la Nación, o por este último, conforme a las normas de delegación vigentes y por el representante del prestatario. Estos contratos se perfeccionarán mediante su publicación en el Sistema Electrónico para Ia Contratación Pública –SECOP. </w:t>
      </w:r>
    </w:p>
    <w:p w14:paraId="389540AC" w14:textId="35E1B004" w:rsidR="008F7B30" w:rsidRPr="002C1480" w:rsidRDefault="002C1480" w:rsidP="00C32F85">
      <w:pPr>
        <w:spacing w:after="0" w:line="254" w:lineRule="atLeast"/>
        <w:jc w:val="both"/>
        <w:rPr>
          <w:rFonts w:ascii="Arial" w:eastAsia="Times New Roman" w:hAnsi="Arial" w:cs="Arial"/>
          <w:color w:val="000000"/>
          <w:lang w:eastAsia="es-CO"/>
        </w:rPr>
      </w:pPr>
      <w:bookmarkStart w:id="192" w:name="ver_30056763"/>
      <w:bookmarkEnd w:id="192"/>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2.2.3.6. Consignación al Tesoro Nacional. Las entidades prestatarias deberán consignar a disposición del Tesoro Nacional, en las fechas de pago pactadas en los contratos, el valor de las cuotas de amortización, intereses, comisiones, gastos y demás erogaciones correspondientes al servicio de la deuda contraída con la Nación. </w:t>
      </w:r>
    </w:p>
    <w:p w14:paraId="57E6831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93" w:name="ver_30056764"/>
      <w:bookmarkEnd w:id="193"/>
    </w:p>
    <w:p w14:paraId="413EE4F7" w14:textId="273F1EC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2.2.3.7. Inclusión de la deuda en los proyectos anuales de presupuesto. Las entidades prestatarias estarán obligadas a incluir en sus proyectos anuales de presupuesto el valor de las amortizaciones, intereses, comisiones, gastos y demás erogaciones correspondientes a las deudas contraídas con la Nación. </w:t>
      </w:r>
    </w:p>
    <w:p w14:paraId="69AEBB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5F6D83" w14:textId="77777777" w:rsidR="008F7B30" w:rsidRPr="001F3D32" w:rsidRDefault="008F7B30" w:rsidP="001F3D32">
      <w:pPr>
        <w:spacing w:after="0" w:line="293" w:lineRule="atLeast"/>
        <w:jc w:val="center"/>
        <w:rPr>
          <w:rFonts w:ascii="Arial" w:eastAsia="Times New Roman" w:hAnsi="Arial" w:cs="Arial"/>
          <w:b/>
          <w:bCs/>
          <w:color w:val="000000"/>
          <w:lang w:eastAsia="es-CO"/>
        </w:rPr>
      </w:pPr>
      <w:bookmarkStart w:id="194" w:name="ver_30056765"/>
      <w:bookmarkEnd w:id="194"/>
      <w:r w:rsidRPr="001F3D32">
        <w:rPr>
          <w:rFonts w:ascii="Arial" w:eastAsia="Times New Roman" w:hAnsi="Arial" w:cs="Arial"/>
          <w:b/>
          <w:bCs/>
          <w:color w:val="000000"/>
          <w:lang w:eastAsia="es-CO"/>
        </w:rPr>
        <w:t>PARTE 3</w:t>
      </w:r>
    </w:p>
    <w:p w14:paraId="3AF93CBE" w14:textId="69C68DE7" w:rsidR="008F7B30"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TESORERÍA Y MANEJO DE LOS RECURSOS PÚBLICOS</w:t>
      </w:r>
    </w:p>
    <w:p w14:paraId="013EB8C7" w14:textId="77777777" w:rsidR="001F3D32" w:rsidRPr="001F3D32" w:rsidRDefault="001F3D32" w:rsidP="001F3D32">
      <w:pPr>
        <w:spacing w:after="0" w:line="293" w:lineRule="atLeast"/>
        <w:jc w:val="center"/>
        <w:rPr>
          <w:rFonts w:ascii="Arial" w:eastAsia="Times New Roman" w:hAnsi="Arial" w:cs="Arial"/>
          <w:b/>
          <w:bCs/>
          <w:color w:val="000000"/>
          <w:lang w:eastAsia="es-CO"/>
        </w:rPr>
      </w:pPr>
    </w:p>
    <w:p w14:paraId="069C0C22" w14:textId="77777777"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TÍTULO 1</w:t>
      </w:r>
    </w:p>
    <w:p w14:paraId="2B8A364A"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SISTEMA DE CUENTA ÚNICA NACIONAL</w:t>
      </w:r>
    </w:p>
    <w:p w14:paraId="705188B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95" w:name="ver_30056766"/>
      <w:bookmarkEnd w:id="195"/>
    </w:p>
    <w:p w14:paraId="02F72B3B" w14:textId="17D8162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 Definición del Sistema de Cuenta Única Nacional. El Sistema de Cuenta Única Nacional (SCUN) es el conjunto de procesos de recaudo, traslado, administración y giro de recursos realizados por los órganos que conforman el Presupuesto General de la Nación. Los lineamientos y procedimientos para el traslado de recursos al SCUN, su administración y giro serán establecidos por la Dirección General de Crédito Público y Tesoro Nacional del Ministerio de Hacienda y Crédito Público, conforme a las normas orgánicas del presupuesto. </w:t>
      </w:r>
    </w:p>
    <w:p w14:paraId="5F421A0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ED3CBD" w14:textId="7569F0B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ingresos del Sistema de Cuenta Única Nacional corresponden al recaudo de las rentas y recursos de capital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y su correspondiente traslado a la Dirección General de Crédito Público y Tesoro Nacional. </w:t>
      </w:r>
    </w:p>
    <w:p w14:paraId="793FDFF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8122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que se trasladen al Sistema de Cuenta Única Nacional serán administrados por la Dirección General de Crédito Público y Tesoro Nacional del Ministerio de Hacienda y Crédito Público hasta tanto se efectúen los giros para atender el pago oportuno de las apropiaciones autorizadas en el Presupuesto General de la Nación. </w:t>
      </w:r>
    </w:p>
    <w:p w14:paraId="4F13E7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9983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giros corresponden al pago de obligaciones en nombre de cada órgano ejecutor del Presupuesto General de la Nación, con los recursos disponibles en el Sistema de Cuenta Única Nacional. </w:t>
      </w:r>
    </w:p>
    <w:p w14:paraId="215CFF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BFDD4E" w14:textId="0577374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procedimientos corresponden a las disposiciones que de conformidad con las normas presupuestales imparta la Dirección General de Crédito Público y Tesoro Nacional del Ministerio de Hacienda y Crédito Público para la administración de los recursos que integran el Sistema de Cuenta única Nacional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2.3.1.5. de este título. </w:t>
      </w:r>
    </w:p>
    <w:p w14:paraId="6699B1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3F70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 administración de los recursos del Sistema de Cuenta Única Nacional, la Dirección General de Crédito Público y Tesoro Nacional del Ministerio de Hacienda y Crédito Público contará con un mecanismo de registro por entidad, tanto de los traslados como de los giros de recursos realizados con cargo al Sistema de Cuenta Única Nacional. </w:t>
      </w:r>
    </w:p>
    <w:p w14:paraId="69DD45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B428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los casos en que no se pueda realizar pago a beneficiario final, los recursos se podrán ubicar en la cuenta que para el efecto indique previamente la entidad estatal. </w:t>
      </w:r>
    </w:p>
    <w:p w14:paraId="6287EC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09664B" w14:textId="26AF9E42" w:rsidR="008F7B30" w:rsidRPr="002C1480" w:rsidRDefault="002C1480" w:rsidP="00C32F85">
      <w:pPr>
        <w:spacing w:after="0" w:line="254" w:lineRule="atLeast"/>
        <w:jc w:val="both"/>
        <w:rPr>
          <w:rFonts w:ascii="Arial" w:eastAsia="Times New Roman" w:hAnsi="Arial" w:cs="Arial"/>
          <w:color w:val="000000"/>
          <w:lang w:eastAsia="es-CO"/>
        </w:rPr>
      </w:pPr>
      <w:bookmarkStart w:id="196" w:name="ver_30056767"/>
      <w:bookmarkEnd w:id="196"/>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2.3.1.2. Ámbito de aplicación. Las disposiciones del Sistema de Cuenta Única Nacional se aplicarán a los recursos que forman parte del Presupuesto General de la Nación, y a los que por disposición legal administre la Dirección General de Crédito Público y Tesoro Nacional del Ministerio de Hacienda y Crédito Público, con excepción de los establecimientos públicos que administran contribuciones parafiscales y los órganos de previsión y seguridad social que administren prestaciones sociales de carácter económico. </w:t>
      </w:r>
    </w:p>
    <w:p w14:paraId="55A654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0ADC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del Sistema de Cuenta Única Nacional seguirán conservando la naturaleza, propiedad y fines de la ley que los creó. </w:t>
      </w:r>
    </w:p>
    <w:p w14:paraId="1B33476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97" w:name="ver_30056768"/>
      <w:bookmarkEnd w:id="197"/>
    </w:p>
    <w:p w14:paraId="194616B4" w14:textId="3ABE295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2.3.1.3. Recaudo y ejecución de recursos del Sistema de Cuenta Única Nacional. Las respectivas entidades estatales y sus correspondientes órganos de administración o dirección serán los responsables del recaudo, clasificación y ejecución de sus recursos propios, administrados y de los fondos especiales que sean trasladados al Sistema de Cuenta Única Nacional. </w:t>
      </w:r>
    </w:p>
    <w:p w14:paraId="17A37DE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198" w:name="ver_30056769"/>
      <w:bookmarkEnd w:id="198"/>
    </w:p>
    <w:p w14:paraId="7621C2B5" w14:textId="67237F9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2.3.1.4. Traslado de Recursos a la Cuenta Única Nacional. A partir del 18de septiembre de 2014 y previa instrucción de la Dirección General de Crédito Público y Tesoro Nacional del Ministerio de Hacienda y Crédito Público, los recaudos de los recursos propios, administrados y de los fondos especiales de los órganos que forman parte del Presupuesto General de la Nación deberán trasladarse a la Cuenta Única que para estos efectos disponga la Dirección General de Crédito Público y Tesoro Nacional del Ministerio de Hacienda y Crédito Público. </w:t>
      </w:r>
    </w:p>
    <w:p w14:paraId="083798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CF61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propios, administrados y de los fondos especiales que al 29 de noviembre de 2013 se encuentren invertidos en Títulos de Deuda Pública emitidos por la Nación o cualquier otro activo financiero distinto de estos y que no se encuentren generando pérdidas de capital, se incorporarán como ingresos del Sistema de Cuenta Única Nacional por su valor equivalente a precios de mercado, para lo cual se realizará una transferencia delos derechos incorporados en dichos títulos ante el Depósito Central de Valores del Banco de la República a favor de la Nación - Dirección General de Crédito Público y Tesoro Nacional. </w:t>
      </w:r>
    </w:p>
    <w:p w14:paraId="49CD6D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FFEA00" w14:textId="09D9CE2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el evento en que las inversiones que no hayan sido trasladadas al Sistema de Cuenta Única Nacional por encontrarse generando pérdidas de capital, produzcan algún recaudo por concepto de rendimientos, dividendos o amortización, se deberá proceder con el traslado de este recaudo en los términos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En todo caso, se deberá proceder al traslado de dichas inversiones cuando las mismas hayan dejado de generar pérdidas de capital. </w:t>
      </w:r>
    </w:p>
    <w:p w14:paraId="3CC103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A9749F" w14:textId="7BA89B5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Hasta tanto la Dirección General de Crédito Público y Tesoro Nacional no emita la instrucción de inclusión de recursos al Sistema de Cuenta Única Nacional, de conformidad con lo descrito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2.3.1.7. del presente título, los órganos que forman parte del Presupuesto General de la Nación deberán continuar administrando y ejecutando directamente sus ingresos por concepto de recursos propios, administrados y de los fondos especiales. </w:t>
      </w:r>
    </w:p>
    <w:p w14:paraId="26EBE0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FF99A8" w14:textId="5FC8DB9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inversión de los excedentes de liquidez que se generen en esta administración seguirá atendiendo las disposiciones legales aplicables y se podrán liquidar anticipadamente con el fin de atender compromisos de gasto, de conformidad con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2.3.3.2.4. y 2.3.3.3. del Título 3 de la presente parte o cualquier norma que lo modifique o adicione. </w:t>
      </w:r>
    </w:p>
    <w:p w14:paraId="395E8985" w14:textId="16E70383"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99" w:name="ver_30056770"/>
      <w:bookmarkEnd w:id="199"/>
    </w:p>
    <w:p w14:paraId="7ACE7E17" w14:textId="0D86174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2.3.1.5. Administración de recursos del Sistema de Cuenta Única Nacional. La Dirección General de Crédito Público y Tesoro Nacional del Ministerio de Hacienda y Crédito Público establecerá para cada entidad o fondo especial a los que se les aplique el presente título, los procedimientos operativos, plazos y flujos de información requeridos para el funcionamiento del Sistema de Cuenta Única Nacional de conformidad con lo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2.3.1.7 del presente título. </w:t>
      </w:r>
    </w:p>
    <w:p w14:paraId="3B8D247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0" w:name="ver_30056771"/>
      <w:bookmarkEnd w:id="200"/>
    </w:p>
    <w:p w14:paraId="30BDF514" w14:textId="2864077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2.3.1.6. Disponibilidad de recursos para la atención de giros. La Dirección General de Crédito Público y Tesoro Nacional del Ministerio de Hacienda y Crédito Público se abstendrá de efectuar giros a beneficiarios de gastos, financiados con recursos propios de los establecimientos públicos del orden nacional y los fondos especiales, en caso de no existir disponibilidad de los mismos en el Sistema Integrado de Información Financiera (SIIF) Nación. </w:t>
      </w:r>
    </w:p>
    <w:p w14:paraId="3617B460" w14:textId="7169F945"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01" w:name="ver_30056772"/>
      <w:bookmarkEnd w:id="201"/>
    </w:p>
    <w:p w14:paraId="466F9B05" w14:textId="554FEA5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2.3.1.7. 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transitorio. Plazos y Criterios para la inclusión de recursos en el Sistema de Cuenta Única Nacional. Para que los recursos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2.3.1.2. del presente título sean incluidos en el Sistema de Cuenta Única Nacional, la Dirección General de Crédito Público y Tesoro Nacional mediante comunicación escrita emitirá la instrucción correspondiente para que el órgano respectivo efectúe el traslado. En todo caso, a más tardar el 31 de diciembre de 2015, las entidades obligadas deberán trasladar a la Cuenta Única que para estos efectos disponga la Dirección General de Crédito Público y Tesoro Nacional del Ministerio de Hacienda y Crédito Público los recursos propios, administrados o de fondos especiales. </w:t>
      </w:r>
    </w:p>
    <w:p w14:paraId="429AE7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C267DE" w14:textId="5C8FD9E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A partir del 26 de diciembre de 2014 y hasta el 31 de diciembre de 2015, la Dirección General de Crédito Público y Tesoro Nacional tendrá en cuenta cualquiera de los siguientes criterios para incluir en forma progresiva los recursos de las entidades que deban trasladarse a la Cuenta Única Nacional: i) Entidades o fondos que hayan reportado los mayores promedios mensuales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2.3.3.2.10. del Capítulo 2 del Título 3 de la presente parte durante la última vigencia fiscal, o, ii) entidades o fondos que presenten el mayor crecimiento del saldo nominal de TES de los últimos doce (12) meses, o iii) entidades o fondos que tengan la menor ejecución presupuestal de la vigencia con cargo a recursos propios. </w:t>
      </w:r>
    </w:p>
    <w:p w14:paraId="41C0459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2" w:name="ver_30056773"/>
      <w:bookmarkEnd w:id="202"/>
    </w:p>
    <w:p w14:paraId="083B3E41" w14:textId="458D63F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2.3.1.8. Rendimientos financieros. La Dirección General de Crédito Público y Tesoro Nacional abonará una vez al año, máximo hasta el último día hábil bancario de la vigencia fiscal, el valor de los rendimientos generados por los recursos administrados en el SCUN de acuerdo a los recursos manejados y a las inversiones realizadas en el lapso en que permanecieron los saldos disponibles. </w:t>
      </w:r>
    </w:p>
    <w:p w14:paraId="0F0ACEF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3" w:name="ver_30056774"/>
      <w:bookmarkStart w:id="204" w:name="ver_30056775"/>
      <w:bookmarkEnd w:id="203"/>
      <w:bookmarkEnd w:id="204"/>
    </w:p>
    <w:p w14:paraId="2CB3BC71" w14:textId="602D6ED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2.3.1.10. Pagos con cargo al Presupuesto General de la Nación. Todos los pagos a beneficiarios originados en los órganos con cargo a los recursos del Presupuesto General de la Nación, deberán ser realizados por la Dirección General de Crédito Público y Tesoro Nacional mediante abono en cuenta, a través del sistema ACH del banco agente. </w:t>
      </w:r>
    </w:p>
    <w:p w14:paraId="110DC3C6" w14:textId="77777777" w:rsidR="001F3D32" w:rsidRDefault="001F3D32" w:rsidP="00C32F85">
      <w:pPr>
        <w:spacing w:after="0" w:line="293" w:lineRule="atLeast"/>
        <w:jc w:val="both"/>
        <w:rPr>
          <w:rFonts w:ascii="Arial" w:eastAsia="Times New Roman" w:hAnsi="Arial" w:cs="Arial"/>
          <w:color w:val="000000"/>
          <w:lang w:eastAsia="es-CO"/>
        </w:rPr>
      </w:pPr>
      <w:bookmarkStart w:id="205" w:name="ver_30056776"/>
      <w:bookmarkEnd w:id="205"/>
    </w:p>
    <w:p w14:paraId="36124A3B" w14:textId="67F0843B"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CAPÍTULO 1</w:t>
      </w:r>
    </w:p>
    <w:p w14:paraId="76B6985D" w14:textId="77777777"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TITULARIDAD DE RECURSOS DE LA NACIÓN EN PATRIMONIOS</w:t>
      </w:r>
    </w:p>
    <w:p w14:paraId="56002D4E"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AUTÓNOMOS</w:t>
      </w:r>
    </w:p>
    <w:p w14:paraId="5FD6FD8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6" w:name="ver_30056777"/>
      <w:bookmarkEnd w:id="206"/>
    </w:p>
    <w:p w14:paraId="55C9D97F" w14:textId="5F16B8D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2.3.1.1.1. Reintegro de tesorería de saldos de recursos públicos en patrimonios autónomos. Las entidades ejecutoras del Presupuesto General de la Nación que hayan recibido aportes de la Nación destinados a la ejecución de recursos a través de patrimonios autónomos </w:t>
      </w:r>
      <w:r w:rsidR="008F7B30" w:rsidRPr="002C1480">
        <w:rPr>
          <w:rFonts w:ascii="Arial" w:eastAsia="Times New Roman" w:hAnsi="Arial" w:cs="Arial"/>
          <w:color w:val="000000"/>
          <w:lang w:eastAsia="es-CO"/>
        </w:rPr>
        <w:lastRenderedPageBreak/>
        <w:t>deben ordenar a los administradores de los patrimonios autónomos, siempre que el contrato lo permita, el reintegro a la Dirección General de Crédito Público y Tesoro Nacional del Ministerio de Hacienda y Crédito Público de los saldos disponibles en dichos patrimonios que no estén amparando obligaciones cuyo giro se haya realizado con más de dos años de anterioridad. Dicho reintegro de tesorería se efectuará a la cuenta que para ello indique la Dirección General de Crédito Público y Tesoro Nacional. La Dirección General de Crédito Público y Tesoro Nacional según su capacidad operativa podrá definir la gradualidad en la que se hagan los reintegros. </w:t>
      </w:r>
    </w:p>
    <w:p w14:paraId="3BA9BD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E01A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Tratándose de contratos de fiducia que respalden el pago de obligaciones sujetas a condición, las entidades ejecutoras del Presupuesto General de la Nación que hayan recibido aportes de la Nación destinados a la ejecución de recursos a través de patrimonios autónomos, cederán los derechos fiduciarios que reflejen dichos saldos disponibles a favor de la Nación -Dirección General de Crédito Público y Tesoro Nacional- para que esta reporte los derechos fiduciarios, sin que ello afecte los recursos en los patrimonios autónomos. </w:t>
      </w:r>
    </w:p>
    <w:p w14:paraId="2573035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5350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saldos públicos disponibles en patrimonios autónomos se entenderán los saldos de la cuenta contable de la entidad ejecutora de presupuesto respecto de recursos de la Nación girados al patrimonio autónomo, que no se encuentren amparando obligaciones, deduciendo el valor de los aportes efectuados con recursos de la Nación que se hayan girado en los últimos dos (2) años calendario. </w:t>
      </w:r>
    </w:p>
    <w:p w14:paraId="3F4FDD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FFE1EB" w14:textId="5913DEA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Exceptúese de la obligación de reintegro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 los patrimonios autónomos constituidos con recursos públicos para atender proyectos de agua potable y saneamiento básico, y los recursos de previsión y seguridad social que administren prestaciones sociales de carácter económico. </w:t>
      </w:r>
    </w:p>
    <w:p w14:paraId="748AE4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76F8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el marco de este capítulo entiéndase por recursos de la Nación girados a patrimonios autónomos que se encuentren amparando obligaciones, aquellos recursos que amparen obligaciones exigibles soportadas en cuentas por pagar con ocasión de la adquisición de bienes o servicios por parte del patrimonio autónomo. </w:t>
      </w:r>
    </w:p>
    <w:p w14:paraId="6222D4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3C9F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Los recursos que reposen en el patrimonio autónomo seguirán conservando la naturaleza, y fines por los cuales fueron constituidos, por lo que de ninguna manera su cesión exime de responsabilidad a la entidad estatal del seguimiento de la debida ejecución de los recursos. </w:t>
      </w:r>
    </w:p>
    <w:p w14:paraId="49C206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8980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Las operaciones de reintegro o de cesión de derechos, según sea el caso, no generarán operación presupuestal alguna. </w:t>
      </w:r>
    </w:p>
    <w:p w14:paraId="35B545E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7" w:name="ver_30056778"/>
      <w:bookmarkEnd w:id="207"/>
    </w:p>
    <w:p w14:paraId="06470496" w14:textId="0363606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2.3.1.1.2. Devolución de recursos reintegrados. En el evento en que haya habido reintegro material de recursos a la Dirección General de Crédito Público y Tesoro Nacional, una vez se haga exigible el derecho al pago de la obligación, la administradora del patrimonio autónomo, a través de la entidad ejecutora de presupuesto, solicitará a la Dirección General de Crédito Público y Tesoro Nacional que se realice el giro de devolución respectivo. El giro será realizado por la Dirección General de Crédito Público y Tesoro Nacional al patrimonio autónomo en un plazo no mayor a 5 días. Las operaciones de devolución no generarán operación presupuestal alguna. </w:t>
      </w:r>
    </w:p>
    <w:p w14:paraId="6E77D1C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8" w:name="ver_30056779"/>
      <w:bookmarkEnd w:id="208"/>
    </w:p>
    <w:p w14:paraId="05B7DC0C" w14:textId="3548F87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2.3.1.1.3. Reintegro de tesorería a la Nación con plazos menores a dos (2) años. Los órganos que hacen parte del Presupuesto General de la Nación que sean fideicomitentes de </w:t>
      </w:r>
      <w:r w:rsidR="008F7B30" w:rsidRPr="002C1480">
        <w:rPr>
          <w:rFonts w:ascii="Arial" w:eastAsia="Times New Roman" w:hAnsi="Arial" w:cs="Arial"/>
          <w:color w:val="000000"/>
          <w:lang w:eastAsia="es-CO"/>
        </w:rPr>
        <w:lastRenderedPageBreak/>
        <w:t>negocios fiduciarios que administren recursos girados por la Nación o que hayan celebrado convenios interadministrativos para la ejecución de proyectos y/o administración de sus recursos, podrán realizar el reintegro de recursos que no estén amparando obligaciones a favor de la Nación conforme lo contemplado en el presente capítulo, aun cuando no hayan transcurrido dos (2) años desde la realización del giro correspondiente. </w:t>
      </w:r>
    </w:p>
    <w:p w14:paraId="79816B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0742EE" w14:textId="375139C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devolución, si hubiera lugar a ella, se efectuará por la Dirección General de Crédito Público y Tesoro Nacional en los mismos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1D2CC89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09" w:name="ver_30056780"/>
      <w:bookmarkEnd w:id="209"/>
    </w:p>
    <w:p w14:paraId="5A17F0CA" w14:textId="391B07D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2.3.1.1.4. Reporte de información y afectación de los saldos registrados como reintegro a favor de la Nación. La entidad ejecutora presentará al Ministerio de Hacienda y Crédito Público un informe mensual del estado de la ejecución de recursos públicos a través de patrimonios autónomos, con corte al mes anterior. En los informes se discriminará la siguiente información: </w:t>
      </w:r>
    </w:p>
    <w:p w14:paraId="637D6E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03B9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Saldos iniciales registrados en la Dirección General de Crédito Público y Tesoro </w:t>
      </w:r>
    </w:p>
    <w:p w14:paraId="4FEE52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Nacional. </w:t>
      </w:r>
    </w:p>
    <w:p w14:paraId="04CDF4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20BC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Ingreso por nuevos aportes girados de la Nación. </w:t>
      </w:r>
    </w:p>
    <w:p w14:paraId="3EDD24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D815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Rendimientos Financieros por aportes Nación. </w:t>
      </w:r>
    </w:p>
    <w:p w14:paraId="30B5D0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1B6A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Gastos con cargo a recursos Nación por adquisición de bienes y/o servicios del proyecto de inversión. </w:t>
      </w:r>
    </w:p>
    <w:p w14:paraId="18DF3D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58B7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Obligaciones exigibles de pago con cargo al proyecto de inversión al fin de mes. </w:t>
      </w:r>
    </w:p>
    <w:p w14:paraId="3176E9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F40B6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Saldos al fin de mes de recursos a registrar a favor de la Nación en la Dirección General de Crédito Público y Tesoro Nacional. </w:t>
      </w:r>
    </w:p>
    <w:p w14:paraId="6266558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EBA6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Dicha información deberá ser remitida dentro de los primeros diez (10) días hábiles de cada mes, con fecha de corte del mes anterior. </w:t>
      </w:r>
    </w:p>
    <w:p w14:paraId="0D6939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C9A8C8" w14:textId="5E0A1DC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 base en la información reportada por la entidad ejecutora, la Dirección General de Crédito Público y Tesoro Nacional procederá a la actualización de los registros contables de los saldos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2.3.1.1.1. del presente capítulo. </w:t>
      </w:r>
    </w:p>
    <w:p w14:paraId="0B5CC2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AD94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entidad ejecutora pública será responsable de implementar los mecanismos de información tendientes a obtener del administrador del patrimonio autónomo el estado de ejecución de los recursos del proyecto que administra, con las especificaciones, características y periodicidad requerida. La entidad ejecutora pública será la única responsable de la veracidad de los reportes contables remitidos. </w:t>
      </w:r>
    </w:p>
    <w:p w14:paraId="1282D3A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10" w:name="ver_30056781"/>
      <w:bookmarkEnd w:id="210"/>
    </w:p>
    <w:p w14:paraId="3FFE6933" w14:textId="282A773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2.3.1.1.5. Registros en el Sistema Integrado de Información Financiera (SIIF) Nación. El administrador del SIIF dispondrá de la funcionalidad que permita la definición contable de forma automática tanto para la Dirección General de Crédito Público y Tesoro Nacional como para la entidad ejecutora. </w:t>
      </w:r>
    </w:p>
    <w:p w14:paraId="421347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9EBC20" w14:textId="77777777" w:rsidR="008F7B30" w:rsidRPr="001F3D32" w:rsidRDefault="008F7B30" w:rsidP="001F3D32">
      <w:pPr>
        <w:spacing w:after="0" w:line="293" w:lineRule="atLeast"/>
        <w:jc w:val="center"/>
        <w:rPr>
          <w:rFonts w:ascii="Arial" w:eastAsia="Times New Roman" w:hAnsi="Arial" w:cs="Arial"/>
          <w:b/>
          <w:bCs/>
          <w:color w:val="000000"/>
          <w:lang w:eastAsia="es-CO"/>
        </w:rPr>
      </w:pPr>
      <w:bookmarkStart w:id="211" w:name="ver_30056782"/>
      <w:bookmarkEnd w:id="211"/>
      <w:r w:rsidRPr="001F3D32">
        <w:rPr>
          <w:rFonts w:ascii="Arial" w:eastAsia="Times New Roman" w:hAnsi="Arial" w:cs="Arial"/>
          <w:b/>
          <w:bCs/>
          <w:color w:val="000000"/>
          <w:lang w:eastAsia="es-CO"/>
        </w:rPr>
        <w:t>TÍTULO 2</w:t>
      </w:r>
    </w:p>
    <w:p w14:paraId="7CA40099"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PROCESO DE GIRO DEL PROGRAMA ANUAL MENSUALIZADO DE CAJA</w:t>
      </w:r>
    </w:p>
    <w:p w14:paraId="3AB7D9D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12" w:name="ver_30056783"/>
      <w:bookmarkEnd w:id="212"/>
    </w:p>
    <w:p w14:paraId="3A2D6C2B" w14:textId="6C2E10B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 Aplicación transitoria de los procesos de pago. Las disposiciones contenidas en el presente título sobre el Programa Anual Mensualizado de Caja, las cuentas autorizadas y registradas y los pagos del Tesoro Nacional se aplicarán con carácter transitorio mientras se desarrolla el Sistema de Cuenta Única Nacional. </w:t>
      </w:r>
    </w:p>
    <w:p w14:paraId="4042E637" w14:textId="1395A87F"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13" w:name="ver_30056784"/>
      <w:bookmarkEnd w:id="213"/>
    </w:p>
    <w:p w14:paraId="61869496" w14:textId="66751FF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 Programa Anual Mensualizado de Caja - PAC. El Programa Anual Mensualizado de Caja - PAC, es el instrumento mediante el cual se define el monto máximo mensual de fondos disponibles en las cuentas de la Dirección General de Crédito Público y Tesoro Nacional para los órganos financiados con recursos de la Nación y el monto máximo mensual de pagos de los establecimientos públicos del orden nacional con sus propios ingresos, con el fin de cumplir sus compromisos. </w:t>
      </w:r>
    </w:p>
    <w:p w14:paraId="4AB7C547" w14:textId="3FCC8B05"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14" w:name="ver_30056785"/>
      <w:bookmarkEnd w:id="214"/>
    </w:p>
    <w:p w14:paraId="07180C3D" w14:textId="0A79E99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2.3.2.3. Programación diaria de giros. La Dirección General de Crédito Público y Tesoro Nacional hará la programación diaria de giros con base en la información registrada por las Unidades Ejecutoras en el Sistema Integrado de Información Financiera – SIIF. </w:t>
      </w:r>
    </w:p>
    <w:p w14:paraId="1A008327" w14:textId="4629FD8D"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15" w:name="ver_30056786"/>
      <w:bookmarkEnd w:id="215"/>
    </w:p>
    <w:p w14:paraId="20B41BFB" w14:textId="5AB8901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2.3.2.4. Transferencia de recursos únicamente a cuentas autorizadas o registradas. La Dirección General de Crédito Público y Tesoro Nacional del Ministerio de Hacienda y Crédito Público solo podrá transferir recursos de la Nación a través de las cuentas autorizadas o registradas. </w:t>
      </w:r>
    </w:p>
    <w:p w14:paraId="38A228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EA39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ingresos propios de los establecimientos públicos deberán manejarse en entidades financieras sometidas al control y vigilancia del Estado y deberán sujetarse a los mismos esquemas definidos para la Dirección General de Crédito Público y Tesoro Nacional, bajo la responsabilidad de los funcionarios que tengan la facultad de su manejo. </w:t>
      </w:r>
    </w:p>
    <w:p w14:paraId="17AAEB3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0E48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establecimientos públicos podrán pagar con sus propios ingresos obligaciones financiadas con recursos del Presupuesto Nacional mientras la Dirección General de Crédito Público y Tesoro Nacional del Ministerio de Hacienda y Crédito Público transfiere los recursos respectivos. </w:t>
      </w:r>
    </w:p>
    <w:p w14:paraId="0E6D4195" w14:textId="5939C837"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16" w:name="ver_30056787"/>
      <w:bookmarkEnd w:id="216"/>
    </w:p>
    <w:p w14:paraId="1079B4DE" w14:textId="217EFD1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2.3.2.5. Definición Cuentas Autorizadas y Registradas. Se denominan CUENTAS AUTORIZADAS las cuentas en las que los órganos del orden nacional de la Administración Pública manejan recursos del Presupuesto General de la Nación excluyendo los ingresos propios de los establecimientos públicos. La autorización correspondiente será impartida por la Dirección General de Crédito Público y Tesoro Nacional. </w:t>
      </w:r>
    </w:p>
    <w:p w14:paraId="281C63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31FB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denominan CUENTAS REGISTRADAS las cuentas, diferentes a las AUTORIZADAS, a las que la Dirección General de Crédito Público y del Tesoro Nacional traslade recursos de la Nación. </w:t>
      </w:r>
    </w:p>
    <w:p w14:paraId="6C9786A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149D51" w14:textId="4F40F82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Se exceptúan de la autorización y registro establecidos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las siguientes cuentas, que serán responsabilidad de los funcionarios encargados de su manejo: </w:t>
      </w:r>
    </w:p>
    <w:p w14:paraId="0DE3E3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8FEC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cuentas destinadas al manejo de las rentas parafiscales. </w:t>
      </w:r>
    </w:p>
    <w:p w14:paraId="7E8017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0FDC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cuentas de manejo de devolución de impuestos de la Dirección de Impuestos y Aduanas Nacionales - DIAN. </w:t>
      </w:r>
    </w:p>
    <w:p w14:paraId="627BEF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9EAB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cuentas en que se manejen recursos de caja menor. </w:t>
      </w:r>
    </w:p>
    <w:p w14:paraId="2D2656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D8B4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4. Las cuentas radicadas en el exterior. En este caso, el órgano titular deberá mantener informada a la Dirección General de Crédito Público y Tesoro Nacional sobre las aperturas y cancelaciones de cuentas. </w:t>
      </w:r>
    </w:p>
    <w:p w14:paraId="71C21EE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17" w:name="ver_30056788"/>
      <w:bookmarkEnd w:id="217"/>
    </w:p>
    <w:p w14:paraId="3F29716B" w14:textId="04B1565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2.3.2.6. Objetivo de los recursos que se entregan. Los recursos que el Ministerio de Hacienda y Crédito Público, Dirección General de Crédito Público y Tesoro Nacional, entregue a los órganos y entidades financiados con recursos de la Nación, no tendrán por objeto proveer de fondos las cuentas bancarias oficiales, sino atender los compromisos y obligaciones asumidos por ellos frente a su personal y a terceros, en desarrollo de las apropiaciones presupuestales legalmente autorizadas </w:t>
      </w:r>
    </w:p>
    <w:p w14:paraId="3C5E0E2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18" w:name="ver_30056789"/>
      <w:bookmarkEnd w:id="218"/>
    </w:p>
    <w:p w14:paraId="7F519F05" w14:textId="699D7D9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2.3.2.7. Restricción del uso de los recursos entregado por la Nación. De conformidad con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los recursos de la Nación que entregue el Ministerio de Hacienda y Crédito Público, - Dirección General de Crédito Público y Tesoro Nacional-, a las entidades ejecutoras, no podrán utilizarse para la constitución de depósitos de ahorro y a término, ni a la suscripción de ningún tipo de activos financieros. </w:t>
      </w:r>
    </w:p>
    <w:p w14:paraId="1CA134A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19" w:name="ver_30056790"/>
      <w:bookmarkEnd w:id="219"/>
    </w:p>
    <w:p w14:paraId="6F6E8140" w14:textId="2E9E664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2.3.2.8. Plazo máximo que pueden permanecer los recursos girados en las cuentas autorizadas. Los recursos que formen parte del Presupuesto Nacional, girados por la Dirección General de Crédito Público y Tesoro Nacional del Ministerio de Hacienda y Crédito Público, no podrán mantenerse en cuentas corrientes AUTORIZADAS por más de cinco (5) días promedio mensual, contados a partir de la fecha de los giros respectivos, sin perjuicio de aquellos recursos correspondientes a cheques entregados al beneficiario y no cobrados. </w:t>
      </w:r>
    </w:p>
    <w:p w14:paraId="7D615B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F1C3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caso de aquellos órganos que hacen giros a sus oficinas regionales, los cinco (5) días de que trata el inciso anterior se contarán de la siguiente manera: La oficina central deberá hacer el giro a las seccionales a más tardar el día hábil siguiente a aquel en que recibió la transferencia de los recursos de la Dirección General de Crédito Público y Tesoro Nacional. Las seccionales deberán hacer uso de los recursos en los mismos términos del inciso anterior. </w:t>
      </w:r>
    </w:p>
    <w:p w14:paraId="47E9B0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3287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saldos de meses anteriores que se mantengan sin utilizar harán parte del cálculo anterior en el mes respectivo, mientras persista esta situación. </w:t>
      </w:r>
    </w:p>
    <w:p w14:paraId="0C756C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DAC5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finalizado el mes, si la Dirección General de Crédito Público y Tesoro Nacional detecta que se mantuvieron recursos en cuentas autorizadas por más de cinco (5) días promedio al mes, lo reportará a la Procuraduría General de la Nación – Procuraduría Delegada y a la Contraloría General de la República para que hagan las investigaciones sumarias y apliquen las sanciones del caso. </w:t>
      </w:r>
    </w:p>
    <w:p w14:paraId="56DDED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EDA3DE" w14:textId="1540B38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Dirección General de Crédito Público y Tesoro Nacional establecerá los procedimientos y requisitos para el cumplimiento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9B436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AE82B9" w14:textId="4CE83C0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recursos destinados a gastos reservados no estarán sujetos al límite establecido en el inciso 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8EAFF1B" w14:textId="04F6A39F"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20" w:name="ver_30056791"/>
      <w:bookmarkEnd w:id="220"/>
    </w:p>
    <w:p w14:paraId="5A496F05" w14:textId="1D82E08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2.3.2.9. Tiempo de permanencia superior en razón a reciprocidad por servicios especiales. Los recursos del Presupuesto Nacional podrán permanecer por un tiempo superior al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en cuentas corrientes, cuando así se haya convenido como reciprocidad a servicios especiales que preste el establecimiento financiero donde se encuentra radicada la cuenta. En este evento, los respectivos servicios y el tiempo de reciprocidad deben </w:t>
      </w:r>
      <w:r w:rsidR="008F7B30" w:rsidRPr="002C1480">
        <w:rPr>
          <w:rFonts w:ascii="Arial" w:eastAsia="Times New Roman" w:hAnsi="Arial" w:cs="Arial"/>
          <w:color w:val="000000"/>
          <w:lang w:eastAsia="es-CO"/>
        </w:rPr>
        <w:lastRenderedPageBreak/>
        <w:t>acordarse previamente y por escrito y las condiciones financieras las autorizará la Dirección General de Crédito Público y Tesoro Nacional del Ministerio de Hacienda y Crédito Público. </w:t>
      </w:r>
    </w:p>
    <w:p w14:paraId="0937F007" w14:textId="4F7A2755"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21" w:name="ver_30056792"/>
      <w:bookmarkEnd w:id="221"/>
    </w:p>
    <w:p w14:paraId="41FFFCAF" w14:textId="3672B86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2.3.2.10. Solicitud de registro de cuenta. La solicitud de registro de una cuenta, debidamente diligenciada y suscrita por quien tenga la capacidad de ordenar el gasto, y el tesorero o pagador, deberá enviarse a la Dirección General de Crédito Público y Tesoro Nacional en el formato que ésta diseñe al efecto. </w:t>
      </w:r>
    </w:p>
    <w:p w14:paraId="5130C5F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22" w:name="ver_30056793"/>
      <w:bookmarkEnd w:id="222"/>
    </w:p>
    <w:p w14:paraId="57277324" w14:textId="7D582D8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2.3.2.11. Manual para autorización de cuentas. Corresponde a la Dirección General de Crédito Público y Tesoro Nacional expedir los manuales en que se establezcan los procedimientos y trámites que deben cumplir los órganos para obtener la autorización de apertura y terminación de cuentas autorizadas. </w:t>
      </w:r>
    </w:p>
    <w:p w14:paraId="1BD990D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23" w:name="ver_30056794"/>
      <w:bookmarkEnd w:id="223"/>
    </w:p>
    <w:p w14:paraId="0495A368" w14:textId="6F780F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2.3.2.12. Selección del establecimiento financiero. Sin perjuicio de lo establecido por la Ley 80 de 1993 sobre negocios fiduciarios, para la selección, en forma directa, del establecimiento financiero donde los órganos puedan manejar, administrar, invertir o mantener sus recursos, al ser esta una actividad de prestación de servicios profesionales, se tendrán en cuenta criterios comerciales de calidad, costo, seguridad, rapidez y eficiencia de los servicios ofrecidos. </w:t>
      </w:r>
    </w:p>
    <w:p w14:paraId="6949269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24" w:name="ver_30056795"/>
      <w:bookmarkEnd w:id="224"/>
    </w:p>
    <w:p w14:paraId="365A15BF" w14:textId="526BABF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2.3.2.13. Causales para negar autorización de cuentas. La Dirección General de Crédito Público y Tesoro Nacional podrá negar la autorización para la celebración de contratos para el manejo financiero de los recursos del Presupuesto Nacional, en los siguientes casos: </w:t>
      </w:r>
    </w:p>
    <w:p w14:paraId="3900FE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27C4F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Incumplimiento por parte del órgano solicitante de la obligación de inversión forzosa prevista en la legislación vigente. </w:t>
      </w:r>
    </w:p>
    <w:p w14:paraId="6EBCAD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4D33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 remisión o envío extemporáneo de la información que el respectivo órgano deba suministrar a la Dirección General de Crédito Público y Tesoro Nacional, en especial de la prevista en este título. </w:t>
      </w:r>
    </w:p>
    <w:p w14:paraId="47AE41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1338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Cuando la pagaduría, respectiva tenga vigente un contrato con una entidad financiera por el mismo concepto de gasto, salvo que se trate de sustitución de cuenta. </w:t>
      </w:r>
    </w:p>
    <w:p w14:paraId="136A28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9496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Cuando el establecimiento financiero correspondiente se encuentre sometido a la vigilancia especial de los órganos de control del estado o a toma de posesión o liquidación forzosa administrativa. </w:t>
      </w:r>
    </w:p>
    <w:p w14:paraId="614D4E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D060D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Cuando la calificación del establecimiento financiero por la Dirección General de Crédito Público y Tesoro Nacional no sea satisfactoria. Para estos efectos se tendrán en cuenta las condiciones de calidad y cobertura del servicio, las tarifas, la tecnología disponible y la oportunidad y calidad de los reportes periódicos de información. </w:t>
      </w:r>
    </w:p>
    <w:p w14:paraId="6E2127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056B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Cuando durante el último año la entidad financiera haya incumplido las obligaciones de los contratos de cuenta corriente suscritos con los Órganos Ejecutores de Presupuesto Nacional. </w:t>
      </w:r>
    </w:p>
    <w:p w14:paraId="2FFC63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86FC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No remisión o envío extemporáneo y/o incompleto de la información que el respectivo órgano deba suministrar a la Dirección General de Crédito Público y Tesoro Nacional, en razón a convenios vigentes, a la normatividad aplicable y a los manuales expedidos por la mencionada Dirección. </w:t>
      </w:r>
    </w:p>
    <w:p w14:paraId="558002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F432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8. Cuando la calificación de la entidad financiera, realizada por la Dirección General de Crédito Público y Tesoro Nacional, no sea satisfactoria. Para estos efectos se tendrán en cuenta las condiciones de calidad y cobertura del servicio, las tarifas, la tecnología disponible y, en especial, y la oportunidad y calidad de todos los reportes periódicos de información que la entidad financiera deba presentar ante dicha Dirección, en razón a convenios vigentes o a la normatividad aplicable. </w:t>
      </w:r>
    </w:p>
    <w:p w14:paraId="75366A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A83A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Cuando al órgano, en los seis (6) meses anteriores a la fecha de la solicitud, se le haya otorgado autorización para la celebración de un contrato de cuenta por el mismo concepto, y no lo haya celebrado en el término indicado en los manuales expedidos por la Dirección General de Crédito Público y Tesoro Nacional. </w:t>
      </w:r>
    </w:p>
    <w:p w14:paraId="27CFB8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EEFE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Por solicitud expresa de los órganos públicos, diligenciada y suscrita por el ordenador del gasto y el tesorero o pagador respectivo, la Dirección General de Crédito Público y Tesoro Nacional deberá autorizar la apertura de cuentas corrientes, ya sea de nuevas cuentas o por sustitución, en establecimientos financieros que cuenten con capital garantía otorgado por el Fondo de Garantías de Instituciones Financieras FOGAFIN. </w:t>
      </w:r>
    </w:p>
    <w:p w14:paraId="79A39E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0A143C" w14:textId="0563F98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anterior siempre y cuando,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prevalezca la calidad, seguridad y eficiencia de los servicios ofrecidos por la entidad financiera, y que ello no implique la dispersión de fondos a más de un beneficiario final, para garantizar la implantación de la Cuenta Única Nacional. </w:t>
      </w:r>
    </w:p>
    <w:p w14:paraId="51C1AC3C" w14:textId="778C2A7A"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25" w:name="ver_30056796"/>
      <w:bookmarkEnd w:id="225"/>
    </w:p>
    <w:p w14:paraId="0DF95523" w14:textId="1B8CC56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2.3.2.14. Terminación contrato de cuenta autorizada. El órgano que desee dar por terminado un contrato de cuenta autorizada deberá remitir a la Dirección General de Crédito Público y Tesoro Nacional del Ministerio de Hacienda y Crédito Público, la solicitud correspondiente debidamente diligenciada y suscrita por el ordenador del gasto y el tesorero o pagador respectivo. </w:t>
      </w:r>
    </w:p>
    <w:p w14:paraId="3143E3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73D4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contrato de cuenta se dará por terminado dentro del mes siguiente a la fecha en que la Dirección General de Crédito Público y Tesoro Nacional autorice su terminación. </w:t>
      </w:r>
    </w:p>
    <w:p w14:paraId="126EA668" w14:textId="5EB86F6C"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26" w:name="ver_30056797"/>
      <w:bookmarkEnd w:id="226"/>
    </w:p>
    <w:p w14:paraId="39F298FB" w14:textId="5B32239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2.3.2.15. Causales para solicitar la terminación de una cuenta. Cada órgano podrá solicitar la terminación de una cuenta, en los siguientes eventos: </w:t>
      </w:r>
    </w:p>
    <w:p w14:paraId="2AE3AD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8A8D2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Pérdida, destrucción o hurto de la respectiva chequera, talonario o similar. En este evento, la cuenta que la sustituya deberá abrirse en la misma sucursal o agencia y entidad financiera en que se manejaba la cuenta cuyo contrato se autoriza terminar; </w:t>
      </w:r>
    </w:p>
    <w:p w14:paraId="0D56F4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F0B3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Cierre de la sucursal o agencia en que se había abierto la respectiva cuenta; </w:t>
      </w:r>
    </w:p>
    <w:p w14:paraId="3C1557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D71B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Cambio de domicilio de la entidad. </w:t>
      </w:r>
    </w:p>
    <w:p w14:paraId="6C38CD4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2711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Dirección General de Crédito Público y Tesoro Nacional podrá ordenar la terminación de los contratos con las entidades financieras en las que se manejan los recursos del Presupuesto Nacional, en los siguientes eventos: </w:t>
      </w:r>
    </w:p>
    <w:p w14:paraId="27DD01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9B9A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Incumplimiento por parte de la entidad financiera de los requisitos establecidos para el desarrollo de la Cuenta Única Nacional; </w:t>
      </w:r>
    </w:p>
    <w:p w14:paraId="40729B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B12F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2. Cuando la entidad financiera se rehúse a participar, o demande condiciones remuneratorias que no sean aceptadas por la Dirección General de Crédito Público y Tesoro Nacional del Ministerio de Hacienda y Crédito Público, para el desarrollo del plan piloto o el establecimiento de la Cuenta Única Nacional, o niegue la apertura de cuentas pertenecientes a la Cuenta Única Nacional; </w:t>
      </w:r>
    </w:p>
    <w:p w14:paraId="337866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F828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Cuando se envíe en forma extemporánea o incorrecta la información que se le solicite en desarrollo de lo dispuesto en el presente título. </w:t>
      </w:r>
    </w:p>
    <w:p w14:paraId="4747E1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B007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En caso de cambio de domicilio del órgano, y cuando la entidad financiera no cumpla con los criterios mínimos de calificación, según los parámetros establecidos por la Dirección General de Crédito Público y Tesoro Nacional. </w:t>
      </w:r>
    </w:p>
    <w:p w14:paraId="72F5BFA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27" w:name="ver_30056798"/>
      <w:bookmarkEnd w:id="227"/>
    </w:p>
    <w:p w14:paraId="58C603F7" w14:textId="6A54CCD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2.3.2.16. Obligatoriedad de los requisitos en el manejo de las cuentas. Las entidades financieras no podrán abrir, manejar o terminar los contratos de cuenta con los órganos, sin el lleno de los requisitos establecidos en el presente título y en las demás normas aplicables. Los órganos de vigilancia estatales velarán por el cumplimiento de tales requisitos y por la oportuna y completa remisión de la información solicitada por la Dirección General de Crédito Público y Tesoro Nacional, e impondrán las sanciones a que haya lugar. </w:t>
      </w:r>
    </w:p>
    <w:p w14:paraId="4F1DA120" w14:textId="06B63E30"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28" w:name="ver_30056799"/>
      <w:bookmarkEnd w:id="228"/>
    </w:p>
    <w:p w14:paraId="3EBB2310" w14:textId="00A0B75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2.3.2.17. Plazo y condiciones de sustitución de cuentas corrientes. Durante los meses de marzo y abril de los años impares, la Dirección General de Crédito Público y Tesoro Nacional del Ministerio de Hacienda y Crédito Público autorizará, a solicitud de los Órganos Ejecutores del Presupuesto Nacional, la sustitución de las cuentas corrientes autorizadas. </w:t>
      </w:r>
    </w:p>
    <w:p w14:paraId="2C3CFF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30C66F" w14:textId="04B10C4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Dichas sustituciones, se realizarán por iniciativa del Órgano Ejecutor, siempre y cuando las respectivas cuentas corrientes a sustituir tengan como mínimo un (1) año de apertura, y no se presente cualquiera de los presupuestos jurídicos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2.3.2.13. </w:t>
      </w:r>
    </w:p>
    <w:p w14:paraId="5939618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600D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Sin perjuicio de lo anterior, la Dirección General de Crédito Público y Tesoro Nacional del Ministerio de Hacienda y Crédito Público podrá por solicitud de los Órganos Ejecutores del Presupuesto Nacional, de acuerdo con los procedimientos internos que esta defina, efectuar la sustitución de cuentas corrientes autorizadas a otra entidad financiera, en caso de que la entidad financiera no preste un servicio adecuado, en términos de calidad, costos, seguridad y eficiencia. </w:t>
      </w:r>
    </w:p>
    <w:p w14:paraId="7607B26D" w14:textId="77777777" w:rsidR="00217204" w:rsidRDefault="00217204" w:rsidP="00C32F85">
      <w:pPr>
        <w:spacing w:after="0" w:line="254" w:lineRule="atLeast"/>
        <w:jc w:val="both"/>
        <w:rPr>
          <w:rFonts w:ascii="Arial" w:eastAsia="Times New Roman" w:hAnsi="Arial" w:cs="Arial"/>
          <w:color w:val="000000"/>
          <w:lang w:eastAsia="es-CO"/>
        </w:rPr>
      </w:pPr>
    </w:p>
    <w:p w14:paraId="5E303495" w14:textId="4ACB584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2.3.2.18. Calificación de las entidades seleccionadas. Sin perjuicio de las demás normas aplicables, los Órganos Ejecutores del Presupuesto Nacional solo podrán sustituir las cuentas corrientes con entidades financieras que aprueben la calificación de riesgo efectuada por la Dirección General de Crédito Público y Tesoro Nacional del Ministerio de Hacienda y Crédito Público. </w:t>
      </w:r>
    </w:p>
    <w:p w14:paraId="204E147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29" w:name="ver_30056801"/>
      <w:bookmarkEnd w:id="229"/>
    </w:p>
    <w:p w14:paraId="6E731880" w14:textId="2057828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2.3.2.19. Selección objetiva para la sustitución de cuentas autorizadas. En el marco de la normativa de contratación aplicable al Órgano Ejecutor, para la sustitución de cuentas autorizadas a otra entidad financiera, el Órgano Ejecutor deberá implementar un proceso de selección objetiva conforme a los principios de contratación administrativa. Asimismo para la selección de la entidad financiera considerará parámetros tales como seguridad, cobertura geográfica, calidad, servicios adicionales y tecnología disponible, eficiencia y menores costos para la Nación y el Órgano Ejecutor. </w:t>
      </w:r>
    </w:p>
    <w:p w14:paraId="1B8526C9" w14:textId="532C3540" w:rsidR="008F7B30" w:rsidRPr="002C1480" w:rsidRDefault="002C1480" w:rsidP="00C32F85">
      <w:pPr>
        <w:spacing w:after="0" w:line="254" w:lineRule="atLeast"/>
        <w:jc w:val="both"/>
        <w:rPr>
          <w:rFonts w:ascii="Arial" w:eastAsia="Times New Roman" w:hAnsi="Arial" w:cs="Arial"/>
          <w:color w:val="000000"/>
          <w:lang w:eastAsia="es-CO"/>
        </w:rPr>
      </w:pPr>
      <w:bookmarkStart w:id="230" w:name="ver_30056802"/>
      <w:bookmarkEnd w:id="230"/>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2.3.2.20. Responsabilidad. Una vez autorizada la sustitución de las cuentas corrientes por parte de la Dirección General de Crédito Público y Tesoro Nacional del Ministerio de Hacienda y Crédito Público, el Órgano Ejecutor será responsable de exigir a la entidad financiera la adecuada </w:t>
      </w:r>
      <w:r w:rsidR="008F7B30" w:rsidRPr="002C1480">
        <w:rPr>
          <w:rFonts w:ascii="Arial" w:eastAsia="Times New Roman" w:hAnsi="Arial" w:cs="Arial"/>
          <w:color w:val="000000"/>
          <w:lang w:eastAsia="es-CO"/>
        </w:rPr>
        <w:lastRenderedPageBreak/>
        <w:t>prestación del servicio conforme a los parámetros de selección y los términos del contrato de cuenta corriente suscrito. </w:t>
      </w:r>
    </w:p>
    <w:p w14:paraId="707C1B05" w14:textId="10590DA2"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31" w:name="ver_30056803"/>
      <w:bookmarkEnd w:id="231"/>
    </w:p>
    <w:p w14:paraId="642578D7" w14:textId="4632473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2.3.2.21. Sustitución de cuentas corrientes en una sola entidad financiera. Para efectos de evitar la dispersión de las cuentas corrientes requeridas por un Órgano Ejecutor en varias entidades financieras, se autorizará la sustitución de cuentas corrientes en una sola entidad financiera. </w:t>
      </w:r>
    </w:p>
    <w:p w14:paraId="0C99AA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3BF9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Excepcionalmente por circunstancias de cobertura y eficiencia se autorizará cuentas corrientes en más de una entidad financiera, situación que será evaluada por la Dirección General de Crédito Público y Tesoro Nacional del Ministerio de Hacienda y Crédito Público. </w:t>
      </w:r>
    </w:p>
    <w:p w14:paraId="73F5639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32" w:name="ver_30056804"/>
      <w:bookmarkEnd w:id="232"/>
    </w:p>
    <w:p w14:paraId="27F98ED0" w14:textId="5DC4AAE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2.3.2.22. Envío de información a la Dirección General de Crédito Público y Tesoro Nacional. Los órganos deberán enviar a la Dirección General de Crédito Público y Tesoro Nacional, dentro de los siete (7) primeros días calendario de cada mes, la información que ésta solicite de manera general, relativa al manejo de las cuentas autorizadas o registradas. En todo caso el órgano deberá suministrar cualquier información adicional en los plazos y condiciones que establezca la Dirección General de Crédito Público y Tesoro Nacional. </w:t>
      </w:r>
    </w:p>
    <w:p w14:paraId="2BE893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5C9E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ordenador del gasto será responsable del envío oportuno y completo de la información respectiva. </w:t>
      </w:r>
    </w:p>
    <w:p w14:paraId="71C3657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33" w:name="ver_30056805"/>
      <w:bookmarkEnd w:id="233"/>
    </w:p>
    <w:p w14:paraId="701831D6" w14:textId="0C09203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2.3.2.23. Envío relación de cuentas autorizadas a la Contraloría General de la República. La Dirección General de Crédito Público y Tesoro Nacional remitirá a la Contraloría General de la República, en las condiciones y dentro de los términos que la misma Dirección establezca, una relación de las cuentas autorizadas y registradas durante el trimestre inmediatamente anterior, para las investigaciones a que hubiere lugar. </w:t>
      </w:r>
    </w:p>
    <w:p w14:paraId="022D929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34" w:name="ver_30068580"/>
      <w:bookmarkEnd w:id="234"/>
    </w:p>
    <w:p w14:paraId="295CD2E4" w14:textId="3911873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2.3.2.24. Pago directo de las obligaciones de la Nación. La Dirección General de Crédito Público y Tesoro Nacional podrá situar directamente al beneficiario final, los fondos para el cumplimiento de obligaciones de la Nación por los siguientes conceptos: </w:t>
      </w:r>
    </w:p>
    <w:p w14:paraId="691345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53AF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Servicio de la deuda pública nacional interna o externa. </w:t>
      </w:r>
    </w:p>
    <w:p w14:paraId="5C70EA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D5DF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Cuotas o aportes a instituciones internacionales. </w:t>
      </w:r>
    </w:p>
    <w:p w14:paraId="11F883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C8B5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Sistema General de Participaciones. </w:t>
      </w:r>
    </w:p>
    <w:p w14:paraId="7FE34F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77B9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Pagos que deban hacerse en desarrollo de los convenios celebrados para implantar el esquema de Plan Piloto de la Cuenta Única Nacional. </w:t>
      </w:r>
    </w:p>
    <w:p w14:paraId="6215CA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1616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Las obligaciones derivadas de la redención de bonos pensionales. </w:t>
      </w:r>
    </w:p>
    <w:p w14:paraId="5F59B1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E9BA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atender el pago del servicio de la deuda pública interna y externa el documento de instrucción de pago deberá ser firmado por el Director General de Crédito Público y Tesoro Nacional. </w:t>
      </w:r>
    </w:p>
    <w:p w14:paraId="379B1F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9EEE66" w14:textId="539C0D52" w:rsidR="008F7B30" w:rsidRPr="002C1480" w:rsidRDefault="008F7B30" w:rsidP="001F3D32">
      <w:pPr>
        <w:spacing w:after="0" w:line="254" w:lineRule="atLeast"/>
        <w:jc w:val="both"/>
        <w:rPr>
          <w:rFonts w:ascii="Arial" w:eastAsia="Times New Roman" w:hAnsi="Arial" w:cs="Arial"/>
          <w:color w:val="000000"/>
          <w:lang w:eastAsia="es-CO"/>
        </w:rPr>
      </w:pPr>
      <w:bookmarkStart w:id="235" w:name="ver_30056806"/>
      <w:bookmarkEnd w:id="235"/>
    </w:p>
    <w:p w14:paraId="4E2CA2B5" w14:textId="06C3E09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2.3.2.25. Propiedad de los rendimientos de inversiones financieras obtenidos con recursos de la Nación. Los rendimientos de inversiones financieras obtenidos con recursos de la Nación, si se causan pertenecen a ésta y en consecuencia, deberán consignarse dentro de los </w:t>
      </w:r>
      <w:r w:rsidR="008F7B30" w:rsidRPr="002C1480">
        <w:rPr>
          <w:rFonts w:ascii="Arial" w:eastAsia="Times New Roman" w:hAnsi="Arial" w:cs="Arial"/>
          <w:color w:val="000000"/>
          <w:lang w:eastAsia="es-CO"/>
        </w:rPr>
        <w:lastRenderedPageBreak/>
        <w:t>tres (3) días hábiles siguientes a la fecha de su liquidación, en la Dirección General de Crédito Público y Tesoro Nacional. </w:t>
      </w:r>
    </w:p>
    <w:p w14:paraId="216AE9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9CD95B" w14:textId="517DFB2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lo dispuesto en el parágrafo segundo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16 del Estatuto Orgánico del Presupuesto General de la Nación, exceptúense los obtenidos con los recursos recibidos por los órganos de previsión y seguridad social, para el pago de prestaciones sociales de carácter económico. </w:t>
      </w:r>
    </w:p>
    <w:p w14:paraId="70FF5AD7" w14:textId="00E7192A"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36" w:name="ver_30056807"/>
      <w:bookmarkEnd w:id="236"/>
    </w:p>
    <w:p w14:paraId="0F4CE01F" w14:textId="0B54ED0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2.3.2.26. Excedentes de Liquidez. Los excedentes de liquidez generados por los ingresos de los establecimientos públicos, no podrán mantenerse en depósitos en cuenta corriente bancaria por más de cinco días hábiles, sin perjuicio de aquellos recursos correspondientes a cheques entregados al beneficiario y no cobrados, pasados los cuales deberán invertirse de conformidad con lo establecido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102 del Estatuto Orgánico del Presupuesto General de la Nación. </w:t>
      </w:r>
    </w:p>
    <w:p w14:paraId="3A94557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37" w:name="ver_30056808"/>
      <w:bookmarkEnd w:id="237"/>
    </w:p>
    <w:p w14:paraId="679F4836" w14:textId="6D60085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2.3.2.27. Excedentes financieros. Los excedentes financieros del ejercicio fiscal anterior de los establecimientos públicos del orden nacional y de las empresas industriales y comerciales del Estado y sociedades de economía mixta con el régimen de aquéllas, deberán ser consignados a nombre de la Dirección General de Crédito Público y Tesoro Nacional, en la cuantía y fecha establecidas por el CONPES. El incumplimiento en dicho plazo, generará intereses de mora a la tasa máxima legal permitida, certificada por la Superintendencia Financiera de Colombia, liquidados sobre el saldo insoluto de la obligación. </w:t>
      </w:r>
    </w:p>
    <w:p w14:paraId="40CEA98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38" w:name="ver_30056809"/>
      <w:bookmarkEnd w:id="238"/>
    </w:p>
    <w:p w14:paraId="53496087" w14:textId="0849746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2.3.2.28. Compensación de servicios de Instituciones Financieras. La Dirección General de Crédito Público y Tesoro Nacional del Ministerio de Hacienda y Crédito Público podrá compensar servicios prestados por las Instituciones Financieras, a través del manejo de los promedios de sus cuentas corrientes en la respectiva institución. </w:t>
      </w:r>
    </w:p>
    <w:p w14:paraId="4108EA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14E5E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Dirección General de Crédito Público y Tesoro Nacional podrá recurrir, para efectos de dicha compensación, a otros tipos de depósitos, siempre y cuando, de su evaluación comparativa bajo condiciones de mercado, se determinen que en términos financieros y de requerimiento de recursos, son más favorables para la Nación que los indicados en el inciso anterior. En este caso, la tasa de rentabilidad y los plazos pactados, reflejarán el costo, valorado en condiciones de mercado, de los servicios prestados por la institución financiera. </w:t>
      </w:r>
    </w:p>
    <w:p w14:paraId="7075618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39" w:name="ver_30056810"/>
      <w:bookmarkEnd w:id="239"/>
    </w:p>
    <w:p w14:paraId="622C0B54" w14:textId="48681D3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2.3.2.29. Autorización del CONFIS. Asignase al Consejo Superior de Política Fiscal CONFIS, la función de autorizar, para cada caso, la celebración de las operaciones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previa solicitud presentada por la Dirección General de Crédito Público y Tesoro Nacional, en la que se deberán especificar: </w:t>
      </w:r>
    </w:p>
    <w:p w14:paraId="4EBB7C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B130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origen de la operación; </w:t>
      </w:r>
    </w:p>
    <w:p w14:paraId="6D9C9E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7EE4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evaluación técnica correspondiente; </w:t>
      </w:r>
    </w:p>
    <w:p w14:paraId="1B1F43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69EB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condiciones financieras en que se celebrará la operación y la vigencia de la misma; </w:t>
      </w:r>
    </w:p>
    <w:p w14:paraId="0F78F3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32FB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Las entidades involucradas en la operación. </w:t>
      </w:r>
    </w:p>
    <w:p w14:paraId="0DF5E95B" w14:textId="5DBD7E5E" w:rsidR="008F7B30" w:rsidRPr="002C1480" w:rsidRDefault="002C1480" w:rsidP="00C32F85">
      <w:pPr>
        <w:spacing w:after="0" w:line="254" w:lineRule="atLeast"/>
        <w:jc w:val="both"/>
        <w:rPr>
          <w:rFonts w:ascii="Arial" w:eastAsia="Times New Roman" w:hAnsi="Arial" w:cs="Arial"/>
          <w:color w:val="000000"/>
          <w:lang w:eastAsia="es-CO"/>
        </w:rPr>
      </w:pPr>
      <w:bookmarkStart w:id="240" w:name="ver_30056811"/>
      <w:bookmarkEnd w:id="240"/>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2.3.2.30. Informes Mensuales al CONFIS. La Dirección General de Crédito Público y Tesoro Nacional deberá presentar al CONFIS informes mensuales sobre los recursos que se </w:t>
      </w:r>
      <w:r w:rsidR="008F7B30" w:rsidRPr="002C1480">
        <w:rPr>
          <w:rFonts w:ascii="Arial" w:eastAsia="Times New Roman" w:hAnsi="Arial" w:cs="Arial"/>
          <w:color w:val="000000"/>
          <w:lang w:eastAsia="es-CO"/>
        </w:rPr>
        <w:lastRenderedPageBreak/>
        <w:t>encuentren comprometidos mediante el sistema de compensación a que se refiere el presente título. </w:t>
      </w:r>
    </w:p>
    <w:p w14:paraId="1F9A947B" w14:textId="7858DD99" w:rsidR="008F7B30" w:rsidRPr="002C1480" w:rsidRDefault="008F7B30" w:rsidP="0021720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41" w:name="ver_30056812"/>
      <w:bookmarkEnd w:id="241"/>
    </w:p>
    <w:p w14:paraId="083EEAE2" w14:textId="17F38B8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w:t>
      </w:r>
      <w:r w:rsidR="00FD7EA0">
        <w:rPr>
          <w:rFonts w:ascii="Arial" w:eastAsia="Times New Roman" w:hAnsi="Arial" w:cs="Arial"/>
          <w:color w:val="000000"/>
          <w:lang w:eastAsia="es-CO"/>
        </w:rPr>
        <w:t>3</w:t>
      </w:r>
      <w:r w:rsidR="008F7B30" w:rsidRPr="002C1480">
        <w:rPr>
          <w:rFonts w:ascii="Arial" w:eastAsia="Times New Roman" w:hAnsi="Arial" w:cs="Arial"/>
          <w:color w:val="000000"/>
          <w:lang w:eastAsia="es-CO"/>
        </w:rPr>
        <w:t>1. (SIC, ES 2.3.2.31).Omisión en el cumplimiento de las obligaciones. La omisión en el cumplimiento de cualquiera de las obligaciones impuestas en el presente título será reportada a la Procuraduría General de la Nación, para las investigaciones y sanciones a que hubiera lugar. </w:t>
      </w:r>
    </w:p>
    <w:p w14:paraId="12CA7F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7DB56A" w14:textId="77777777" w:rsidR="008F7B30" w:rsidRPr="001F3D32" w:rsidRDefault="008F7B30" w:rsidP="001F3D32">
      <w:pPr>
        <w:spacing w:after="0" w:line="254" w:lineRule="atLeast"/>
        <w:jc w:val="center"/>
        <w:rPr>
          <w:rFonts w:ascii="Arial" w:eastAsia="Times New Roman" w:hAnsi="Arial" w:cs="Arial"/>
          <w:b/>
          <w:bCs/>
          <w:color w:val="000000"/>
          <w:lang w:eastAsia="es-CO"/>
        </w:rPr>
      </w:pPr>
      <w:bookmarkStart w:id="242" w:name="ver_30056813"/>
      <w:bookmarkEnd w:id="242"/>
      <w:r w:rsidRPr="001F3D32">
        <w:rPr>
          <w:rFonts w:ascii="Arial" w:eastAsia="Times New Roman" w:hAnsi="Arial" w:cs="Arial"/>
          <w:b/>
          <w:bCs/>
          <w:color w:val="000000"/>
          <w:lang w:eastAsia="es-CO"/>
        </w:rPr>
        <w:t>TÍTULO 3</w:t>
      </w:r>
    </w:p>
    <w:p w14:paraId="5AA59C11" w14:textId="77777777" w:rsidR="008F7B30" w:rsidRPr="001F3D32" w:rsidRDefault="008F7B30" w:rsidP="001F3D32">
      <w:pPr>
        <w:spacing w:after="0" w:line="254"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MANEJO DE EXCEDENTES DE LIQUIDEZ</w:t>
      </w:r>
    </w:p>
    <w:p w14:paraId="1E611C0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43" w:name="ver_30056814"/>
      <w:bookmarkEnd w:id="243"/>
    </w:p>
    <w:p w14:paraId="0E7E23CC" w14:textId="36E1DFA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w:t>
      </w:r>
      <w:r w:rsidR="00FD7EA0">
        <w:rPr>
          <w:rFonts w:ascii="Arial" w:eastAsia="Times New Roman" w:hAnsi="Arial" w:cs="Arial"/>
          <w:color w:val="000000"/>
          <w:lang w:eastAsia="es-CO"/>
        </w:rPr>
        <w:t>1</w:t>
      </w:r>
      <w:r w:rsidR="008F7B30" w:rsidRPr="002C1480">
        <w:rPr>
          <w:rFonts w:ascii="Arial" w:eastAsia="Times New Roman" w:hAnsi="Arial" w:cs="Arial"/>
          <w:color w:val="000000"/>
          <w:lang w:eastAsia="es-CO"/>
        </w:rPr>
        <w:t>.</w:t>
      </w:r>
      <w:r w:rsidR="00FD7EA0">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Definición de excedentes de liquidez. Para los efectos previstos en los Capítulos 3 a 5 del presente título, se entiende por excedentes de liquidez todos aquellos recursos que de manera inmediata no se destinen al desarrollo de las actividades que constituyen el objeto de las entidades a que se refieren los mencionados capítulos. </w:t>
      </w:r>
    </w:p>
    <w:p w14:paraId="16845B6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44" w:name="ver_30216871"/>
      <w:bookmarkStart w:id="245" w:name="ver_30056815"/>
      <w:bookmarkEnd w:id="244"/>
    </w:p>
    <w:p w14:paraId="7051A1CB" w14:textId="1B341303" w:rsidR="008F7B30" w:rsidRPr="002C1480" w:rsidRDefault="002C148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 Ofrecimiento de los excedentes de liquidez a la Dirección General de Crédito Público y Tesoro Nacional. Las entidades financieras que manejen excedentes de liquidez de las entidades estatales a que se refiere el Capítulo 3 del presente título mediante contratos de administración delegada de recursos, negocios fiduciarios o patrimonios autónomos, con excepción de aquellas que administren recursos de la seguridad social, deberán ofrecer a la Dirección General de Crédito Público y Tesoro Nacional del Ministerio de Hacienda y Crédito Público, el 100% de los excedentes de liquidez que se generen en virtud de dicha administración.</w:t>
      </w:r>
      <w:r w:rsidR="008F7B30" w:rsidRPr="002C1480">
        <w:rPr>
          <w:rFonts w:ascii="Arial" w:eastAsia="Times New Roman" w:hAnsi="Arial" w:cs="Arial"/>
          <w:color w:val="000000"/>
          <w:lang w:eastAsia="es-CO"/>
        </w:rPr>
        <w:br/>
      </w:r>
      <w:r w:rsidR="008F7B30" w:rsidRPr="002C1480">
        <w:rPr>
          <w:rFonts w:ascii="Arial" w:eastAsia="Times New Roman" w:hAnsi="Arial" w:cs="Arial"/>
          <w:color w:val="000000"/>
          <w:lang w:eastAsia="es-CO"/>
        </w:rPr>
        <w:br/>
        <w:t>Las entidades estatales a las que va dirigido el presente título, así como las entidades financieras que manejen excedentes de liquidez de estas entidades mediante contratos de administración delegada de recursos, negocios fiduciarios o patrimonios autónomos, podrán utilizar dichos excedentes para celebrar operaciones repo o simultáneas exclusivamente con el Banco de la República o con la Dirección General de Crédito Público y Tesoro Nacional del Ministerio de Hacienda y Crédito Público hasta por el 30% del valor del activo administrado.</w:t>
      </w:r>
      <w:r w:rsidR="008F7B30" w:rsidRPr="002C1480">
        <w:rPr>
          <w:rFonts w:ascii="Arial" w:eastAsia="Times New Roman" w:hAnsi="Arial" w:cs="Arial"/>
          <w:color w:val="000000"/>
          <w:lang w:eastAsia="es-CO"/>
        </w:rPr>
        <w:br/>
        <w:t> </w:t>
      </w:r>
      <w:bookmarkStart w:id="246" w:name="ver_30056816"/>
      <w:bookmarkEnd w:id="245"/>
      <w:bookmarkEnd w:id="246"/>
    </w:p>
    <w:p w14:paraId="06B8D219" w14:textId="0BC2AA1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 Oferta de títulos a la Dirección General de Crédito Público y Tesoro Nacional. Las entidades estatales a que se refiere el presente título que requieran liquidez podrán ofrecer los títulos, en primera opción, a la Dirección General de Crédito Público y Tesoro Nacional del Ministerio de Hacienda y Crédito Público, salvo las entidades estatales a que hace referencia el Capítulo 2 del presente título las cuales están obligadas a realizar tal ofrecimiento. Para tales efectos, la Dirección General de Crédito Público y Tesoro Nacional del Ministerio de Hacienda y Crédito Público en condiciones de mercado y con sujeción a su flujo de caja, deberá comunicar a la entidad dentro de los dos días siguientes al ofrecimiento, si se encuentra interesada en la compra, con indicación de las condiciones ofrecidas; en caso contrario, la Dirección General de Crédito Público y Tesoro Nacional deberá manifestar por escrito su autorización para que la entidad acuda al mercado secundario para la negociación de los respectivos títulos. </w:t>
      </w:r>
    </w:p>
    <w:p w14:paraId="7B60CB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6D71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Este ofrecimiento debe realizarse vía fax u otro mecanismo idóneo, detallando las siguientes características del título a redimir: número de emisión, fecha de emisión, fecha de vencimiento, tasa cupón, valor nominal, y aclarar si fue adquirido mediante inversión convenida o forzosa. En este último caso se deberá adicionar la fecha y tasa de compra del título que desea redimir. </w:t>
      </w:r>
    </w:p>
    <w:p w14:paraId="40B1E6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E20A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las entidades estatales a que se refiere el presente título requieran vender la respectiva inversión en valores, no podrán registrar pérdidas por concepto de capital y las negociaciones </w:t>
      </w:r>
      <w:r w:rsidRPr="002C1480">
        <w:rPr>
          <w:rFonts w:ascii="Arial" w:eastAsia="Times New Roman" w:hAnsi="Arial" w:cs="Arial"/>
          <w:color w:val="000000"/>
          <w:lang w:eastAsia="es-CO"/>
        </w:rPr>
        <w:lastRenderedPageBreak/>
        <w:t>deberán efectuarse en condiciones de mercado. No obstante, los recursos manejados a través de carteras colectivas, se sujetarán a las disposiciones propias de este tipo de instrumentos. </w:t>
      </w:r>
    </w:p>
    <w:p w14:paraId="713C6FD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47" w:name="ver_30056817"/>
      <w:bookmarkEnd w:id="247"/>
    </w:p>
    <w:p w14:paraId="369B6492" w14:textId="46849F8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2.3.3.4. Reporte trimestral sobre el portafolio de inversiones. Las entidades a las que se refiere el presente título salvo las previstas en el Capítulo 5, deberán reportar a la Dirección General de Crédito Público y Tesoro Nacional, la información relacionada con su portafolio de inversiones con una periodicidad trimestral con corte a 31 de marzo, 30 de junio, 30 de septiembre y 31 de diciembre de cada año, la cual deberá presentarse ante la misma Dirección, máximo un mes después de la fecha de corte. Dicha información deberá contener como mínimo, fecha de la inversión, fecha de vencimiento del instrumento, valor nominal y valor de giro al momento de la compra, tasa de rentabilidad efectiva anual para el inversionista y contraparte con la cual se realizó la operación. Igualmente, se deberá indicar las políticas de inversión que se han aplicado durante el período reportado para el manejo de los excedentes de liquidez, dicha información deberá ser suscrita por el representante legal de la respectiva entidad. </w:t>
      </w:r>
    </w:p>
    <w:p w14:paraId="2598871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48" w:name="ver_30056818"/>
      <w:bookmarkEnd w:id="248"/>
    </w:p>
    <w:p w14:paraId="678398D4" w14:textId="4C38168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 Irrevocabilidad de las operaciones con TES. Para las operaciones de compra y venta de Títulos de Tesorería TES, Clase “B” negociadas con la Dirección General de Crédito Público y Tesoro Nacional, se entiende que una vez en firme, las mismas son irrevocables y deben ejecutarse en los términos pactados. En caso que la Entidad incumpla con las obligaciones a su cargo, tal situación será reportada a los respectivos Órganos de Control. </w:t>
      </w:r>
    </w:p>
    <w:p w14:paraId="7735713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49" w:name="ver_30056819"/>
      <w:bookmarkEnd w:id="249"/>
    </w:p>
    <w:p w14:paraId="584493C2" w14:textId="071694F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2.3.3.6. Adquisición transitoria de los títulos de deuda de la misma entidad. Las entidades estatales a las que les aplica el presente título podrán adquirir como inversión transitoria los títulos de deuda emitidos por la respectiva entidad, sin que en este evento opere el fenómeno de la confusión. En este caso los títulos adquiridos podrán ser declarados de plazo vencido o negociarlos nuevamente en el mercado secundario. </w:t>
      </w:r>
    </w:p>
    <w:p w14:paraId="4288E50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50" w:name="ver_30056820"/>
      <w:bookmarkEnd w:id="250"/>
    </w:p>
    <w:p w14:paraId="18C771F9" w14:textId="5A735F6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2.3.3.7. Valoración de inversiones a precios de mercado. Las inversiones a que se refiere el presente título deberán estar valoradas y contabilizadas a precio de mercado. </w:t>
      </w:r>
    </w:p>
    <w:p w14:paraId="4D8205A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51" w:name="ver_30056821"/>
      <w:bookmarkEnd w:id="251"/>
    </w:p>
    <w:p w14:paraId="101FF0E6" w14:textId="676585E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2.3.3.8. Recursos de la seguridad social. Las disposiciones previstas en el presente título, no aplican respecto a los recursos de la seguridad social, para cuya administración se deberán cumplir las disposiciones especiales previstas, en especial respecto a la constitución, administración, redención y liquidación de las inversiones. </w:t>
      </w:r>
    </w:p>
    <w:p w14:paraId="3E880F81" w14:textId="77777777" w:rsidR="001F3D32" w:rsidRDefault="001F3D32" w:rsidP="00C32F85">
      <w:pPr>
        <w:spacing w:after="0" w:line="293" w:lineRule="atLeast"/>
        <w:jc w:val="both"/>
        <w:rPr>
          <w:rFonts w:ascii="Arial" w:eastAsia="Times New Roman" w:hAnsi="Arial" w:cs="Arial"/>
          <w:color w:val="000000"/>
          <w:lang w:eastAsia="es-CO"/>
        </w:rPr>
      </w:pPr>
      <w:bookmarkStart w:id="252" w:name="ver_30056822"/>
      <w:bookmarkEnd w:id="252"/>
    </w:p>
    <w:p w14:paraId="35D04EAE" w14:textId="3CBD202C"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CAPÍTULO 1</w:t>
      </w:r>
    </w:p>
    <w:p w14:paraId="13674201"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INVERSIÓN DE LOS EXCEDENTES DE LIQUIDEZ EN MONEDA EXTRANJERA DE LAS ENTIDADES ESTATALES DEL ORDEN NACIONAL Y TERRITORIAL</w:t>
      </w:r>
    </w:p>
    <w:p w14:paraId="7B5BDD3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53" w:name="ver_30056823"/>
      <w:bookmarkEnd w:id="253"/>
    </w:p>
    <w:p w14:paraId="0E42009D" w14:textId="41129E1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2.3.3.1.1. Ámbito de aplicación. Las disposiciones establecidas en el presente capítulo le serán aplicables a los establecimientos públicos del orden nacional, entidades estatales del orden nacional a las cuales se les apliquen las disposiciones de orden presupuestal de aquellos. </w:t>
      </w:r>
    </w:p>
    <w:p w14:paraId="151E50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F360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 establecido en el presente capítulo, podrá ser aplicado por las Empresas Industriales y Comerciales del Estado, las Sociedades de Economía Mixta, las empresas de servicios públicos domiciliarios mixtas, por la Autoridad Nacional de Televisión, las Corporaciones Autónomas Regionales y los entes universitarios. </w:t>
      </w:r>
    </w:p>
    <w:p w14:paraId="1865B058" w14:textId="40921664" w:rsidR="008F7B30" w:rsidRPr="002C1480" w:rsidRDefault="002C1480" w:rsidP="00C32F85">
      <w:pPr>
        <w:spacing w:after="0" w:line="254" w:lineRule="atLeast"/>
        <w:jc w:val="both"/>
        <w:rPr>
          <w:rFonts w:ascii="Arial" w:eastAsia="Times New Roman" w:hAnsi="Arial" w:cs="Arial"/>
          <w:color w:val="000000"/>
          <w:lang w:eastAsia="es-CO"/>
        </w:rPr>
      </w:pPr>
      <w:bookmarkStart w:id="254" w:name="ver_30056824"/>
      <w:bookmarkEnd w:id="254"/>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2.3.3.1.2. Autorización para invertir excedentes de liquidez en moneda extranjera. Las entidades estatales a las que se refiere el inciso único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y que en desarrollo </w:t>
      </w:r>
      <w:r w:rsidR="008F7B30" w:rsidRPr="002C1480">
        <w:rPr>
          <w:rFonts w:ascii="Arial" w:eastAsia="Times New Roman" w:hAnsi="Arial" w:cs="Arial"/>
          <w:color w:val="000000"/>
          <w:lang w:eastAsia="es-CO"/>
        </w:rPr>
        <w:lastRenderedPageBreak/>
        <w:t>de su objeto social cuenten con excedentes de liquidez en moneda extranjera, deberán solicitar autorización a Dirección General de Crédito Público y Tesoro Nacional para invertir dichos recursos, en el evento en que se emita la citada autorización, podrán hacer las siguientes inversiones: </w:t>
      </w:r>
    </w:p>
    <w:p w14:paraId="102AD3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0CED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Títulos de deuda pública externa colombiana, y </w:t>
      </w:r>
    </w:p>
    <w:p w14:paraId="48FDCCD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A7FD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Títulos de deuda pública emitidos por otros gobiernos, cuentas corrientes o de ahorro en moneda extranjera, depósitos remunerados en moneda extranjera, certificados de depósito en moneda extranjera. </w:t>
      </w:r>
    </w:p>
    <w:p w14:paraId="06C201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C4BC13" w14:textId="0DFC1AC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Las inversiones a que hace referencia el literal b)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deberán ser constituidas en gobiernos o instituciones financieras internacionales que cuenten con una calificación de riesgo de largo plazo como mínimo de (A+) o su equivalente y una calificación de riesgo de corto plazo como mínimo de (A-1+) o su equivalente, emitidas únicamente por aquellas agencias calificadoras de riesgo que califiquen la deuda externa de la Nación. Igualmente podrán invertir en sucursales en el exterior de establecimientos bancarios vigilados por la Superintendencia Financiera de Colombia que cuenten con la máxima calificación vigente para largo y corto plazo según la escala utilizada por las sociedades calificadoras. </w:t>
      </w:r>
    </w:p>
    <w:p w14:paraId="25700F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02145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el evento en que no se imparta la autorización para efectuar inversiones por parte de la Dirección General de Crédito Público y Tesoro Nacional, la entidad estatal deberá proceder a monetizar los excedentes de liquidez en moneda extranjera. </w:t>
      </w:r>
    </w:p>
    <w:p w14:paraId="17BD8F6B" w14:textId="2508445F"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55" w:name="ver_30056825"/>
      <w:bookmarkEnd w:id="255"/>
    </w:p>
    <w:p w14:paraId="5E33AAB3" w14:textId="40864EB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2.3.3.1.3. Compra o venta de recursos en moneda extranjera. Las entidades estatales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2.3.3.1.1. del presente capítulo que requieran comprar o vender recursos en moneda extranjera, deberán en primera instancia acudir a la Subdirección de Tesorería de la Dirección General de Crédito Público y Tesoro Nacional del Ministerio de Hacienda y Crédito Público, informando como mínimo con un día hábil de antelación las condiciones de la respectiva transacción. </w:t>
      </w:r>
    </w:p>
    <w:p w14:paraId="7F2883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3749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la Subdirección de Tesorería de la Dirección General de Crédito Público y Tesoro Nacional del Ministerio de Hacienda y Crédito Público, no esté interesada en celebrar la operación, deberá notificar a la entidad oferente su decisión por escrito a más tardar el día hábil siguiente a la fecha del ofrecimiento Si dicha notificación no se presenta en el término indicado, se entenderá que la entidad estatal podrá acudir a un Intermediario del Mercado Cambiario (IMC) seleccionado de acuerdo con las políticas de riesgo establecidas por la entidad para tal efecto. </w:t>
      </w:r>
    </w:p>
    <w:p w14:paraId="36071E10" w14:textId="77777777" w:rsidR="00217204" w:rsidRDefault="00217204" w:rsidP="00C32F85">
      <w:pPr>
        <w:spacing w:after="0" w:line="254" w:lineRule="atLeast"/>
        <w:jc w:val="both"/>
        <w:rPr>
          <w:rFonts w:ascii="Arial" w:eastAsia="Times New Roman" w:hAnsi="Arial" w:cs="Arial"/>
          <w:color w:val="000000"/>
          <w:lang w:eastAsia="es-CO"/>
        </w:rPr>
      </w:pPr>
    </w:p>
    <w:p w14:paraId="2A2BD0A0" w14:textId="1747BC1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2.3.3.1.4. Reporte de las inversiones en moneda extranjera. Las entidades estatales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2.3.3.1.1. del presente capítulo que posean recursos o inversiones en moneda extranjera en los términos señalados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anteriores, deberán reportar a la Dirección General de Crédito Público y Tesoro Nacional del Ministerio de Hacienda y Crédito Público la citada información en forma mensual de conformidad con los procedimientos que para tal efecto establezca la mencionada Dirección. </w:t>
      </w:r>
    </w:p>
    <w:p w14:paraId="291E8169" w14:textId="77777777" w:rsidR="00217204" w:rsidRDefault="00217204" w:rsidP="00C32F85">
      <w:pPr>
        <w:spacing w:after="0" w:line="254" w:lineRule="atLeast"/>
        <w:jc w:val="both"/>
        <w:rPr>
          <w:rFonts w:ascii="Arial" w:eastAsia="Times New Roman" w:hAnsi="Arial" w:cs="Arial"/>
          <w:color w:val="000000"/>
          <w:lang w:eastAsia="es-CO"/>
        </w:rPr>
      </w:pPr>
    </w:p>
    <w:p w14:paraId="2AC34A86" w14:textId="4DB80ED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2.3.3.1.5. Condiciones para las inversiones de algunas entidades territoriales y las entidades descentralizadas del orden territorial. En desarrollo de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17 de la Ley 819 de 2003, las entidades a que hace referencia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 deberán invertir sus excedentes de liquidez en moneda extranjera de conformidad con los parámetros establecidos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2.3.3.1.2. del presente título. Adicionalmente y en el evento en que las citadas </w:t>
      </w:r>
      <w:r w:rsidR="008F7B30" w:rsidRPr="002C1480">
        <w:rPr>
          <w:rFonts w:ascii="Arial" w:eastAsia="Times New Roman" w:hAnsi="Arial" w:cs="Arial"/>
          <w:color w:val="000000"/>
          <w:lang w:eastAsia="es-CO"/>
        </w:rPr>
        <w:lastRenderedPageBreak/>
        <w:t xml:space="preserve">entidades requieran comprar o vender divisas, podrán acudir a la Subdirección de Tesorería de la Dirección General de Crédito Público y Tesoro Nacional del Ministerio de Hacienda y Crédito Público, en las condiciones previstas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2.3.3.1.3. del presente título. </w:t>
      </w:r>
    </w:p>
    <w:p w14:paraId="7FB23463" w14:textId="77777777" w:rsidR="00217204" w:rsidRDefault="00217204" w:rsidP="001F3D32">
      <w:pPr>
        <w:spacing w:line="293" w:lineRule="atLeast"/>
        <w:jc w:val="center"/>
        <w:rPr>
          <w:rFonts w:ascii="Arial" w:eastAsia="Times New Roman" w:hAnsi="Arial" w:cs="Arial"/>
          <w:b/>
          <w:bCs/>
          <w:color w:val="000000"/>
          <w:lang w:eastAsia="es-CO"/>
        </w:rPr>
      </w:pPr>
      <w:bookmarkStart w:id="256" w:name="ver_30056828"/>
      <w:bookmarkEnd w:id="256"/>
    </w:p>
    <w:p w14:paraId="6F35720C" w14:textId="1EFA3439" w:rsidR="001F3D32" w:rsidRDefault="008F7B30" w:rsidP="001F3D32">
      <w:pPr>
        <w:spacing w:line="293" w:lineRule="atLeast"/>
        <w:jc w:val="center"/>
        <w:rPr>
          <w:rFonts w:ascii="Arial" w:eastAsia="Times New Roman" w:hAnsi="Arial" w:cs="Arial"/>
          <w:color w:val="000000"/>
          <w:lang w:eastAsia="es-CO"/>
        </w:rPr>
      </w:pPr>
      <w:r w:rsidRPr="001F3D32">
        <w:rPr>
          <w:rFonts w:ascii="Arial" w:eastAsia="Times New Roman" w:hAnsi="Arial" w:cs="Arial"/>
          <w:b/>
          <w:bCs/>
          <w:color w:val="000000"/>
          <w:lang w:eastAsia="es-CO"/>
        </w:rPr>
        <w:t>CAPÍTULO 2</w:t>
      </w:r>
      <w:r w:rsidRPr="001F3D32">
        <w:rPr>
          <w:rFonts w:ascii="Arial" w:eastAsia="Times New Roman" w:hAnsi="Arial" w:cs="Arial"/>
          <w:b/>
          <w:bCs/>
          <w:color w:val="000000"/>
          <w:lang w:eastAsia="es-CO"/>
        </w:rPr>
        <w:br/>
        <w:t>ESTABLECIMIENTOS PÚBLICOS Y ENTIDADES ESTATALES DEL ORDEN NACIONAL QUE CONFORMAN EL PRESUPUESTO GENERAL DE LA NACIÓN</w:t>
      </w:r>
      <w:r w:rsidRPr="002C1480">
        <w:rPr>
          <w:rFonts w:ascii="Arial" w:eastAsia="Times New Roman" w:hAnsi="Arial" w:cs="Arial"/>
          <w:color w:val="000000"/>
          <w:lang w:eastAsia="es-CO"/>
        </w:rPr>
        <w:br/>
      </w:r>
      <w:bookmarkStart w:id="257" w:name="ver_30216876"/>
      <w:bookmarkStart w:id="258" w:name="ver_30056829"/>
      <w:bookmarkEnd w:id="257"/>
    </w:p>
    <w:p w14:paraId="7341C2C8" w14:textId="77777777" w:rsidR="001F3D32" w:rsidRDefault="002C1480" w:rsidP="001F3D32">
      <w:pPr>
        <w:spacing w:after="0" w:line="293"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2.3.3.2.1. Ámbito de aplicación. Los recursos de los establecimientos públicos y las entidades estatales del orden nacional que conforman el Presupuesto General de la Nación serán administrados por la Dirección General de Crédito Público y Tesoro Nacional del Ministerio de Hacienda y Crédito Público a través del sistema de Cuenta Única Nacional conforme lo previsto por el Título 1 de la Parte 3 Libro 2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w:t>
      </w:r>
    </w:p>
    <w:p w14:paraId="7EAF5D52" w14:textId="51971D5E" w:rsidR="008F7B30" w:rsidRPr="002C1480" w:rsidRDefault="008F7B30" w:rsidP="001F3D32">
      <w:pPr>
        <w:spacing w:after="0" w:line="293"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br/>
        <w:t>Parágrafo. El presente Capítulo no aplicará a los Fondos Especiales que tengan definido un régimen especial de inversión de sus recursos en la respectiva ley de creación de los mismos, sin perjuicio del cumplimiento de la finalidad establecida para cada fondo en sus respectivas normas de creación.</w:t>
      </w:r>
      <w:r w:rsidRPr="002C1480">
        <w:rPr>
          <w:rFonts w:ascii="Arial" w:eastAsia="Times New Roman" w:hAnsi="Arial" w:cs="Arial"/>
          <w:color w:val="000000"/>
          <w:lang w:eastAsia="es-CO"/>
        </w:rPr>
        <w:br/>
        <w:t> </w:t>
      </w:r>
      <w:bookmarkStart w:id="259" w:name="ver_30216890"/>
      <w:bookmarkStart w:id="260" w:name="ver_30056830"/>
      <w:bookmarkEnd w:id="258"/>
      <w:bookmarkEnd w:id="259"/>
    </w:p>
    <w:p w14:paraId="289BFC37" w14:textId="7C6EED47" w:rsidR="008F7B30" w:rsidRDefault="002C148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2.3.3.2.2. Disponibilidad en cuenta corriente. Sin perjuicio del cumplimiento de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cualquier excedente de liquidez podrá permanecer en cuenta corriente por un tiempo superior al de cinco (5) días hábiles,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2.3.2.26, o en depósitos de ahorro o certificados de ahorro a término, cuando así se haya convenido como reciprocidad a servicios especiales que preste el establecimiento financiero. </w:t>
      </w:r>
    </w:p>
    <w:p w14:paraId="4691C65C" w14:textId="77777777" w:rsidR="001F3D32" w:rsidRPr="002C1480" w:rsidRDefault="001F3D32" w:rsidP="00C32F85">
      <w:pPr>
        <w:spacing w:after="0" w:line="254" w:lineRule="atLeast"/>
        <w:jc w:val="both"/>
        <w:rPr>
          <w:rFonts w:ascii="Arial" w:eastAsia="Times New Roman" w:hAnsi="Arial" w:cs="Arial"/>
          <w:color w:val="000000"/>
          <w:lang w:eastAsia="es-CO"/>
        </w:rPr>
      </w:pPr>
    </w:p>
    <w:p w14:paraId="16A85370" w14:textId="4A57E99A" w:rsidR="008F7B30" w:rsidRPr="002C1480" w:rsidRDefault="008F7B30" w:rsidP="001F3D3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convenios deberán constar por escrito y determinarse en ellos los servicios, modalidad, monto y tiempo de la reciprocidad, que en ningún caso podrá exceder del tercer (3) día hábil anterior al cierre del mes respectivo; además, deberán guardar equilibrio entre el servicio prestado por la entidad financiera y la retribución pactada.</w:t>
      </w:r>
      <w:r w:rsidRPr="002C1480">
        <w:rPr>
          <w:rFonts w:ascii="Arial" w:eastAsia="Times New Roman" w:hAnsi="Arial" w:cs="Arial"/>
          <w:color w:val="000000"/>
          <w:lang w:eastAsia="es-CO"/>
        </w:rPr>
        <w:br/>
        <w:t> </w:t>
      </w:r>
      <w:bookmarkStart w:id="261" w:name="ver_30216891"/>
      <w:bookmarkStart w:id="262" w:name="ver_30056831"/>
      <w:bookmarkEnd w:id="260"/>
      <w:bookmarkEnd w:id="261"/>
    </w:p>
    <w:p w14:paraId="5295B405" w14:textId="05BE201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2.3.3.2.3. Fondo para la redención anticipada de títulos valores emitidos por la Nación. De conformidad con las facultades conferidas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98 del Estatuto Orgánico del Presupuesto, la Dirección General de Crédito Público y Tesoro Nacional mantendrá como una cuenta de la misma, el Fondo para la redención anticipada de los títulos valores emitidos por la Nación que adquiera como inversión transitoria de liquidez. </w:t>
      </w:r>
    </w:p>
    <w:p w14:paraId="6823A8D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63" w:name="ver_30056832"/>
      <w:bookmarkEnd w:id="262"/>
      <w:bookmarkEnd w:id="263"/>
    </w:p>
    <w:p w14:paraId="3B10FA2D" w14:textId="13F8741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2.3.3.2.4. Liquidación anticipada de “Títulos de Tesorería TES Clase B”. La inversión en Títulos de Tesorería TES, Clase “B”, podrá liquidarse anticipadamente con el fin de atender compromisos de gasto, que deberán ser ejecutados dentro de los cinco (5) días hábiles siguientes a la liquidación de la inversión. </w:t>
      </w:r>
    </w:p>
    <w:p w14:paraId="155A61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58343E" w14:textId="086B616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No obstante lo anterior, dichos recursos podrán permanecer en cuenta corriente, depósitos de ahorro o certificados de ahorro a término, por un tiempo superior a los cinco (5) días indicados en el inciso anterior, cuando así se convenga como reciprocidad a la prestación de servicios,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1DD8F7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9626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Igualmente, podrá liquidarse anticipadamente, la inversión en TES, para rotar el portafolio de estos títulos. Con los recursos obtenidos las entidades obligadas deberán constituir TES del mercado primario adquiridos directamente con la Dirección General de Crédito Público y Tesoro Nacional, máximo el día hábil siguiente a la venta de dichos títulos. </w:t>
      </w:r>
    </w:p>
    <w:p w14:paraId="626294D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64" w:name="ver_30056833"/>
      <w:bookmarkEnd w:id="264"/>
    </w:p>
    <w:p w14:paraId="7AF5AB56" w14:textId="0DD6C71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2.3.3.2.5. Fondo para la redención anticipada de los “Títulos de Tesorería TES Clase B”. De conformidad con las facultades conferidas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98 del Estatuto Orgánico del Presupuesto, la Dirección General de Crédito Público y Tesoro Nacional mantendrá como una cuenta de la misma, el Fondo para la redención anticipada de los Títulos de Tesorería TES, Clase “B”, suscritos en desarrollo de lo normado en el presente título. </w:t>
      </w:r>
    </w:p>
    <w:p w14:paraId="63927A8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65" w:name="ver_30056834"/>
      <w:bookmarkEnd w:id="265"/>
    </w:p>
    <w:p w14:paraId="057425F4" w14:textId="2EAD96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2.3.3.2.6. Capitalización del Fondo para la redención anticipada de “Títulos de Tesorería TES Clase “B”. El Fondo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es capitalizado mediante la transferencia directa de recursos provenientes de las colocaciones que efectúen los establecimientos públicos del orden nacional y las entidades estatales del orden nacional a las cuales se les apliquen las disposiciones de orden presupuestal de aquellos y en ningún caso podrá ser inferior al cinco por ciento (5%) de las colocaciones respectivas de acuerdo con la determinación que adopte la Dirección General de Crédito Público y Tesoro Nacional. No obstante lo anterior, el Fondo también podrá recibir recursos de la Dirección General de Crédito Público y Tesoro Nacional los cuales serán reembolsables a esta. De igual forma, dicha Dirección podrá utilizar transitoriamente las disponibilidades del Fondo. </w:t>
      </w:r>
    </w:p>
    <w:p w14:paraId="1138AFB8" w14:textId="77777777" w:rsidR="00217204" w:rsidRDefault="00217204" w:rsidP="00C32F85">
      <w:pPr>
        <w:spacing w:after="0" w:line="254" w:lineRule="atLeast"/>
        <w:jc w:val="both"/>
        <w:rPr>
          <w:rFonts w:ascii="Arial" w:eastAsia="Times New Roman" w:hAnsi="Arial" w:cs="Arial"/>
          <w:color w:val="000000"/>
          <w:lang w:eastAsia="es-CO"/>
        </w:rPr>
      </w:pPr>
    </w:p>
    <w:p w14:paraId="0551824C" w14:textId="74202BA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2.3.3.2.7. Acceso al Fondo para la redención anticipada de “Títulos de Tesorería TES Clase “B”. Para que los establecimientos públicos del orden nacional y las entidades estatales del orden nacional a las cuales se les apliquen las disposiciones de orden presupuestal de aquellos puedan acceder al Fondo, será indispensable que estén vinculados al Depósito Central de Valores del administrador de los títulos y que informen a la Dirección General de Crédito Público y Tesoro Nacional, por lo menos, los (2) días hábiles anteriores, su intención de redimir anticipadamente, y la cuantía de la operación respectiva. </w:t>
      </w:r>
    </w:p>
    <w:p w14:paraId="23005F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5891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Simultáneamente con la redención anticipada de los Títulos de Tesorería TES, Clase “B” en el Fondo, se deberán transferir los derechos correspondientes a la orden de la Nación - Dirección General de Crédito Público y Tesoro Nacional. </w:t>
      </w:r>
    </w:p>
    <w:p w14:paraId="03F70B2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66" w:name="ver_30056836"/>
      <w:bookmarkEnd w:id="266"/>
    </w:p>
    <w:p w14:paraId="37731981" w14:textId="4700D06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2.3.3.2.8. Administración separada del portafolio con los TES Clase “B” redimidos. La Dirección General de Crédito Público y Tesoro Nacional constituirá y administrará, de manera separada, un portafolio con los TES Clase “B” redimidos en el Fondo de que tratan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2.3.3.2.6. y 2.3.3.2.7. A dicho portafolio le serán aplicables las disposiciones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100 del Estatuto Orgánico del Presupuesto. </w:t>
      </w:r>
    </w:p>
    <w:p w14:paraId="2C7C60A1" w14:textId="77777777" w:rsidR="00217204" w:rsidRDefault="00217204" w:rsidP="00C32F85">
      <w:pPr>
        <w:spacing w:after="0" w:line="254" w:lineRule="atLeast"/>
        <w:jc w:val="both"/>
        <w:rPr>
          <w:rFonts w:ascii="Arial" w:eastAsia="Times New Roman" w:hAnsi="Arial" w:cs="Arial"/>
          <w:color w:val="000000"/>
          <w:lang w:eastAsia="es-CO"/>
        </w:rPr>
      </w:pPr>
    </w:p>
    <w:p w14:paraId="68DA8B38" w14:textId="15C472F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2.3.3.2.9. Redención de los “Títulos de Tesorería TES Clase “B”. La redención de los Títulos de Tesorería TES, Clase “B” se subordinará al siguiente mecanismo: dentro de los primeros 60 días, contados a partir de la fecha de suscripción de los títulos, se les reconocerá el equivalente al veinticinco por ciento (25%) de la tasa efectiva causada en el respectivo periodo, con año base 365 días; a las que realicen entre el día 61 y el 120 se les reconocerá el equivalente al cincuenta por ciento (50%) de la tasa efectiva causada en el respectivo período, con año base 365 días; a las comprendidas entre los 121 y 180 días el setenta y cinco por ciento (75%) de la tasa efectiva causada en el respectivo período, con año base 365 días, y de los 181 días en adelante no tendrán redención anticipada en el Fondo. </w:t>
      </w:r>
    </w:p>
    <w:p w14:paraId="231BD7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153920" w14:textId="0BD64C7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Lo anterior, sin perjuicio de que los establecimientos públicos del orden nacional y las entidades estatales del orden nacional a las cuales se les apliquen las disposiciones de orden presupuestal de aquellos puedan liquidar su inversión en el mercado secundario, con sujeción a las disposiciones de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2.3.3.2.4. y 2.3.3.2.5. de este capítulo. </w:t>
      </w:r>
    </w:p>
    <w:p w14:paraId="073FA91E" w14:textId="08D1D4F2" w:rsidR="008F7B30" w:rsidRPr="002C1480" w:rsidRDefault="008F7B30" w:rsidP="0021720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67" w:name="ver_30056838"/>
      <w:bookmarkEnd w:id="267"/>
    </w:p>
    <w:p w14:paraId="30479C05" w14:textId="3CD466F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2.3.3.2.10. Información sobre los saldos y promedio diario mensual. Para los efectos previstos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anteriores, las entidades estatales a que se refiere el presente Capítulo deberán radicar en la Dirección General de Crédito Público y Tesoro Nacional, dentro de los cinco (5) primeros días hábiles de cada mes, la información sobre los saldos y el promedio diario mensual de sus disponibilidades en caja, cuentas corrientes, depósitos de ahorros, a término o cualquier otro depósito y títulos valores, incluidos los Títulos de Tesorería TES, Clase “B” en poder de las entidades, durante el mes calendario anterior al del reporte. Tal información deberá ser suscrita por el ordenador de gasto respectivo. </w:t>
      </w:r>
    </w:p>
    <w:p w14:paraId="46719D0C" w14:textId="599B17DA" w:rsidR="008F7B30" w:rsidRPr="002C1480" w:rsidRDefault="008F7B30" w:rsidP="0021720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68" w:name="ver_30056839"/>
      <w:bookmarkEnd w:id="268"/>
    </w:p>
    <w:p w14:paraId="0FA2ACF4" w14:textId="2E378B9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2.3.3.2.11. Informe al representante legal. La Dirección General de Crédito Público y Tesoro Nacional informará por escrito al representante legal de la entidad estatal a que se refiere el presente Capítulo sobre el incumplimiento de la inversión obligatoria, por defecto en su cuantía o inoportunidad de su constitución; suministro extemporáneo o inexacto de la información mensual, o cualquiera otra irregularidad relacionada con las disposiciones de este Capítulo. </w:t>
      </w:r>
    </w:p>
    <w:p w14:paraId="6ED1CD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B55A3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transcurridos cinco (5) días hábiles contados a partir de la fecha de la referida comunicación la entidad estatal a que se refiere el presente Capítulo no ha radicado en la Dirección General de Crédito Público y Tesoro Nacional la respuesta respectiva o la misma es incompleta o insatisfactoria, dicha instancia deberá informar de tal situación a la Procuraduría General de la Nación. </w:t>
      </w:r>
    </w:p>
    <w:p w14:paraId="499644EB" w14:textId="110DAEBD" w:rsidR="008F7B30" w:rsidRPr="002C1480" w:rsidRDefault="008F7B30" w:rsidP="0021720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69" w:name="ver_30056840"/>
      <w:bookmarkEnd w:id="269"/>
    </w:p>
    <w:p w14:paraId="24DED818" w14:textId="557766E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2.3.3.2.12. Selección aleatoria. La Dirección General de Crédito Público y Tesoro Nacional seleccionará cada mes, de manera aleatoria, la información recibida relacionada con la liquidez de por lo menos cinco (5) entidades estatales a que se refiere el presente Capítulo, que pondrá mensualmente a disposición de la Contraloría General de la República, para las evaluaciones correspondientes e iniciación de las investigaciones a que haya lugar, si es el caso. Para los anteriores efectos, la Dirección General de Crédito Público y Tesoro Nacional podrá incluir en la relación mencionada, a entidades que hayan sido seleccionadas en listas anteriores. </w:t>
      </w:r>
    </w:p>
    <w:p w14:paraId="422CFD99" w14:textId="77777777" w:rsidR="001F3D32" w:rsidRDefault="001F3D32" w:rsidP="00C32F85">
      <w:pPr>
        <w:spacing w:after="0" w:line="293" w:lineRule="atLeast"/>
        <w:jc w:val="both"/>
        <w:rPr>
          <w:rFonts w:ascii="Arial" w:eastAsia="Times New Roman" w:hAnsi="Arial" w:cs="Arial"/>
          <w:color w:val="000000"/>
          <w:lang w:eastAsia="es-CO"/>
        </w:rPr>
      </w:pPr>
      <w:bookmarkStart w:id="270" w:name="ver_30056841"/>
      <w:bookmarkEnd w:id="270"/>
    </w:p>
    <w:p w14:paraId="6B3A38C0" w14:textId="1A5ECEB7" w:rsidR="008F7B30" w:rsidRPr="001F3D32" w:rsidRDefault="008F7B30" w:rsidP="001F3D32">
      <w:pPr>
        <w:spacing w:after="0"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CAPÍTULO 3</w:t>
      </w:r>
    </w:p>
    <w:p w14:paraId="33A00AC6" w14:textId="77777777" w:rsidR="008F7B30" w:rsidRPr="001F3D32" w:rsidRDefault="008F7B30" w:rsidP="001F3D32">
      <w:pPr>
        <w:spacing w:line="293" w:lineRule="atLeast"/>
        <w:jc w:val="center"/>
        <w:rPr>
          <w:rFonts w:ascii="Arial" w:eastAsia="Times New Roman" w:hAnsi="Arial" w:cs="Arial"/>
          <w:b/>
          <w:bCs/>
          <w:color w:val="000000"/>
          <w:lang w:eastAsia="es-CO"/>
        </w:rPr>
      </w:pPr>
      <w:r w:rsidRPr="001F3D32">
        <w:rPr>
          <w:rFonts w:ascii="Arial" w:eastAsia="Times New Roman" w:hAnsi="Arial" w:cs="Arial"/>
          <w:b/>
          <w:bCs/>
          <w:color w:val="000000"/>
          <w:lang w:eastAsia="es-CO"/>
        </w:rPr>
        <w:t>EMPRESAS INDUSTRIALES Y COMERCIALES DEL ESTADO DEL ORDEN NACIONAL Y SOCIEDADES DE ECONOMÍA MIXTA CON RÉGIMEN DE EMPRESAS COMERCIALES E INDUSTRIALES DEL ESTADO DEDICADAS A ACTIVIDADES NO FINANCIERAS Y ASIMILADAS A ESTAS</w:t>
      </w:r>
    </w:p>
    <w:p w14:paraId="1DCA0C7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71" w:name="ver_30056842"/>
      <w:bookmarkEnd w:id="271"/>
    </w:p>
    <w:p w14:paraId="6B4E314F" w14:textId="7030F31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 Ámbito de aplicación. El presente Capítulo se aplica a los actos y contratos que en relación con los excedentes de liquidez, impliquen de cualquier manera el depósito, la disposición, adquisición, manejo, custodia, administración de dinero, de títulos y en general de valores, por parte de las Empresas Industriales y Comerciales del Estado del orden nacional y de las Sociedades de Economía Mixta sujetas al régimen de aquellas, dedicadas a actividades no financieras, así como a las empresas sociales del Estado y las empresas de servicios públicos en las que la participación del Estado sea superior al noventa por ciento (90%) de su capital. </w:t>
      </w:r>
    </w:p>
    <w:p w14:paraId="31C6A7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0EE0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En todos los casos, las inversiones financieras deberán efectuarse bajo los criterios de transparencia, rentabilidad, solidez y seguridad, y en condiciones de mercado. </w:t>
      </w:r>
    </w:p>
    <w:p w14:paraId="2ECFAF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7CBA54" w14:textId="1EB78F4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1º. Cuando las entidades a las cuales se les aplique este Capítulo celebren contratos de administración con terceros, para que estos efectúen cualquiera de las actividades mencionadas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con dinero, títulos o en general valores de propiedad de dichas entidades, incluyendo aquellos que se celebren para ejercer la facultad consagrada en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 la Ley 533 de 1999 o la norma que lo adicione o sustituya, deberán asegurarse que aquellos den estricto cumplimiento a lo establecido en el presente título. </w:t>
      </w:r>
    </w:p>
    <w:p w14:paraId="7C0512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A233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2º. La Dirección General de Crédito Público y Tesoro Nacional, podrá administrar y manejar los excedentes de liquidez de las empresas industriales y comerciales del Estado para lo cual suscribirá los convenios a que haya lugar. </w:t>
      </w:r>
    </w:p>
    <w:p w14:paraId="6F042713" w14:textId="4745DBA9"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72" w:name="ver_30056843"/>
      <w:bookmarkEnd w:id="272"/>
    </w:p>
    <w:p w14:paraId="0D5C089B" w14:textId="6F78E77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 Oferta de recursos a la Dirección General de Crédito Público y Tesoro Nacional. Las Empresas Industriales y Comerciales del Estado del orden nacional y las Sociedades de Economía Mixta con régimen de aquellas, dedicadas a actividades no financieras y las asimiladas a estas, deberán ofrecer a la Dirección General de Crédito Público y Tesoro Nacional en primera opción y en condiciones de mercado, el ciento por ciento (100%) de la liquidez en moneda nacional, cualquiera fuere el plazo de la citada liquidez. </w:t>
      </w:r>
    </w:p>
    <w:p w14:paraId="1EC2C9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C466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la Dirección General de Crédito Público y Tesoro Nacional no esté interesada en tomar los recursos ofrecidos, deberá notificar a la entidad oferente su decisión por escrito a más tardar el día hábil siguiente a la fecha del ofrecimiento. Si la citada notificación no se presenta dentro del término indicado, se entenderá que la Dirección General de Crédito Público y Tesoro Nacional no está interesada en la negociación, caso en el cual las entidades de que trata el presente capítulo podrán efectuar inversiones financieras, con sujeción a las normas legales que las rigen y con base en las políticas y criterios que establezcan las Juntas Directivas o Consejos Directivos de la respectiva entidad. </w:t>
      </w:r>
    </w:p>
    <w:p w14:paraId="046FAB0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73" w:name="ver_30056844"/>
      <w:bookmarkEnd w:id="273"/>
    </w:p>
    <w:p w14:paraId="4B022050" w14:textId="3CF5632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 Políticas, reglas y procedimientos para la ejecución de los actos o contratos. Todos los actos o contratos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 del presente capítulo, deberán ser ejecutados con estricta sujeción a políticas, reglas y procedimientos, previamente definidos y divulgados por la junta o consejo directivo de la respectiva entidad. En dichas políticas, reglas y procedimientos, se deberá prever, como mínimo, lo siguiente: </w:t>
      </w:r>
    </w:p>
    <w:p w14:paraId="2B9E69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5303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Criterios para la selección de agentes para la administración delegada de recursos. </w:t>
      </w:r>
    </w:p>
    <w:p w14:paraId="46CBE42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FCD3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Criterios de selección de los sistemas transaccionales de negociación de valores a través de los cuales se exponen y concretan las operaciones. </w:t>
      </w:r>
    </w:p>
    <w:p w14:paraId="7C38C7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4876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Justificación y documentación de la selección a que se refieren los numerales anteriores. </w:t>
      </w:r>
    </w:p>
    <w:p w14:paraId="5BE57A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8C3B88" w14:textId="2027284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Criterios para la administración o inversión de los activos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2.3.3.3.1. del presente capítulo. </w:t>
      </w:r>
    </w:p>
    <w:p w14:paraId="57D4929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07AD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Metodologías definidas con criterios técnicos aplicables a la inversión de los excedentes para la determinación de precios de referencia. </w:t>
      </w:r>
    </w:p>
    <w:p w14:paraId="6E9505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0FC6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6. Regulación de los conflictos de interés entre la respectiva entidad y funcionarios o terceros, así como de la obligación de manifestar oportunamente tales conflictos en todos los eventos en que se presenten. </w:t>
      </w:r>
    </w:p>
    <w:p w14:paraId="0648CC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DB3E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Regulación respecto de la prevención y prohibición del uso indebido de información conocida en razón de la labor o de las funciones, que pueda ser utilizada en provecho de funcionarios, agentes o terceros. </w:t>
      </w:r>
    </w:p>
    <w:p w14:paraId="4308A7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1221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Criterios y razones que motivan de manera general las decisiones para la administración e inversión de los excedentes, sea que se efectúen directamente o mediante agentes. </w:t>
      </w:r>
    </w:p>
    <w:p w14:paraId="58AA55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AF77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Descripción clara de los eventos en los cuales sea admisible aplicar políticas, reglas y procedimientos de manera especial o restringida. Cuando tales eventos tengan lugar se deberá justificar plenamente, dejando expresa constancia de la respectiva necesidad. </w:t>
      </w:r>
    </w:p>
    <w:p w14:paraId="7B7D0D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84CB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En general, deberá dejarse registro detallado y documentación de todas las operaciones a las que se refiere este Capítulo, de manera que pueda verificarse el cumplimiento de las políticas, reglas y procedimientos aplicables, todo lo cual deberá permanecer a disposición de las personas o entidades que tengan la facultad de inspección o verificación. </w:t>
      </w:r>
    </w:p>
    <w:p w14:paraId="0C743E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10E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deberá dejarse registro y documentación de la forma como el respectivo organismo haya dado aplicación al principio de la selección objetiva. </w:t>
      </w:r>
    </w:p>
    <w:p w14:paraId="24B8B05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74" w:name="ver_30056845"/>
      <w:bookmarkEnd w:id="274"/>
    </w:p>
    <w:p w14:paraId="5C51FB88" w14:textId="29B4541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2.3.3.3.4. Selección de los agentes para la administración delegada de recursos. Para la selección de los agentes a que se refiere el numeral 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se tendrá en consideración, como mínimo, lo siguiente: </w:t>
      </w:r>
    </w:p>
    <w:p w14:paraId="502B68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6406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Que dichos agentes se encuentren legalmente facultados para realizar la administración de tales recursos; </w:t>
      </w:r>
    </w:p>
    <w:p w14:paraId="146909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96E3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Que dichos agentes estén específicamente calificados en la actividad de administración de recursos o de fondos por al menos una firma calificadora debidamente autorizada; </w:t>
      </w:r>
    </w:p>
    <w:p w14:paraId="639640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34E1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Que las calificaciones superen los mínimos establecidos en las políticas promulgadas por la respectiva entidad, en cumplimiento de lo aquí previsto. </w:t>
      </w:r>
    </w:p>
    <w:p w14:paraId="05A915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AF2C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se entreguen recursos en administración a terceros, las entidades a las que se refiere el presente Capítulo deberán determinar las políticas, parámetros y criterios para el manejo de los recursos por parte del contratista administrador, incluida la obligatoriedad para este último de realizar las operaciones a través de sistemas transaccionales de negociación de valores y/o mecanismos de subasta, con sujeción a lo establecido en el presente Capítulo; así como evaluar la conveniencia por parte de la entidad de contratar una auditoría externa. </w:t>
      </w:r>
    </w:p>
    <w:p w14:paraId="0A39B3C0" w14:textId="797931F3"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75" w:name="ver_30056846"/>
      <w:bookmarkEnd w:id="275"/>
    </w:p>
    <w:p w14:paraId="62B17895" w14:textId="76413A4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2.3.3.3.5. Operaciones a través de Sistemas de Negociación de Valores. Las entidades a que se refiere el presente Capítulo deberán realizar directamente las operaciones sobre valores a través de sistemas de negociación de valores autorizados por la Superintendencia Financiera de Colombia. </w:t>
      </w:r>
    </w:p>
    <w:p w14:paraId="0DFF846A" w14:textId="55D16031" w:rsidR="008F7B30" w:rsidRPr="002C1480" w:rsidRDefault="002C1480" w:rsidP="00C32F85">
      <w:pPr>
        <w:spacing w:after="0" w:line="254" w:lineRule="atLeast"/>
        <w:jc w:val="both"/>
        <w:rPr>
          <w:rFonts w:ascii="Arial" w:eastAsia="Times New Roman" w:hAnsi="Arial" w:cs="Arial"/>
          <w:color w:val="000000"/>
          <w:lang w:eastAsia="es-CO"/>
        </w:rPr>
      </w:pPr>
      <w:bookmarkStart w:id="276" w:name="ver_30056847"/>
      <w:bookmarkEnd w:id="276"/>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2.3.3.3.6. Mecanismos de subasta. Cuando las entidades en la realización de sus operaciones no utilicen sistemas de negociación de valores, deberán recurrir a mecanismos de </w:t>
      </w:r>
      <w:r w:rsidR="008F7B30" w:rsidRPr="002C1480">
        <w:rPr>
          <w:rFonts w:ascii="Arial" w:eastAsia="Times New Roman" w:hAnsi="Arial" w:cs="Arial"/>
          <w:color w:val="000000"/>
          <w:lang w:eastAsia="es-CO"/>
        </w:rPr>
        <w:lastRenderedPageBreak/>
        <w:t>subasta las cuales podrán realizarse a través de sistemas electrónicos, salvo que se trate de operaciones interadministrativas. </w:t>
      </w:r>
    </w:p>
    <w:p w14:paraId="2903C986" w14:textId="6B4B53F9"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77" w:name="ver_30056848"/>
      <w:bookmarkEnd w:id="277"/>
    </w:p>
    <w:p w14:paraId="1156E882" w14:textId="07D45D6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2.3.3.3.7. Reglamentación de las subastas. Será responsabilidad de cada entidad estatal a que se refiere el presente Capítulo expedir la reglamentación de las respectivas subastas la cual deberá constar por escrito, y asegurar que las operaciones se celebren en condiciones de transparencia, seguridad, solidez, liquidez y rentabilidad, y en condiciones de mercado. </w:t>
      </w:r>
    </w:p>
    <w:p w14:paraId="4E227A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AF23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estatales a que se refiere el presente Capítulo deberán informar al mercado sobre los medios a través de los cuales realizarán la convocatoria de las subastas y la comunicación de los resultados de las mismas. Para el efecto, podrán utilizar sistemas electrónicos de comunicación o cualquier otro medio que consideren idóneo. En todo caso, las entidades deberán asegurarse que las contrapartes y emisores idóneos quedarán oportunamente informados con los medios seleccionados. </w:t>
      </w:r>
    </w:p>
    <w:p w14:paraId="565B8987" w14:textId="7BF42C67"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78" w:name="ver_30056849"/>
      <w:bookmarkEnd w:id="278"/>
    </w:p>
    <w:p w14:paraId="10B7E6C6" w14:textId="1F14247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2.3.3.3.8. Registro de las operaciones efectuadas mediante subasta. El emisor y/o la contraparte a que se refiere el presente Capítulo deberán registrar en el sistema de registro de valores aprobado por la Superintendencia Financiera de Colombia todas las operaciones efectuadas mediante el mecanismo de subasta, el mismo día de su realización. </w:t>
      </w:r>
    </w:p>
    <w:p w14:paraId="106AB18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79" w:name="ver_30056850"/>
      <w:bookmarkEnd w:id="279"/>
    </w:p>
    <w:p w14:paraId="682A0107" w14:textId="0CBFADA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2.3.3.3.9. Tipos de subastas. Las subastas para la constitución de certificados de depósito y de ahorro a término pueden ser de dos tipos: tipo oferta y tipo demanda. </w:t>
      </w:r>
    </w:p>
    <w:p w14:paraId="2C3A09F4" w14:textId="0FD99567"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80" w:name="ver_30056851"/>
      <w:bookmarkEnd w:id="280"/>
    </w:p>
    <w:p w14:paraId="499CA883" w14:textId="1DBF4CA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2.3.3.3.10. Subasta tipo oferta. Se denomina subasta tipo oferta aquella mediante la cual las entidades ofrecen recursos para constituir certificados de depósito y de ahorro a término y se adjudica a los emisores idóneos que presenten las propuestas en las mejores condiciones de mercado. </w:t>
      </w:r>
    </w:p>
    <w:p w14:paraId="19F97F6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81" w:name="ver_30056852"/>
      <w:bookmarkEnd w:id="281"/>
    </w:p>
    <w:p w14:paraId="1398AB9F" w14:textId="0C222D3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2.3.3.3.11. Estas subastas deberán ser organizadas y realizadas directamente por las entidades. </w:t>
      </w:r>
    </w:p>
    <w:p w14:paraId="62FC9E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4BD1C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Con sujeción a las políticas de las entidades, en aplicación del presente Capítulo, estas deberán definir las características y requisitos para que un emisor sea considerado idóneo. </w:t>
      </w:r>
    </w:p>
    <w:p w14:paraId="47BC6F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114C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Se considera oferta o propuesta en las mejores condiciones de mercado, aquella que cumpla con los criterios de seguridad, liquidez y rentabilidad, que para el efecto defina la respectiva entidad. </w:t>
      </w:r>
    </w:p>
    <w:p w14:paraId="28D9AFCB" w14:textId="1EF06CB4"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82" w:name="ver_30056853"/>
      <w:bookmarkEnd w:id="282"/>
    </w:p>
    <w:p w14:paraId="4239B67E" w14:textId="54965D0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2.3.3.3.12. Exigencias para la realización de subastas tipo oferta. Las entidades al organizar y realizar subastas tipo oferta, como mínimo, deberán: </w:t>
      </w:r>
    </w:p>
    <w:p w14:paraId="3B1ADF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EA24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Divulgar de manera previa y adecuada el horario, mecanismos y procedimientos para la presentación de las propuestas, adjudicación y cumplimiento de las subastas; </w:t>
      </w:r>
    </w:p>
    <w:p w14:paraId="01831A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93B2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Informar previamente el plazo de los recursos ofrecidos en cada subasta; </w:t>
      </w:r>
    </w:p>
    <w:p w14:paraId="462AB5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7F94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Exigir que las propuestas presentadas sean en firme, y sólo admitir modificaciones que impliquen mejorar los términos de la oferta; </w:t>
      </w:r>
    </w:p>
    <w:p w14:paraId="0C621F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6B2B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d) Ofrecer plazos en múltiplos de 30 para aquellos mayores de 30 días, sin perjuicio de que puedan subastarse recursos a plazos inferiores de 30 días cuando se trate de certificados de ahorro a término; </w:t>
      </w:r>
    </w:p>
    <w:p w14:paraId="495E9BC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8B4B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Exigir que la modalidad y pago de intereses sea por periodos vencidos, los montos expresados en múltiplos de cien mil pesos y que los títulos se encuentren desmaterializados en un depósito centralizado de valores; </w:t>
      </w:r>
    </w:p>
    <w:p w14:paraId="73E04E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2213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Exigir que el cumplimiento de las operaciones sea compensado, esto es, entrega contra pago; </w:t>
      </w:r>
    </w:p>
    <w:p w14:paraId="59452D1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E06D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Suministrar, como mínimo, información global de montos, plazos y tasas de adjudicación. </w:t>
      </w:r>
    </w:p>
    <w:p w14:paraId="35DD66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BC0E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entidad previa la convocatoria de cada subasta, deberá determinar la tasa mínima por plazo a la cual está dispuesta a colocar los recursos. Todos los elementos y factores considerados para su definición deberán constar por escrito. </w:t>
      </w:r>
    </w:p>
    <w:p w14:paraId="0E86E4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EC91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Dicha tasa, en ningún caso, deberá ser informada al mercado. </w:t>
      </w:r>
    </w:p>
    <w:p w14:paraId="428AD3BB" w14:textId="1F0D3C4D"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83" w:name="ver_30056854"/>
      <w:bookmarkEnd w:id="283"/>
    </w:p>
    <w:p w14:paraId="62E9802D" w14:textId="7AD45BA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2.3.3.3.13. Subasta tipo demanda. Se denomina subasta tipo demanda aquella a través de la cual las entidades financieras sujetas al control y vigilancia de la Superintendencia Financiera de Colombia, demandan recursos contra la expedición de certificados de depósito o de ahorro a término. </w:t>
      </w:r>
    </w:p>
    <w:p w14:paraId="5AAAF7E0" w14:textId="3195F1AF"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84" w:name="ver_30056855"/>
      <w:bookmarkEnd w:id="284"/>
    </w:p>
    <w:p w14:paraId="6BF4229D" w14:textId="2790AFC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2.3.3.3.14. Exigencias para la realización de subastas tipo demanda. Las entidades podrán participar en subastas tipo demanda, si: </w:t>
      </w:r>
    </w:p>
    <w:p w14:paraId="0FE0E3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924E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Son realizadas a través de sistemas electrónicos; </w:t>
      </w:r>
    </w:p>
    <w:p w14:paraId="24D8A8A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CC14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convocatoria es abierta, esto es, que permita la libre participación del mayor número posible de entidades públicas y de las vigiladas por la Superintendencia Financiera de Colombia en desarrollo de su objeto; </w:t>
      </w:r>
    </w:p>
    <w:p w14:paraId="7E41CE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A81A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Se divulga de manera previa y adecuada, por parte de la respectiva entidad financiera, el horario, mecanismos y procedimientos para la presentación de las propuestas, adjudicación y cumplimiento de las subastas; </w:t>
      </w:r>
    </w:p>
    <w:p w14:paraId="751E62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B57E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Se informa de manera previa y adecuada, por parte de la respectiva entidad financiera, el monto mínimo a subastar, clase de título a expedir, plazo, modalidad y periodicidad de pago de los intereses; </w:t>
      </w:r>
    </w:p>
    <w:p w14:paraId="32D212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2057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Las propuestas presentadas son en firme y solo admiten modificaciones que impliquen mejorar los términos de la oferta; </w:t>
      </w:r>
    </w:p>
    <w:p w14:paraId="33CF03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B98B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El ofrecimiento de plazos es en múltiplos de 30 para aquellos mayores de 30 días, sin perjuicio de que puedan demandarse recursos a plazos inferiores de 30 días cuando se trate de certificados de ahorro a término; </w:t>
      </w:r>
    </w:p>
    <w:p w14:paraId="142D33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1F0F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7. Hay manifestación expresa, por parte de las entidades financieras, de que los títulos ofrecidos serán expedidos bajo la modalidad de pago de intereses por periodo vencido, los montos </w:t>
      </w:r>
      <w:r w:rsidRPr="002C1480">
        <w:rPr>
          <w:rFonts w:ascii="Arial" w:eastAsia="Times New Roman" w:hAnsi="Arial" w:cs="Arial"/>
          <w:color w:val="000000"/>
          <w:lang w:eastAsia="es-CO"/>
        </w:rPr>
        <w:lastRenderedPageBreak/>
        <w:t>expresados en múltiplos de cien mil pesos y se encuentren desmaterializados en un depósito centralizado de valores; </w:t>
      </w:r>
    </w:p>
    <w:p w14:paraId="33A257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F908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El cumplimiento de las operaciones es compensado, esto es, entrega contra pago; </w:t>
      </w:r>
    </w:p>
    <w:p w14:paraId="6DCC3F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BB9A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Se suministra, como mínimo, información global sobre montos, plazos y tasas de adjudicación. </w:t>
      </w:r>
    </w:p>
    <w:p w14:paraId="6B2861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3D596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entidades participantes en este tipo de subasta deberán sustentar por escrito los criterios que consideraron para determinar la tasa de su oferta. </w:t>
      </w:r>
    </w:p>
    <w:p w14:paraId="363601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F42989" w14:textId="4B3B818E" w:rsidR="008F7B30" w:rsidRPr="002C1480" w:rsidRDefault="002C1480" w:rsidP="00C32F85">
      <w:pPr>
        <w:spacing w:after="0" w:line="254" w:lineRule="atLeast"/>
        <w:jc w:val="both"/>
        <w:rPr>
          <w:rFonts w:ascii="Arial" w:eastAsia="Times New Roman" w:hAnsi="Arial" w:cs="Arial"/>
          <w:color w:val="000000"/>
          <w:lang w:eastAsia="es-CO"/>
        </w:rPr>
      </w:pPr>
      <w:bookmarkStart w:id="285" w:name="ver_30056856"/>
      <w:bookmarkStart w:id="286" w:name="ver_30056857"/>
      <w:bookmarkEnd w:id="285"/>
      <w:bookmarkEnd w:id="286"/>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2.3.3.3.16. Exigencias para la realización de subastas en el mercado secundario. Las entidades en la realización de las subastas para la compra y venta de títulos y en general de valores en el mercado secundario, como mínimo, deberán: </w:t>
      </w:r>
    </w:p>
    <w:p w14:paraId="05EA48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EE5C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Efectuar convocatoria abierta, esto es, que permita la libre participación de las entidades públicas y de las vigiladas por la Superintendencia Financiera de Colombia en desarrollo de su objeto, que sean consideradas como contrapartes idóneas; </w:t>
      </w:r>
    </w:p>
    <w:p w14:paraId="5E71EA8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3EA1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Divulgar de manera previa y adecuada el horario, mecanismos y procedimientos para la presentación de las ofertas de compra y venta, adjudicación y cumplimiento de las subastas; </w:t>
      </w:r>
    </w:p>
    <w:p w14:paraId="24D697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84AE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Informar previamente, entre otros, la clase de título objeto de la subasta, fechas de emisión y vencimiento o plazo y tasa facial; </w:t>
      </w:r>
    </w:p>
    <w:p w14:paraId="183A31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89AC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Exigir que las propuestas presentadas sean en firme y solo admitir modificaciones que impliquen mejorar los términos de la oferta; </w:t>
      </w:r>
    </w:p>
    <w:p w14:paraId="3BA023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7633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Informar que solo negociarán títulos que se encuentren desmaterializados en un depósito centralizado de valores; </w:t>
      </w:r>
    </w:p>
    <w:p w14:paraId="16975E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239E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Exigir que el cumplimiento de las operaciones sea compensado, esto es, entrega contra pago; </w:t>
      </w:r>
    </w:p>
    <w:p w14:paraId="1976DE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5278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Suministrar, como mínimo, información global de montos, plazos y tasas de adjudicación. </w:t>
      </w:r>
    </w:p>
    <w:p w14:paraId="4BB6B58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87" w:name="ver_30056858"/>
      <w:bookmarkEnd w:id="287"/>
    </w:p>
    <w:p w14:paraId="3B5F6765" w14:textId="44C63FA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2.3.3.3.17. Diseño de subastas para otras operaciones. Las entidades deberán diseñar subastas para la realización de operaciones distintas de las previstas en el presente Capítulo, cuando las mismas no puedan efectuarse bajo la modalidad de interadministrativa o a través de los sistemas de negociación de valores. </w:t>
      </w:r>
    </w:p>
    <w:p w14:paraId="560E55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F79C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dicho diseño deberá contemplar los aspectos previstos para los diferentes tipos de subasta y subordinarse a lo señalado en el presente Capítulo. </w:t>
      </w:r>
    </w:p>
    <w:p w14:paraId="4840EAEC" w14:textId="3D61E4D4"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88" w:name="ver_30056859"/>
      <w:bookmarkEnd w:id="288"/>
    </w:p>
    <w:p w14:paraId="7D814A0E" w14:textId="58F2DEE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2.3.3.3.18. Excepciones a la utilización de sistemas de negociación de valores y/o mecanismos de subasta. Las entidades no estarán obligadas a utilizar sistemas de negociación de valores y/o mecanismos de subasta cuando realicen operaciones en el exterior, compren y/o vendan divisas en el país y/o celebren operaciones interadministrativas. </w:t>
      </w:r>
    </w:p>
    <w:p w14:paraId="21747E40" w14:textId="77777777" w:rsidR="00217204" w:rsidRDefault="00217204" w:rsidP="00C32F85">
      <w:pPr>
        <w:spacing w:after="0" w:line="254" w:lineRule="atLeast"/>
        <w:jc w:val="both"/>
        <w:rPr>
          <w:rFonts w:ascii="Arial" w:eastAsia="Times New Roman" w:hAnsi="Arial" w:cs="Arial"/>
          <w:color w:val="000000"/>
          <w:lang w:eastAsia="es-CO"/>
        </w:rPr>
      </w:pPr>
    </w:p>
    <w:p w14:paraId="67A45DAB" w14:textId="3DA2968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2.3.3.3.19. Condiciones para las operaciones en el exterior y para la compra y venta de divisas en el país. La modalidad de negociación utilizada por las entidades estatales a las que aplica el presente capítulo para las operaciones en el exterior y para la compra y venta de divisas </w:t>
      </w:r>
      <w:r w:rsidR="008F7B30" w:rsidRPr="002C1480">
        <w:rPr>
          <w:rFonts w:ascii="Arial" w:eastAsia="Times New Roman" w:hAnsi="Arial" w:cs="Arial"/>
          <w:color w:val="000000"/>
          <w:lang w:eastAsia="es-CO"/>
        </w:rPr>
        <w:lastRenderedPageBreak/>
        <w:t>en el país, deberá ser establecida por la junta o consejo directivo de la entidad y deberán realizarse en condiciones que garanticen una amplia exposición al mercado, las cuales se documentarán previamente. </w:t>
      </w:r>
    </w:p>
    <w:p w14:paraId="27AA55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B1C8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Además, se dejará registro de las operaciones, de forma que pueda examinarse fácilmente el cumplimiento de las condiciones establecidas. Estas operaciones deberán realizarse en condiciones de mercado. </w:t>
      </w:r>
    </w:p>
    <w:p w14:paraId="6DD2FCFB" w14:textId="4E4B266F"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89" w:name="ver_30056861"/>
      <w:bookmarkEnd w:id="289"/>
    </w:p>
    <w:p w14:paraId="52401980" w14:textId="031FC45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2.3.3.3.20. Políticas para la realización de las operaciones. Para realizar las operaciones de que trata este Capítulo, las entidades deberán como mínimo, formular y aplicar políticas relacionadas con: </w:t>
      </w:r>
    </w:p>
    <w:p w14:paraId="001F33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0DFD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Planeación financiera; </w:t>
      </w:r>
    </w:p>
    <w:p w14:paraId="5BCC14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3F311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Manejo de cuentas corrientes y de ahorros, recaudos y pagos; </w:t>
      </w:r>
    </w:p>
    <w:p w14:paraId="764BDE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B14F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Riesgo; </w:t>
      </w:r>
    </w:p>
    <w:p w14:paraId="484A6A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EC40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Rentabilidad; </w:t>
      </w:r>
    </w:p>
    <w:p w14:paraId="27724D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2473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Liquidez, y </w:t>
      </w:r>
    </w:p>
    <w:p w14:paraId="7C6F35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6797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Estructura de portafolios. </w:t>
      </w:r>
    </w:p>
    <w:p w14:paraId="0E31CB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601FF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juntas o consejos directivos de las entidades estatales a que se refiere el presente Capítulo son las responsables de la adopción y actualización permanente de las políticas a que se refiere el presente Capítulo. Dichas políticas deberán constar por escrito mediante acta aprobada, a la cual deberán anexarse los documentos soporte. </w:t>
      </w:r>
    </w:p>
    <w:p w14:paraId="3255698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90" w:name="ver_30056862"/>
      <w:bookmarkEnd w:id="290"/>
    </w:p>
    <w:p w14:paraId="11BE7827" w14:textId="7146464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2.3.3.3.21. Adopción de herramientas gerenciales. En el manejo de los excedentes de liquidez las entidades estatales a que se refiere el presente Capítulo, deberán adoptar herramientas gerenciales, entre las cuales darán prioridad a la implantación y utilización permanente del flujo de caja para la toma de decisiones, y en estas deberá primar la atención de los compromisos derivados del desarrollo del objeto de cada organismo, frente a la generación de excedentes para realizar operaciones de tesorería. </w:t>
      </w:r>
    </w:p>
    <w:p w14:paraId="074699D8" w14:textId="76F07AB9"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91" w:name="ver_30056863"/>
      <w:bookmarkEnd w:id="291"/>
    </w:p>
    <w:p w14:paraId="3A88B27C" w14:textId="03AA94C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2.3.3.3.23. Estructuración y actualización del flujo de caja. Para la estructuración y actualización del flujo de caja las entidades deberán considerar, como mínimo, los siguientes aspectos: </w:t>
      </w:r>
    </w:p>
    <w:p w14:paraId="29340F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49FE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Control y seguimiento a las fuentes constitutivas de ingresos; </w:t>
      </w:r>
    </w:p>
    <w:p w14:paraId="2AA3CD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1187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Planeación y programación de pagos; </w:t>
      </w:r>
    </w:p>
    <w:p w14:paraId="60787A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058D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Previsión oportuna de financiación. </w:t>
      </w:r>
    </w:p>
    <w:p w14:paraId="351893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DC2F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entidades, con base en el resultado del flujo de caja, deberán definir las políticas para la optimización de los excedentes y/o para determinar, con sujeción a las normas legales aplicables, las alternativas, características y oportunidad de la financiación requerida. </w:t>
      </w:r>
    </w:p>
    <w:p w14:paraId="3C168A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AE4323" w14:textId="570795DF" w:rsidR="008F7B30" w:rsidRPr="002C1480" w:rsidRDefault="002C1480" w:rsidP="00C32F85">
      <w:pPr>
        <w:spacing w:after="0" w:line="254" w:lineRule="atLeast"/>
        <w:jc w:val="both"/>
        <w:rPr>
          <w:rFonts w:ascii="Arial" w:eastAsia="Times New Roman" w:hAnsi="Arial" w:cs="Arial"/>
          <w:color w:val="000000"/>
          <w:lang w:eastAsia="es-CO"/>
        </w:rPr>
      </w:pPr>
      <w:bookmarkStart w:id="292" w:name="ver_30056864"/>
      <w:bookmarkEnd w:id="292"/>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2.3.3.3.23. Criterios mínimos en la definición de las políticas sobre flujo de caja. Sin perjuicio del cumplimiento de las normas legales aplicables, las entidades estatales a que se refiere el presente Capítulo, en la definición de las políticas relacionadas con los aspectos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precedente, deberán establecer, como mínimo, criterios que les permitan: </w:t>
      </w:r>
    </w:p>
    <w:p w14:paraId="0552615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6C44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Evaluar los niveles de riesgo de la entidad a seleccionar y de los procesos relacionados con la prestación de los servicios demandados, así como la calidad y oportunidad de los mismos y de la información requerida; </w:t>
      </w:r>
    </w:p>
    <w:p w14:paraId="089962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56D2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Establecer metodologías para la selección de las entidades prestadoras de los servicios y para la evaluación y seguimiento de estas y de los servicios prestados; </w:t>
      </w:r>
    </w:p>
    <w:p w14:paraId="40E3AB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37DB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Formular directrices relacionadas con los montos máximos de exposición y el número de días de permanencia de los recursos en cuentas no remuneradas; </w:t>
      </w:r>
    </w:p>
    <w:p w14:paraId="6EE58F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C438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Definir políticas y metodologías para la determinación de la remuneración mediante compensación o pago por los servicios prestados; </w:t>
      </w:r>
    </w:p>
    <w:p w14:paraId="3DBA7F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B712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Determinar la modalidad de pago a los acreedores de la entidad estatal a que se refiere el presente Capítulo, previa evaluación de las distintas alternativas existentes, teniendo en cuenta aspectos tales como, seguridad, calidad, eficiencia, oportunidad y costo. </w:t>
      </w:r>
    </w:p>
    <w:p w14:paraId="283A53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A53C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se trate de pagos mediante abono en cuenta del beneficiario final, la entidad estatal a que se refiere el presente Capítulo en ningún caso podrá indicar o sugerir al proveedor o beneficiario, la entidad financiera en la cual este debe realizar la apertura de la cuenta receptora de los recursos. </w:t>
      </w:r>
    </w:p>
    <w:p w14:paraId="3E1BE96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D62A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registro de cuentas de beneficiarios finales, las entidades estatales a que se refiere el presente Capítulo deberán establecer procedimientos eficientes y seguros, que involucren adecuados controles, orientados a impedir el desvío de recursos públicos. </w:t>
      </w:r>
    </w:p>
    <w:p w14:paraId="68C196B9" w14:textId="639E2ABB"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93" w:name="ver_30056865"/>
      <w:bookmarkEnd w:id="293"/>
    </w:p>
    <w:p w14:paraId="65C022BA" w14:textId="71C1511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2.3.3.3.24. Políticas de riesgo. Para el establecimiento de las políticas de riesgo, las entidades deberán considerar, como mínimo, los siguientes riesgos: </w:t>
      </w:r>
    </w:p>
    <w:p w14:paraId="17012C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1569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De depositarios de recursos públicos y de crédito de emisores; </w:t>
      </w:r>
    </w:p>
    <w:p w14:paraId="077CE0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C498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De contraparte; </w:t>
      </w:r>
    </w:p>
    <w:p w14:paraId="7D1E3B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CB96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Administrativos; </w:t>
      </w:r>
    </w:p>
    <w:p w14:paraId="1C67B15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0A55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De mercado. </w:t>
      </w:r>
    </w:p>
    <w:p w14:paraId="1470B1A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908B65" w14:textId="633CB3C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2.3.3.3.25. Riesgo de depositarios. El riesgo de depositarios a través de cuentas corrientes, de ahorro y de recaudo y de crédito de emisores se origina en la probabilidad de deterioro de la situación financiera de la entidad depositaria de los recursos o en el deterioro del crédito de los emisores de los títulos y en general de valores. </w:t>
      </w:r>
    </w:p>
    <w:p w14:paraId="6E405F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9712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entidades en la definición de la política para el control de este riesgo, deberán considerar al menos los siguientes elementos: selección de entidades depositarias y emisoras, selección de </w:t>
      </w:r>
      <w:r w:rsidRPr="002C1480">
        <w:rPr>
          <w:rFonts w:ascii="Arial" w:eastAsia="Times New Roman" w:hAnsi="Arial" w:cs="Arial"/>
          <w:color w:val="000000"/>
          <w:lang w:eastAsia="es-CO"/>
        </w:rPr>
        <w:lastRenderedPageBreak/>
        <w:t>títulos y en general de valores, determinación de cupos o montos máximos de exposición por entidad y plazos máximos por entidad y por título. </w:t>
      </w:r>
    </w:p>
    <w:p w14:paraId="29FD61C5" w14:textId="128CFD6F"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94" w:name="ver_30056867"/>
      <w:bookmarkEnd w:id="294"/>
    </w:p>
    <w:p w14:paraId="789C8D7E" w14:textId="27BECF2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2.3.3.3.26. Pautas mínimas para la asignación de cupos o montos máximos de exposición. Para la asignación de cupos o montos máximos de exposición, las entidades deberán tener en cuenta, como mínimo, las siguientes pautas: </w:t>
      </w:r>
    </w:p>
    <w:p w14:paraId="28ED0D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1FD2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Verificar la existencia de calificación vigente de la deuda de las entidades emisoras nacionales e internacionales, publicada en los boletines expedidos por las sociedades calificadoras de riesgo debidamente autorizadas o reconocidas; </w:t>
      </w:r>
    </w:p>
    <w:p w14:paraId="44D611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5CD7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Determinar el nivel mínimo de calificación aceptable; </w:t>
      </w:r>
    </w:p>
    <w:p w14:paraId="7BB36F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BA47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Realizar el estudio técnico para la evaluación del riesgo, mediante la aplicación de su propia metodología; </w:t>
      </w:r>
    </w:p>
    <w:p w14:paraId="5E43F1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89E0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Asignar los cupos o montos máximos respectivos, en concordancia con las políticas que cada organismo adopte, teniendo en cuenta la calificación de la sociedad calificadora de riesgo y la obtenida al aplicar su propia metodología. </w:t>
      </w:r>
    </w:p>
    <w:p w14:paraId="176697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D52F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el caso de las inversiones en el exterior, aun cuando no se exige la adopción de metodologías propias para la evaluación del riesgo emisor y/o de depositarios de recursos públicos, es indispensable que se adopten mecanismos que permitan conocer oportunamente los factores que directa o indirectamente puedan afectar en el corto, mediano o largo plazo, la situación de los emisores y /o depositarios y modificar los riesgos inherentes a los títulos poseídos. </w:t>
      </w:r>
    </w:p>
    <w:p w14:paraId="6E8633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843A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cupo asignado o monto máximo de exposición se definirá en función del análisis del riesgo de la respectiva entidad depositada o emisora y no de la mayor disponibilidad de liquidez del organismo. </w:t>
      </w:r>
    </w:p>
    <w:p w14:paraId="62661CC3" w14:textId="77777777" w:rsidR="00EA2507" w:rsidRDefault="00EA2507" w:rsidP="00C32F85">
      <w:pPr>
        <w:spacing w:after="0" w:line="254" w:lineRule="atLeast"/>
        <w:jc w:val="both"/>
        <w:rPr>
          <w:rFonts w:ascii="Arial" w:eastAsia="Times New Roman" w:hAnsi="Arial" w:cs="Arial"/>
          <w:color w:val="000000"/>
          <w:lang w:eastAsia="es-CO"/>
        </w:rPr>
      </w:pPr>
      <w:bookmarkStart w:id="295" w:name="ver_30056868"/>
      <w:bookmarkEnd w:id="295"/>
    </w:p>
    <w:p w14:paraId="3719B6EF" w14:textId="4168893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2.3.3.3.27. Vigencia de los cupos asignados o montos máximos de exposición y criterios de medición mensual. Los cupos asignados o montos máximos de exposición podrán tener una vigencia hasta de seis (6) meses; no obstante, las entidades deberán establecer criterios de medición mensual, que les permitan identificar ágilmente signos de deterioro en la situación financiera de las entidades, para realizar los ajustes requeridos y adoptar oportunamente las decisiones tendientes a minimizar o eliminar el riesgo. </w:t>
      </w:r>
    </w:p>
    <w:p w14:paraId="708BCF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A667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manera simultánea con la asignación de cupos, las entidades deberán establecer políticas de plazo máximo por emisor, en función del riesgo, del flujo de caja y de otros factores que consideren importantes para su determinación. </w:t>
      </w:r>
    </w:p>
    <w:p w14:paraId="10DEAA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3D895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los títulos a que hace referencia este Título 3 deberán ser desmaterializados en un depósito centralizado de valores. </w:t>
      </w:r>
    </w:p>
    <w:p w14:paraId="3D8C7DC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96" w:name="ver_30056869"/>
      <w:bookmarkEnd w:id="296"/>
    </w:p>
    <w:p w14:paraId="51C2C417" w14:textId="6B89883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2.3.3.3.28. Riesgo de contraparte. El riesgo de contraparte hace referencia a los eventuales incumplimientos de la entidad con la que se realiza la negociación. </w:t>
      </w:r>
    </w:p>
    <w:p w14:paraId="37E97D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6F15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con sujeción a sus propias políticas, deberán definir las características y requisitos para que una contraparte sea considerada idónea. </w:t>
      </w:r>
    </w:p>
    <w:p w14:paraId="278FBE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94A40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Para minimizar este riesgo las entidades deberán considerar, como mínimo, lo siguiente: </w:t>
      </w:r>
    </w:p>
    <w:p w14:paraId="7166C0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E161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Asignar cupos y/o límites a las contrapartes según el tipo de operación que realicen, teniendo en cuenta, entre otros aspectos, los antecedentes de cumplimiento; </w:t>
      </w:r>
    </w:p>
    <w:p w14:paraId="1A5BA6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14C0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Exigir que el cumplimiento de las operaciones sea compensado, esto es, entrega contra pago y establecer mecanismos que minimicen el riesgo de contraparte, cuando se trate de operaciones en el exterior que no puedan ser compensadas; </w:t>
      </w:r>
    </w:p>
    <w:p w14:paraId="3C32E0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D611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Establecer como política en la compra de divisas en el país, que el pago se realice una vez estas hayan sido abonadas en la cuenta del organismo, y en el caso de la venta en el país, que el traslado de las mismas se produzca previo el abono de los pesos equivalentes en la cuenta del organismo, lo cual no aplica en el caso de las operaciones interadministrativas. </w:t>
      </w:r>
    </w:p>
    <w:p w14:paraId="6146996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97" w:name="ver_30056870"/>
      <w:bookmarkEnd w:id="297"/>
    </w:p>
    <w:p w14:paraId="6C7890A9" w14:textId="228CE8E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2.3.3.3.29. Riesgo administrativo. El riesgo administrativo hace referencia a las eventuales pérdidas por debilidades en los procesos operativos y administrativos. </w:t>
      </w:r>
    </w:p>
    <w:p w14:paraId="685287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2DA6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en la definición de esta política deberán considerar al menos los siguientes elementos: </w:t>
      </w:r>
    </w:p>
    <w:p w14:paraId="0F56F5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16D4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Adquisición de títulos desmaterializados y vinculación directa y obligatoria a un depósito centralizado de valores; </w:t>
      </w:r>
    </w:p>
    <w:p w14:paraId="04D1C88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0763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Adopción de las medidas necesarias para la realización de las operaciones a través de sistemas y, en su defecto, la utilización de mecanismos de subasta, en los términos establecidos en el presente título; </w:t>
      </w:r>
    </w:p>
    <w:p w14:paraId="598D5B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0148D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Establecimiento de mecanismos idóneos que permitan la adopción y ajustes de las políticas en forma oportuna y ágil, seguimiento eficaz al cumplimiento de las políticas y evaluación de los resultados de la gestión en el manejo de los excedentes; </w:t>
      </w:r>
    </w:p>
    <w:p w14:paraId="0F553F8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72A71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Adopción de mecanismos que les permitan determinar las necesidades de capacitación de las personas encargadas de la administración o inversión de los excedentes y el desarrollo de programas de capacitación y actualización académica requeridos; </w:t>
      </w:r>
    </w:p>
    <w:p w14:paraId="4D81B6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3721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Elaboración de manuales de políticas y procedimientos y difusión de estos al interior de las entidades, así como de las normas que regulan la actividad de la administración o inversión de los excedentes; </w:t>
      </w:r>
    </w:p>
    <w:p w14:paraId="5200E8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E1B4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Definición de niveles de atribución y responsabilidad para la administración o inversión de los excedentes; </w:t>
      </w:r>
    </w:p>
    <w:p w14:paraId="78D3AC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7DB6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Utilización, con sujeción a las normas legales, de un sistema de grabación de llamadas telefónicas en las áreas que tengan a su cargo el manejo de los excedentes; </w:t>
      </w:r>
    </w:p>
    <w:p w14:paraId="50DB15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Aplicación rigurosa del control interno en los términos de la Ley 87 de 1993 o de las normas que la modifiquen o sustituyan; </w:t>
      </w:r>
    </w:p>
    <w:p w14:paraId="7FE48F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5FCF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 Definición de políticas y procedimientos, de acuerdo con las normas legales, para que las personas encargadas de la administración o inversión de los excedentes expongan ante la dirección de la entidad y los órganos de control interno los conflictos de interés, así como las </w:t>
      </w:r>
      <w:r w:rsidRPr="002C1480">
        <w:rPr>
          <w:rFonts w:ascii="Arial" w:eastAsia="Times New Roman" w:hAnsi="Arial" w:cs="Arial"/>
          <w:color w:val="000000"/>
          <w:lang w:eastAsia="es-CO"/>
        </w:rPr>
        <w:lastRenderedPageBreak/>
        <w:t>situaciones de carácter intelectual, moral o económico que les inhiba, ocasional o permanentemente, para cumplir dichas funciones; </w:t>
      </w:r>
    </w:p>
    <w:p w14:paraId="3CA06A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1548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Adopción de herramientas adecuadas que permitan, entre otros, la inclusión detallada de las operaciones, su liquidación, valoración, contabilización, control de vencimientos y generación de informes; </w:t>
      </w:r>
    </w:p>
    <w:p w14:paraId="5886DF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2E5E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Evaluación de la necesidad y conveniencia de contratar pólizas de infidelidad y riesgos financieros. </w:t>
      </w:r>
    </w:p>
    <w:p w14:paraId="6ECA49D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298" w:name="ver_30056871"/>
      <w:bookmarkEnd w:id="298"/>
    </w:p>
    <w:p w14:paraId="617E9531" w14:textId="6AF348E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2.3.3.3.30. Riesgo de mercado. El riesgo de mercado se entiende como la contingencia de pérdida o ganancia, por la variación del valor de mercado frente al valor registrado de la inversión, producto del cambio en las condiciones de mercado, incluida la variación en las tasas de interés o de cambio. Para el efecto, las entidades deberán considerar, como mínimo, lo siguiente: </w:t>
      </w:r>
    </w:p>
    <w:p w14:paraId="502E50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D4B2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Identificación y análisis de las variables que permitan prever el comportamiento futuro de las tasas de interés y de cambio y la liquidez del mercado. Lo anterior, con el objeto de establecer tasas de referencia, evaluar el portafolio constituido, tomar las decisiones respectivas y asumir estrategias de inversión; </w:t>
      </w:r>
    </w:p>
    <w:p w14:paraId="49DEEE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7833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Adopción de políticas y procedimientos en cuanto a liquidez, estructura y cobertura, con sujeción a las directrices contenidas en este título; </w:t>
      </w:r>
    </w:p>
    <w:p w14:paraId="064E34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3795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Adopción de políticas restrictivas en relación con la realización de operaciones en corto u otras que se consideren de alto riesgo. </w:t>
      </w:r>
    </w:p>
    <w:p w14:paraId="5DC206B0" w14:textId="067CD41B"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99" w:name="ver_30056872"/>
      <w:bookmarkEnd w:id="299"/>
    </w:p>
    <w:p w14:paraId="77877DA7" w14:textId="6AC103D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2.3.3.3.31. Políticas de rentabilidad. Las políticas de rentabilidad son las políticas mínimas orientadas a optimizar la administración o inversión de los excedentes de liquidez, con sujeción a la seguridad y responsabilidad que en todo momento deberán observar las entidades. </w:t>
      </w:r>
    </w:p>
    <w:p w14:paraId="23EC69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8CBB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Al definir estas políticas, las entidades deberán, por lo menos: </w:t>
      </w:r>
    </w:p>
    <w:p w14:paraId="14FBF5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0394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Formular metas de rentabilidad con sujeción a las políticas de riesgo, estructura iliquidez del portafolio, con referencia en la tasa libre de riesgo; </w:t>
      </w:r>
    </w:p>
    <w:p w14:paraId="216C1D5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ADB6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Diseñar una metodología para la definición de las metas, realizar seguimiento periódico y efectuar los ajustes a que haya lugar; </w:t>
      </w:r>
    </w:p>
    <w:p w14:paraId="623FDD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118D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Establecer lineamientos para la adopción de una estrategia racional de mercado, para que la participación de las entidades en los sistemas transaccionales de negociación de valores y en los mecanismos de subasta, no atenten contra la adecuada formación de precios ni conduzca al deterioro del patrimonio público. </w:t>
      </w:r>
    </w:p>
    <w:p w14:paraId="077BBD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2211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Tratándose de inversiones en moneda legal colombiana, entiéndese por tasa libre de riesgo la correspondiente a la tasa de mercado de los Títulos de Tesorería – TES– para el plazo respectivo. </w:t>
      </w:r>
    </w:p>
    <w:p w14:paraId="1E63C85C" w14:textId="0F805EB8"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0A2F7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00" w:name="ver_30056873"/>
      <w:bookmarkEnd w:id="300"/>
    </w:p>
    <w:p w14:paraId="22CBC1FF" w14:textId="47D610F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2.3.3.3.32. Políticas de liquidez. Las políticas de liquidez son las políticas mínimas orientadas a garantizar la disponibilidad de recursos, que les permita a las entidades atender en forma adecuada y oportuna las obligaciones, sin perjuicio de la optimización de los excedentes. </w:t>
      </w:r>
    </w:p>
    <w:p w14:paraId="7DDE1E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448C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deberán tener en cuenta, al establecer sus políticas de liquidez, como mínimo, lo siguiente: </w:t>
      </w:r>
    </w:p>
    <w:p w14:paraId="59DC99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0086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análisis del flujo de caja, las contingencias de ingresos y egresos y la capacidad del portafolio de generar liquidez; </w:t>
      </w:r>
    </w:p>
    <w:p w14:paraId="5228174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1202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fijación de un nivel mínimo de liquidez permanente para cubrir eventuales contingencias del flujo de caja, determinado con base en la aplicación de una metodología adecuada. </w:t>
      </w:r>
    </w:p>
    <w:p w14:paraId="61616B61" w14:textId="0949BCE9"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01" w:name="ver_30056881"/>
      <w:bookmarkEnd w:id="301"/>
    </w:p>
    <w:p w14:paraId="71614526" w14:textId="1948570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2.3.3.3.33. Políticas de estructura del portafolio. Las políticas de estructura del portafolio responden principalmente al manejo responsable y seguro del portafolio. </w:t>
      </w:r>
    </w:p>
    <w:p w14:paraId="3BA6A5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2D28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Estas políticas deben ser consistentes con las de riesgo, rentabilidad y liquidez. Las entidades, en la definición de esta política deberán, como mínimo: </w:t>
      </w:r>
    </w:p>
    <w:p w14:paraId="766ADE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DA35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Establecer cupos porcentuales máximos de inversión sobre el total de su portafolio por tipo de operación, de títulos, de tasas de interés, de emisores, de monedas y por niveles de riesgo, con base en los cuales deben diseñar un portafolio de referencia; </w:t>
      </w:r>
    </w:p>
    <w:p w14:paraId="5A31EF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CCD2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Adoptar mecanismos ágiles para ajustar el portafolio real al de referencia, cuando se presenten desviaciones por cambios en las condiciones del mercado, y/o por la modificación del de referencia, como consecuencia de modificaciones de las políticas de estructura. </w:t>
      </w:r>
    </w:p>
    <w:p w14:paraId="13F1AF13" w14:textId="77777777" w:rsidR="00EA2507" w:rsidRDefault="00EA2507" w:rsidP="00C32F85">
      <w:pPr>
        <w:spacing w:after="0" w:line="254" w:lineRule="atLeast"/>
        <w:jc w:val="both"/>
        <w:rPr>
          <w:rFonts w:ascii="Arial" w:eastAsia="Times New Roman" w:hAnsi="Arial" w:cs="Arial"/>
          <w:color w:val="000000"/>
          <w:lang w:eastAsia="es-CO"/>
        </w:rPr>
      </w:pPr>
    </w:p>
    <w:p w14:paraId="6FFC7BAE" w14:textId="56F1C3C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2.3.3.3.34. Operaciones directas entre entidades públicas. Se podrá dar prioridad a la realización de operaciones directas entre entidades públicas siempre que así se establezca en las políticas de cada organismo, salvo que se trate de contratos celebrados con las entidades de carácter público para ejercer la facultad consagrada en el parágrafo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 de la Ley 533 de 1999, o en general, contratos con entidades públicas cuyo objeto legal principal sea de servicios financieros o de administración de los activos a que se refiere este título. </w:t>
      </w:r>
    </w:p>
    <w:p w14:paraId="4421AA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A2B6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1º. Las inversiones en Títulos de Tesorería TES, Clase “B” del mercado primario deberán pactarse con la Dirección General de Crédito Público y Tesoro Nacional. </w:t>
      </w:r>
    </w:p>
    <w:p w14:paraId="2F5028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3027C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2º. La negociación de divisas podrá realizarse como operación interadministrativa, mediante la compra o venta de saldos en cuentas de compensación, con estricta sujeción a las normas cambiarias vigentes. </w:t>
      </w:r>
    </w:p>
    <w:p w14:paraId="2E6A0F53" w14:textId="352C4861" w:rsidR="008F7B30" w:rsidRPr="002C1480" w:rsidRDefault="008F7B30" w:rsidP="008B13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02" w:name="ver_30056883"/>
      <w:bookmarkEnd w:id="302"/>
    </w:p>
    <w:p w14:paraId="35DAB6C6" w14:textId="16110FC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2.3.3.3.35. Operaciones interadministrativas. Las operaciones interadministrativas deberán registrarse con sujeción a lo señalado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2.3.3.3.8 del presente capítulo. Se exceptúan de esta obligación las interadministrativas realizadas a través de sistemas transaccionales de negociación de valores la suscripción primaria de TES y la negociación de divisas. </w:t>
      </w:r>
    </w:p>
    <w:p w14:paraId="62B55BBB" w14:textId="3FB20308"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03" w:name="ver_30056884"/>
      <w:bookmarkEnd w:id="303"/>
    </w:p>
    <w:p w14:paraId="628CF870" w14:textId="123DEFA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2.3.3.3.36. Revisión periódica de las políticas, reglas y procedimientos. Las políticas, reglas y procedimientos que se fijen en desarrollo de lo previsto en el presente título deberán ser </w:t>
      </w:r>
      <w:r w:rsidR="008F7B30" w:rsidRPr="002C1480">
        <w:rPr>
          <w:rFonts w:ascii="Arial" w:eastAsia="Times New Roman" w:hAnsi="Arial" w:cs="Arial"/>
          <w:color w:val="000000"/>
          <w:lang w:eastAsia="es-CO"/>
        </w:rPr>
        <w:lastRenderedPageBreak/>
        <w:t>revisadas periódicamente, teniendo en cuenta, entre otras, la evolución del mercado y las operaciones de la respectiva entidad. </w:t>
      </w:r>
    </w:p>
    <w:p w14:paraId="29D0B3DC" w14:textId="77777777" w:rsidR="008B1334" w:rsidRDefault="008B1334" w:rsidP="00C32F85">
      <w:pPr>
        <w:spacing w:after="0" w:line="293" w:lineRule="atLeast"/>
        <w:jc w:val="both"/>
        <w:rPr>
          <w:rFonts w:ascii="Arial" w:eastAsia="Times New Roman" w:hAnsi="Arial" w:cs="Arial"/>
          <w:color w:val="000000"/>
          <w:lang w:eastAsia="es-CO"/>
        </w:rPr>
      </w:pPr>
      <w:bookmarkStart w:id="304" w:name="ver_30056885"/>
      <w:bookmarkEnd w:id="304"/>
    </w:p>
    <w:p w14:paraId="1C1EFFA0" w14:textId="7EE1719E" w:rsidR="008F7B30" w:rsidRPr="008B1334" w:rsidRDefault="008F7B30" w:rsidP="008B1334">
      <w:pPr>
        <w:spacing w:after="0" w:line="293" w:lineRule="atLeast"/>
        <w:jc w:val="center"/>
        <w:rPr>
          <w:rFonts w:ascii="Arial" w:eastAsia="Times New Roman" w:hAnsi="Arial" w:cs="Arial"/>
          <w:b/>
          <w:bCs/>
          <w:color w:val="000000"/>
          <w:lang w:eastAsia="es-CO"/>
        </w:rPr>
      </w:pPr>
      <w:r w:rsidRPr="008B1334">
        <w:rPr>
          <w:rFonts w:ascii="Arial" w:eastAsia="Times New Roman" w:hAnsi="Arial" w:cs="Arial"/>
          <w:b/>
          <w:bCs/>
          <w:color w:val="000000"/>
          <w:lang w:eastAsia="es-CO"/>
        </w:rPr>
        <w:t>CAPÍTULO 4</w:t>
      </w:r>
    </w:p>
    <w:p w14:paraId="6C416EF2" w14:textId="77777777" w:rsidR="008F7B30" w:rsidRPr="008B1334" w:rsidRDefault="008F7B30" w:rsidP="008B1334">
      <w:pPr>
        <w:spacing w:line="293" w:lineRule="atLeast"/>
        <w:jc w:val="center"/>
        <w:rPr>
          <w:rFonts w:ascii="Arial" w:eastAsia="Times New Roman" w:hAnsi="Arial" w:cs="Arial"/>
          <w:b/>
          <w:bCs/>
          <w:color w:val="000000"/>
          <w:lang w:eastAsia="es-CO"/>
        </w:rPr>
      </w:pPr>
      <w:r w:rsidRPr="008B1334">
        <w:rPr>
          <w:rFonts w:ascii="Arial" w:eastAsia="Times New Roman" w:hAnsi="Arial" w:cs="Arial"/>
          <w:b/>
          <w:bCs/>
          <w:color w:val="000000"/>
          <w:lang w:eastAsia="es-CO"/>
        </w:rPr>
        <w:t>SOCIEDADES DE ECONOMÍA MIXTA O PARTICIPACIÓN DIRECTA O INDIRECTA DEL ESTADO INFERIOR AL 90% DE SU CAPITAL, EMPRESAS DE SERVICIOS PÚBLICOS DOMICILIARIOS MIXTAS DEL ORDEN NACIONAL, AUTORIDAD NACIONAL DE TELEVISIÓN, LAS CORPORACIONES AUTÓNOMAS REGIONALES Y LOS ENTES UNIVERSITARIOS AUTÓNOMOS</w:t>
      </w:r>
    </w:p>
    <w:p w14:paraId="254A213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05" w:name="ver_30056886"/>
      <w:bookmarkEnd w:id="305"/>
    </w:p>
    <w:p w14:paraId="27EA0D95" w14:textId="4C20619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2.3.3.4.1. Ámbito de aplicación. Las Sociedades de Economía Mixta con participación pública inferior al noventa por ciento (90%) de su capital, las empresas de servicios públicos domiciliarios mixtas, así como de aquellas con participación directa o indirecta del Estado superior al cincuenta por ciento de su capital social del orden nacional, la Autoridad Nacional de Televisión, las Corporaciones Autónomas Regionales y los entes universitarios autónomos podrán ofrecer a la Dirección General de Crédito Público y Tesoro Nacional, en condiciones de mercado sus excedentes de liquidez. </w:t>
      </w:r>
    </w:p>
    <w:p w14:paraId="5917E0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1034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la Dirección General de Crédito Público y Tesoro Nacional no esté interesada en tomar los recursos ofrecidos, deberá notificar a la entidad oferente su decisión por escrito a más tardar el día hábil siguiente a la fecha del ofrecimiento. </w:t>
      </w:r>
    </w:p>
    <w:p w14:paraId="625E24E0" w14:textId="4690C355" w:rsidR="008F7B30" w:rsidRPr="008B1334" w:rsidRDefault="008F7B30" w:rsidP="008B1334">
      <w:pPr>
        <w:spacing w:after="0" w:line="254" w:lineRule="atLeast"/>
        <w:jc w:val="center"/>
        <w:rPr>
          <w:rFonts w:ascii="Arial" w:eastAsia="Times New Roman" w:hAnsi="Arial" w:cs="Arial"/>
          <w:b/>
          <w:bCs/>
          <w:color w:val="000000"/>
          <w:lang w:eastAsia="es-CO"/>
        </w:rPr>
      </w:pPr>
    </w:p>
    <w:p w14:paraId="50B9916C" w14:textId="77777777" w:rsidR="008F7B30" w:rsidRPr="008B1334" w:rsidRDefault="008F7B30" w:rsidP="008B1334">
      <w:pPr>
        <w:spacing w:after="0" w:line="293" w:lineRule="atLeast"/>
        <w:jc w:val="center"/>
        <w:rPr>
          <w:rFonts w:ascii="Arial" w:eastAsia="Times New Roman" w:hAnsi="Arial" w:cs="Arial"/>
          <w:b/>
          <w:bCs/>
          <w:color w:val="000000"/>
          <w:lang w:eastAsia="es-CO"/>
        </w:rPr>
      </w:pPr>
      <w:bookmarkStart w:id="306" w:name="ver_30056887"/>
      <w:bookmarkEnd w:id="306"/>
      <w:r w:rsidRPr="008B1334">
        <w:rPr>
          <w:rFonts w:ascii="Arial" w:eastAsia="Times New Roman" w:hAnsi="Arial" w:cs="Arial"/>
          <w:b/>
          <w:bCs/>
          <w:color w:val="000000"/>
          <w:lang w:eastAsia="es-CO"/>
        </w:rPr>
        <w:t>CAPÍTULO 5</w:t>
      </w:r>
    </w:p>
    <w:p w14:paraId="7A0CB339" w14:textId="77777777" w:rsidR="008F7B30" w:rsidRPr="008B1334" w:rsidRDefault="008F7B30" w:rsidP="008B1334">
      <w:pPr>
        <w:spacing w:line="293" w:lineRule="atLeast"/>
        <w:jc w:val="center"/>
        <w:rPr>
          <w:rFonts w:ascii="Arial" w:eastAsia="Times New Roman" w:hAnsi="Arial" w:cs="Arial"/>
          <w:b/>
          <w:bCs/>
          <w:color w:val="000000"/>
          <w:lang w:eastAsia="es-CO"/>
        </w:rPr>
      </w:pPr>
      <w:r w:rsidRPr="008B1334">
        <w:rPr>
          <w:rFonts w:ascii="Arial" w:eastAsia="Times New Roman" w:hAnsi="Arial" w:cs="Arial"/>
          <w:b/>
          <w:bCs/>
          <w:color w:val="000000"/>
          <w:lang w:eastAsia="es-CO"/>
        </w:rPr>
        <w:t>ENTIDADES TERRITORIALES Y LAS ENTIDADES DESCENTRALIZADAS DEL ORDEN TERRITORIAL CON PARTICIPACIÓN PÚBLICA SUPERIOR AL CINCUENTA POR CIENTO</w:t>
      </w:r>
    </w:p>
    <w:p w14:paraId="54448D7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07" w:name="ver_30056888"/>
      <w:bookmarkEnd w:id="307"/>
    </w:p>
    <w:p w14:paraId="64F4D0F2" w14:textId="0DD3945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 Ámbito de aplicación. En desarrollo de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17 de la Ley 819 de 2003, las entidades a que hace referencia el presente capítulo deberán invertir sus excedentes de liquidez, así: </w:t>
      </w:r>
    </w:p>
    <w:p w14:paraId="1F00BA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F6A1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En Títulos de Tesorería (TES) Clase “B”, tasa fija o indexados a la UVR, del mercado primario directamente ante la Dirección General de Crédito Público y Tesoro Nacional o en el mercado secundario en condiciones de mercado, y, </w:t>
      </w:r>
    </w:p>
    <w:p w14:paraId="05928A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CABA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En certificados de depósitos a término, depósitos en cuenta corriente, de ahorros o a término en condiciones de mercado en establecimientos bancarios vigilados por la Superintendencia Financiera de Colombia o en entidades con regímenes especiales contemplados en la parte décima del Estatuto Orgánico del Sistema Financiero. </w:t>
      </w:r>
    </w:p>
    <w:p w14:paraId="39574E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7A32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Para efectos de las inversiones a que hace referencia el numeral ii) en lo concerniente a los establecimientos bancarios, dichos establecimientos deberán contar con la siguiente calificación de riesgo, según el plazo de la inversión, así: </w:t>
      </w:r>
    </w:p>
    <w:p w14:paraId="1BDF29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56CB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Para inversiones con plazo igual o inferior a un (1) año, el establecimiento bancario deberá contar con una calificación vigente correspondiente a la máxima categoría para el corto plazo, de acuerdo con las escalas usadas por las sociedades calificadoras que la otorgan y contar como </w:t>
      </w:r>
      <w:r w:rsidRPr="002C1480">
        <w:rPr>
          <w:rFonts w:ascii="Arial" w:eastAsia="Times New Roman" w:hAnsi="Arial" w:cs="Arial"/>
          <w:color w:val="000000"/>
          <w:lang w:eastAsia="es-CO"/>
        </w:rPr>
        <w:lastRenderedPageBreak/>
        <w:t>mínimo con la segunda mejor calificación vigente para el largo plazo utilizada por las respectivas sociedades; </w:t>
      </w:r>
    </w:p>
    <w:p w14:paraId="2BC5CB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0B27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Para inversiones con plazo superior a un (1) año, el establecimiento bancario deberá contar con la segunda mejor calificación vigente para el largo plazo, según la escala utilizada por las sociedades calificadoras y la máxima calificación para el corto plazo de acuerdo con la escala utilizada para este plazo. </w:t>
      </w:r>
    </w:p>
    <w:p w14:paraId="6CEFD2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58FF3B" w14:textId="68558D9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Respecto a los actos y contratos que impliquen de cualquier manera el depósito, la disposición, adquisición, manejo, custodia, administración de dinero, de títulos y en general de valores celebrados por las entidades territoriales y sus descentralizadas, se aplicarán como mínimo los parámetros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2.3.3.3.3. del presente título; en todo caso el régimen de inversión previsto para las entidades territoriales y sus entidades descentralizadas será el previsto en el presente Capítulo. </w:t>
      </w:r>
    </w:p>
    <w:p w14:paraId="3C4446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456B6B" w14:textId="041AB1F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Las sociedades fiduciarias que administren o manejen recursos públicos vinculados a contratos estatales y/o excedentes de liquidez de las entidades territoriales y sus descentralizadas a través de fiducia pública deben sujetarse a lo previsto en el inciso único y los parágrafos 1 y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Cuando dichas sociedades administren excedentes de liquidez de las entidades territoriales y sus descentralizadas, deberán además contar con la segunda mejor calificación vigente en fortaleza o calidad en la administración de portafolio según la escala de la sociedad calificadora que la otorga y que la misma esté vigente. </w:t>
      </w:r>
    </w:p>
    <w:p w14:paraId="5C36A2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00AAD9" w14:textId="36B9CC7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Igualmente, las entidades territoriales y sus descentralizadas, podrán invertir los recursos a que se refiere el presente parágrafo, en carteras colectivas del mercado monetario o abiertas sin pacto de permanencia, en ambos casos siempre y cuando la sociedad fiduciaria administradora de las mismas, cuente con la calificación prevista en el presente parágrafo y cumpla, como administrador de la cartera colectiva con el régimen de inversión previsto en el inciso único y el parágrafo 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FA71C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D14855" w14:textId="77777777" w:rsidR="00EA2507" w:rsidRDefault="00EA2507" w:rsidP="00EA2507">
      <w:pPr>
        <w:spacing w:line="293" w:lineRule="atLeast"/>
        <w:jc w:val="center"/>
        <w:rPr>
          <w:rFonts w:ascii="Arial" w:eastAsia="Times New Roman" w:hAnsi="Arial" w:cs="Arial"/>
          <w:b/>
          <w:bCs/>
          <w:color w:val="000000"/>
          <w:lang w:eastAsia="es-CO"/>
        </w:rPr>
      </w:pPr>
      <w:bookmarkStart w:id="308" w:name="ver_30056889"/>
      <w:bookmarkEnd w:id="308"/>
      <w:r w:rsidRPr="00EA2507">
        <w:rPr>
          <w:rFonts w:ascii="Arial" w:eastAsia="Times New Roman" w:hAnsi="Arial" w:cs="Arial"/>
          <w:b/>
          <w:bCs/>
          <w:color w:val="000000"/>
          <w:lang w:eastAsia="es-CO"/>
        </w:rPr>
        <w:t>SECCIÓN 1</w:t>
      </w:r>
    </w:p>
    <w:p w14:paraId="4019060B" w14:textId="77D095F4" w:rsidR="008F7B30" w:rsidRPr="00EA2507" w:rsidRDefault="00EA2507" w:rsidP="00EA2507">
      <w:pPr>
        <w:spacing w:line="293" w:lineRule="atLeast"/>
        <w:jc w:val="center"/>
        <w:rPr>
          <w:rFonts w:ascii="Arial" w:eastAsia="Times New Roman" w:hAnsi="Arial" w:cs="Arial"/>
          <w:b/>
          <w:bCs/>
          <w:color w:val="000000"/>
          <w:lang w:eastAsia="es-CO"/>
        </w:rPr>
      </w:pPr>
      <w:r w:rsidRPr="00EA2507">
        <w:rPr>
          <w:rFonts w:ascii="Arial" w:eastAsia="Times New Roman" w:hAnsi="Arial" w:cs="Arial"/>
          <w:b/>
          <w:bCs/>
          <w:color w:val="000000"/>
          <w:lang w:eastAsia="es-CO"/>
        </w:rPr>
        <w:t>CONDICIONES DEL MANEJO DE EXCEDENTES DE LIQUIDEZ POR LOS INSTITUTOS DE FOMENTO Y DESARROLLO DE LAS ENTIDADES TERRITORIALES</w:t>
      </w:r>
    </w:p>
    <w:p w14:paraId="1B09B39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09" w:name="ver_30056890"/>
      <w:bookmarkEnd w:id="309"/>
    </w:p>
    <w:p w14:paraId="5E3C1274" w14:textId="2EAB2B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2.3.3.5.1.1. Entidades de bajo riesgo crediticio. Para los efectos de la administración de excedentes de liquidez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17 de la Ley 819 de 2003, se considerarán como de bajo riesgo crediticio, únicamente los institutos de fomento y desarrollo de las entidades territoriales que reúnan los siguientes requisitos: </w:t>
      </w:r>
    </w:p>
    <w:p w14:paraId="419CE1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82F065" w14:textId="2A9B0A3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Autorización de la Superintendencia Financiera de Colombia, para hacer parte del régimen especial de control y vigilancia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de esta Sección. </w:t>
      </w:r>
    </w:p>
    <w:p w14:paraId="4C4D1B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312BEB" w14:textId="5B2715C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Contar con una calificación de bajo riesgo crediticio conforme lo establece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17 de la Ley 819 de 2003, la cual deberá ser como mínimo la segunda mejor calificación para corto y largo plazo de acuerdo con las escalas usadas por las sociedades calificadoras, emitida por una calificadora de valores vigilada por la Superintendencia Financiera de Colombia. </w:t>
      </w:r>
    </w:p>
    <w:p w14:paraId="0A6EAE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177D0A" w14:textId="752E778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Cuando los Institutos de Fomento y Desarrollo, por efecto de la revisión de la calificación de riesgo de corto o largo plazo, disminuyan la calificación vigente por debajo de las calificaciones mínimas a que se refiere 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pero se mantengan dentro del grado de inversión en ambos plazos, de acuerdo con las escalas utilizadas por las sociedades calificadoras, deberán abstenerse de ser depositarios de nuevos recursos de los que trata el presente Título 3, hasta que se realice la siguiente revisión de su calificación y esta sea al menos igual a la calificación otorgada para ambos plazos antes de la disminución. Si en la siguiente revisión no se alcanza al menos la calificación otorgada para ambos plazos antes de la disminución, el representante legal del respectivo instituto deberá, dentro de los quince (15) días hábiles siguientes a la notificación de la calificación, presentar ante el Ministerio de Hacienda y Crédito Público un plan de desmonte de las operaciones activas y pasivas perfeccionadas con dichos recursos. Dicho desmonte no deberá superar un (1) año. </w:t>
      </w:r>
    </w:p>
    <w:p w14:paraId="4724C6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DDC6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los Institutos de Fomento y Desarrollo, por efecto de la revisión de la calificación de riesgo de corto o de largo plazo, disminuyan la calificación vigente pasando a grado de especulación, de acuerdo con las escalas usadas por las sociedades calificadoras, deberán abstenerse de seguir siendo depositarios de recursos de que trata el presente Título 3. En este evento, el representante legal del respectivo instituto deberá, dentro de los quince (15) días hábiles siguientes a la notificación de la calificación, presentar ante el Ministerio de Hacienda y Crédito Público un plan de desmonte de las operaciones activas y pasivas perfeccionadas con dichos recursos. Dicho desmonte no deberá superar un (1) año. </w:t>
      </w:r>
    </w:p>
    <w:p w14:paraId="4282590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10" w:name="ver_30056891"/>
      <w:bookmarkEnd w:id="310"/>
    </w:p>
    <w:p w14:paraId="1D9EB511" w14:textId="7C384D4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2.3.3.5.1.2. Control y vigilancia. La Superintendencia Financiera de Colombia ejercerá control y vigilancia sobre los institutos de fomento y desarrollo de que trata la presente sección, a través del régimen especial expedido por dicha entidad, el cual debe comprender por lo menos las siguientes materias, además de las disposiciones dictadas sobre la financiación de las actividades previstas en el numeral 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268 del Estatuto Orgánico del Sistema Financiero: </w:t>
      </w:r>
    </w:p>
    <w:p w14:paraId="6C951E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B645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requisitos e información que debe incorporar la solicitud para hacer parte del régimen especial de control y vigilancia y el trámite de la misma, según las especificaciones que determine la misma Superintendencia. </w:t>
      </w:r>
    </w:p>
    <w:p w14:paraId="7E8BBD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0056D3" w14:textId="7639C6E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Las funciones previstas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326 del Estatuto Orgánico del Sistema Financiero en lo que resulte acorde con la naturaleza y operaciones autorizadas a las entidades a las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720FC0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5FBFDB" w14:textId="54E3122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Instrucciones que comprendan reglas por lo menos sobre segregación de funciones, gobierno corporativo, control interno y revelación de información contable, además de exigencias en materia de manejo de los riesgos que se derivan de las actividades de los institutos de fomento y desarrollo territorial que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son objeto de supervisión por parte de dicha Superintendencia. </w:t>
      </w:r>
    </w:p>
    <w:p w14:paraId="31501D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789760" w14:textId="20F6D49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Las previsiones de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208 a 211 del Estatuto Orgánico del Sistema Financiero y disposiciones reglamentarias. </w:t>
      </w:r>
    </w:p>
    <w:p w14:paraId="52543B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7C9B57" w14:textId="0F109EB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Las disposiciones de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72 y 74 del Estatuto Orgánico del Sistema Financiero, en lo que considere pertinente la Superintendencia Financiera de Colombia, y demás aplicables sobre deberes de los administradores. </w:t>
      </w:r>
    </w:p>
    <w:p w14:paraId="1AF33AC7" w14:textId="791F63EC"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11" w:name="ver_30056892"/>
      <w:bookmarkEnd w:id="311"/>
    </w:p>
    <w:p w14:paraId="0022B2D2" w14:textId="162E668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2.3.3.5.1.3. Supervisión. La Superintendencia Financiera de Colombia ejercerá la supervisión sobre las siguientes operaciones adelantadas por los institutos de fomento y desarrollo que hagan parte del régimen especial de control y vigilancia que adelanta la Superintendencia Financiera sobre dichos institutos: </w:t>
      </w:r>
    </w:p>
    <w:p w14:paraId="4E32E3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507A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Administración de excedentes de liquidez de las entidades territoriales; </w:t>
      </w:r>
    </w:p>
    <w:p w14:paraId="576842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BA14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Otorgamiento de créditos; </w:t>
      </w:r>
    </w:p>
    <w:p w14:paraId="5EC0E6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5C092D" w14:textId="2F49F22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Financiación de las actividades previstas en 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268 del Estatuto </w:t>
      </w:r>
    </w:p>
    <w:p w14:paraId="4AD8CB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09AA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Orgánico del Sistema Financiero; </w:t>
      </w:r>
    </w:p>
    <w:p w14:paraId="5FD9DD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05BE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Descuento y negociación de pagarés, giros, letras de cambio y otros títulos de deuda; </w:t>
      </w:r>
    </w:p>
    <w:p w14:paraId="2B5D366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FD3C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Administración de fondos especiales. </w:t>
      </w:r>
    </w:p>
    <w:p w14:paraId="4692AE06" w14:textId="5BD4549A"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12" w:name="ver_30056893"/>
      <w:bookmarkEnd w:id="312"/>
    </w:p>
    <w:p w14:paraId="042AE504" w14:textId="7612459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2.3.3.5.1.4. Límites a la autorización. La autorización impartida por la Superintendencia Financiera de Colombia y la aplicación del régimen especial de control y vigilancia no implicará, ni tendrá como efecto, la facultad para los institutos de fomento y desarrollo de las entidades territoriales de adelantar las operaciones autorizadas exclusivamente a las instituciones vigiladas que no hacen parte del régimen especial de control y vigilancia que adelanta la Superintendencia Financiera de Colombia sobre dichos institutos. </w:t>
      </w:r>
    </w:p>
    <w:p w14:paraId="10ABD3D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13" w:name="ver_30056894"/>
      <w:bookmarkEnd w:id="313"/>
    </w:p>
    <w:p w14:paraId="2AE9F2C3" w14:textId="32FA99D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2.3.3.5.1.5. Suspensión de la autorización. Sin perjuicio de la aplicación de lo previsto en el parágrafo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2.3.3.5.1.1. de esta Sección, la autorización de que trata la presente Sección podrá ser suspendida por la Superintendencia Financiera de Colombia cuando evidencie que existen razones que justifican la decisión. En este evento, el representante legal del respectivo instituto deberá, dentro de los quince (15) días hábiles siguientes a la notificación de la respectiva resolución, presentar ante la Superintendencia Financiera de Colombia para su aprobación, un plan de desmonte de la administración de excedentes de liquidez. Dicho desmonte no deberá superar un (1) año. </w:t>
      </w:r>
    </w:p>
    <w:p w14:paraId="5A6AFC0D" w14:textId="77777777" w:rsidR="00EA2507" w:rsidRDefault="00EA2507" w:rsidP="00C32F85">
      <w:pPr>
        <w:spacing w:after="0" w:line="254" w:lineRule="atLeast"/>
        <w:jc w:val="both"/>
        <w:rPr>
          <w:rFonts w:ascii="Arial" w:eastAsia="Times New Roman" w:hAnsi="Arial" w:cs="Arial"/>
          <w:color w:val="000000"/>
          <w:lang w:eastAsia="es-CO"/>
        </w:rPr>
      </w:pPr>
    </w:p>
    <w:p w14:paraId="16659D83" w14:textId="4EE24B2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2.3.3.5.1.6. Auditoría de la información. Los estados financieros y los balances contables que presenten las entidades a las que se refiere el 2.3.3.5.1.1. de esta Sección, tanto a las Secretarías de Hacienda como a las firmas calificadoras de riesgo, deben estar auditados por un revisor fiscal y remitirse a la Superintendencia Financiera de Colombia. </w:t>
      </w:r>
    </w:p>
    <w:p w14:paraId="0C78AD62" w14:textId="564264AE"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14" w:name="ver_30056896"/>
      <w:bookmarkEnd w:id="314"/>
    </w:p>
    <w:p w14:paraId="0CA04D3D" w14:textId="5DB392E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2.3.3.5.1.7. Control fiscal. El control y vigilancia adelantados por la Superintendencia Financiera de Colombia en desarrollo de las previsiones de la presente sección, no se entenderán como sustitutivos del control fiscal a que se refiere la Ley 42 de 1993 y demás normas sobre la materia. </w:t>
      </w:r>
    </w:p>
    <w:p w14:paraId="2BFDC69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15" w:name="ver_30056897"/>
      <w:bookmarkEnd w:id="315"/>
    </w:p>
    <w:p w14:paraId="41B7CE44" w14:textId="21E829D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2.3.3.5.1.8. Plazo. Los institutos de fomento y desarrollo de las entidades territoriales que no hayan reunido los requisitos previstos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2.3.3.5.1.1. de esta Sección a 30 de noviembre de 2014, deberán someterse al Plan Gradual de Ajuste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siguiente, con el fin de continuar administrando los excedentes de liquidez de las entidades territoriales y sus entidades descentralizadas. </w:t>
      </w:r>
    </w:p>
    <w:p w14:paraId="4370F0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D5A9F9" w14:textId="018AE10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2.3.3.5.1.9. Plan Gradual de Ajuste. Los institutos de fomento y desarrollo que al 30 de noviembre de 2014 no cumplieron con lo dispuesto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anteriores de esta Sección, esto es, contar con la autorización de la Superintendencia Financiera de Colombia, para hacer parte del régimen especial de control y vigilancia y obtener por lo menos la segunda mejor calificación para el corto y el largo plazo, emitida por una calificadora de valores vigilada por la Superintendencia Financiera de Colombia, se someterán a las siguientes reglas para el desmonte de la administración de excedentes de liquidez, de acuerdo al grupo de entidades al que corresponda, según se indica a continuación: </w:t>
      </w:r>
    </w:p>
    <w:p w14:paraId="45E6A52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5B82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GRUPO 1: Institutos de fomento y desarrollo que a 30 de noviembre de 2014 presentaron la documentación exigida por la Superintendencia Financiera de Colombia con el propósito de someterse al régimen especial de control y vigilancia pero que a esa fecha no lograron su autorización, y en los últimos dos (2) años presentaron una mejora en la calificación de riesgo prevista para el corto y largo plazo. </w:t>
      </w:r>
    </w:p>
    <w:p w14:paraId="1DAAF3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50E3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GRUPO 2: Institutos de fomento y desarrollo que a 30 de noviembre de 2014 presentaron la documentación exigida por la Superintendencia Financiera de Colombia con el propósito de someterse al régimen especial de control y vigilancia pero que a esa fecha no lograron su autorización, y en los últimos dos (2) años no presentaron una mejora en la calificación de riesgo prevista para el corto y largo plazo. </w:t>
      </w:r>
    </w:p>
    <w:p w14:paraId="342C87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56BF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GRUPO 3: Institutos de fomento y desarrollo que a 30 de noviembre de 2014 no presentaron la documentación exigida por la Superintendencia Financiera de Colombia con el propósito de someterse al régimen especial de control y vigilancia. </w:t>
      </w:r>
    </w:p>
    <w:p w14:paraId="39EBF3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F3A0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GRUPO 1 podrá continuar administrando los excedentes de liquidez de las entidades territoriales y sus descentralizadas, máximo en los porcentajes que se señalan a continuación: </w:t>
      </w:r>
    </w:p>
    <w:p w14:paraId="3C5520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C0A7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Para la vigencia del 2 de diciembre de 2014 al 1 de diciembre de 2015, el 90%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01EABA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0D2D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Para la vigencia del 2 de diciembre de 2015 al 1 de diciembre de 2016, el 70%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05A9B20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2092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Para la vigencia del 2 de diciembre de 2016 al 1 de diciembre de 2017, el 50%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2EA453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28A7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Para la vigencia del 2 de diciembre de 2017 al 1 de diciembre de 2018, el 30%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3F9D38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83AE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 Para la vigencia del 2 de diciembre de 2018 al 1 de diciembre de 2019, el 10% de los excedentes de liquidez administrados de acuerdo con la información contable pública reportada a través del </w:t>
      </w:r>
      <w:r w:rsidRPr="002C1480">
        <w:rPr>
          <w:rFonts w:ascii="Arial" w:eastAsia="Times New Roman" w:hAnsi="Arial" w:cs="Arial"/>
          <w:color w:val="000000"/>
          <w:lang w:eastAsia="es-CO"/>
        </w:rPr>
        <w:lastRenderedPageBreak/>
        <w:t>CHIP en la cuenta “2.1.10 operaciones de captación y servicios financieros - saldo final”, para el corte disponible al 30 de septiembre de 2014, de la Contaduría General de la Nación. </w:t>
      </w:r>
    </w:p>
    <w:p w14:paraId="0FC6F7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0129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GRUPO 2 podrá continuar administrando los excedentes de liquidez de las entidades territoriales y sus descentralizadas, máximo en los porcentajes que se señalan a continuación: </w:t>
      </w:r>
    </w:p>
    <w:p w14:paraId="4AAF98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883C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Para la vigencia del 2 de diciembre de 2014 al 1 de diciembre de 2015 el 80%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7E76F8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2C24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Para la vigencia del 2 de diciembre de 2015 al 1 de diciembre de 2016, el 60%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79814C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69F3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Para la vigencia del 2 de diciembre de 2016 al 1 de diciembre de 2017, 30%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2BB83D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1E24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Para la vigencia del 2 de diciembre de 2017 al 1 de diciembre de 2018, el 10% de los excedentes de liquidez administrados de acuerdo con la información contable pública reportada a través del CHIP en la cuenta “2.1.10 operaciones de captación y servicios financieros - saldo final”, para el corte disponible al 30 de septiembre de 2014, de la Contaduría General de la Nación. </w:t>
      </w:r>
    </w:p>
    <w:p w14:paraId="5D65CAF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2855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GRUPO 3 no podrá continuar con la administración de los excedentes de liquidez de las entidades territoriales y sus descentralizadas. Estos institutos de fomento y desarrollo debieron haber presentado a la Subdirección de Financiamiento Interno de la Dirección General de Crédito Público y Tesoro Nacional del Ministerio de Hacienda y Crédito Público, a más tardar el 1 de marzo de 2015, un plan de desmonte de la administración de los excedentes de liquidez, el cual no puede superar el plazo de dos (2) años. </w:t>
      </w:r>
    </w:p>
    <w:p w14:paraId="1751B0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F58D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institutos de fomento y desarrollo que pertenecen al Grupo 1 o 2, y que al 2 de diciembre de 2014 estuvieren administrando excedentes de liquidez en un monto superior al permitido para el primer año según el tipo de grupo, debieron haber presentado el 31 de diciembre de 2014 a la Subdirección de Financiamiento Interno de la Dirección General de Crédito Público y Tesoro Nacional del Ministerio de Hacienda y Crédito Público, un plan de desmonte para la devolución del exceso de los excedentes de liquidez que no les está autorizado administrar. Dicho plan de desmonte debió realizarse a más tardar el 1 de abril de 2015. </w:t>
      </w:r>
    </w:p>
    <w:p w14:paraId="6E3823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B48E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Si vencido el último año del plan de ajuste según el tipo de grupo, los institutos de fomento y desarrollo no han logrado la segunda mejor calificación para el corto y largo plazo y no han logrado someterse al régimen especial de control y vigilancia de la Superintendencia Financiera de Colombia, dichas entidades deberán presentar a la Subdirección de Financiamiento Interno de la Dirección General de Crédito Público y Tesoro Nacional del Ministerio de Hacienda y Crédito Público, dentro de los tres (3) meses siguientes, un plan de desmonte de la administración de los excedentes de liquidez, el cual no podrá superar el plazo de dos (2) años. Aquellos institutos de fomento y desarrollo que se encuentren en esta situación, bajo ninguna circunstancia podrán captar excedentes de liquidez de las entidades territoriales y sus descentralizadas. </w:t>
      </w:r>
    </w:p>
    <w:p w14:paraId="7BC8C6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607369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Para efectos de definir el grupo al que debe pertenecer un instituto de fomento y desarrollo, en virtud de la calificación obtenida en los últimos dos (2) años, se entiende que una entidad podrá pertenecer al GRUPO 1 si presentó la documentación exigida por la Superintendencia Financiera de Colombia, con el propósito de someterse al régimen especial de control y vigilancia, y mejoró hasta obtener al menos las siguientes calificaciones para el largo y para el corto plazo: </w:t>
      </w:r>
    </w:p>
    <w:p w14:paraId="46A7EC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1E43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Calificadora de Riesgo Calificación Largo Plazo Calificación de Corto Plazo </w:t>
      </w:r>
    </w:p>
    <w:p w14:paraId="2B0C10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7"/>
        <w:gridCol w:w="2450"/>
        <w:gridCol w:w="2593"/>
      </w:tblGrid>
      <w:tr w:rsidR="008F7B30" w:rsidRPr="002C1480" w14:paraId="7D0E6E1B" w14:textId="77777777" w:rsidTr="008F7B30">
        <w:trPr>
          <w:trHeight w:val="90"/>
          <w:tblCellSpacing w:w="0" w:type="dxa"/>
          <w:jc w:val="center"/>
        </w:trPr>
        <w:tc>
          <w:tcPr>
            <w:tcW w:w="2775" w:type="dxa"/>
            <w:tcBorders>
              <w:top w:val="outset" w:sz="6" w:space="0" w:color="auto"/>
              <w:left w:val="outset" w:sz="6" w:space="0" w:color="auto"/>
              <w:bottom w:val="outset" w:sz="6" w:space="0" w:color="auto"/>
              <w:right w:val="outset" w:sz="6" w:space="0" w:color="auto"/>
            </w:tcBorders>
            <w:vAlign w:val="center"/>
            <w:hideMark/>
          </w:tcPr>
          <w:p w14:paraId="08DDCD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Calificadora de Riesgo </w:t>
            </w:r>
          </w:p>
        </w:tc>
        <w:tc>
          <w:tcPr>
            <w:tcW w:w="2775" w:type="dxa"/>
            <w:tcBorders>
              <w:top w:val="outset" w:sz="6" w:space="0" w:color="auto"/>
              <w:left w:val="outset" w:sz="6" w:space="0" w:color="auto"/>
              <w:bottom w:val="outset" w:sz="6" w:space="0" w:color="auto"/>
              <w:right w:val="outset" w:sz="6" w:space="0" w:color="auto"/>
            </w:tcBorders>
            <w:vAlign w:val="center"/>
            <w:hideMark/>
          </w:tcPr>
          <w:p w14:paraId="4032EC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Calificación Largo Plazo </w:t>
            </w:r>
          </w:p>
        </w:tc>
        <w:tc>
          <w:tcPr>
            <w:tcW w:w="2955" w:type="dxa"/>
            <w:tcBorders>
              <w:top w:val="outset" w:sz="6" w:space="0" w:color="auto"/>
              <w:left w:val="outset" w:sz="6" w:space="0" w:color="auto"/>
              <w:bottom w:val="outset" w:sz="6" w:space="0" w:color="auto"/>
              <w:right w:val="outset" w:sz="6" w:space="0" w:color="auto"/>
            </w:tcBorders>
            <w:vAlign w:val="center"/>
            <w:hideMark/>
          </w:tcPr>
          <w:p w14:paraId="7CAC67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Calificación de Corto Plazo </w:t>
            </w:r>
          </w:p>
        </w:tc>
      </w:tr>
      <w:tr w:rsidR="008F7B30" w:rsidRPr="002C1480" w14:paraId="15FC7C33" w14:textId="77777777" w:rsidTr="008F7B30">
        <w:trPr>
          <w:trHeight w:val="90"/>
          <w:tblCellSpacing w:w="0" w:type="dxa"/>
          <w:jc w:val="center"/>
        </w:trPr>
        <w:tc>
          <w:tcPr>
            <w:tcW w:w="2775" w:type="dxa"/>
            <w:tcBorders>
              <w:top w:val="outset" w:sz="6" w:space="0" w:color="auto"/>
              <w:left w:val="outset" w:sz="6" w:space="0" w:color="auto"/>
              <w:bottom w:val="outset" w:sz="6" w:space="0" w:color="auto"/>
              <w:right w:val="outset" w:sz="6" w:space="0" w:color="auto"/>
            </w:tcBorders>
            <w:vAlign w:val="center"/>
            <w:hideMark/>
          </w:tcPr>
          <w:p w14:paraId="2DA2FD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BRC Investor Services S.A. </w:t>
            </w:r>
          </w:p>
        </w:tc>
        <w:tc>
          <w:tcPr>
            <w:tcW w:w="2775" w:type="dxa"/>
            <w:tcBorders>
              <w:top w:val="outset" w:sz="6" w:space="0" w:color="auto"/>
              <w:left w:val="outset" w:sz="6" w:space="0" w:color="auto"/>
              <w:bottom w:val="outset" w:sz="6" w:space="0" w:color="auto"/>
              <w:right w:val="outset" w:sz="6" w:space="0" w:color="auto"/>
            </w:tcBorders>
            <w:vAlign w:val="center"/>
            <w:hideMark/>
          </w:tcPr>
          <w:p w14:paraId="60F006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w:t>
            </w:r>
          </w:p>
        </w:tc>
        <w:tc>
          <w:tcPr>
            <w:tcW w:w="2955" w:type="dxa"/>
            <w:tcBorders>
              <w:top w:val="outset" w:sz="6" w:space="0" w:color="auto"/>
              <w:left w:val="outset" w:sz="6" w:space="0" w:color="auto"/>
              <w:bottom w:val="outset" w:sz="6" w:space="0" w:color="auto"/>
              <w:right w:val="outset" w:sz="6" w:space="0" w:color="auto"/>
            </w:tcBorders>
            <w:vAlign w:val="center"/>
            <w:hideMark/>
          </w:tcPr>
          <w:p w14:paraId="73260E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BRC2 </w:t>
            </w:r>
          </w:p>
        </w:tc>
      </w:tr>
      <w:tr w:rsidR="008F7B30" w:rsidRPr="002C1480" w14:paraId="75618150" w14:textId="77777777" w:rsidTr="008F7B30">
        <w:trPr>
          <w:trHeight w:val="90"/>
          <w:tblCellSpacing w:w="0" w:type="dxa"/>
          <w:jc w:val="center"/>
        </w:trPr>
        <w:tc>
          <w:tcPr>
            <w:tcW w:w="2775" w:type="dxa"/>
            <w:tcBorders>
              <w:top w:val="outset" w:sz="6" w:space="0" w:color="auto"/>
              <w:left w:val="outset" w:sz="6" w:space="0" w:color="auto"/>
              <w:bottom w:val="outset" w:sz="6" w:space="0" w:color="auto"/>
              <w:right w:val="outset" w:sz="6" w:space="0" w:color="auto"/>
            </w:tcBorders>
            <w:vAlign w:val="center"/>
            <w:hideMark/>
          </w:tcPr>
          <w:p w14:paraId="12355B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Fitch Ratings Colombia S.A. </w:t>
            </w:r>
          </w:p>
        </w:tc>
        <w:tc>
          <w:tcPr>
            <w:tcW w:w="2775" w:type="dxa"/>
            <w:tcBorders>
              <w:top w:val="outset" w:sz="6" w:space="0" w:color="auto"/>
              <w:left w:val="outset" w:sz="6" w:space="0" w:color="auto"/>
              <w:bottom w:val="outset" w:sz="6" w:space="0" w:color="auto"/>
              <w:right w:val="outset" w:sz="6" w:space="0" w:color="auto"/>
            </w:tcBorders>
            <w:vAlign w:val="center"/>
            <w:hideMark/>
          </w:tcPr>
          <w:p w14:paraId="240E1A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w:t>
            </w:r>
          </w:p>
        </w:tc>
        <w:tc>
          <w:tcPr>
            <w:tcW w:w="2955" w:type="dxa"/>
            <w:tcBorders>
              <w:top w:val="outset" w:sz="6" w:space="0" w:color="auto"/>
              <w:left w:val="outset" w:sz="6" w:space="0" w:color="auto"/>
              <w:bottom w:val="outset" w:sz="6" w:space="0" w:color="auto"/>
              <w:right w:val="outset" w:sz="6" w:space="0" w:color="auto"/>
            </w:tcBorders>
            <w:vAlign w:val="center"/>
            <w:hideMark/>
          </w:tcPr>
          <w:p w14:paraId="4C124E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F2 </w:t>
            </w:r>
          </w:p>
        </w:tc>
      </w:tr>
      <w:tr w:rsidR="008F7B30" w:rsidRPr="002C1480" w14:paraId="2937CCD7" w14:textId="77777777" w:rsidTr="008F7B30">
        <w:trPr>
          <w:trHeight w:val="90"/>
          <w:tblCellSpacing w:w="0" w:type="dxa"/>
          <w:jc w:val="center"/>
        </w:trPr>
        <w:tc>
          <w:tcPr>
            <w:tcW w:w="2775" w:type="dxa"/>
            <w:tcBorders>
              <w:top w:val="outset" w:sz="6" w:space="0" w:color="auto"/>
              <w:left w:val="outset" w:sz="6" w:space="0" w:color="auto"/>
              <w:bottom w:val="outset" w:sz="6" w:space="0" w:color="auto"/>
              <w:right w:val="outset" w:sz="6" w:space="0" w:color="auto"/>
            </w:tcBorders>
            <w:vAlign w:val="center"/>
            <w:hideMark/>
          </w:tcPr>
          <w:p w14:paraId="38AACF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Value &amp; Risk Rating </w:t>
            </w:r>
          </w:p>
        </w:tc>
        <w:tc>
          <w:tcPr>
            <w:tcW w:w="2775" w:type="dxa"/>
            <w:tcBorders>
              <w:top w:val="outset" w:sz="6" w:space="0" w:color="auto"/>
              <w:left w:val="outset" w:sz="6" w:space="0" w:color="auto"/>
              <w:bottom w:val="outset" w:sz="6" w:space="0" w:color="auto"/>
              <w:right w:val="outset" w:sz="6" w:space="0" w:color="auto"/>
            </w:tcBorders>
            <w:vAlign w:val="center"/>
            <w:hideMark/>
          </w:tcPr>
          <w:p w14:paraId="0BF786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w:t>
            </w:r>
          </w:p>
        </w:tc>
        <w:tc>
          <w:tcPr>
            <w:tcW w:w="2955" w:type="dxa"/>
            <w:tcBorders>
              <w:top w:val="outset" w:sz="6" w:space="0" w:color="auto"/>
              <w:left w:val="outset" w:sz="6" w:space="0" w:color="auto"/>
              <w:bottom w:val="outset" w:sz="6" w:space="0" w:color="auto"/>
              <w:right w:val="outset" w:sz="6" w:space="0" w:color="auto"/>
            </w:tcBorders>
            <w:vAlign w:val="center"/>
            <w:hideMark/>
          </w:tcPr>
          <w:p w14:paraId="31E7EB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VrR2 </w:t>
            </w:r>
          </w:p>
        </w:tc>
      </w:tr>
    </w:tbl>
    <w:p w14:paraId="5CBA13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8ABC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Aquellos institutos que logren la segunda mejor calificación para el corto y el largo plazo y se sometan al régimen especial de control y vigilancia de la Superintendencia Financiera de Colombia, podrán volver a captar los excedentes de liquidez de las entidades territoriales y sus descentralizadas. </w:t>
      </w:r>
    </w:p>
    <w:p w14:paraId="5FA8CF4A" w14:textId="77777777" w:rsidR="00EA2507" w:rsidRDefault="00EA2507" w:rsidP="00D05DFA">
      <w:pPr>
        <w:spacing w:after="0" w:line="293" w:lineRule="atLeast"/>
        <w:jc w:val="center"/>
        <w:rPr>
          <w:rFonts w:ascii="Arial" w:eastAsia="Times New Roman" w:hAnsi="Arial" w:cs="Arial"/>
          <w:b/>
          <w:bCs/>
          <w:color w:val="000000"/>
          <w:lang w:eastAsia="es-CO"/>
        </w:rPr>
      </w:pPr>
      <w:bookmarkStart w:id="316" w:name="ver_30056898"/>
      <w:bookmarkEnd w:id="316"/>
    </w:p>
    <w:p w14:paraId="46EFF412" w14:textId="3DF44932"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TÍTULO 4</w:t>
      </w:r>
    </w:p>
    <w:p w14:paraId="7E732E5A" w14:textId="77777777"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FONDOS ADMINISTRADOS POR EL TESORO NACIONAL</w:t>
      </w:r>
    </w:p>
    <w:p w14:paraId="23C63CCA" w14:textId="77777777"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CAPÍTULO 1</w:t>
      </w:r>
    </w:p>
    <w:p w14:paraId="0716E23C" w14:textId="77777777" w:rsidR="008F7B30" w:rsidRPr="00D05DFA" w:rsidRDefault="008F7B30" w:rsidP="00D05DFA">
      <w:pPr>
        <w:spacing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FONDO DE ESTABILIZACIÓN DE PRECIOS DE LOS COMBUSTIBLES</w:t>
      </w:r>
    </w:p>
    <w:p w14:paraId="13F1CAE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17" w:name="ver_30177553"/>
      <w:bookmarkStart w:id="318" w:name="ver_30056899"/>
      <w:bookmarkEnd w:id="317"/>
    </w:p>
    <w:p w14:paraId="3E01AEC0" w14:textId="28A5F98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 Definiciones. Para los efectos del funcionamiento y operatividad del Fondo de Estabilización de Precios de los Combustibles, en adelante FEPC, creado mediante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69 de la Ley 1151 de 2007, se establecen las siguientes definiciones: </w:t>
      </w:r>
    </w:p>
    <w:p w14:paraId="6199C36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E952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Precio de Paridad Internacional. Es el precio calculado por el Ministerio de Minas y Energía, de acuerdo con la metodología expedida para el efecto, tomando como referencia el precio diario de los combustibles en el mercado de la Costa Estadounidense del Golfo de México u otro mercado competitivo. Para el caso de las importaciones, se tendrán en cuenta los costos asociados para atender el abastecimiento nacional determinados por el Ministerio de Minas y Energía; </w:t>
      </w:r>
    </w:p>
    <w:p w14:paraId="2C2038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113E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Ingreso al Productor. Es el precio por galón fijado por el Ministerio de Minas y Energía o por la entidad que haga sus veces, al que los refinadores e importadores venden la gasolina motor corriente o el ACPM, para atender el mercado nacional; </w:t>
      </w:r>
    </w:p>
    <w:p w14:paraId="0F8F01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3213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Diferencial de Compensación. Es la diferencia presentada entre el Ingreso al Productor y el Precio de Paridad Internacional, cuando el segundo es mayor que el primero en la fecha de emisión de la factura de venta, multiplicada por el volumen de combustible vendido; </w:t>
      </w:r>
    </w:p>
    <w:p w14:paraId="28242E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1727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4. Diferencial de Participación. Es la diferencia presentada entre el Ingreso al Productor y el Precio de Paridad Internacional, cuando el primero es mayor que el segundo en la fecha de emisión de la factura de venta, multiplicada por el volumen de combustible vendido; </w:t>
      </w:r>
    </w:p>
    <w:p w14:paraId="06581F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B403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Volumen de Combustible. Es el volumen de gasolina motor corriente o de ACPM reportado por el refinador o el importador. </w:t>
      </w:r>
    </w:p>
    <w:p w14:paraId="7C2635D0" w14:textId="283D9F6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EB6F76" w14:textId="00358B9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6. Refinador y/o Importador. Es toda persona natural o jurídica que cumpla con los requisitos exigidos para los refinadores y/o importadores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1073 de 2015, o las normas que lo modifiquen o compilen, y se encuentre debidamente registrada ante el Ministerio de Minas y Energía para actuar o ejercer como tal. </w:t>
      </w:r>
    </w:p>
    <w:p w14:paraId="431FE8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552FDB" w14:textId="01B8EE3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7. Contribución parafiscal al combustible. Contribución destinada a financiar el FEPC, a cargo de los refinadores o importadores de la gasolina motor corriente, o ACPM de acuerdo con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224 y siguientes de la Ley 1819 de 2016, que se causa cuando en el periodo gravable de la contribución, la sumatoria de los diferenciales de participación sea mayor que la sumatoria de los diferenciales de compensación. </w:t>
      </w:r>
    </w:p>
    <w:p w14:paraId="4319A6D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19" w:name="ver_30177554"/>
      <w:bookmarkStart w:id="320" w:name="ver_30056900"/>
      <w:bookmarkEnd w:id="318"/>
      <w:bookmarkEnd w:id="319"/>
    </w:p>
    <w:p w14:paraId="4A238956" w14:textId="4EC0BA8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2.3.4.1.2. Estructura del FEPC. El FEPC, creado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69 de la Ley 1151 de 2007, funcionará como un fondo cuenta sin personería jurídica, adscrito y administrado por el Ministerio de Hacienda y Crédito Público, el cual tendrá como función atenuar en el mercado interno el impacto de las fluctuaciones de los precios de los combustibles en los mercados internacionales. </w:t>
      </w:r>
    </w:p>
    <w:p w14:paraId="06B20643" w14:textId="083B6425"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21" w:name="ver_30177555"/>
      <w:bookmarkStart w:id="322" w:name="ver_30056901"/>
      <w:bookmarkEnd w:id="320"/>
      <w:bookmarkEnd w:id="321"/>
    </w:p>
    <w:p w14:paraId="76A6E691" w14:textId="4FCA13C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2.3.4.1.3. Recursos del FEPC. Los recursos necesarios para el funcionamiento del FEPC provendrán de las siguientes fuentes: </w:t>
      </w:r>
    </w:p>
    <w:p w14:paraId="7BE84B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AB0C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rendimientos de los recursos que conformen el Fondo; </w:t>
      </w:r>
    </w:p>
    <w:p w14:paraId="521030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23E7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recursos de crédito que de manera extraordinaria reciba del Tesoro; </w:t>
      </w:r>
    </w:p>
    <w:p w14:paraId="466FDF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EEA5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recursos del Presupuesto General de la Nación a favor del Fondo; </w:t>
      </w:r>
    </w:p>
    <w:p w14:paraId="7A3E93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A5D7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 contribución parafiscal al combustible; </w:t>
      </w:r>
    </w:p>
    <w:p w14:paraId="6E5968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147C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Bonos u otros títulos de deuda pública que emita la Nación a favor del FEPC, con el fin de cubrir las obligaciones a cargo del Fondo. </w:t>
      </w:r>
    </w:p>
    <w:p w14:paraId="680459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DA2C4F" w14:textId="59A9565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saldos adeudados por el FEPC en virtud de los créditos extraordinarios que otorgue el Tesoro General de la Nación se podrán incorporar en el Presupuesto General de la Nación como créditos presupuestales, de acuerdo con lo establecido en el parágrafo 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218 de la Ley 1819 de 2016. </w:t>
      </w:r>
    </w:p>
    <w:p w14:paraId="1DF8325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23" w:name="ver_30177556"/>
      <w:bookmarkStart w:id="324" w:name="ver_30056902"/>
      <w:bookmarkEnd w:id="322"/>
      <w:bookmarkEnd w:id="323"/>
    </w:p>
    <w:p w14:paraId="55AF550C" w14:textId="0619496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2.3.4.1.4. Reporte ante el Ministerio de Minas y Energía - Dirección de Hidrocarburos. Los refinadores y/o importadores deberán reportar a la Dirección de Hidrocarburos del Ministerio de Minas y Energía, las cantidades de gasolina corriente y ACPM, que fueron vendidas en el mes, dentro de los siguientes treinta y cinco (35) días calendario a dicho mes de realización de las operaciones, incluyendo el ACPM proveniente de la degradación del JET A-1, así como el combustible de origen importado que fue distribuido posteriormente para atender la demanda nacional. </w:t>
      </w:r>
    </w:p>
    <w:p w14:paraId="425E7E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E2250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Dichos reportes deberán contener la información correspondiente a cada operación de comercialización de combustible, considerando además un resumen de dichas operaciones y deberán ser suscritos por la persona natural registrada o por el representante legal de la persona jurídica. El informe contendrá al menos, la discriminación de los volúmenes de producto vendidos, indicando si su origen es nacional o importado o su respectiva proporción según corresponda. Así mismo, se debe incluir la indicación de la fecha de causación de la operación, y la indicación del tipo de reconocimiento y/o subsidio al que dicha transacción aplica, según sea el caso. En el evento en que la gasolina corriente o el ACPM, sean de origen nacional, es necesario informar la refinería de la cual provienen. </w:t>
      </w:r>
    </w:p>
    <w:p w14:paraId="45758B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81BF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combustible de origen importado o de origen nacional, que sea sujeto de operaciones de movilización y/o internación, los refinadores y/o importadores deberán reportar a la Dirección de Hidrocarburos de ese Ministerio, el resumen mensual e informe desagregado de los respectivos costos, impuestos y demás valores asociados que son generados precisamente por dichas operaciones, dentro de los siguientes treinta y cinco (35) días calendario siguientes al mes de realización de las operaciones. </w:t>
      </w:r>
    </w:p>
    <w:p w14:paraId="11A2EE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AFBC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los refinadores y/o importadores deberán usar el formato diseñado para tales efectos por el Ministerio de Minas y Energía, sin perjuicio de la obligación que les asiste a los agentes, de remitir la información de forma clara, completa y oportuna. </w:t>
      </w:r>
    </w:p>
    <w:p w14:paraId="1AD61A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B04CAA" w14:textId="3833B17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Ministerio de Minas y Energía evaluará la información remitida y podrá requerir las aclaraciones, adiciones, correcciones y/o auditorías a la misma, de conformidad con los requisitos establecidos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con base en las disposiciones que sobre la materia expida dicho Ministerio. </w:t>
      </w:r>
    </w:p>
    <w:p w14:paraId="6079E75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AD607B" w14:textId="1599404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Ministerio de Minas y Energía, a través de la Dirección de Hidrocarburos, iniciará los procedimientos de determinación de la contribución parafiscal al combustible a cargo de los refinadores y/o importadores que reporten información inexacta o no reporten la información para calcular y liquidar esa contribución dentro de los plazos definidos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hará exigibles las cesiones liquidadas mediante procedimientos de cobro coactivo, de acuerdo con lo establecido por la Ley 1066 de 2006 y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232 de la Ley 1819 de 2016. </w:t>
      </w:r>
    </w:p>
    <w:p w14:paraId="795B21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0EFB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mismo procedimiento será utilizado para hacer exigible la contribución liquidada por el Ministerio de Minas y Energía y que no se transfiera dentro del plazo determinado para el pago de la contribución. </w:t>
      </w:r>
    </w:p>
    <w:p w14:paraId="31CAEF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4621AE" w14:textId="5BEB256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Transitorio. Los reportes de información de los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para aquellas operaciones de venta y/o importación de combustibles realizadas durante los tres primeros meses, contados a partir de la entrada en vigencia del presente Capítulo, deberán ser remitidos a la Dirección de Hidrocarburos del Ministerio de Minas y Energía, en un término no mayor a treinta y cinco (35) días calendario posteriores al tercer mes de la entrada en vigencia del presente Capítulo. </w:t>
      </w:r>
    </w:p>
    <w:p w14:paraId="0A8700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98D3F9" w14:textId="4160A41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partir del cuarto mes de entrada en vigencia del presente Capítulo, los reportes serán exigibles periódicamente según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6D08ED18"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4560CEDB" w14:textId="70524EBE" w:rsidR="008F7B30" w:rsidRPr="002C1480" w:rsidRDefault="002C1480" w:rsidP="00C32F85">
      <w:pPr>
        <w:spacing w:after="0" w:line="254" w:lineRule="atLeast"/>
        <w:jc w:val="both"/>
        <w:rPr>
          <w:rFonts w:ascii="Arial" w:eastAsia="Times New Roman" w:hAnsi="Arial" w:cs="Arial"/>
          <w:color w:val="000000"/>
          <w:lang w:eastAsia="es-CO"/>
        </w:rPr>
      </w:pPr>
      <w:bookmarkStart w:id="325" w:name="ver_30177557"/>
      <w:bookmarkStart w:id="326" w:name="ver_30056903"/>
      <w:bookmarkEnd w:id="324"/>
      <w:bookmarkEnd w:id="325"/>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2.3.4.1.5. Cálculo de la Posición Neta. El Ministerio de Minas y Energía, a través de la Dirección de Hidrocarburos, calculará y liquidará mediante resolución, el valor de la posición neta </w:t>
      </w:r>
      <w:r w:rsidR="008F7B30" w:rsidRPr="002C1480">
        <w:rPr>
          <w:rFonts w:ascii="Arial" w:eastAsia="Times New Roman" w:hAnsi="Arial" w:cs="Arial"/>
          <w:color w:val="000000"/>
          <w:lang w:eastAsia="es-CO"/>
        </w:rPr>
        <w:lastRenderedPageBreak/>
        <w:t>de cada refinador y/o importador discriminando cada tipo de combustible a ser reconocido por el FEPC de forma trimestral, previa presentación al Comité Directivo de dicho Fondo. Dicha posición será la sumatoria de los diferenciales a lo largo del trimestre, cuyo resultado será el monto en pesos a favor o en contra de cada refinador y/o importador y según sea el caso, con cargo a los recursos del FEPC. </w:t>
      </w:r>
    </w:p>
    <w:p w14:paraId="4CFC0559" w14:textId="77777777" w:rsidR="00D05DFA" w:rsidRDefault="00D05DFA" w:rsidP="00C32F85">
      <w:pPr>
        <w:spacing w:after="0" w:line="254" w:lineRule="atLeast"/>
        <w:jc w:val="both"/>
        <w:rPr>
          <w:rFonts w:ascii="Arial" w:eastAsia="Times New Roman" w:hAnsi="Arial" w:cs="Arial"/>
          <w:color w:val="000000"/>
          <w:lang w:eastAsia="es-CO"/>
        </w:rPr>
      </w:pPr>
      <w:bookmarkStart w:id="327" w:name="ver_30177558"/>
      <w:bookmarkStart w:id="328" w:name="ver_30056904"/>
      <w:bookmarkEnd w:id="326"/>
      <w:bookmarkEnd w:id="327"/>
    </w:p>
    <w:p w14:paraId="64025C84" w14:textId="39249F3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2.3.4.1.6. Pagos de la Posición Neta que causa el Diferencial de Compensación. El FEPC cancelará en pesos el valor correspondiente al cálculo y liquidación de la Posición Neta trimestral a favor de cada refinador y/o importador dentro del plazo que defina el Ministerio de Minas y Energía y con base en la disponibilidad de recursos del FEPC. </w:t>
      </w:r>
    </w:p>
    <w:p w14:paraId="49A41B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C2DE9F" w14:textId="76188A0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el evento en que los recursos depositados en el FEPC sean insuficientes para atender los pagos a cargo de dicho fondo, el administrador deberá obtener autorización del Comité Directivo del Fondo para solicitar a la Nación el otorgamiento de créditos extraordinarios previstos en el literal b)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2.3.4.1.3 del presente capítulo o la emisión de bonos u otros títulos de deuda pública previstos en el literal e) del mismo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49A7A84D" w14:textId="77777777" w:rsidR="00D05DFA" w:rsidRDefault="00D05DFA" w:rsidP="00C32F85">
      <w:pPr>
        <w:spacing w:after="0" w:line="254" w:lineRule="atLeast"/>
        <w:jc w:val="both"/>
        <w:rPr>
          <w:rFonts w:ascii="Arial" w:eastAsia="Times New Roman" w:hAnsi="Arial" w:cs="Arial"/>
          <w:color w:val="000000"/>
          <w:lang w:eastAsia="es-CO"/>
        </w:rPr>
      </w:pPr>
      <w:bookmarkStart w:id="329" w:name="ver_30177559"/>
      <w:bookmarkStart w:id="330" w:name="ver_30056905"/>
      <w:bookmarkEnd w:id="328"/>
      <w:bookmarkEnd w:id="329"/>
    </w:p>
    <w:p w14:paraId="606B3DFC" w14:textId="6ACCB0C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2.3.4.1.7. Pagos de la Posición Neta que causa la Contribución Parafiscal al Combustible. En caso de que se cause la contribución parafiscal al combustible, el Ministerio de Minas y Energía ordenará a cada refinador y/o importador mediante la resolución a que hace referencia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2.3.4.1.5 del presente Capítulo, el pago en pesos a favor de la Dirección General de Crédito Público y Tesoro Nacional con destino al FEPC, dentro de los 30 días calendario siguientes a la ejecutoria de dicha resolución y en la cuenta que sobre el particular defina la mencionada Dirección. </w:t>
      </w:r>
    </w:p>
    <w:p w14:paraId="0D35C3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A3FA29" w14:textId="4C72922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sujetos pasivos de la contribución parafiscal al combustible que no transfieran oportunamente los recursos de los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 la entidad administradora, de conformidad con lo dispuesto en el presente capítulo, pagarán intereses de mora de acuerdo con lo previsto en la Ley 1066 de 2006. </w:t>
      </w:r>
    </w:p>
    <w:p w14:paraId="2135891F" w14:textId="77777777" w:rsidR="00D05DFA" w:rsidRDefault="00D05DFA" w:rsidP="00C32F85">
      <w:pPr>
        <w:spacing w:after="0" w:line="254" w:lineRule="atLeast"/>
        <w:jc w:val="both"/>
        <w:rPr>
          <w:rFonts w:ascii="Arial" w:eastAsia="Times New Roman" w:hAnsi="Arial" w:cs="Arial"/>
          <w:color w:val="000000"/>
          <w:lang w:eastAsia="es-CO"/>
        </w:rPr>
      </w:pPr>
      <w:bookmarkStart w:id="331" w:name="ver_30056906"/>
      <w:bookmarkEnd w:id="330"/>
    </w:p>
    <w:p w14:paraId="50ED5C38" w14:textId="500D16E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2.3.4.1.8. Incompatibilidad. No se podrán generar dobles pagos a favor de los importadores y/o refinadores en virtud de la aplicación del presente capítulo y de la Resolución 18 0522 de 2010, proferida por el Ministerio de Minas y Energía, o las normas que la modifiquen o sustituyan. </w:t>
      </w:r>
    </w:p>
    <w:p w14:paraId="5AEB8DB9" w14:textId="1ED2C935"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32" w:name="ver_30177561"/>
      <w:bookmarkStart w:id="333" w:name="ver_30056907"/>
      <w:bookmarkEnd w:id="331"/>
      <w:bookmarkEnd w:id="332"/>
    </w:p>
    <w:p w14:paraId="19A8C9CD" w14:textId="4744769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2.3.4.1.9. Comité Directivo. El FEPC tendrá un Comité Directivo conformado de la siguiente forma: </w:t>
      </w:r>
    </w:p>
    <w:p w14:paraId="7B527D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B535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Ministro de Hacienda y Crédito Público o su delegado, quien lo presidirá; </w:t>
      </w:r>
    </w:p>
    <w:p w14:paraId="10D531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E55B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Ministro de Minas y Energía o su delegado; </w:t>
      </w:r>
    </w:p>
    <w:p w14:paraId="42EC3E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3280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Viceministro Técnico del Ministerio de Hacienda y Crédito Público o su delegado; </w:t>
      </w:r>
    </w:p>
    <w:p w14:paraId="388B32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0C8D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Viceministro de Energía del Ministerio de Minas y Energía o su delegado; </w:t>
      </w:r>
    </w:p>
    <w:p w14:paraId="2F8AC0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0008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Director General de Política Macroeconómica o su delegado; </w:t>
      </w:r>
    </w:p>
    <w:p w14:paraId="114EA3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E5D7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Director de Hidrocarburos del Ministerio de Minas y Energía o su delegado; y </w:t>
      </w:r>
    </w:p>
    <w:p w14:paraId="5C7DC4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E652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g) El Director General de Crédito Público y Tesoro Nacional del Ministerio de Hacienda y Crédito Público o su delegado. </w:t>
      </w:r>
    </w:p>
    <w:p w14:paraId="21F634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54CF0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miembros del Comité Directivo podrán delegar su asistencia, de conformidad con lo establecido en las normas legales vigentes. La Secretaría Técnica del Comité Directivo será ejercida por el Director de Hidrocarburos del Ministerio de Minas y Energía o su delegado, quien será el encargado de convocar las sesiones ordinarias y extraordinarias. </w:t>
      </w:r>
    </w:p>
    <w:p w14:paraId="73D84061" w14:textId="12344E3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2ABAFB" w14:textId="1726623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Director General de Crédito Público y Tesoro Nacional del Ministerio de Hacienda y Crédito Público o su delegado se abstendrán de deliberar y/o votar en el Comité Directivo, cuando se trate de autorizar al administrador de los recursos del FEPC para solicitar a la Nación el otorgamiento de los créditos extraordinarios previstos en el literal b)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2.3.4.1.3 del presente capítulo, la emisión de los bonos u otros títulos de deuda pública previstos en el literal e) del mismo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las modificaciones de las obligaciones de pago derivados de los pagarés otorgados a favor de la Nación. </w:t>
      </w:r>
    </w:p>
    <w:p w14:paraId="06DEAC6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34" w:name="ver_30177562"/>
      <w:bookmarkStart w:id="335" w:name="ver_30056908"/>
      <w:bookmarkEnd w:id="333"/>
      <w:bookmarkEnd w:id="334"/>
    </w:p>
    <w:p w14:paraId="27892C49" w14:textId="31BA399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2.3.4.1.10. Facultades del administrador del FEPC. Será facultad del Ministerio de Hacienda y Crédito Público, en su calidad de administrador del FEPC, decidir autónomamente sobre la compra y venta de títulos o valores financieros de acuerdo con la política de inversión que defina el Comité Directivo. </w:t>
      </w:r>
    </w:p>
    <w:p w14:paraId="5474B4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49E7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Facúltase a la Dirección General de Crédito Público y Tesoro Nacional del Ministerio de Hacienda y Crédito Público para que, con cargo a los recursos del FEPC y en virtud de su administración, pueda negociar y ejecutar operaciones de cobertura sobre los productos objeto de estabilización así como de petróleo y sus derivados. </w:t>
      </w:r>
    </w:p>
    <w:p w14:paraId="0BE39FB4" w14:textId="77777777" w:rsidR="00D05DFA" w:rsidRDefault="00D05DFA" w:rsidP="00C32F85">
      <w:pPr>
        <w:spacing w:after="0" w:line="254" w:lineRule="atLeast"/>
        <w:jc w:val="both"/>
        <w:rPr>
          <w:rFonts w:ascii="Arial" w:eastAsia="Times New Roman" w:hAnsi="Arial" w:cs="Arial"/>
          <w:color w:val="000000"/>
          <w:lang w:eastAsia="es-CO"/>
        </w:rPr>
      </w:pPr>
      <w:bookmarkStart w:id="336" w:name="ver_30056909"/>
      <w:bookmarkEnd w:id="335"/>
    </w:p>
    <w:p w14:paraId="325A346C" w14:textId="39A862D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2.3.4.1.11. Facultades del administrador del FEPC. El administrador está facultado para adelantar las operaciones autorizadas por vía general para la administración de los recursos del Tesoro Nacional. </w:t>
      </w:r>
    </w:p>
    <w:p w14:paraId="6FE111D6" w14:textId="7B1ABF8E"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37" w:name="ver_30177564"/>
      <w:bookmarkStart w:id="338" w:name="ver_30056910"/>
      <w:bookmarkEnd w:id="336"/>
      <w:bookmarkEnd w:id="337"/>
    </w:p>
    <w:p w14:paraId="2876282B" w14:textId="016EC19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2.3.4.1.12. Naturaleza de los recursos. Los recursos existentes en el FEPC no forman parte de las reservas internacionales del país. </w:t>
      </w:r>
    </w:p>
    <w:p w14:paraId="57EFC2F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17C3FE" w14:textId="7DB5F42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Así mismo, de acuerdo a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234 de la Ley 1819 de 2016, los ingresos y pagos efectivos con cargo a los recursos del FEPC, que realice la Dirección General de Crédito Público y Tesoro Nacional del Ministerio de Hacienda y Crédito Público, en su calidad de administrador de los recursos del FEPC, no generarán operación presupuestal alguna. </w:t>
      </w:r>
    </w:p>
    <w:p w14:paraId="5107A9E5" w14:textId="0F6C7D60"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39" w:name="ver_30177565"/>
      <w:bookmarkStart w:id="340" w:name="ver_30056911"/>
      <w:bookmarkEnd w:id="338"/>
      <w:bookmarkEnd w:id="339"/>
    </w:p>
    <w:p w14:paraId="58EB399F" w14:textId="5106B85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2.3.4.1.13. Otorgamiento de recursos de créditos extraordinarios del tesoro. La Nación - MHCP, podrá otorgar recursos de créditos extraordinarios para atender las obligaciones del FEPC en una determinada vigencia, cuando el Ministerio de Minas y Energía haya calculado y expedido mediante resolución la posición neta trimestral de cada refinador y/o importador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2.3.4.1.5 del presente capítulo y previa certificación del Subdirector de Tesorería de la Dirección General de Crédito Público y Tesoro Nacional o quien haga sus veces, en la que conste que los recursos depositados en dicho fondo son insuficientes para atender las obligaciones a su cargo. </w:t>
      </w:r>
    </w:p>
    <w:p w14:paraId="530E69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EF13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la Nación - MHCP sólo podrá otorgar recursos de créditos extraordinarios del tesoro cuando exista disponibilidad de recursos para ello. </w:t>
      </w:r>
    </w:p>
    <w:p w14:paraId="5B19471D" w14:textId="77777777" w:rsidR="00D05DFA" w:rsidRDefault="00D05DFA" w:rsidP="00C32F85">
      <w:pPr>
        <w:spacing w:after="0" w:line="254" w:lineRule="atLeast"/>
        <w:jc w:val="both"/>
        <w:rPr>
          <w:rFonts w:ascii="Arial" w:eastAsia="Times New Roman" w:hAnsi="Arial" w:cs="Arial"/>
          <w:color w:val="000000"/>
          <w:lang w:eastAsia="es-CO"/>
        </w:rPr>
      </w:pPr>
      <w:bookmarkStart w:id="341" w:name="ver_30056912"/>
      <w:bookmarkEnd w:id="340"/>
    </w:p>
    <w:p w14:paraId="436A923E" w14:textId="2EC51DE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2.3.4.1.14. Condiciones de los créditos extraordinarios del tesoro. Los créditos extraordinarios del tesoro se sujetarán a las siguientes reglas: </w:t>
      </w:r>
    </w:p>
    <w:p w14:paraId="6A793E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55DC0A" w14:textId="75B32A0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Los recursos de créditos extraordinarios del Tesoro serán únicamente los necesarios para atender los pagos con cargo al FEPC de los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2.3.4.1.6 del presente capítulo. </w:t>
      </w:r>
    </w:p>
    <w:p w14:paraId="20E74DB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9D36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plazo de los créditos extraordinarios del tesoro deberá ser inferior a un (1) año. El plazo originalmente otorgado podrá ser prorrogado o renovado, previa autorización del Comité de Tesorería del MHCP. </w:t>
      </w:r>
    </w:p>
    <w:p w14:paraId="7E3CED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7D95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FEPC deberá expedir un pagaré a favor de la Nación - MHCP por cada desembolso en donde consten las condiciones financieras de los créditos extraordinarios del tesoro y el cual deberá ser suscrito por el Ministro de Hacienda y Crédito Público y el Ministro de Minas y Energía, en virtud de sus competencias. </w:t>
      </w:r>
    </w:p>
    <w:p w14:paraId="26D4403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B0A1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Para el otorgamiento del Crédito Extraordinario del Tesoro, así como para efectuar sus prórrogas o renovaciones, se requerirá autorización del Comité de Tesorería del MHCP, instancia que definirá las condiciones financieras del crédito, sus prórrogas o modificaciones. </w:t>
      </w:r>
    </w:p>
    <w:p w14:paraId="34949E76" w14:textId="255B39B1"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42" w:name="ver_30177567"/>
      <w:bookmarkStart w:id="343" w:name="ver_30056913"/>
      <w:bookmarkEnd w:id="341"/>
      <w:bookmarkEnd w:id="342"/>
    </w:p>
    <w:p w14:paraId="448FF227" w14:textId="11CF959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2.3.4.1.15. Condiciones de la emisión de bonos u otros títulos de deuda pública para cubrir las obligaciones a cargo del FEPC. Los bonos u otros títulos de deuda pública que emita la Nación con el fin de cubrir las obligaciones a cargo del FEPC se sujetarán a las siguientes reglas: </w:t>
      </w:r>
    </w:p>
    <w:p w14:paraId="6149A1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C4A0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condiciones financieras de los bonos u otros títulos de deuda pública que emita la Nación serán determinadas por el Comité de Tesorería del MHCP, y en todo caso deberán reflejar las condiciones de mercado y guardar consistencia con la Estrategia de Gestión de Deuda de Mediano Plazo (EGDMP). </w:t>
      </w:r>
    </w:p>
    <w:p w14:paraId="725FB6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E7B671" w14:textId="37AA60E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En contrapartida de las obligaciones a cargo del FEPC atendidas mediante la emisión de bonos u otros títulos de deuda pública, la Nación constituirá las respectivas cuentas por cobrar. Para estos efectos, el FEPC suscribirá un pagaré a favor de la Nación por cada operación en la cual la Nación le entregue al FEPC los bonos o títulos de los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404EE4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9ACE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Para la emisión de bonos u otros títulos de deuda pública que realice la Nación y la suscripción del pagaré de que trata el numeral anterior, se requerirá autorización del Comité de Tesorería del MHCP. </w:t>
      </w:r>
    </w:p>
    <w:p w14:paraId="270019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E33729" w14:textId="4AC808B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El Ministro de Hacienda y Crédito Público suscribirá en el ámbito de sus competencias el pagaré al que se refiere 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CC7F0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5A4344" w14:textId="6BD691C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Las condiciones financieras del pagaré de que trata 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serán las que defina y autorice el Comité de Tesorería del MHCP, y la tasa de interés reflejará las condiciones de la curva de rendimientos de la Nación al plazo autorizado. </w:t>
      </w:r>
    </w:p>
    <w:p w14:paraId="5AD34F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9482B8" w14:textId="03EF684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modificaciones a las condiciones financieras de los pagarés de que trata 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serán solicitadas por parte del administrador de los recursos del FEPC con la correspondiente motivación, incluyendo las proyecciones de precios efectuadas por el Ministerio de Minas y Energía y será el Comité de Tesorería del MHCP quien defina y autorice dichas condiciones, las cuales se reflejarán en las respectivas cuentas por cobrar. </w:t>
      </w:r>
    </w:p>
    <w:bookmarkEnd w:id="343"/>
    <w:p w14:paraId="74C06096" w14:textId="77777777" w:rsidR="00D05DFA" w:rsidRDefault="00D05DFA" w:rsidP="00C32F85">
      <w:pPr>
        <w:spacing w:after="0" w:line="254" w:lineRule="atLeast"/>
        <w:jc w:val="both"/>
        <w:rPr>
          <w:rFonts w:ascii="Arial" w:eastAsia="Times New Roman" w:hAnsi="Arial" w:cs="Arial"/>
          <w:color w:val="000000"/>
          <w:lang w:eastAsia="es-CO"/>
        </w:rPr>
      </w:pPr>
    </w:p>
    <w:p w14:paraId="0C912472" w14:textId="1994990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2.3.4.1.16. Ingreso al productor en zonas de frontera. El Ministerio de Minas y Energía fijará el Ingreso al Productor aplicable para las zonas de frontera; sin embargo, los cambios en la proporcionalidad sobre dicho Ingreso al Productor o el incremento de volúmenes en dichas zonas, así como la decisión de extender dicha política a nuevas zonas de frontera deberá contar con previo concepto favorable del Ministerio de Hacienda y Crédito Público, en virtud de lo dispuesto en los numerales 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y 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número 4712 de 2008, o las normas que lo modifiquen o sustituyan </w:t>
      </w:r>
    </w:p>
    <w:p w14:paraId="54407585" w14:textId="2191754B" w:rsidR="008F7B30" w:rsidRDefault="008F7B30" w:rsidP="00C32F85">
      <w:pPr>
        <w:spacing w:after="0" w:line="254" w:lineRule="atLeast"/>
        <w:jc w:val="both"/>
        <w:rPr>
          <w:rFonts w:ascii="Arial" w:eastAsia="Times New Roman" w:hAnsi="Arial" w:cs="Arial"/>
          <w:color w:val="000000"/>
          <w:lang w:eastAsia="es-CO"/>
        </w:rPr>
      </w:pPr>
      <w:bookmarkStart w:id="344" w:name="ver_30056915"/>
      <w:bookmarkEnd w:id="344"/>
      <w:r w:rsidRPr="002C1480">
        <w:rPr>
          <w:rFonts w:ascii="Arial" w:eastAsia="Times New Roman" w:hAnsi="Arial" w:cs="Arial"/>
          <w:color w:val="000000"/>
          <w:lang w:eastAsia="es-CO"/>
        </w:rPr>
        <w:t>  </w:t>
      </w:r>
    </w:p>
    <w:p w14:paraId="2A698B1A" w14:textId="77777777" w:rsidR="00DB00B7" w:rsidRPr="00DB00B7" w:rsidRDefault="00DB00B7" w:rsidP="00DB00B7">
      <w:pPr>
        <w:spacing w:after="0" w:line="254" w:lineRule="atLeast"/>
        <w:jc w:val="center"/>
        <w:rPr>
          <w:rFonts w:ascii="Arial" w:eastAsia="Times New Roman" w:hAnsi="Arial" w:cs="Arial"/>
          <w:b/>
          <w:bCs/>
          <w:color w:val="000000"/>
          <w:lang w:eastAsia="es-CO"/>
        </w:rPr>
      </w:pPr>
      <w:r w:rsidRPr="00DB00B7">
        <w:rPr>
          <w:rFonts w:ascii="Arial" w:eastAsia="Times New Roman" w:hAnsi="Arial" w:cs="Arial"/>
          <w:b/>
          <w:bCs/>
          <w:color w:val="000000"/>
          <w:lang w:eastAsia="es-CO"/>
        </w:rPr>
        <w:t>CAPÍTULO 2</w:t>
      </w:r>
    </w:p>
    <w:p w14:paraId="2E0A32E6" w14:textId="77777777" w:rsidR="00DB00B7" w:rsidRPr="00DB00B7" w:rsidRDefault="00DB00B7" w:rsidP="00DB00B7">
      <w:pPr>
        <w:spacing w:after="0" w:line="254" w:lineRule="atLeast"/>
        <w:jc w:val="center"/>
        <w:rPr>
          <w:rFonts w:ascii="Arial" w:eastAsia="Times New Roman" w:hAnsi="Arial" w:cs="Arial"/>
          <w:b/>
          <w:bCs/>
          <w:color w:val="000000"/>
          <w:lang w:eastAsia="es-CO"/>
        </w:rPr>
      </w:pPr>
      <w:r w:rsidRPr="00DB00B7">
        <w:rPr>
          <w:rFonts w:ascii="Arial" w:eastAsia="Times New Roman" w:hAnsi="Arial" w:cs="Arial"/>
          <w:b/>
          <w:bCs/>
          <w:color w:val="000000"/>
          <w:lang w:eastAsia="es-CO"/>
        </w:rPr>
        <w:t>FONDO CREE</w:t>
      </w:r>
    </w:p>
    <w:p w14:paraId="644D9038" w14:textId="0EA28EC0" w:rsidR="00DB00B7" w:rsidRDefault="00DB00B7" w:rsidP="00C32F85">
      <w:pPr>
        <w:spacing w:after="0" w:line="254" w:lineRule="atLeast"/>
        <w:jc w:val="both"/>
        <w:rPr>
          <w:rFonts w:ascii="Arial" w:eastAsia="Times New Roman" w:hAnsi="Arial" w:cs="Arial"/>
          <w:color w:val="000000"/>
          <w:lang w:eastAsia="es-CO"/>
        </w:rPr>
      </w:pPr>
    </w:p>
    <w:p w14:paraId="47E95B70" w14:textId="407B32C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 Fondo CREE. Constitúyase un Fondo Especial sin personería jurídica denominado Fondo CREE, que será administrado por la Dirección General de Crédito Público y Tesoro Nacional del Ministerio de Hacienda y Crédito Público, cuyos recursos están destinados a atender los gastos de que tratan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20 y 28 de la Ley 1607 de 2012, así como los necesarios para garantizar el crecimiento estable de los presupuestos del Sena, ICBF y del Sistema de Seguridad Social en Salud a través de los recursos provenientes de la subcuenta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29 de la misma ley. </w:t>
      </w:r>
    </w:p>
    <w:p w14:paraId="4F975AD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45" w:name="ver_30056916"/>
      <w:bookmarkEnd w:id="345"/>
    </w:p>
    <w:p w14:paraId="7C856663" w14:textId="554E2E7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2.3.4.2.2. Recursos del Fondo CREE. Constituirán recursos del Fondo CREE los siguientes: </w:t>
      </w:r>
    </w:p>
    <w:p w14:paraId="24B5D4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9AD2F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recursos trasladados a la Dirección General de Crédito Público y Tesoro Nacional por las entidades recaudadoras del impuesto sobre la renta para la equidad CREE. </w:t>
      </w:r>
    </w:p>
    <w:p w14:paraId="449D16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7B61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recursos provenientes de las operaciones temporales de tesorería necesarias para proveer los faltantes transitorios de recaudo en el Fondo CREE. </w:t>
      </w:r>
    </w:p>
    <w:p w14:paraId="6D4C115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429C43" w14:textId="6F492C6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Los recursos provenientes del Presupuesto General de la Nación en cumplimiento de la garantía de financiación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 de la Ley 1607 de 2012. </w:t>
      </w:r>
    </w:p>
    <w:p w14:paraId="087185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2858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rendimientos financieros generados en la administración de los recursos de dicho fondo. </w:t>
      </w:r>
    </w:p>
    <w:p w14:paraId="54CDA2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CFC08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recursos recaudados por concepto de intereses por la mora en el pago del CREE y las sanciones a que haya lugar. </w:t>
      </w:r>
    </w:p>
    <w:p w14:paraId="10196D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84269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reintegros de recursos girados a que haya lugar. </w:t>
      </w:r>
    </w:p>
    <w:p w14:paraId="7FCE88C4" w14:textId="36FDE181"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46" w:name="ver_30056917"/>
      <w:bookmarkEnd w:id="346"/>
    </w:p>
    <w:p w14:paraId="3161C9A8" w14:textId="17B24F7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2.3.4.2.3. Subcuenta de Garantía CREE. Constitúyase en el Fondo CREE la Subcuenta de Garantía CREE creada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29 de la Ley 1607 de 2012, destinada a financiar el crecimiento estable de los presupuestos del Sena, ICBF y del Sistema de Seguridad Social en Salud y que estará conformada por los excesos de recaudo del Impuesto sobre la Renta para la Equidad CREE, que excedan la respectiva estimación prevista en el presupuesto de rentas de cada vigencia. </w:t>
      </w:r>
    </w:p>
    <w:p w14:paraId="3CCF309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47" w:name="ver_30056918"/>
      <w:bookmarkEnd w:id="347"/>
    </w:p>
    <w:p w14:paraId="73887FE0" w14:textId="7C09969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2.3.4.2.4. Administración de Recursos del Fondo CREE. La Dirección General de Crédito Público y Tesoro Nacional podrá administrar los recursos del Fondo CREE y de la respectiva Subcuenta de Garantía CREE, conforme las facultades establecidas en las normas presupuestales y con plena observancia de los principios previstos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209 de la </w:t>
      </w:r>
      <w:r w:rsidR="008F7B30" w:rsidRPr="002C1480">
        <w:rPr>
          <w:rFonts w:ascii="Arial" w:eastAsia="Times New Roman" w:hAnsi="Arial" w:cs="Arial"/>
          <w:color w:val="000000"/>
          <w:lang w:eastAsia="es-CO"/>
        </w:rPr>
        <w:lastRenderedPageBreak/>
        <w:t>Constitución Política. Las operaciones temporales de tesorería realizadas con los recursos del Fondo CREE o de la Subcuenta de Garantía CREE se harán teniendo en cuenta los criterios de rentabilidad, solidez y seguridad. Todas las operaciones se realizarán en condiciones de mercado. </w:t>
      </w:r>
    </w:p>
    <w:p w14:paraId="366C84A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48" w:name="ver_30056919"/>
      <w:bookmarkEnd w:id="348"/>
    </w:p>
    <w:p w14:paraId="7C29F193" w14:textId="3CD920E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2.3.4.2.5. Faltantes Transitorios de Recaudo. Si en un determinado mes el recaudo en el Fondo CREE resulta inferior a una doceava parte del monto mínimo apropiado en el Presupuesto General de la Nación para el Sena y el ICBF, la entidad podrá solicitar los recursos faltantes. Para el efecto, la Dirección General de Crédito Público y Tesoro Nacional deberá proveer dicha liquidez a través de operaciones temporales de tesorería. </w:t>
      </w:r>
    </w:p>
    <w:p w14:paraId="70259E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46DEAB" w14:textId="10CC5A8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provistos mediante operaciones temporales de tesorería serán pagados a la Dirección General de Crédito Público y Tesoro Nacional con cargo a los recursos recaudados en los meses posteriores en el Fondo CREE, con cargo a la Subcuenta de Garantía CREE, y, en subsidio, con los recursos provenientes del Presupuesto General de la Nación por cuenta de la garantía de financiación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w:t>
      </w:r>
    </w:p>
    <w:p w14:paraId="2A607B39" w14:textId="65472D8D"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49" w:name="ver_30056920"/>
      <w:bookmarkEnd w:id="349"/>
    </w:p>
    <w:p w14:paraId="52640DB3" w14:textId="67855C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2.3.4.2.6. Garantía de Financiación. El Gobierno Nacional, con cargo a los recursos del Presupuesto General de la Nación, asumirá los faltantes del recaudo del Fondo CREE conforme a lo previsto en el parágrafo 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28 de la Ley 1607 de 2012. </w:t>
      </w:r>
    </w:p>
    <w:p w14:paraId="636E7D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D5FE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efecto, se deberá incorporar en el proyecto de Presupuesto General de la Nación los recursos necesarios para garantizar el pago de las obligaciones generadas con cargo al Fondo CREE. </w:t>
      </w:r>
    </w:p>
    <w:p w14:paraId="685C7A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E424DF" w14:textId="77777777" w:rsidR="008F7B30" w:rsidRPr="002C1480" w:rsidRDefault="008F7B30" w:rsidP="00D05DFA">
      <w:pPr>
        <w:spacing w:after="0" w:line="293" w:lineRule="atLeast"/>
        <w:jc w:val="both"/>
        <w:rPr>
          <w:rFonts w:ascii="Arial" w:eastAsia="Times New Roman" w:hAnsi="Arial" w:cs="Arial"/>
          <w:color w:val="000000"/>
          <w:lang w:eastAsia="es-CO"/>
        </w:rPr>
      </w:pPr>
      <w:bookmarkStart w:id="350" w:name="ver_30101612"/>
      <w:bookmarkEnd w:id="350"/>
      <w:r w:rsidRPr="002C1480">
        <w:rPr>
          <w:rFonts w:ascii="Arial" w:eastAsia="Times New Roman" w:hAnsi="Arial" w:cs="Arial"/>
          <w:color w:val="000000"/>
          <w:lang w:eastAsia="es-CO"/>
        </w:rPr>
        <w:t>SECCIÓN 1. Asignación de recursos para educación provenientes del CREE</w:t>
      </w:r>
    </w:p>
    <w:p w14:paraId="5BD148D8" w14:textId="06E466AE" w:rsidR="00DB00B7" w:rsidRDefault="00DB00B7" w:rsidP="00D05DFA">
      <w:pPr>
        <w:spacing w:after="0" w:line="240" w:lineRule="auto"/>
        <w:jc w:val="both"/>
        <w:rPr>
          <w:rFonts w:ascii="Arial" w:eastAsia="Times New Roman" w:hAnsi="Arial" w:cs="Arial"/>
          <w:color w:val="000000"/>
          <w:lang w:eastAsia="es-CO"/>
        </w:rPr>
      </w:pPr>
      <w:bookmarkStart w:id="351" w:name="ver_30101615"/>
    </w:p>
    <w:p w14:paraId="79657377" w14:textId="77777777" w:rsidR="004D079B" w:rsidRPr="004D079B" w:rsidRDefault="004D079B" w:rsidP="004D079B">
      <w:pPr>
        <w:spacing w:after="0" w:line="240" w:lineRule="auto"/>
        <w:jc w:val="center"/>
        <w:rPr>
          <w:rFonts w:ascii="Arial" w:eastAsia="Times New Roman" w:hAnsi="Arial" w:cs="Arial"/>
          <w:b/>
          <w:bCs/>
          <w:color w:val="000000"/>
          <w:lang w:eastAsia="es-CO"/>
        </w:rPr>
      </w:pPr>
      <w:r w:rsidRPr="004D079B">
        <w:rPr>
          <w:rFonts w:ascii="Arial" w:eastAsia="Times New Roman" w:hAnsi="Arial" w:cs="Arial"/>
          <w:b/>
          <w:bCs/>
          <w:color w:val="000000"/>
          <w:lang w:eastAsia="es-CO"/>
        </w:rPr>
        <w:t>SECCIÓN 1. Asignación de recursos para educación provenientes del CREE</w:t>
      </w:r>
    </w:p>
    <w:p w14:paraId="440B9DDB" w14:textId="77777777" w:rsidR="004D079B" w:rsidRPr="004D079B" w:rsidRDefault="004D079B" w:rsidP="004D079B">
      <w:pPr>
        <w:spacing w:after="0" w:line="240" w:lineRule="auto"/>
        <w:jc w:val="center"/>
        <w:rPr>
          <w:rFonts w:ascii="Arial" w:eastAsia="Times New Roman" w:hAnsi="Arial" w:cs="Arial"/>
          <w:b/>
          <w:bCs/>
          <w:color w:val="000000"/>
          <w:lang w:eastAsia="es-CO"/>
        </w:rPr>
      </w:pPr>
      <w:r w:rsidRPr="004D079B">
        <w:rPr>
          <w:rFonts w:ascii="Arial" w:eastAsia="Times New Roman" w:hAnsi="Arial" w:cs="Arial"/>
          <w:b/>
          <w:bCs/>
          <w:color w:val="000000"/>
          <w:lang w:eastAsia="es-CO"/>
        </w:rPr>
        <w:t>Derogado por Decreto 1246 de 2015</w:t>
      </w:r>
    </w:p>
    <w:p w14:paraId="0343DD62" w14:textId="77777777" w:rsidR="00DB00B7" w:rsidRPr="002C1480" w:rsidRDefault="00DB00B7" w:rsidP="004D079B">
      <w:pPr>
        <w:spacing w:after="0" w:line="240" w:lineRule="auto"/>
        <w:jc w:val="center"/>
        <w:rPr>
          <w:rFonts w:ascii="Arial" w:eastAsia="Times New Roman" w:hAnsi="Arial" w:cs="Arial"/>
          <w:color w:val="000000"/>
          <w:lang w:eastAsia="es-CO"/>
        </w:rPr>
      </w:pPr>
    </w:p>
    <w:p w14:paraId="13A2CD58" w14:textId="77777777" w:rsidR="004D079B" w:rsidRDefault="004D079B" w:rsidP="00D05DFA">
      <w:pPr>
        <w:spacing w:after="0" w:line="254" w:lineRule="atLeast"/>
        <w:jc w:val="both"/>
        <w:rPr>
          <w:rFonts w:ascii="Arial" w:eastAsia="Times New Roman" w:hAnsi="Arial" w:cs="Arial"/>
          <w:color w:val="000000"/>
          <w:lang w:eastAsia="es-CO"/>
        </w:rPr>
      </w:pPr>
    </w:p>
    <w:p w14:paraId="13A2B2F5" w14:textId="7FC069AB" w:rsidR="008F7B30" w:rsidRPr="002C1480" w:rsidRDefault="002C148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2.3.4.2.1.1. DEROGADO </w:t>
      </w:r>
    </w:p>
    <w:p w14:paraId="7DC20FEA" w14:textId="77777777" w:rsidR="008F7B30" w:rsidRPr="002C1480" w:rsidRDefault="008F7B30" w:rsidP="00D05DFA">
      <w:pPr>
        <w:spacing w:after="0" w:line="240" w:lineRule="auto"/>
        <w:jc w:val="both"/>
        <w:rPr>
          <w:rFonts w:ascii="Arial" w:eastAsia="Times New Roman" w:hAnsi="Arial" w:cs="Arial"/>
          <w:color w:val="000000"/>
          <w:lang w:eastAsia="es-CO"/>
        </w:rPr>
      </w:pPr>
      <w:bookmarkStart w:id="352" w:name="ver_30101632"/>
      <w:bookmarkStart w:id="353" w:name="ver_30101616"/>
      <w:bookmarkEnd w:id="351"/>
      <w:bookmarkEnd w:id="352"/>
    </w:p>
    <w:p w14:paraId="18E970A8" w14:textId="64C95447" w:rsidR="008F7B30" w:rsidRPr="002C1480" w:rsidRDefault="002C148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2.3.4.2.1.2. DEROGADO </w:t>
      </w:r>
    </w:p>
    <w:p w14:paraId="66C21D3A" w14:textId="77777777" w:rsidR="00D05DFA" w:rsidRDefault="00D05DFA" w:rsidP="00C32F85">
      <w:pPr>
        <w:spacing w:after="0" w:line="254" w:lineRule="atLeast"/>
        <w:jc w:val="both"/>
        <w:rPr>
          <w:rFonts w:ascii="Arial" w:eastAsia="Times New Roman" w:hAnsi="Arial" w:cs="Arial"/>
          <w:color w:val="000000"/>
          <w:lang w:eastAsia="es-CO"/>
        </w:rPr>
      </w:pPr>
      <w:bookmarkStart w:id="354" w:name="ver_30101618"/>
      <w:bookmarkEnd w:id="353"/>
    </w:p>
    <w:p w14:paraId="22BF6F05" w14:textId="24EB024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2.3.4.2.1.3. DEROGADO </w:t>
      </w:r>
    </w:p>
    <w:p w14:paraId="67D51B8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55" w:name="ver_30101635"/>
      <w:bookmarkStart w:id="356" w:name="ver_30101621"/>
      <w:bookmarkEnd w:id="354"/>
      <w:bookmarkEnd w:id="355"/>
    </w:p>
    <w:p w14:paraId="758D3E10" w14:textId="0813C88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2.3.4.2.1.4. DEROGADO </w:t>
      </w:r>
    </w:p>
    <w:p w14:paraId="4692E4F9"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787FAB05" w14:textId="7F5CAEDF" w:rsidR="008F7B30" w:rsidRPr="002C1480" w:rsidRDefault="002C1480" w:rsidP="00C32F85">
      <w:pPr>
        <w:spacing w:after="0" w:line="254" w:lineRule="atLeast"/>
        <w:jc w:val="both"/>
        <w:rPr>
          <w:rFonts w:ascii="Arial" w:eastAsia="Times New Roman" w:hAnsi="Arial" w:cs="Arial"/>
          <w:color w:val="000000"/>
          <w:lang w:eastAsia="es-CO"/>
        </w:rPr>
      </w:pPr>
      <w:bookmarkStart w:id="357" w:name="ver_30101637"/>
      <w:bookmarkStart w:id="358" w:name="ver_30101623"/>
      <w:bookmarkEnd w:id="356"/>
      <w:bookmarkEnd w:id="357"/>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2.3.4.2.1.5. DEROGADO </w:t>
      </w:r>
    </w:p>
    <w:p w14:paraId="2B0FF1C5" w14:textId="77777777" w:rsidR="00D05DFA" w:rsidRDefault="00D05DFA" w:rsidP="00C32F85">
      <w:pPr>
        <w:spacing w:after="0" w:line="254" w:lineRule="atLeast"/>
        <w:jc w:val="both"/>
        <w:rPr>
          <w:rFonts w:ascii="Arial" w:eastAsia="Times New Roman" w:hAnsi="Arial" w:cs="Arial"/>
          <w:color w:val="000000"/>
          <w:lang w:eastAsia="es-CO"/>
        </w:rPr>
      </w:pPr>
      <w:bookmarkStart w:id="359" w:name="ver_30101625"/>
      <w:bookmarkEnd w:id="358"/>
    </w:p>
    <w:p w14:paraId="2F862829" w14:textId="6C30E6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2.3.4.2.1.6. DEROGADO </w:t>
      </w:r>
    </w:p>
    <w:p w14:paraId="351DD91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60" w:name="ver_30101640"/>
      <w:bookmarkStart w:id="361" w:name="ver_30101627"/>
      <w:bookmarkEnd w:id="359"/>
      <w:bookmarkEnd w:id="360"/>
    </w:p>
    <w:p w14:paraId="551E18BA" w14:textId="591E996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2.3.4.2.1.7. DEROGADO </w:t>
      </w:r>
    </w:p>
    <w:p w14:paraId="3F8975E6"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27D47E91" w14:textId="59B6B2B1" w:rsidR="008F7B30" w:rsidRPr="004D079B" w:rsidRDefault="008F7B30" w:rsidP="004D079B">
      <w:pPr>
        <w:spacing w:line="293" w:lineRule="atLeast"/>
        <w:jc w:val="center"/>
        <w:rPr>
          <w:rFonts w:ascii="Arial" w:eastAsia="Times New Roman" w:hAnsi="Arial" w:cs="Arial"/>
          <w:b/>
          <w:bCs/>
          <w:color w:val="000000"/>
          <w:lang w:eastAsia="es-CO"/>
        </w:rPr>
      </w:pPr>
      <w:bookmarkStart w:id="362" w:name="ver_30056929"/>
      <w:bookmarkEnd w:id="361"/>
      <w:bookmarkEnd w:id="362"/>
      <w:r w:rsidRPr="004D079B">
        <w:rPr>
          <w:rFonts w:ascii="Arial" w:eastAsia="Times New Roman" w:hAnsi="Arial" w:cs="Arial"/>
          <w:b/>
          <w:bCs/>
          <w:color w:val="000000"/>
          <w:lang w:eastAsia="es-CO"/>
        </w:rPr>
        <w:t>SECCIÓN 2. Asignación de recursos para salud provenientes del CREE</w:t>
      </w:r>
      <w:bookmarkStart w:id="363" w:name="ver_30056930"/>
      <w:bookmarkEnd w:id="363"/>
    </w:p>
    <w:p w14:paraId="1E085067" w14:textId="4302777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2.3.4.2.2.1. Asignación de los recursos. Los recursos correspondientes al 30%, del punto adicional de que trata el parágrafo transitorio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1607 de 2012, serán trasladados a la sección del Ministerio de Salud y Protección Social, para la correcta ejecución del Régimen Subsidiado en Salud. </w:t>
      </w:r>
    </w:p>
    <w:p w14:paraId="753FBDA5" w14:textId="3393F008" w:rsidR="008F7B30" w:rsidRPr="002C1480" w:rsidRDefault="002C1480" w:rsidP="00C32F85">
      <w:pPr>
        <w:spacing w:after="0" w:line="254" w:lineRule="atLeast"/>
        <w:jc w:val="both"/>
        <w:rPr>
          <w:rFonts w:ascii="Arial" w:eastAsia="Times New Roman" w:hAnsi="Arial" w:cs="Arial"/>
          <w:color w:val="000000"/>
          <w:lang w:eastAsia="es-CO"/>
        </w:rPr>
      </w:pPr>
      <w:bookmarkStart w:id="364" w:name="ver_30056931"/>
      <w:bookmarkEnd w:id="364"/>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2.3.4.2.2.2. Seguimiento y control de los recursos. El control y vigilancia fiscal de los recursos provenientes del parágrafo transitorio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1607 de 2012, corresponderá a la Contraloría General de la República. </w:t>
      </w:r>
    </w:p>
    <w:p w14:paraId="4F20B013" w14:textId="77777777" w:rsidR="00D05DFA" w:rsidRDefault="00D05DFA" w:rsidP="00C32F85">
      <w:pPr>
        <w:spacing w:after="0" w:line="293" w:lineRule="atLeast"/>
        <w:jc w:val="both"/>
        <w:rPr>
          <w:rFonts w:ascii="Arial" w:eastAsia="Times New Roman" w:hAnsi="Arial" w:cs="Arial"/>
          <w:color w:val="000000"/>
          <w:lang w:eastAsia="es-CO"/>
        </w:rPr>
      </w:pPr>
      <w:bookmarkStart w:id="365" w:name="ver_30056932"/>
      <w:bookmarkEnd w:id="365"/>
    </w:p>
    <w:p w14:paraId="3707B192" w14:textId="110D87D5"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CAPÍTULO 3</w:t>
      </w:r>
    </w:p>
    <w:p w14:paraId="3D33FFC9" w14:textId="77777777" w:rsidR="008F7B30" w:rsidRPr="00D05DFA" w:rsidRDefault="008F7B30" w:rsidP="00D05DFA">
      <w:pPr>
        <w:spacing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FONDO DE DESARROLLO PARA LA GUAJIRA (FONDEG)</w:t>
      </w:r>
    </w:p>
    <w:p w14:paraId="0EE8A26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66" w:name="ver_30056933"/>
      <w:bookmarkEnd w:id="366"/>
    </w:p>
    <w:p w14:paraId="0DAA2D59" w14:textId="29E286D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 Fondo de Desarrollo para La Guajira-FONDEG. El Fondo de Desarrollo para La Guajira creado en virtud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19 de la Ley 677 de 2001, que en adelante se denominará FONDEG, es una cuenta especial sin personería jurídica adscrita al Ministerio de Hacienda y Crédito Público, sujeta a las normas y principios que regulan la contabilidad general del Estado y a las normas y principios establecidos en la Ley Orgánica del Presupuesto en lo pertinente, así como al control fiscal de la Contraloría General de la República. </w:t>
      </w:r>
    </w:p>
    <w:p w14:paraId="2D1A426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67" w:name="ver_30056934"/>
      <w:bookmarkEnd w:id="367"/>
    </w:p>
    <w:p w14:paraId="63728C89" w14:textId="2F32E26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2.3.4.3.2. Objeto. FONDEG tiene por objeto, administrar los recursos provenientes del impuesto de ingreso a la mercancía,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18 de la Ley 677 de 2001. Los recursos que ingresarán a FONDEG corresponden únicamente al Impuesto de Ingreso a la Mercancía de que habla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18 de la Ley 677 de 2001, los cuales serán administrados y destinados en la forma prevista en dicha ley. </w:t>
      </w:r>
    </w:p>
    <w:p w14:paraId="55638C75" w14:textId="50F71E07" w:rsidR="008F7B30" w:rsidRPr="002C1480" w:rsidRDefault="008F7B30" w:rsidP="00C53DA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68" w:name="ver_30056935"/>
      <w:bookmarkEnd w:id="368"/>
    </w:p>
    <w:p w14:paraId="67104B9A" w14:textId="681A08F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2.3.4.3.3. Consignación de los recursos provenientes del impuesto de ingreso a la mercancía. Las entidades financieras autorizadas para el recaudo de los impuestos administrados por la Dirección de Impuestos y Aduanas Nacionales, deberán consignar los recursos por concepto del impuesto de ingreso a la mercancía en la cuenta que para tal efecto tiene dispuesta la Dirección General de Crédito Público y Tesoro Nacional en el Banco de la República, para el recaudo de tributos aduaneros. </w:t>
      </w:r>
    </w:p>
    <w:p w14:paraId="773150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F3AE9E" w14:textId="401B33D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obligaciones generales de las entidades recaudadoras que recepcionen recursos provenientes del impuesto de ingreso a la mercancía, estarán sujetas a lo contemplado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801 del Estatuto Tributario, las Resoluciones 8 de 2000, 478 de 2000 y 8110 de 2000 y sus modificaciones o adiciones. </w:t>
      </w:r>
    </w:p>
    <w:p w14:paraId="583F62B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69" w:name="ver_30056936"/>
      <w:bookmarkEnd w:id="369"/>
    </w:p>
    <w:p w14:paraId="12BA1A96" w14:textId="350C73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2.3.4.3.4. Certificación de los recursos con destino al FONDEG. La Subdirección de Gestión de Recaudo y Cobranzas de la Dirección de Impuestos y Aduanas Nacionales deberá certificar a la Subdirección de Tesorería de la Dirección General de Crédito Público y Tesoro Nacional, una vez surtido el proceso de contabilización del respectivo período, el valor de los recursos con destino al FONDEG, recaudados a partir de la vigencia de la Ley 677 de 2001. </w:t>
      </w:r>
    </w:p>
    <w:p w14:paraId="2A5A48DD" w14:textId="3BC2A5B5"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70" w:name="ver_30056937"/>
      <w:bookmarkEnd w:id="370"/>
    </w:p>
    <w:p w14:paraId="64AA22D2" w14:textId="1D79DE5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2.3.4.3.5. Manejo independiente de los recursos. La Dirección General de Crédito Público y Tesoro Nacional dará manejo independiente a los recursos destinados al FONDEG mientras se produce el giro de los mismos al Ministerio de Hacienda y Crédito Público, previo el cumplimiento de los trámites presupuestales correspondientes. </w:t>
      </w:r>
    </w:p>
    <w:p w14:paraId="27B4239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71" w:name="ver_30056938"/>
      <w:bookmarkEnd w:id="371"/>
    </w:p>
    <w:p w14:paraId="44C691FA" w14:textId="3778234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2.3.4.3.6. Operaciones. La Dirección General de Crédito Público y Tesoro Nacional con los recursos destinados al FONDEG y, mientras son girados al Ministerio de Hacienda y Crédito Público, podrá realizar las operaciones a ella autorizadas para el manejo de sus excedentes y el de los recursos que administra, las cuales deberá efectuar, a más tardar el día hábil siguiente, al de la radicación de la certificación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2.3.4.3.4. del presente título. </w:t>
      </w:r>
    </w:p>
    <w:p w14:paraId="08BA8C2E" w14:textId="3F6D8CD4" w:rsidR="008F7B30" w:rsidRPr="002C1480" w:rsidRDefault="002C1480" w:rsidP="00C32F85">
      <w:pPr>
        <w:spacing w:after="0" w:line="254" w:lineRule="atLeast"/>
        <w:jc w:val="both"/>
        <w:rPr>
          <w:rFonts w:ascii="Arial" w:eastAsia="Times New Roman" w:hAnsi="Arial" w:cs="Arial"/>
          <w:color w:val="000000"/>
          <w:lang w:eastAsia="es-CO"/>
        </w:rPr>
      </w:pPr>
      <w:bookmarkStart w:id="372" w:name="ver_30056939"/>
      <w:bookmarkEnd w:id="372"/>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2.3.4.3.7. Transferencia de los recursos al Departamento de la Guajira. El Ministerio de Hacienda y Crédito Público transferirá semestralmente al Departamento de la Guajira los recursos del FONDEG. Dichos recursos se entenderán ejecutados por la Nación al momento de la transferencia mencionada. En todo caso el Departamento de la Guajira deberá realizar la incorporación a su presupuesto de los recursos del FONDEG que gire el Ministerio de Hacienda y Crédito Público a dicha entidad territorial. El Departamento de la Guajira será responsable de la ejecución de los recursos y su destinación en obras de inversión social dentro del Departamento, en cumplimiento de los fines previstos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18 de la Ley 677 de 2001. </w:t>
      </w:r>
    </w:p>
    <w:p w14:paraId="48372D5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73" w:name="ver_30056940"/>
      <w:bookmarkEnd w:id="373"/>
    </w:p>
    <w:p w14:paraId="07D36F53" w14:textId="01487DE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2.3.4.3.8. Consejo Superior. El Consejo Superior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19 de la Ley 677 de 2001, estará integrado por un delegado del Ministerio de Hacienda y Crédito Público, un delegado de la Contraloría General de la República, el Gobernador del Departamento de La Guajira, los alcaldes de los municipios de Maicao, Uribia y Manaure, un representante de los comerciantes de la región y un representante de los indígenas de la región. </w:t>
      </w:r>
    </w:p>
    <w:p w14:paraId="55627B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2008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representante de los comerciantes de la región será elegido por las Cámaras de Comercio del Departamento y cuya elección conste en acta debidamente suscrita por los representantes legales de dichas Cámaras de Comercio. </w:t>
      </w:r>
    </w:p>
    <w:p w14:paraId="6DE533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F5C15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representante de los indígenas será designado conforme a sus usos y costumbres. </w:t>
      </w:r>
    </w:p>
    <w:p w14:paraId="4B0618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D9F7F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representante de los comerciantes y de los indígenas de la región se designarán por períodos de un año. </w:t>
      </w:r>
    </w:p>
    <w:p w14:paraId="65C98DE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74" w:name="ver_30056941"/>
      <w:bookmarkEnd w:id="374"/>
    </w:p>
    <w:p w14:paraId="0054E495" w14:textId="468074A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2.3.4.3.9. Estructura del Consejo Superior. El Consejo Superior contará con una Presidencia y una Secretaría Técnica. </w:t>
      </w:r>
    </w:p>
    <w:p w14:paraId="53D1D4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D467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Presidencia del Consejo será ejercida por el delegado del Ministerio de Hacienda y Crédito Público. </w:t>
      </w:r>
    </w:p>
    <w:p w14:paraId="768595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BB11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Secretario Técnico será el Gobernador del Departamento de La Guajira. </w:t>
      </w:r>
    </w:p>
    <w:p w14:paraId="4F3BBFAE" w14:textId="1A86DB74"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75" w:name="ver_30056942"/>
      <w:bookmarkEnd w:id="375"/>
    </w:p>
    <w:p w14:paraId="42356481" w14:textId="63686B3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2.3.4.3.10. Reuniones del Consejo Superior. El Consejo Superior se reunirá ordinariamente, una vez cada dos (2) meses y extraordinariamente, cuando lo solicite el Presidente del Consejo. </w:t>
      </w:r>
    </w:p>
    <w:p w14:paraId="155D91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93EC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Consejo se reunirá en la sede de la Gobernación del Departamento de La Guajira o en el lugar que aquél previamente determine. </w:t>
      </w:r>
    </w:p>
    <w:p w14:paraId="62DA7B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B590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Secretario Técnico del Consejo Superior deberá convocar a sesiones ordinarias, mediante escrito dirigido a cada uno de sus miembros, con por lo menos 5 días hábiles de anticipación a la celebración de la respectiva reunión. Las sesiones extraordinarias las convocará el Secretario Técnico por cualquier medio de comunicación, con una antelación de por lo menos 3 días comunes. </w:t>
      </w:r>
    </w:p>
    <w:p w14:paraId="3A63F6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F453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falta de convocatoria o su indebida realización se entenderá saneada cuando a la sesión respectiva asista el 100% de los miembros del Consejo Superior. </w:t>
      </w:r>
    </w:p>
    <w:p w14:paraId="4DBBEB0C" w14:textId="77777777" w:rsidR="00EA2507" w:rsidRDefault="00EA2507" w:rsidP="00C32F85">
      <w:pPr>
        <w:spacing w:after="0" w:line="254" w:lineRule="atLeast"/>
        <w:jc w:val="both"/>
        <w:rPr>
          <w:rFonts w:ascii="Arial" w:eastAsia="Times New Roman" w:hAnsi="Arial" w:cs="Arial"/>
          <w:color w:val="000000"/>
          <w:lang w:eastAsia="es-CO"/>
        </w:rPr>
      </w:pPr>
      <w:bookmarkStart w:id="376" w:name="ver_30056943"/>
      <w:bookmarkEnd w:id="376"/>
    </w:p>
    <w:p w14:paraId="46983937" w14:textId="540E902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2.3.4.3.11. Actas. Las decisiones del Consejo Superior constarán en actas que deberán ser suscritas por el Presidente y el Secretario Técnico y que se asentarán en el respectivo libro. </w:t>
      </w:r>
    </w:p>
    <w:p w14:paraId="6FE1E69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77" w:name="ver_30056944"/>
      <w:bookmarkEnd w:id="377"/>
    </w:p>
    <w:p w14:paraId="4858EB47" w14:textId="48B0CCE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2.3.4.3.12. Toma de decisiones. Las decisiones del Consejo se adoptarán por mayoría simple y el quórum deliberatorio y decisorio será el que corresponda a un número plural de sus miembros. </w:t>
      </w:r>
    </w:p>
    <w:p w14:paraId="1646DF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F27FD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se presenten empates al votarse una decisión, dicho empate será dirimido por el delegado del Ministerio de Hacienda y Crédito Público. </w:t>
      </w:r>
    </w:p>
    <w:p w14:paraId="4D7A979D" w14:textId="68A8DD29" w:rsidR="008F7B3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78" w:name="ver_30056945"/>
      <w:bookmarkEnd w:id="378"/>
    </w:p>
    <w:p w14:paraId="731739A0" w14:textId="5904B70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2.3.4.3.13. Invitados. El Consejo Superior podrá invitar a las sesiones, cuando lo considere pertinente, a funcionarios públicos o particulares. </w:t>
      </w:r>
    </w:p>
    <w:p w14:paraId="331700E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79" w:name="ver_30056946"/>
      <w:bookmarkEnd w:id="379"/>
    </w:p>
    <w:p w14:paraId="148A13A8" w14:textId="6C1CF01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2.3.4.3.14. Funciones del Consejo Superior. Son funciones del Consejo Superior: </w:t>
      </w:r>
    </w:p>
    <w:p w14:paraId="1020CB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3C304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Emitir las directrices sobre la administración de los recursos del Fondo de conformidad con lo previsto en la ley; </w:t>
      </w:r>
    </w:p>
    <w:p w14:paraId="011493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6B2D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Velar por la adecuada y oportuna utilización de los recursos del Fondo en obras de inversión social en el Departamento de La Guajira, sin perjuicio de las funciones asignadas a los órganos de control y vigilancia; </w:t>
      </w:r>
    </w:p>
    <w:p w14:paraId="63AE20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2597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Solicitar informes periódicos al Ministerio de Hacienda y Crédito Público sobre el manejo de los recursos del Fondo; </w:t>
      </w:r>
    </w:p>
    <w:p w14:paraId="7F2BA9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0871A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Solicitar informes periódicos al Gobernador del Departamento de La Guajira, sobre la ejecución de los proyectos financiados con los recursos de FONDEG; </w:t>
      </w:r>
    </w:p>
    <w:p w14:paraId="63FE2F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6D3A5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Realizar los estudios técnicos necesarios para evaluar la ejecución de los proyectos financiados con recursos del Fondo, que a juicio del Consejo Superior requieran dicho seguimiento; </w:t>
      </w:r>
    </w:p>
    <w:p w14:paraId="5E62FC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7356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Realizar revisiones selectivas a proyectos financiados con recursos del FONDEG, con el fin de establecer el avance y cumplimiento de objetivos y de encontrarse irregularidades informar a los entes de control competentes. </w:t>
      </w:r>
    </w:p>
    <w:p w14:paraId="4D08A4B9" w14:textId="2C2BD6AE"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80" w:name="ver_30056947"/>
      <w:bookmarkEnd w:id="380"/>
    </w:p>
    <w:p w14:paraId="5FA41EA7" w14:textId="401B8B0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2.3.4.3.15. Investigaciones. El Consejo Superior, podrá solicitar se realicen las investigaciones a que haya lugar, a los proyectos que incumplan con el suministro de los informes y demás datos requeridos para el seguimiento presupuestal. </w:t>
      </w:r>
    </w:p>
    <w:p w14:paraId="40644820" w14:textId="4BCDB0CA" w:rsidR="008F7B30" w:rsidRPr="002C1480" w:rsidRDefault="008F7B30" w:rsidP="00EA250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81" w:name="ver_30056948"/>
      <w:bookmarkEnd w:id="381"/>
    </w:p>
    <w:p w14:paraId="622FCA2A" w14:textId="0354361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2.3.4.3.16. Vigilancia Fiscal. La Contraloría General de la República y la Contraloría Departamental de La Guajira, ejercerán la vigilancia fiscal de la ejecución de los recursos cedidos de que trata el Capítulo II de la Ley 677 de 2001 y sobre todos los sujetos que en ella intervienen. </w:t>
      </w:r>
    </w:p>
    <w:p w14:paraId="5E6BA5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BC87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control fiscal a cargo de la Contraloría Departamental de La Guajira se realizará sobre la ejecución de los recursos de FONDEG, exclusivamente y dentro del marco de su competencia, en el territorio de La Guajira. </w:t>
      </w:r>
    </w:p>
    <w:p w14:paraId="7EBF6093" w14:textId="77777777" w:rsidR="00EA2507" w:rsidRDefault="00EA2507" w:rsidP="00D05DFA">
      <w:pPr>
        <w:spacing w:after="0" w:line="293" w:lineRule="atLeast"/>
        <w:jc w:val="center"/>
        <w:rPr>
          <w:rFonts w:ascii="Arial" w:eastAsia="Times New Roman" w:hAnsi="Arial" w:cs="Arial"/>
          <w:b/>
          <w:bCs/>
          <w:color w:val="000000"/>
          <w:lang w:eastAsia="es-CO"/>
        </w:rPr>
      </w:pPr>
      <w:bookmarkStart w:id="382" w:name="ver_30056949"/>
      <w:bookmarkEnd w:id="382"/>
    </w:p>
    <w:p w14:paraId="4ACF105D" w14:textId="2A1B9211"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CAPÍTULO 4</w:t>
      </w:r>
    </w:p>
    <w:p w14:paraId="04B3A205" w14:textId="516456F4" w:rsidR="008F7B30" w:rsidRPr="00D05DFA" w:rsidRDefault="008F7B30" w:rsidP="00D05DFA">
      <w:pPr>
        <w:spacing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FONDO BONOS DE PAZ</w:t>
      </w:r>
    </w:p>
    <w:p w14:paraId="7A5B524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83" w:name="ver_30056950"/>
      <w:bookmarkEnd w:id="383"/>
    </w:p>
    <w:p w14:paraId="1C719F41" w14:textId="1C961A8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2.3.4.4.1. Aclaración de vigencia para la recepción de ingresos y pago de los Bonos de Paz. La Dirección General de Crédito Público y Tesoro Nacional está facultada para recibir los ingresos pendientes por los títulos de deuda pública interna de la Nación denominados “Bonos de Solidaridad para la Paz” que se emitieron de conformidad con 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676 de 1999 y que aún estén siendo recaudados. También podrá pagar los “Bonos de Solidaridad para la Paz” que por diferentes razones no se hayan cancelado. </w:t>
      </w:r>
    </w:p>
    <w:p w14:paraId="4DF752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253386" w14:textId="3266D7E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situaciones que se consolidaron en vigencia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676 de 1999, seguirán rigiéndose por esa norma, y en especial, respecto de las disposiciones sobre procedimiento de control y sanciones, a que todavía haya lugar. </w:t>
      </w:r>
    </w:p>
    <w:p w14:paraId="7690A649" w14:textId="3FF575FB" w:rsidR="008F7B30" w:rsidRPr="00D05DFA" w:rsidRDefault="008F7B30" w:rsidP="00D05DFA">
      <w:pPr>
        <w:spacing w:after="0" w:line="254" w:lineRule="atLeast"/>
        <w:jc w:val="center"/>
        <w:rPr>
          <w:rFonts w:ascii="Arial" w:eastAsia="Times New Roman" w:hAnsi="Arial" w:cs="Arial"/>
          <w:b/>
          <w:bCs/>
          <w:color w:val="000000"/>
          <w:lang w:eastAsia="es-CO"/>
        </w:rPr>
      </w:pPr>
    </w:p>
    <w:p w14:paraId="26482E50" w14:textId="77777777" w:rsidR="008F7B30" w:rsidRPr="00D05DFA" w:rsidRDefault="008F7B30" w:rsidP="00D05DFA">
      <w:pPr>
        <w:spacing w:after="0" w:line="293" w:lineRule="atLeast"/>
        <w:jc w:val="center"/>
        <w:rPr>
          <w:rFonts w:ascii="Arial" w:eastAsia="Times New Roman" w:hAnsi="Arial" w:cs="Arial"/>
          <w:b/>
          <w:bCs/>
          <w:color w:val="000000"/>
          <w:lang w:eastAsia="es-CO"/>
        </w:rPr>
      </w:pPr>
      <w:bookmarkStart w:id="384" w:name="ver_30101097"/>
      <w:bookmarkEnd w:id="384"/>
      <w:r w:rsidRPr="00D05DFA">
        <w:rPr>
          <w:rFonts w:ascii="Arial" w:eastAsia="Times New Roman" w:hAnsi="Arial" w:cs="Arial"/>
          <w:b/>
          <w:bCs/>
          <w:color w:val="000000"/>
          <w:lang w:eastAsia="es-CO"/>
        </w:rPr>
        <w:t>CAPÍTULO 5</w:t>
      </w:r>
    </w:p>
    <w:p w14:paraId="3A258D34" w14:textId="77777777"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FONDO CUENTA PARA ATENDER LOS PASIVOS PENSIONALES DEL SECTOR HOTELERO</w:t>
      </w:r>
    </w:p>
    <w:p w14:paraId="7D96ACBC" w14:textId="77777777" w:rsidR="00EA2507" w:rsidRDefault="00EA2507" w:rsidP="00C32F85">
      <w:pPr>
        <w:spacing w:after="0" w:line="254" w:lineRule="atLeast"/>
        <w:jc w:val="both"/>
        <w:rPr>
          <w:rFonts w:ascii="Arial" w:eastAsia="Times New Roman" w:hAnsi="Arial" w:cs="Arial"/>
          <w:color w:val="000000"/>
          <w:lang w:eastAsia="es-CO"/>
        </w:rPr>
      </w:pPr>
    </w:p>
    <w:p w14:paraId="5293B4EC" w14:textId="1298739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2.3.4.5.1. Objeto. Reglamentar el funcionamiento del Fondo Cuenta creado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15 de la Ley 1753 de 2015, Plan Nacional de Desarrollo 2014-2018, para la financiación y pago del pasivo laboral y pensional de los hoteles que cumplan con las condiciones establecidas en la mencionada ley y en el presente capítulo. </w:t>
      </w:r>
    </w:p>
    <w:p w14:paraId="104F7B6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85" w:name="ver_30101103"/>
      <w:bookmarkEnd w:id="385"/>
    </w:p>
    <w:p w14:paraId="543EB90C" w14:textId="4729834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2.3.4.5.2. Principios. Para el manejo del Fondo de que trata el presente capítulo, se deberán atender los principios de la función pública consagrados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209 de la Constitución Política y los previstos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del Código de Procedimiento Administrativo y de lo Contencioso Administrativo, así como los principios de la contratación estatal. </w:t>
      </w:r>
    </w:p>
    <w:p w14:paraId="79EB375F" w14:textId="77777777" w:rsidR="00D05DFA" w:rsidRDefault="00D05DFA" w:rsidP="00C32F85">
      <w:pPr>
        <w:spacing w:after="0" w:line="254" w:lineRule="atLeast"/>
        <w:jc w:val="both"/>
        <w:rPr>
          <w:rFonts w:ascii="Arial" w:eastAsia="Times New Roman" w:hAnsi="Arial" w:cs="Arial"/>
          <w:color w:val="000000"/>
          <w:lang w:eastAsia="es-CO"/>
        </w:rPr>
      </w:pPr>
    </w:p>
    <w:p w14:paraId="4DA32B02" w14:textId="743A416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2.3.4.5.3. Condiciones. De conformidad con lo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15 de la Ley 1753 de 2015, la sociedad titular de los pasivos que pretenda acceder a los recursos del Fondo, deberá cumplir con todas y cada una de las siguientes condiciones: </w:t>
      </w:r>
    </w:p>
    <w:p w14:paraId="07B5B8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6F34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Que los inmuebles en los que se desarrollen actividades hoteleras hayan sido declarados de interés cultural. </w:t>
      </w:r>
    </w:p>
    <w:p w14:paraId="022EEB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1F3B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los inmuebles hayan sido entregados a la Nación como resultado de un proceso de extinción de dominio. </w:t>
      </w:r>
    </w:p>
    <w:p w14:paraId="1243E0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FA6F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Que la Nación, en calidad de nuevo propietario, los entregue en concesión o bajo cualquier esquema de asociación público privada. </w:t>
      </w:r>
    </w:p>
    <w:p w14:paraId="329C80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FB3B45" w14:textId="13971D7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verificar las condiciones establecidas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sociedad titular de los pasivos deberá remitir a la sociedad fiduciaria que para el efecto se contrate, la resolución de declaratoria de interés cultural del Ministerio de Cultura, la sentencia que ordene la extinción de dominio debidamente ejecutoriada y el contrato de concesión o la certificación de que el bien se entregará en concesión o bajo cualquier esquema de asociación público privada, con el fin de acceder a los recursos del Fondo Cuenta. </w:t>
      </w:r>
    </w:p>
    <w:p w14:paraId="191D8E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EE9717" w14:textId="6AC9E7B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caso de que la entidad interesada no acredite las condiciones establecidas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rechazará la solicitud. </w:t>
      </w:r>
    </w:p>
    <w:p w14:paraId="57CD94E0" w14:textId="77777777" w:rsidR="00D05DFA" w:rsidRDefault="00D05DFA" w:rsidP="00C32F85">
      <w:pPr>
        <w:spacing w:after="0" w:line="254" w:lineRule="atLeast"/>
        <w:jc w:val="both"/>
        <w:rPr>
          <w:rFonts w:ascii="Arial" w:eastAsia="Times New Roman" w:hAnsi="Arial" w:cs="Arial"/>
          <w:color w:val="000000"/>
          <w:lang w:eastAsia="es-CO"/>
        </w:rPr>
      </w:pPr>
    </w:p>
    <w:p w14:paraId="11D47997" w14:textId="43E8DF5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2.3.4.5.4. Prueba de las obligaciones laborales y pensionales. La sociedad titular de los pasivos deberá certificar el valor total de las acreencias laborales y pensionales, indicando el pasivo laboral persona por persona y el valor actuarial de las deudas pensionales. </w:t>
      </w:r>
    </w:p>
    <w:p w14:paraId="00C39B78" w14:textId="77777777" w:rsidR="00D05DFA" w:rsidRDefault="00D05DFA" w:rsidP="00C32F85">
      <w:pPr>
        <w:spacing w:after="0" w:line="254" w:lineRule="atLeast"/>
        <w:jc w:val="both"/>
        <w:rPr>
          <w:rFonts w:ascii="Arial" w:eastAsia="Times New Roman" w:hAnsi="Arial" w:cs="Arial"/>
          <w:color w:val="000000"/>
          <w:lang w:eastAsia="es-CO"/>
        </w:rPr>
      </w:pPr>
    </w:p>
    <w:p w14:paraId="5A720E2F" w14:textId="5A68C7B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2.3.4.5.5. Recursos del Fondo Cuenta. El Fondo Cuenta podrá contar con las siguientes fuentes de recursos. </w:t>
      </w:r>
    </w:p>
    <w:p w14:paraId="649716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4964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recursos que le transfiera la entidad concesionaria o administradora de los inmuebles, originados en la contraprestación por la concesión o administración de los inmuebles. </w:t>
      </w:r>
    </w:p>
    <w:p w14:paraId="01B2F2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048C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recursos de empréstitos. </w:t>
      </w:r>
    </w:p>
    <w:p w14:paraId="4EA1BC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D89F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donaciones que reciba. </w:t>
      </w:r>
    </w:p>
    <w:p w14:paraId="6A5D1A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CA35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rendimientos financieros generados por la inversión de los anteriores recursos. </w:t>
      </w:r>
    </w:p>
    <w:p w14:paraId="38796B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13CA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recursos que reciba el Fontur provenientes de la contribución parafiscal del turismo que sean asignados al Fondo Cuenta. </w:t>
      </w:r>
    </w:p>
    <w:p w14:paraId="0351DA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32BAA9" w14:textId="7CBED3A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recursos que administre el Fondo Cuenta serán destinados exclusivamente al pago del pasivo laboral y pensional de la sociedad titular de los pasivos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15 de la Ley 1753 de 2015. </w:t>
      </w:r>
    </w:p>
    <w:p w14:paraId="132FCA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88B5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de Fontur que se destinen al Fondo Cuenta serán limitados y transitorios, y se restringirán al objeto del presente capítulo. Cumplida la meta de fondeo de los pasivos pensionales y laborales, los recursos que hayan sido asignados por el Fontur para dicho propósito le serán devueltos en las condiciones que se establezcan en el contrato de fiducia mercantil, conservando su naturaleza de contribución parafiscal de turismo. </w:t>
      </w:r>
    </w:p>
    <w:p w14:paraId="45D25997" w14:textId="77777777" w:rsidR="00D05DFA" w:rsidRDefault="00D05DFA" w:rsidP="00C32F85">
      <w:pPr>
        <w:spacing w:after="0" w:line="254" w:lineRule="atLeast"/>
        <w:jc w:val="both"/>
        <w:rPr>
          <w:rFonts w:ascii="Arial" w:eastAsia="Times New Roman" w:hAnsi="Arial" w:cs="Arial"/>
          <w:color w:val="000000"/>
          <w:spacing w:val="45"/>
          <w:lang w:eastAsia="es-CO"/>
        </w:rPr>
      </w:pPr>
    </w:p>
    <w:p w14:paraId="78FB1B3C" w14:textId="219E027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2.3.4.5.6. Obligaciones de la Fiduciaria. La Sociedad Fiduciaria administradora del Fondo Cuenta, desarrollará entre otras, las siguientes actividades: </w:t>
      </w:r>
    </w:p>
    <w:p w14:paraId="5450C9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4E30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Pagar el valor total de las obligaciones pensionales y laborales a cargo de la sociedad titular de los pasivos, o las que se deriven de un fallo judicial que ordene el pago de las mismas por parte de la Nación. </w:t>
      </w:r>
    </w:p>
    <w:p w14:paraId="64B111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E683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Ejecutar los recursos necesarios para realizar los pagos previstos en la ley y en el presente capítulo. </w:t>
      </w:r>
    </w:p>
    <w:p w14:paraId="613F215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EF75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Rendir informes periódicamente al fideicomitente sobre la gestión adelantada con los recursos que le son entregados en administración según las disposiciones anteriores. </w:t>
      </w:r>
    </w:p>
    <w:p w14:paraId="7677C5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F33F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demás que se establezcan en el contrato de fiducia mercantil. </w:t>
      </w:r>
    </w:p>
    <w:p w14:paraId="6DC58100"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10776068" w14:textId="602AB81E" w:rsidR="008F7B30" w:rsidRPr="002C1480" w:rsidRDefault="002C1480" w:rsidP="00C32F85">
      <w:pPr>
        <w:spacing w:after="0" w:line="254" w:lineRule="atLeast"/>
        <w:jc w:val="both"/>
        <w:rPr>
          <w:rFonts w:ascii="Arial" w:eastAsia="Times New Roman" w:hAnsi="Arial" w:cs="Arial"/>
          <w:color w:val="000000"/>
          <w:lang w:eastAsia="es-CO"/>
        </w:rPr>
      </w:pPr>
      <w:bookmarkStart w:id="386" w:name="ver_30101116"/>
      <w:bookmarkEnd w:id="386"/>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2.3.4.5.7. Comité Fiduciario. Con el objeto de que actúe como instancia de seguimiento y supervisión del contrato de fiducia y que emita directrices para la adecuada administración del Fondo Cuenta, se conformará un Comité integrado por un delegado del Ministerio de Hacienda y Crédito Público, un delegado del Ministerio de Comercio, Industria y Turismo, un delegado del Fondo Nacional de Turismo, un delegado de la Sociedad de Activos Especiales (SAE), responsable de la administración de la sociedad en liquidación y su </w:t>
      </w:r>
      <w:r w:rsidR="008F7B30" w:rsidRPr="002C1480">
        <w:rPr>
          <w:rFonts w:ascii="Arial" w:eastAsia="Times New Roman" w:hAnsi="Arial" w:cs="Arial"/>
          <w:color w:val="000000"/>
          <w:lang w:eastAsia="es-CO"/>
        </w:rPr>
        <w:lastRenderedPageBreak/>
        <w:t>establecimiento de comercio y la Sociedad Fiduciaria vocera y administradora del Fondo Cuenta, quien asistirá con voz pero sin voto. </w:t>
      </w:r>
    </w:p>
    <w:p w14:paraId="4EBA31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040C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Secretaría del Comité será ejercida por la Sociedad Fiduciaria vocera y administradora del Fondo Cuenta y será la encargada de elaborar las actas de cada una de las reuniones, así como realizar la convocatoria a las mismas. </w:t>
      </w:r>
    </w:p>
    <w:p w14:paraId="2E6757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A36F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Comité deberá adoptar un reglamento de funcionamiento una vez se conforme el Fondo Cuenta para la financiación y pago del pasivo laboral y pensional de los hoteles. </w:t>
      </w:r>
    </w:p>
    <w:p w14:paraId="1191C06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87" w:name="ver_30101119"/>
      <w:bookmarkEnd w:id="387"/>
    </w:p>
    <w:p w14:paraId="1F8DE184" w14:textId="164DFEF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2.3.4.5.8. Funciones del Comité. El comité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tendrá como principales funciones, sin perjuicio de aquellas adicionales que se definan en el contrato de fiducia del Fondo Cuenta para la financiación y pago del pasivo laboral y pensional de los hoteles, las siguientes: </w:t>
      </w:r>
    </w:p>
    <w:p w14:paraId="211159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93ED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Velar por el debido cumplimiento del objeto del Fondo Cuenta, en relación con cada una de las actividades que debe desplegar la fiduciaria. </w:t>
      </w:r>
    </w:p>
    <w:p w14:paraId="130169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3BDE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Impartir instrucciones a la Sociedad Fiduciaria que sean necesarias para el adecuado funcionamiento y cumplimiento de la finalidad del negocio fiduciario. </w:t>
      </w:r>
    </w:p>
    <w:p w14:paraId="6BC66F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ABEE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Aprobar las erogaciones con cargo a los recursos que conforman el Fondo Cuenta. </w:t>
      </w:r>
    </w:p>
    <w:p w14:paraId="7CD82E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7C02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Aprobar el presupuesto anual de gasto para el funcionamiento y desarrollo del Fondo Cuenta. </w:t>
      </w:r>
    </w:p>
    <w:p w14:paraId="0C7E45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38D1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Aprobar el pago de la Comisión Fiduciaria. </w:t>
      </w:r>
    </w:p>
    <w:p w14:paraId="15D5F3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DDE9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Estudiar, estructurar y aprobar los pagos del pasivo pensional y laboral, previamente certificados por las entidades públicas y la Sociedad de Activos Especiales (SAE), responsable de la administración de la sociedad en liquidación y su establecimiento de comercio. </w:t>
      </w:r>
    </w:p>
    <w:p w14:paraId="1B5F0D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9B91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Fijar las políticas para adelantar conciliaciones ante los despachos judiciales que llevan procesos en contra de la sociedad en liquidación, por pretensiones laborales y pensionales previamente certificadas como parte del inventario de ese pasivo. </w:t>
      </w:r>
    </w:p>
    <w:p w14:paraId="732F0F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719F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Aprobar los informes periódicos presentados por la Sociedad Fiduciaria. </w:t>
      </w:r>
    </w:p>
    <w:p w14:paraId="6091F92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88" w:name="ver_30101121"/>
      <w:bookmarkEnd w:id="388"/>
    </w:p>
    <w:p w14:paraId="5B0F1F7C" w14:textId="105728D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2.3.4.5.9. Funciones del liquidador de la sociedad titular de los pasivos pensionales y laborales. Cuando la sociedad titular de los pasivos de que habla el presente capítulo entre en proceso de liquidación, cualquiera sea su naturaleza, la entidad designada como liquidadora de la sociedad deberá asumir, entre otras funciones que le asignen la ley, la defensa judicial de la entidad y la administración de la nómina de pensionados de dicha sociedad. </w:t>
      </w:r>
    </w:p>
    <w:p w14:paraId="7602BF92" w14:textId="77777777" w:rsidR="00D05DFA" w:rsidRDefault="00D05DFA" w:rsidP="00C32F85">
      <w:pPr>
        <w:spacing w:after="0" w:line="293" w:lineRule="atLeast"/>
        <w:jc w:val="both"/>
        <w:rPr>
          <w:rFonts w:ascii="Arial" w:eastAsia="Times New Roman" w:hAnsi="Arial" w:cs="Arial"/>
          <w:color w:val="000000"/>
          <w:lang w:eastAsia="es-CO"/>
        </w:rPr>
      </w:pPr>
      <w:bookmarkStart w:id="389" w:name="ver_30200286"/>
      <w:bookmarkEnd w:id="389"/>
    </w:p>
    <w:p w14:paraId="2B33B583" w14:textId="147335CB" w:rsidR="008F7B30" w:rsidRPr="00D05DFA" w:rsidRDefault="00D05DFA"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CAPÍTULO 6</w:t>
      </w:r>
    </w:p>
    <w:p w14:paraId="79C72892" w14:textId="0A05E454" w:rsidR="008F7B30" w:rsidRPr="00D05DFA" w:rsidRDefault="00D05DFA"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DE LA ADMINISTRACIÓN DE LOS RECURSOS DEL SIMPLE</w:t>
      </w:r>
    </w:p>
    <w:p w14:paraId="200E984B" w14:textId="6714FD18" w:rsidR="008F7B30" w:rsidRPr="002C1480" w:rsidRDefault="008F7B30" w:rsidP="00D05DFA">
      <w:pPr>
        <w:spacing w:line="293" w:lineRule="atLeast"/>
        <w:jc w:val="both"/>
        <w:rPr>
          <w:rFonts w:ascii="Arial" w:eastAsia="Times New Roman" w:hAnsi="Arial" w:cs="Arial"/>
          <w:color w:val="000000"/>
          <w:lang w:eastAsia="es-CO"/>
        </w:rPr>
      </w:pPr>
      <w:bookmarkStart w:id="390" w:name="ver_30200287"/>
      <w:bookmarkEnd w:id="390"/>
    </w:p>
    <w:p w14:paraId="6AF533E2" w14:textId="08D9CE1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2.3.4.6.1. Distribución del impuesto de industria y comercio consolidado a los distritos y municipios. La Unidad Administrativa Especial Dirección de Impuestos y Aduanas Nacionales (DIAN), informará, a través del Sistema Integrado de Información Financiera (SIIF), al Ministerio </w:t>
      </w:r>
      <w:r w:rsidR="008F7B30" w:rsidRPr="002C1480">
        <w:rPr>
          <w:rFonts w:ascii="Arial" w:eastAsia="Times New Roman" w:hAnsi="Arial" w:cs="Arial"/>
          <w:color w:val="000000"/>
          <w:lang w:eastAsia="es-CO"/>
        </w:rPr>
        <w:lastRenderedPageBreak/>
        <w:t>de Hacienda y Crédito Público -Dirección General de Crédito Público y Tesoro Nacional (DGCPTN), la distribución del impuesto de industria y comercio consolidado a los distritos y municipios dentro de los dos (2) días hábiles siguientes al reporte que le hagan las entidades recaudadoras y la Dirección General de Crédito Público y Tesoro Nacional (DGCPTN) ordenará el giro de los recursos correspondientes dentro de los diez (10) hábiles siguientes al reporte de la Unidad Administrativa Especial Dirección de Impuestos y Aduanas Nacionales (DIAN). En todo caso, el giro a los entes territoriales se debe realizar en un término máximo de doce (12) días hábiles, contados desde el día siguiente al pago del contribuyente.  </w:t>
      </w:r>
    </w:p>
    <w:p w14:paraId="5BD45F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64BC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lo anterior, se dispondrá en los formularios que se prescriban para recaudar el SIMPLE, la discriminación de los ingresos de los municipios y/o distritos, y de la Nación.  </w:t>
      </w:r>
    </w:p>
    <w:p w14:paraId="1CB01D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60C0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 deber de los funcionarios del Ministerio de Hacienda y Crédito Público, cumplir estrictamente los términos de giro de recursos a los municipios y/o distritos.  </w:t>
      </w:r>
    </w:p>
    <w:p w14:paraId="39CF85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38D4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por concepto de impuesto de industria y comercio consolidado, son de propiedad de los municipios y/o distritos y, por tanto, frente a la Nación, son ingresos de terceros que para ningún efecto computarán como ingreso corriente de la Nación y se contabilizarán en una cuenta por pagar a nombre de los municipios y/o distritos. Por lo anterior, estos recursos no harán parte del Presupuesto General de la Nación y se mantendrán independientes del mismo.  </w:t>
      </w:r>
    </w:p>
    <w:p w14:paraId="443C24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4EA7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del Presupuesto General de la Nación se destinarán recursos para los municipios y los distritos por concepto del impuesto de industria y comercio consolidado.  </w:t>
      </w:r>
    </w:p>
    <w:p w14:paraId="2E7E44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19CD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A más tardar el día treinta y uno (31) de diciembre de 2019 los distritos y municipios deberán remitir a la Unidad Administrativa Especial Dirección de Impuestos y Aduanas Nacionales (DIAN), un certificado expedido por una entidad bancaria en la que conste el número y tipo de cuenta a la que se deban girar los recursos del impuesto de industria y comercio consolidado. El titular de la cuenta informada deberá ser el respectivo distrito o municipio.  </w:t>
      </w:r>
    </w:p>
    <w:p w14:paraId="21F69B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BF62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Cualquier cambio en la cuenta deberá ser informado a la Unidad Administrativa Especial Dirección de Impuestos y Aduanas Nacionales (DIAN), al menos con treinta (30) días de anticipación remitiendo el certificado de que trata el inciso anterior.  </w:t>
      </w:r>
    </w:p>
    <w:p w14:paraId="69BD6C89" w14:textId="642946DD"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91" w:name="ver_30200288"/>
      <w:bookmarkEnd w:id="391"/>
    </w:p>
    <w:p w14:paraId="22F9B6DD" w14:textId="2B7EA3E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2.3.4.6.2. Transferencia de los recursos del SIMPLE recaudados por las entidades autorizadas. El Ministerio de Hacienda y Crédito Público - Dirección General de Crédito Público y Tesoro Nacional transferirá a partir del año 2020, a los municipios y/o distritos, el valor del impuesto de industria y comercio consolidado de acuerdo con lo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2.3.4.6.1.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w:t>
      </w:r>
    </w:p>
    <w:p w14:paraId="60E8EF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42DD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Únicamente en el primer anticipo presentado por el contribuyente en el recibo electrónico SIMPLE, el valor a transferir será el componente ICA territorial de cada municipio o distrito, disminuido por las retenciones en la fuente y las autorretenciones a título de este impuesto que le practicaron o practicó el contribuyente, respectivamente, durante el periodo gravable antes de optar al SIMPLE en cada jurisdicción.  </w:t>
      </w:r>
    </w:p>
    <w:p w14:paraId="18D781E6" w14:textId="2562160B"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92" w:name="ver_30200289"/>
      <w:bookmarkEnd w:id="392"/>
    </w:p>
    <w:p w14:paraId="1E9F209C" w14:textId="5B24875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2.3.4.6.3. Sanciones impuestas por la Unidad Administrativa Especial Dirección de Impuestos y Aduanas Nacionales (DIAN), a contribuyentes o responsables del SIMPLE. Las sanciones impuestas a los contribuyentes o responsables del SIMPLE por la Unidad Administrativa Especial Dirección de Impuestos y Aduanas Nacionales (DIAN), se distribuirán una vez se </w:t>
      </w:r>
      <w:r w:rsidR="008F7B30" w:rsidRPr="002C1480">
        <w:rPr>
          <w:rFonts w:ascii="Arial" w:eastAsia="Times New Roman" w:hAnsi="Arial" w:cs="Arial"/>
          <w:color w:val="000000"/>
          <w:lang w:eastAsia="es-CO"/>
        </w:rPr>
        <w:lastRenderedPageBreak/>
        <w:t xml:space="preserve">recauden por el Ministerio de Hacienda y Crédito Público entre la Nación y los municipios y/o distritos, de conformidad con el porcentaje que representen cada uno de los componentes incluidos en la liquidación, atendiendo el procedimiento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2.3.4.6.1.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w:t>
      </w:r>
    </w:p>
    <w:p w14:paraId="41535188" w14:textId="77777777" w:rsidR="00D05DFA" w:rsidRDefault="00D05DFA" w:rsidP="00C32F85">
      <w:pPr>
        <w:spacing w:after="0" w:line="293" w:lineRule="atLeast"/>
        <w:jc w:val="both"/>
        <w:rPr>
          <w:rFonts w:ascii="Arial" w:eastAsia="Times New Roman" w:hAnsi="Arial" w:cs="Arial"/>
          <w:color w:val="000000"/>
          <w:lang w:eastAsia="es-CO"/>
        </w:rPr>
      </w:pPr>
      <w:bookmarkStart w:id="393" w:name="ver_30101154"/>
      <w:bookmarkEnd w:id="393"/>
    </w:p>
    <w:p w14:paraId="59B2C228" w14:textId="3EF46855"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TÍTULO 5</w:t>
      </w:r>
    </w:p>
    <w:p w14:paraId="39CF6F4B" w14:textId="77777777"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LIQUIDACIÓN Y TRASLADO DE LOS RENDIMIENTOS FINANCIEROS ORIGINADOS CON RECURSOS DE LA NACIÓN</w:t>
      </w:r>
    </w:p>
    <w:p w14:paraId="5F79064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94" w:name="ver_30101155"/>
      <w:bookmarkEnd w:id="394"/>
    </w:p>
    <w:p w14:paraId="40F1FDB9" w14:textId="0BD86F4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2.3.5.1. Ámbito de aplicación. Las disposiciones del presente título son aplicables a los rendimientos financieros originados con recursos de la Nación, producto de la gestión, manejo e inversión de dichos recursos, en los instrumentos autorizados según sea el régimen de inversión aplicable, con excepción de los rendimientos originados por patrimonios autónomos que la ley haya autorizado y los obtenidos con los recursos recibidos por las entidades de previsión y seguridad social, para el pago de prestaciones sociales de carácter económico. </w:t>
      </w:r>
    </w:p>
    <w:p w14:paraId="1E9F83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8BDCD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efectos de este título, se entenderán como recursos administrados todos aquellos recursos de la Nación que las entidades gestionen, manejen e inviertan directamente, o cuando las mismas deleguen esta administración. </w:t>
      </w:r>
    </w:p>
    <w:p w14:paraId="1707382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95" w:name="ver_30101159"/>
      <w:bookmarkEnd w:id="395"/>
    </w:p>
    <w:p w14:paraId="0B014493" w14:textId="65DBB88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2.3.5.2.</w:t>
      </w:r>
      <w:r w:rsidR="00D37144">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Rendimiento financiero. Para efectos del presente título, se considera rendimiento financiero, cualquier recurso que exceda el capital originado en recursos de la Nación, producto de la gestión, manejo e inversión en los instrumentos autorizados según sea el régimen de inversión aplicable. </w:t>
      </w:r>
    </w:p>
    <w:p w14:paraId="4AB075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8BF4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que administren recursos de la Nación, observarán la metodología establecida para la liquidación y el traslado de los rendimientos financieros originados en dicha administración, además de los términos y plazos previstos en el presente título. </w:t>
      </w:r>
    </w:p>
    <w:p w14:paraId="41E23556" w14:textId="17C68A99"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396" w:name="ver_30101160"/>
      <w:bookmarkEnd w:id="396"/>
    </w:p>
    <w:p w14:paraId="1E250966" w14:textId="3944448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2.3.5.3.</w:t>
      </w:r>
      <w:r w:rsidR="00D37144">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Metodología de liquidación. Los rendimientos financieros al día t (RFt) se obtendrán de restar al Portafolio de inversiones admisibles, valorado al día t (Pt), el valor del saldo del capital entregado en administración al día t (Kt), así: </w:t>
      </w:r>
    </w:p>
    <w:p w14:paraId="0DE649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A901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RFt = Pt - Kt </w:t>
      </w:r>
    </w:p>
    <w:p w14:paraId="2CB8E8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C139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Donde: </w:t>
      </w:r>
    </w:p>
    <w:p w14:paraId="2BCA115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073FA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RFt: Rendimientos Financieros al día t. </w:t>
      </w:r>
    </w:p>
    <w:p w14:paraId="6B207F8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C8D3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Pt: Portafolio de inversiones admisibles, valorado al día t. </w:t>
      </w:r>
    </w:p>
    <w:p w14:paraId="2B578F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3448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Kt: Saldo de capital de los recursos entregados en administración al día t. </w:t>
      </w:r>
    </w:p>
    <w:p w14:paraId="45CFE8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1BD3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Se entiende por portafolio de inversiones admisibles al día t (Pt), el valor de los instrumentos de inversión según sea el régimen de inversión aplicable, valorados y contabilizados a precios de mercado al día t, de conformidad con las metodologías de valoración y contabilización de inversiones aprobadas por la Superintendencia Financiera de Colombia y/o la Contaduría General de la Nación, según corresponda. </w:t>
      </w:r>
    </w:p>
    <w:p w14:paraId="4A8841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4E0C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Se entiende por saldo de capital de los recursos entregados en administración al día t (Kt), el valor resultante de sumar los recursos inicialmente entregados (K0) más los aportes de capital realizados hasta el día t (AKt) menos los retiros de capital realizados hasta el día t (RKt), así: </w:t>
      </w:r>
    </w:p>
    <w:p w14:paraId="154C2A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184F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Kt = K0 + AKt - RKt </w:t>
      </w:r>
    </w:p>
    <w:p w14:paraId="0DB9FC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121D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Donde: </w:t>
      </w:r>
    </w:p>
    <w:p w14:paraId="590A27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8DF0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Kt: Saldo de capital de los recursos entregados en administración al día t.  </w:t>
      </w:r>
    </w:p>
    <w:p w14:paraId="6156AB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0251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K0: Capital inicial de los recursos entregados en administración. </w:t>
      </w:r>
    </w:p>
    <w:p w14:paraId="54F496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3E0B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AKt: Aportes de capital realizados al día t.  </w:t>
      </w:r>
    </w:p>
    <w:p w14:paraId="5555DC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068D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RKt: Retiros de capital realizados al día t.  </w:t>
      </w:r>
    </w:p>
    <w:p w14:paraId="485E47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ECA5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La aplicación de la metodología prevista para la liquidación de los rendimientos financieros no exonerará a las entidades administradoras de las obligaciones de medio que tienen como profesionales en la administración de los recursos. En todo caso, las entidades administradoras deberán procurar la preservación de los recursos entregados en administración, dentro de sus competencias y facultades. </w:t>
      </w:r>
    </w:p>
    <w:p w14:paraId="52D8F55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97" w:name="ver_30101161"/>
      <w:bookmarkEnd w:id="397"/>
    </w:p>
    <w:p w14:paraId="68491BE4" w14:textId="61CDCB2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2.3.5.4.</w:t>
      </w:r>
      <w:r w:rsidR="00E647D8">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Fuentes de rendimientos financieros. La variación en el valor del portafolio de inversiones admisibles respecto del capital invertido, que constituirán fuentes de rendimientos financieros en un determinado período, tendrán su origen en lo siguiente, según el régimen de inversión aplicable: </w:t>
      </w:r>
    </w:p>
    <w:p w14:paraId="57BFDB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502B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Tratándose de inversiones en Títulos de Deuda: </w:t>
      </w:r>
    </w:p>
    <w:p w14:paraId="7CA097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EF3A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valor de los rendimientos efectivamente pagados por el emisor y recibidos por la entidad administradora durante el período. </w:t>
      </w:r>
    </w:p>
    <w:p w14:paraId="6FB091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C6498C" w14:textId="26199EE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La variación en el precio de mercado de los títulos que componen el portafolio de inversión, contabilizados de conformidad con las metodologías mencionadas en 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2.3.5.3. del presente título. </w:t>
      </w:r>
    </w:p>
    <w:p w14:paraId="49005D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1EF2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resultado de la enajenación o venta de los títulos frente a su valor de compra o de valoración, según corresponda. </w:t>
      </w:r>
    </w:p>
    <w:p w14:paraId="74484B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7D5F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Tratándose de inversiones en Fondos de Inversión Colectiva del Mercado Monetario: </w:t>
      </w:r>
    </w:p>
    <w:p w14:paraId="28C3AB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97167A" w14:textId="4BC7210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variación en el valor de la unidad de inversión, contabilizados de conformidad con las metodologías mencionadas en 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2.3.5.3. del presente título. </w:t>
      </w:r>
    </w:p>
    <w:p w14:paraId="404643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399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Tratándose de Cuentas Bancarias remuneradas: </w:t>
      </w:r>
    </w:p>
    <w:p w14:paraId="53825A8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D88D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 los rendimientos efectivamente recibidos por la entidad administradora durante el período. </w:t>
      </w:r>
    </w:p>
    <w:p w14:paraId="0E9987D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98" w:name="ver_30101162"/>
      <w:bookmarkEnd w:id="398"/>
    </w:p>
    <w:p w14:paraId="32FC91A7" w14:textId="2EF80EA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2.3.5.5.</w:t>
      </w:r>
      <w:r w:rsidR="00E647D8">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Periodicidad. La entidad administradora deberá aplicar la metodología de liquidación para el cálculo de los rendimientos financieros descrita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2.3.5.3. al cierre de cada mes o a la fecha de cesación de las obligaciones contraídas con cargo a los recursos de la Nación. </w:t>
      </w:r>
    </w:p>
    <w:p w14:paraId="5407736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399" w:name="ver_30101163"/>
      <w:bookmarkEnd w:id="399"/>
    </w:p>
    <w:p w14:paraId="3CE25B4E" w14:textId="7D571B4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2.3.5.6.</w:t>
      </w:r>
      <w:r w:rsidR="00E647D8">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Traslado de rendimientos financieros a la Nación. La entidad administradora procederá a trasladar a favor de la Nación el resultado positivo de la metodología de liquidación descrita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2.3.5.3. </w:t>
      </w:r>
    </w:p>
    <w:p w14:paraId="52D59D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1A1C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traslado de los rendimientos financieros se llevará a cabo mediante transferencia y/o consignación a la cuenta que para tal fin informe la Dirección General de Crédito Publico y Tesoro Nacional del Ministerio de Hacienda y Crédito Público, hasta el décimo (10°) día hábil del mes siguiente al período objeto de cálculo. </w:t>
      </w:r>
    </w:p>
    <w:p w14:paraId="0CBE89A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0" w:name="ver_30101164"/>
      <w:bookmarkEnd w:id="400"/>
    </w:p>
    <w:p w14:paraId="04B4AE88" w14:textId="11BF0B6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2.3.5.7.</w:t>
      </w:r>
      <w:r w:rsidR="00E647D8">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Incumplimiento del traslado. Los administradores de recursos que no realicen el traslado de los rendimientos financieros de acuerdo con la metodología y periodicidad prevista en el presente título, se sujetarán a las sanciones de ley a las que haya lugar por el retardo o incumplimiento de tal obligación. </w:t>
      </w:r>
    </w:p>
    <w:p w14:paraId="758EFE05" w14:textId="77777777" w:rsidR="00D05DFA" w:rsidRDefault="00D05DFA" w:rsidP="00C32F85">
      <w:pPr>
        <w:spacing w:after="0" w:line="254" w:lineRule="atLeast"/>
        <w:jc w:val="both"/>
        <w:rPr>
          <w:rFonts w:ascii="Arial" w:eastAsia="Times New Roman" w:hAnsi="Arial" w:cs="Arial"/>
          <w:color w:val="000000"/>
          <w:lang w:eastAsia="es-CO"/>
        </w:rPr>
      </w:pPr>
    </w:p>
    <w:p w14:paraId="74155BF7" w14:textId="7176CC7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2.3.5.8.Reintegro de recursos. En el evento en que hayan cesado las obligaciones contraídas con cargo a los recursos de la Nación, las entidades estatales deberán proceder a ordenar el reintegro de la totalidad de los rendimientos financieros generados y los que se generen hasta la fecha de traslado efectivo de los remanentes de capital que no hubieren sido comprometidos ni ejecutados, a favor de la Dirección General de Crédito Público y Tesoro Nacional del Ministerio de Hacienda y Crédito Público. </w:t>
      </w:r>
    </w:p>
    <w:p w14:paraId="5356EC0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1" w:name="ver_30101166"/>
      <w:bookmarkEnd w:id="401"/>
    </w:p>
    <w:p w14:paraId="48A9CFDD" w14:textId="6F37591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2.3.5.9. Reporte de información. Las entidades administradoras de recursos de la Nación deberán incluir dentro de los informes que sean presentados a los comités de seguimiento de los negocios fiduciarios y a los fideicomitentes, el resultado de la metodología mencionada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2.3.3.6.3 de acuerdo con la periodicidad prevista en el presente título. </w:t>
      </w:r>
    </w:p>
    <w:p w14:paraId="17C5F7B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2" w:name="ver_30101167"/>
      <w:bookmarkEnd w:id="402"/>
    </w:p>
    <w:p w14:paraId="20BBE5F1" w14:textId="69252B5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2.3.5.10.</w:t>
      </w:r>
      <w:r w:rsidR="00E647D8">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Rendimientos financieros originados con anterioridad a la entrada en vigencia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La liquidación de rendimientos financieros para el período comprendido entre el 1° de enero de 2015 y el 31 de agosto de 2015, deberá ajustarse a la metodología descrita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anteriores y en caso de resultar valores a favor de la Nación, deberán ser trasladados a la Dirección General de Crédito Público y Tesoro Nacional del Ministerio de Hacienda y Crédito Público a más tardar al décimo (10°) día hábil siguiente a la fecha de entrada en vigencia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w:t>
      </w:r>
    </w:p>
    <w:p w14:paraId="637121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21C1C6" w14:textId="7166C86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la liquidación de los rendimientos financieros a partir del 1° de septiembre de 2015, se aplicará la metodología y periodicidad de traslado mensual contemplada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581373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3CA319" w14:textId="41B81F8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rendimientos financieros originados en vigencias anteriores al año 2015 que no hubieren sido liquidados, deberán sujetarse a la metodología prevista en el presente título y deberán ser trasladados a la Dirección General de Crédito Público y Tesoro Nacional del Ministerio de Hacienda y Crédito Público a más tardar al vigésimo (20°) día hábil siguiente a la fecha de entrada en vigencia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0EEE43B7" w14:textId="77777777" w:rsidR="00D05DFA" w:rsidRDefault="00D05DFA" w:rsidP="00C32F85">
      <w:pPr>
        <w:spacing w:after="0" w:line="293" w:lineRule="atLeast"/>
        <w:jc w:val="both"/>
        <w:rPr>
          <w:rFonts w:ascii="Arial" w:eastAsia="Times New Roman" w:hAnsi="Arial" w:cs="Arial"/>
          <w:color w:val="000000"/>
          <w:lang w:eastAsia="es-CO"/>
        </w:rPr>
      </w:pPr>
      <w:bookmarkStart w:id="403" w:name="ver_30056951"/>
      <w:bookmarkEnd w:id="403"/>
    </w:p>
    <w:p w14:paraId="3E44EBF5" w14:textId="181F96F0"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PARTE 4</w:t>
      </w:r>
    </w:p>
    <w:p w14:paraId="751CE19B" w14:textId="77777777"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RÉGIMEN DE LAS OBLIGACIONES CONTINGENTES</w:t>
      </w:r>
    </w:p>
    <w:p w14:paraId="7007DBB6" w14:textId="65A884BE" w:rsidR="008F7B30"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lastRenderedPageBreak/>
        <w:t>DE LAS ENTIDADES ESTATALES</w:t>
      </w:r>
    </w:p>
    <w:p w14:paraId="0CF94EE2" w14:textId="77777777" w:rsidR="00D05DFA" w:rsidRPr="00D05DFA" w:rsidRDefault="00D05DFA" w:rsidP="00D05DFA">
      <w:pPr>
        <w:spacing w:after="0" w:line="293" w:lineRule="atLeast"/>
        <w:jc w:val="center"/>
        <w:rPr>
          <w:rFonts w:ascii="Arial" w:eastAsia="Times New Roman" w:hAnsi="Arial" w:cs="Arial"/>
          <w:b/>
          <w:bCs/>
          <w:color w:val="000000"/>
          <w:lang w:eastAsia="es-CO"/>
        </w:rPr>
      </w:pPr>
    </w:p>
    <w:p w14:paraId="7884BE3D" w14:textId="77777777"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TÍTULO 1</w:t>
      </w:r>
    </w:p>
    <w:p w14:paraId="1783245F" w14:textId="77777777" w:rsidR="008F7B30" w:rsidRPr="00D05DFA" w:rsidRDefault="008F7B30" w:rsidP="00D05DFA">
      <w:pPr>
        <w:spacing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CONTINGENCIAS CONTRACTUALES DE LAS ENTIDADES ESTATALES</w:t>
      </w:r>
    </w:p>
    <w:p w14:paraId="1D170DE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4" w:name="ver_30056952"/>
      <w:bookmarkEnd w:id="404"/>
    </w:p>
    <w:p w14:paraId="187C4184" w14:textId="7305707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 Finalidades del régimen. El régimen de obligaciones contingentes de las entidades estatales tiene por objeto la implantación de un sistema para su manejo basado en un criterio preventivo de disciplina fiscal. </w:t>
      </w:r>
    </w:p>
    <w:p w14:paraId="7A48F1E0" w14:textId="4AB4189B"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05" w:name="ver_30056953"/>
      <w:bookmarkEnd w:id="405"/>
    </w:p>
    <w:p w14:paraId="5B741057" w14:textId="716725A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 Régimen obligatorio de las contingencias contractuales del Estado. Las disposiciones de la Ley 448 de 1998 y del presente título, constituyen el régimen obligatorio de las contingencias contractuales del Estado. </w:t>
      </w:r>
    </w:p>
    <w:p w14:paraId="16DB499F" w14:textId="66DB4B3C"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06" w:name="ver_30056954"/>
      <w:bookmarkEnd w:id="406"/>
    </w:p>
    <w:p w14:paraId="75A42350" w14:textId="5A6E364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 Objeto del Fondo de contingencias contractuales de las entidades estatales. El Fondo de contingencias contractuales de las entidades estatales creado por la Ley 448 de 1998, funcionará conforme a las normas generales que establece el presente reglamento y tendrá por objeto atender el cumplimiento cabal de las obligaciones contingentes de las entidades estatales sometidas al presente régimen. </w:t>
      </w:r>
    </w:p>
    <w:p w14:paraId="360E5EF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7" w:name="ver_30056955"/>
      <w:bookmarkEnd w:id="407"/>
    </w:p>
    <w:p w14:paraId="605EC8EE" w14:textId="74EDBD2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 Definición de obligaciones contingentes. En los términos del parágrafo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primero de la Ley 448 de 1998, son obligaciones contingentes aquéllas en virtud de las cuales alguna de las entidades señaladas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2.4.1.8 del presente título, estipula contractualmente a favor de su contratista, el pago de una suma de dinero, determinada o determinable a partir de factores identificados, por la ocurrencia de un hecho futuro e incierto. </w:t>
      </w:r>
    </w:p>
    <w:p w14:paraId="6354938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8" w:name="ver_30056956"/>
      <w:bookmarkEnd w:id="408"/>
    </w:p>
    <w:p w14:paraId="3EACE8D4" w14:textId="0C8D580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2.4.1.5. Obligatoriedad del Fondo de contingencias contractuales de las entidades estatales. Conforme al mandato de la Ley 448 de 1998, las entidades cobijadas por su régimen deberán incluir en sus presupuestos, en la sección del servicio de la deuda, las apropiaciones necesarias para atender el pago de las obligaciones contingentes que hayan contraído para cada una de las vigencias fiscales que comprenda la ejecución del respectivo contrato. </w:t>
      </w:r>
    </w:p>
    <w:p w14:paraId="0A6CE2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431859" w14:textId="56CC05F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organismos sometidos al régimen de contingencias de las entidades estatales, deberán manejar a través del Fondo de contingencias contractuales de las entidades estatales, la totalidad de los recursos que apropien en sus presupuestos, para el cumplimiento de obligaciones contingentes contractuales derivadas de los riesgos comprendidos dentro del área de riesgos definida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2.4.1.2.2. del Capítulo 2 del presente título. </w:t>
      </w:r>
    </w:p>
    <w:p w14:paraId="58709F3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09" w:name="ver_30056957"/>
      <w:bookmarkEnd w:id="409"/>
    </w:p>
    <w:p w14:paraId="739821E5" w14:textId="3699EBF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2.4.1.6. Mecanismos alternativos para asegurar el pago de obligaciones contingentes. El Fondo de contingencias contractuales de las entidades estatales es el único mecanismo autorizado para atender el pago de las obligaciones contingentes que contraigan las entidades cobijadas por el régimen en cuanto se trate de riesgos comprendidos por el área de riesgos determinada por la Dirección General de Crédito Público del Ministerio de Hacienda y Crédito Público conforme al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2.4.1.2.2. del Capítulo 2 del presente título. </w:t>
      </w:r>
    </w:p>
    <w:p w14:paraId="2E593B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3E8B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no serán admisibles mecanismos alternativos dirigidos a asegurar el pago de tales obligaciones contingentes, estructurados sobre el manejo de los correspondientes recursos por fuera del Fondo de contingencias contractuales de las entidades estatales. </w:t>
      </w:r>
    </w:p>
    <w:p w14:paraId="41A553AF" w14:textId="77777777" w:rsidR="00EA2507" w:rsidRDefault="00EA2507" w:rsidP="00C32F85">
      <w:pPr>
        <w:spacing w:after="0" w:line="254" w:lineRule="atLeast"/>
        <w:jc w:val="both"/>
        <w:rPr>
          <w:rFonts w:ascii="Arial" w:eastAsia="Times New Roman" w:hAnsi="Arial" w:cs="Arial"/>
          <w:color w:val="000000"/>
          <w:lang w:eastAsia="es-CO"/>
        </w:rPr>
      </w:pPr>
      <w:bookmarkStart w:id="410" w:name="ver_30056958"/>
      <w:bookmarkEnd w:id="410"/>
    </w:p>
    <w:p w14:paraId="27DA384B" w14:textId="0F516BE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2.4.1.7. Mecanismos de liquidez autorizados. Sin perjuicio de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serán admisibles los mecanismos transitorios que busquen otorgar al contratista liquidez cuando los aportes disponibles para atender el pago de alguna obligación contingente resultaren insuficientes al ocurrir ésta efectivamente y mientras se efectúa el trámite presupuestal que permita a la entidad aportante efectuar el pago de la suma faltante a su cargo. </w:t>
      </w:r>
    </w:p>
    <w:p w14:paraId="2E70F948" w14:textId="55387C5B"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11" w:name="ver_30056959"/>
      <w:bookmarkEnd w:id="411"/>
    </w:p>
    <w:p w14:paraId="3F17F987" w14:textId="55B37B9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2.4.1.8. Entidades sometidas al régimen obligatorio de contingencias contractuales del Estado. Se someten al régimen obligatorio de contingencias estatales consagrado por la Ley 448 de 1998 y por el presente título, las siguientes entidades, que –en consecuencia- tienen el carácter de aportantes del fondo de contingencias contractuales de las entidades estatales: </w:t>
      </w:r>
    </w:p>
    <w:p w14:paraId="15CC76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EFB6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Nación. </w:t>
      </w:r>
    </w:p>
    <w:p w14:paraId="0A265B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8DF8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establecimientos públicos. </w:t>
      </w:r>
    </w:p>
    <w:p w14:paraId="6D92985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EC68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empresas industriales y comerciales del Estado. </w:t>
      </w:r>
    </w:p>
    <w:p w14:paraId="276EF7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1755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sociedades de economía mixta en las que la participación estatal sea de más del 75%. </w:t>
      </w:r>
    </w:p>
    <w:p w14:paraId="053283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F790C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Las unidades administrativas especiales con personería jurídica. </w:t>
      </w:r>
    </w:p>
    <w:p w14:paraId="1D7A61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ED47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Las corporaciones autónomas regionales. </w:t>
      </w:r>
    </w:p>
    <w:p w14:paraId="7BE712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AC73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Los departamentos, los municipios, los distritos y el Distrito Capital de Bogotá. </w:t>
      </w:r>
    </w:p>
    <w:p w14:paraId="74DCF1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3831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Las entidades estatales indicadas en los numerales 2º, 3º, 4º y 5º de los niveles departamental, municipal y distrital. </w:t>
      </w:r>
    </w:p>
    <w:p w14:paraId="15CB65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F36560" w14:textId="23E82FB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9. Las empresas de servicios públicos oficiales y mixtas definidas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 de la Ley 142 de 1994 en las que el componente de capital público sea igual o superior al 75%. </w:t>
      </w:r>
    </w:p>
    <w:p w14:paraId="3284EB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3E9B8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Las sociedades públicas. </w:t>
      </w:r>
    </w:p>
    <w:p w14:paraId="338267B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2" w:name="ver_30056960"/>
      <w:bookmarkEnd w:id="412"/>
    </w:p>
    <w:p w14:paraId="2CD14859" w14:textId="6DAFDBD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2.4.1.9. Sectores de riesgo. El Fondo de contingencias contractuales de las entidades estatales, atenderá las obligaciones contingentes que contraigan las entidades sometidas al régimen aquí señalado, en virtud de la celebración de los contratos indicados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185 de 1995, ya sea que ellos se rijan por el estatuto general de contratación de la administración pública o por disposiciones contractuales especiales, en relación con los siguientes sectores: </w:t>
      </w:r>
    </w:p>
    <w:p w14:paraId="73D13D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36CF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Infraestructura de transporte. </w:t>
      </w:r>
    </w:p>
    <w:p w14:paraId="7AC0D61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E36C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Energético. </w:t>
      </w:r>
    </w:p>
    <w:p w14:paraId="79CD2E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7020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Saneamiento básico. </w:t>
      </w:r>
    </w:p>
    <w:p w14:paraId="1B9F81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433E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Agua potable. </w:t>
      </w:r>
    </w:p>
    <w:p w14:paraId="1BBD16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08E8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Comunicaciones. </w:t>
      </w:r>
    </w:p>
    <w:p w14:paraId="30BC53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D5E82E" w14:textId="2861DC60" w:rsidR="008F7B30" w:rsidRPr="002C1480" w:rsidRDefault="002C1480" w:rsidP="00C32F85">
      <w:pPr>
        <w:spacing w:after="0" w:line="254" w:lineRule="atLeast"/>
        <w:jc w:val="both"/>
        <w:rPr>
          <w:rFonts w:ascii="Arial" w:eastAsia="Times New Roman" w:hAnsi="Arial" w:cs="Arial"/>
          <w:color w:val="000000"/>
          <w:lang w:eastAsia="es-CO"/>
        </w:rPr>
      </w:pPr>
      <w:bookmarkStart w:id="413" w:name="ver_30056961"/>
      <w:bookmarkEnd w:id="413"/>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2.4.1.10. Política de riesgo contractual del Estado. Las entidades estatales sometidas al régimen aquí previsto, deberán ajustarse a la política de riesgo contractual del Estado, conformada por los principios, pautas e instrucciones que determine el Gobierno Nacional, para la estipulación de obligaciones contingentes a su cargo. </w:t>
      </w:r>
    </w:p>
    <w:p w14:paraId="7D7AD9A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4" w:name="ver_30056962"/>
      <w:bookmarkEnd w:id="414"/>
    </w:p>
    <w:p w14:paraId="6CFC2DBD" w14:textId="14DE012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 Diseño de la política de riesgo contractual del Estado. El Consejo de Política Económica y Social, CONPES, orientará la política de riesgo contractual del Estado a partir del principio de que corresponde a las entidades estatales asumir los riesgos propios de su carácter público y del objeto social para el que fueron creadas o autorizadas, y a los contratistas aquéllos determinados por el lucro que constituye el objeto principal de su actividad. </w:t>
      </w:r>
    </w:p>
    <w:p w14:paraId="7D5C840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5" w:name="ver_30056963"/>
      <w:bookmarkEnd w:id="415"/>
    </w:p>
    <w:p w14:paraId="6141FB59" w14:textId="6A1484C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2.4.1.12. Funciones del CONPES en materia de política de riesgo contractual del Estado. Corresponde al Consejo de Política Económica y Social, CONPES, en materia de política de riesgo contractual del Estado recomendar las directrices que deben seguir las entidades estatales al estructurar proyectos, con participación de capital privado en infraestructura y, de manera específica, en lo concerniente a los riesgos que puedan asumir contractualmente como obligaciones contingentes. </w:t>
      </w:r>
    </w:p>
    <w:p w14:paraId="3B547A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EA3D95" w14:textId="565D6AF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Consejo de Política Económica y Social, CONPES, revisará por lo menos una vez al año los lineamientos que determinan la política de riesgo establecida conforme al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con el fin de asegurar su adaptación a la realidad de la contratación estatal del país. </w:t>
      </w:r>
    </w:p>
    <w:p w14:paraId="0AB2EFF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6" w:name="ver_30056964"/>
      <w:bookmarkEnd w:id="416"/>
    </w:p>
    <w:p w14:paraId="0DAB82B0" w14:textId="50C7D07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2.4.1.13. Concepto de las dependencias de planeación sobre adecuación a la política de riesgo contractual del Estado. Cuando se trate de contratos a cargo de las entidades del orden nacional o descentralizado del mismo nivel, la dependencia de planeación del organismo rector del respectivo sector administrativo, deberá conceptuar sobre la adecuación de tales contratos a la política de riesgo contractual del Estado establecida por el Consejo de Política Económica y Social, CONPES. </w:t>
      </w:r>
    </w:p>
    <w:p w14:paraId="07C14B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8470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igual manera, las dependencias de planeación de las entidades territoriales, deberán emitir concepto acerca del ajuste de los contratos de dichas entidades y de sus descentralizadas a la política de riesgo contractual del Estado señalada por el Consejo de Política Económica y Social, CONPES. </w:t>
      </w:r>
    </w:p>
    <w:p w14:paraId="4F727803" w14:textId="5982F41E"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17" w:name="ver_30056965"/>
      <w:bookmarkEnd w:id="417"/>
    </w:p>
    <w:p w14:paraId="7572E7EC" w14:textId="43F82E1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2.4.1.14. Contratos especiales asimilados a operaciones de crédito público.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185 de 1995, y en concordancia con lo dispuesto por el parágrafo segundo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41 de la Ley 80 de 1993, los contratos allí mencionados en los que se pacten obligaciones contingentes, se asimilan a operaciones de crédito público, siempre y cuando el pago debido al contratista por la provisión a la entidad pública de bienes o servicios, se encuentre sometida a plazo o condición. </w:t>
      </w:r>
    </w:p>
    <w:p w14:paraId="4061EC1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8" w:name="ver_30056966"/>
      <w:bookmarkEnd w:id="418"/>
    </w:p>
    <w:p w14:paraId="07AB718C" w14:textId="6A13BFF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2.4.1.15. No aplicación de las disposiciones generales de crédito público. Los contratos especiales asimilados a operaciones de crédito público, no se sujetan a los requisitos exigidos por las disposiciones generales de crédito público para tal tipo de operaciones. </w:t>
      </w:r>
    </w:p>
    <w:p w14:paraId="572FC2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3278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lo tanto, para su celebración bastará el cumplimiento de los requisitos aquí establecidos, sin perjuicio de la aplicación de las normas que exijan otros requisitos para su celebración y validez en razón de su naturaleza contractual. </w:t>
      </w:r>
    </w:p>
    <w:p w14:paraId="7656B9B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19" w:name="ver_30056967"/>
      <w:bookmarkEnd w:id="419"/>
    </w:p>
    <w:p w14:paraId="7820CE4B" w14:textId="42FF02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2.4.1.16. Requisitos a que deben someterse las operaciones especiales asimiladas. Los contratos especiales que constituyen operaciones especiales asimiladas a operaciones de crédito público deben cumplir con los siguientes requisitos previamente a su celebración: </w:t>
      </w:r>
    </w:p>
    <w:p w14:paraId="1D9701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201390" w14:textId="596A583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El pronunciamiento de la dependencia de planeación a que alude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7A9B53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D6AE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2.4.1.13, sobre la adecuación de las obligaciones contingentes asumidas a la política general de riesgo contractual; y </w:t>
      </w:r>
    </w:p>
    <w:p w14:paraId="4DE0DC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7068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aprobación de los montos estimados de tales obligaciones contingentes por la Dirección General de Crédito Público y Tesoro Nacional del Ministerio de Hacienda y Crédito Público, mediante su inclusión en el plan de aportes para el respectivo contrato, al Fondo de contingencias contractuales de las entidades estatales. </w:t>
      </w:r>
    </w:p>
    <w:p w14:paraId="1E539270" w14:textId="0091DEA8"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20" w:name="ver_30056968"/>
      <w:bookmarkEnd w:id="420"/>
    </w:p>
    <w:p w14:paraId="0725892A" w14:textId="26C1509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2.4.1.17. Obligaciones contingentes no sujetas al régimen de contingencias estatales. Las entidades enumeradas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2.4.1.8, que hubieren asumido obligaciones contingentes con anterioridad a la vigencia de la Ley 448 de 1998, continuarán ejecutando los respectivos contratos, en los términos pactados conforme a la legislación vigente al momento de su celebración. </w:t>
      </w:r>
    </w:p>
    <w:p w14:paraId="625363BF" w14:textId="755E3B61"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21" w:name="ver_30056969"/>
      <w:bookmarkEnd w:id="421"/>
    </w:p>
    <w:p w14:paraId="34267625" w14:textId="383CFC5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2.4.1.18. Tránsito de legislación. Los contratos celebrados luego de la expedición de la Ley 448 de 1998 por las entidades estatales sometidas al régimen de contingencias estatales en los que se haya estipulado el pago de obligaciones contingentes, continuarán su ejecución conforme a las autorizaciones del Consejo Superior de Política Fiscal, CONFIS, para comprometer vigencias futuras. </w:t>
      </w:r>
    </w:p>
    <w:p w14:paraId="428F48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DE29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régimen establecido por el presente título se aplicará íntegramente a los contratos de las entidades estatales sometidos al mismo que se celebren luego de su entrada en vigor. </w:t>
      </w:r>
    </w:p>
    <w:p w14:paraId="3857184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22" w:name="ver_30056970"/>
      <w:bookmarkEnd w:id="422"/>
    </w:p>
    <w:p w14:paraId="004C6A1E" w14:textId="784781C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2.4.1.19. Modificaciones a los contratos vigentes. Las modificaciones de los contratos a que se refieren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anteriores, en las que se pacten obligaciones contingentes, se sujetarán a las disposiciones del presente título. </w:t>
      </w:r>
    </w:p>
    <w:p w14:paraId="4756405A" w14:textId="77777777" w:rsidR="00D05DFA" w:rsidRDefault="00D05DFA" w:rsidP="00C32F85">
      <w:pPr>
        <w:spacing w:after="0" w:line="293" w:lineRule="atLeast"/>
        <w:jc w:val="both"/>
        <w:rPr>
          <w:rFonts w:ascii="Arial" w:eastAsia="Times New Roman" w:hAnsi="Arial" w:cs="Arial"/>
          <w:color w:val="000000"/>
          <w:lang w:eastAsia="es-CO"/>
        </w:rPr>
      </w:pPr>
      <w:bookmarkStart w:id="423" w:name="ver_30056971"/>
      <w:bookmarkEnd w:id="423"/>
    </w:p>
    <w:p w14:paraId="7057B8EB" w14:textId="3B18F405"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CAPÍTULO 1</w:t>
      </w:r>
    </w:p>
    <w:p w14:paraId="705E0754" w14:textId="77777777" w:rsidR="008F7B30" w:rsidRPr="00D05DFA" w:rsidRDefault="008F7B30" w:rsidP="00D05DFA">
      <w:pPr>
        <w:spacing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FONDO DE CONTINGENCIAS CONTRACTUALES</w:t>
      </w:r>
    </w:p>
    <w:p w14:paraId="624C1A6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24" w:name="ver_30056972"/>
      <w:bookmarkEnd w:id="424"/>
    </w:p>
    <w:p w14:paraId="1C9CAE44" w14:textId="71F3316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 Fondo de contingencias contractuales de las entidades estatales. El Fondo de contingencias contractuales de las entidades estatales es un sistema de manejo de los recursos transferidos por las entidades aportantes en la forma, cuantía y oportunidad previstas en el plan de aportes al administrador, para atender el cumplimiento de las obligaciones contingentes asumidas en el contrato identificado en la correspondiente cuenta. </w:t>
      </w:r>
    </w:p>
    <w:p w14:paraId="4EC6BBF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25" w:name="ver_30056973"/>
      <w:bookmarkEnd w:id="425"/>
    </w:p>
    <w:p w14:paraId="392586E3" w14:textId="4EF2DDD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2.4.1.1.2. Naturaleza del Fondo de contingencias contractuales de las entidades estatales. Conforme a lo dispuesto por la Ley 448 de 1998, el Fondo de contingencias contractuales de las entidades estatales constituye una cuenta especial, sin personería jurídica manejada por el sector administrativo de Hacienda y Crédito Público, cuyo objeto es el señalado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 del presente título. </w:t>
      </w:r>
    </w:p>
    <w:p w14:paraId="7BAB4730" w14:textId="433AF72E"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26" w:name="ver_30056974"/>
      <w:bookmarkEnd w:id="426"/>
    </w:p>
    <w:p w14:paraId="74D6EDF3" w14:textId="73C226F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2.4.1.1.3. Administración del Fondo de contingencias contractuales de las entidades estatales. Conforme al mandato de la Ley 448 de 1998, la administración del Fondo de contingencias contractuales de las entidades estatales la realizará la fiduciaria La Previsora S.A., con arreglo a lo dispuesto en el presente título, en el reglamento que al efecto determine el Ministerio de Hacienda y Crédito Público y al contrato que con tal objeto celebre la Nación -Ministerio de Hacienda y Crédito Público- con la sociedad fiduciaria La Previsora S.A. </w:t>
      </w:r>
    </w:p>
    <w:p w14:paraId="66C82CE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27" w:name="ver_30056975"/>
      <w:bookmarkEnd w:id="427"/>
    </w:p>
    <w:p w14:paraId="286F423B" w14:textId="5712DB2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2.4.1.1.4. Recursos manejados a través del Fondo de contingencias contractuales de las entidades estatales. Los recursos que deberán manejarse a través del Fondo de contingencias contractuales de las entidades estatales de conformidad con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 la Ley 448 de 1998, serán los siguientes: </w:t>
      </w:r>
    </w:p>
    <w:p w14:paraId="4F4CA0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BB40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aportes efectuados por las entidades estatales. </w:t>
      </w:r>
    </w:p>
    <w:p w14:paraId="2FA4F8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D8C7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aportes del presupuesto nacional. </w:t>
      </w:r>
    </w:p>
    <w:p w14:paraId="255DD6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F8D0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rendimientos financieros que generen sus recursos. </w:t>
      </w:r>
    </w:p>
    <w:p w14:paraId="33540C2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62E9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El producto de su recuperación de cartera. </w:t>
      </w:r>
    </w:p>
    <w:p w14:paraId="7F9414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D61A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recursos manejados a través del Fondo de contingencias contractuales de las entidades estatales serán tratados conforme a las normas presupuestales aplicables a las entidades estatales de carácter financiero. </w:t>
      </w:r>
    </w:p>
    <w:p w14:paraId="43C96BD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28" w:name="ver_30056976"/>
      <w:bookmarkEnd w:id="428"/>
    </w:p>
    <w:p w14:paraId="213B6430" w14:textId="1511DA6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2.4.1.1.5. Inversión de los recursos. La fiduciaria La Previsora S.A., invertirá los recursos que se manejan a través del Fondo de contingencias contractuales de las entidades estatales exclusivamente en títulos TES, en el mercado primario o en el secundario de los mismos, según lo que determine para el caso la Dirección General de Crédito Público y Tesoro Nacional del Ministerio de Hacienda y Crédito Público. </w:t>
      </w:r>
    </w:p>
    <w:p w14:paraId="11F527BB" w14:textId="6C8A9336"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29" w:name="ver_30056977"/>
      <w:bookmarkEnd w:id="429"/>
    </w:p>
    <w:p w14:paraId="0501FCEA" w14:textId="04D8F39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2.4.1.1.6. Rendimientos que produzca la inversión. Los rendimientos del Fondo de contingencias contractuales de las entidades estatales estarán constituidos por el rendimiento de sus inversiones deducidos los costos de la administración del mismo, indicados en el contrato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2.4.1.1.3. de este capítulo e incluidos en el presupuesto, expresados como porcentaje de tales rendimientos de las inversiones. </w:t>
      </w:r>
    </w:p>
    <w:p w14:paraId="385057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3AAA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rendimientos del Fondo de contingencias contractuales de las entidades estatales se contabilizarán diariamente en las subcuentas correspondientes a los contratos para los cuales dichas entidades hayan realizado aportes al fondo. </w:t>
      </w:r>
    </w:p>
    <w:p w14:paraId="46D9DC7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0" w:name="ver_30056978"/>
      <w:bookmarkEnd w:id="430"/>
    </w:p>
    <w:p w14:paraId="2EEC82E6" w14:textId="0D139A8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2.4.1.1.7. Costos de administración. Los rendimientos que genere la inversión de los recursos procedentes de los aportes de las entidades aportantes del Fondo de contingencias contractuales de las entidades estatales se destinarán, en primer término, a cubrir los costos en que haya incurrido la fiduciaria La Previsora S.A., por su administración, y su remanente será reconocido -en beneficio de las aportantes- en proporción directa al monto de sus aportes para cada período y traspasado a ellas cuando finalice la ejecución de contrato que contenga las obligaciones contingentes o cuando cese la posibilidad de ocurrencia de dichas obligaciones. </w:t>
      </w:r>
    </w:p>
    <w:p w14:paraId="426683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BF61B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podrá exigirse de las entidades aportantes la transferencia de suma alguna con destino al administrador por concepto de costos de administración. </w:t>
      </w:r>
    </w:p>
    <w:p w14:paraId="0930C41D" w14:textId="5ECB61A9" w:rsidR="008F7B30" w:rsidRPr="002C1480" w:rsidRDefault="002C1480" w:rsidP="00C32F85">
      <w:pPr>
        <w:spacing w:after="0" w:line="254" w:lineRule="atLeast"/>
        <w:jc w:val="both"/>
        <w:rPr>
          <w:rFonts w:ascii="Arial" w:eastAsia="Times New Roman" w:hAnsi="Arial" w:cs="Arial"/>
          <w:color w:val="000000"/>
          <w:lang w:eastAsia="es-CO"/>
        </w:rPr>
      </w:pPr>
      <w:bookmarkStart w:id="431" w:name="ver_30056979"/>
      <w:bookmarkEnd w:id="431"/>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2.4.1.1.8. Plan de aportes. El plan de aportes es el cronograma obligatorio de los montos que deben transferir las entidades estatales sometidas al presente régimen, al fondo de contingencias contractuales de las entidades estatales, con destino al cumplimiento de las obligaciones contingentes que asuman en los contratos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2.4.1.5. del presente título, el cual es resultado de la aplicación de las metodologías fijadas por la Dirección General de Crédito Público y Tesoro Nacional del Ministerio de Hacienda y Crédito Público para el respectivo sector administrativo. </w:t>
      </w:r>
    </w:p>
    <w:p w14:paraId="2CDC1C92" w14:textId="6FB4F647"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32" w:name="ver_30056980"/>
      <w:bookmarkEnd w:id="432"/>
    </w:p>
    <w:p w14:paraId="1340D8A5" w14:textId="029E3EB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2.4.1.1.9. Criterios para la elaboración del plan de aportes. El plan de aportes será diseñado con fundamento en los siguientes factores, siguiendo un criterio de gradualidad, que permita apropiar las sumas requeridas para el pago de las obligaciones contingentes de una manera paulatina: </w:t>
      </w:r>
    </w:p>
    <w:p w14:paraId="39C3EF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DA59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capacidad de pago de la entidad aportante. </w:t>
      </w:r>
    </w:p>
    <w:p w14:paraId="4FA0FF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757B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monto total de las obligaciones contingentes contraídas por la entidad aportante bajo el correspondiente contrato. </w:t>
      </w:r>
    </w:p>
    <w:p w14:paraId="2C0747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3EC6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plazos de ejecución del contrato y de comportamiento del riesgo. </w:t>
      </w:r>
    </w:p>
    <w:p w14:paraId="396035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F042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 equivalencia entre el valor presente del pasivo contingente y el total de los aportes requeridos. </w:t>
      </w:r>
    </w:p>
    <w:p w14:paraId="2E2DE6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E580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 probabilidad de ocurrencia de la contingencia. </w:t>
      </w:r>
    </w:p>
    <w:p w14:paraId="66A164F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3" w:name="ver_30056981"/>
      <w:bookmarkEnd w:id="433"/>
    </w:p>
    <w:p w14:paraId="58AA4399" w14:textId="17C4303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2.4.1.1.10. Aportes. Para los efectos del régimen, se considerará aporte todo monto que sea transferido al fondo de contingencias contractuales de las entidades estatales por las entidades aportantes en la forma, cuantía y oportunidad previstas en el plan de aportes para cada contrato por ellas celebrado. </w:t>
      </w:r>
    </w:p>
    <w:p w14:paraId="18D23F7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4" w:name="ver_30056982"/>
      <w:bookmarkEnd w:id="434"/>
    </w:p>
    <w:p w14:paraId="54D998F6" w14:textId="4519F93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2.4.1.1.11. Registro de los planes de aportes. El administrador llevará un registro de los planes de aportes con el propósito de requerir a las entidades aportantes el giro de los aportes en los montos y las fechas previstas. Una vez se incluya un plan de aportes dentro del registro, la fiduciaria La Previsora S.A., así lo comunicará a la entidad aportante y a la Dirección General de Crédito Público y Tesoro Nacional. Así mismo, remitirá copia del mismo a la dependencia encargada de elaborar y adoptar los proyectos de presupuesto correspondientes, para lo de su competencia de conformidad con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2.4.1.3.1. del Capítulo 3 del presente título. </w:t>
      </w:r>
    </w:p>
    <w:p w14:paraId="64CDF89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5" w:name="ver_30056983"/>
      <w:bookmarkEnd w:id="435"/>
    </w:p>
    <w:p w14:paraId="4CC73357" w14:textId="38F7789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2.4.1.1.12. Obligación de remitir el plan de aportes al administrador. Cuando una entidad estatal tenga en su poder el plan de aportes del contrato que pretende celebrar, debidamente aprobado por la Dirección General de Crédito Público y Tesoro Nacional del Ministerio de Hacienda y Crédito Público, deberá hacer llegar copia del mismo a la fiduciaria La Previsora S.A., con el objeto de que sea incluido dentro del registro del plan de aportes. </w:t>
      </w:r>
    </w:p>
    <w:p w14:paraId="587EDBC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6" w:name="ver_30056984"/>
      <w:bookmarkEnd w:id="436"/>
    </w:p>
    <w:p w14:paraId="15C36726" w14:textId="04FF63A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2.4.1.1.13. Transferencia de los aportes. Las entidades estatales sometidas al presente régimen, deberán girar al Fondo de contingencias contractuales de las entidades estatales, los aportes que les correspondan para atender las obligaciones por ellas asumidas en las cuantías, oportunidades y forma prevista en el plan de aportes, aprobado por la Dirección General de Crédito Público y Tesoro Nacional registrado ante la fiduciaria La Previsora S. A. </w:t>
      </w:r>
    </w:p>
    <w:p w14:paraId="0458D3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AB46C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Efectuada la transferencia de los recursos que constituyen cada aporte en ejecución de la respectiva partida presupuestal, la fiduciaria La Previsora S.A., expedirá a favor de la aportante, un documento en el que conste el monto del mismo, su fecha, el contrato en relación con el cual se ha efectuado y el contratista que eventualmente será el beneficiario del pago por la obligación contingente amparada. </w:t>
      </w:r>
    </w:p>
    <w:p w14:paraId="7D10B8E1" w14:textId="7767B2FD"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37" w:name="ver_30056985"/>
      <w:bookmarkEnd w:id="437"/>
    </w:p>
    <w:p w14:paraId="05918F32" w14:textId="7961BAA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2.4.1.1.14. De la disminución de aportes. Si como consecuencia del seguimiento a que alude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 la Ley 448 de 1998 y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2.4.1.2.4. del Capítulo 2 del presente título, la Dirección General de Crédito Público y Tesoro Nacional decide que hay lugar a la disminución de los aportes previstos en el plan de aportes, así se lo comunicará a la fiduciaria La Previsora S.A., indicando el monto y oportunidad en que deba efectuarse el correspondiente reembolso. </w:t>
      </w:r>
    </w:p>
    <w:p w14:paraId="67679B2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8" w:name="ver_30056986"/>
      <w:bookmarkEnd w:id="438"/>
    </w:p>
    <w:p w14:paraId="0CB8B00B" w14:textId="4D0244A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2.4.1.1.15. Obligación de mantener los aportes cuando persista la posibilidad de ocurrencia de obligaciones contingentes. A fin de garantizar el logro del objeto del Fondo de contingencias contractuales de las entidades estatales, cuando exista la posibilidad de ocurrencia de alguna contingencia a cargo de una entidad estatal aportante, cualquiera que sea el contrato que haya dado origen a la obligación pendiente, la misma deberá mantener sus aportes en el fondo con el fin de atender las eventuales obligaciones que puedan surgir. En tal evento, la entidad deberá proceder a solicitar la aprobación del plan de aportes para el nuevo contrato siguiendo el trámite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2.4.1.2.6 del Capítulo 2 del presente título. Posteriormente, el administrador abrirá una cuenta conforme al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2.4.1.1.18. de este capítulo y efectuará el traslado de los respectivos recursos a la subcuenta que se abra para el nuevo contrato y efectuará las anotaciones pertinentes. </w:t>
      </w:r>
    </w:p>
    <w:p w14:paraId="5B90AA4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39" w:name="ver_30056987"/>
      <w:bookmarkEnd w:id="439"/>
    </w:p>
    <w:p w14:paraId="57E22D4E" w14:textId="26DC3F7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2.4.1.1.16. Criterios para efectuar transferencias de recursos. La fiduciaria La Previsora S.A., podrá transferir recursos de una a otra subcuenta de una misma entidad aportante, a condición de que el contrato correspondiente a la cuenta de la cual van a ser egresados los recursos haya sido ejecutado en su totalidad o de que haya cesado definitivamente la posibilidad de ocurrencia del riesgo amparado. </w:t>
      </w:r>
    </w:p>
    <w:p w14:paraId="6F61CCF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0" w:name="ver_30056988"/>
      <w:bookmarkEnd w:id="440"/>
    </w:p>
    <w:p w14:paraId="15FFFE6A" w14:textId="4C79C26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2.4.1.1.17. Del reembolso de los aportes. Con excepción de lo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2.4.1.1.15. del presente capítulo, cuando finalice la ejecución de un contrato y haya terminado, por tanto, la posibilidad de ocurrencia de la contingencia amparada con los aportes efectuados al Fondo de contingencias contractuales de las entidades estatales, la entidad aportante tendrá derecho a que le sean reembolsados dichos aportes si ellos han provenido de ingresos propios. </w:t>
      </w:r>
    </w:p>
    <w:p w14:paraId="518E6DA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1" w:name="ver_30056989"/>
      <w:bookmarkEnd w:id="441"/>
    </w:p>
    <w:p w14:paraId="6012204C" w14:textId="6C56002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2.4.1.1.18. Sistema de cuentas para cada entidad. La fiduciaria La Previsora S.A., abrirá una cuenta para la entidad aportante que presente para su registro un plan de aportes específico. </w:t>
      </w:r>
    </w:p>
    <w:p w14:paraId="49298E7F" w14:textId="7A494431" w:rsidR="008F7B30" w:rsidRPr="002C1480" w:rsidRDefault="008F7B30" w:rsidP="007048B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42" w:name="ver_30056990"/>
      <w:bookmarkEnd w:id="442"/>
    </w:p>
    <w:p w14:paraId="5A4C8337" w14:textId="5BB1C0A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2.4.1.1.19. Subcuentas. La fiduciaria La Previsora S.A., llevará una subcuenta para los aportes que cada una de las entidades aportantes efectúen al Fondo de contingencias contractuales de las entidades estatales, por cada contrato en relación con el cual haya remitido el plan de aportes debidamente refrendado por la Dirección General de Crédito Público y Tesoro Nacional del Ministerio de Hacienda y Crédito Público. </w:t>
      </w:r>
    </w:p>
    <w:p w14:paraId="4452B0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860925" w14:textId="11AC395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2.4.1.1.20. Reconocimiento de la contingencia. Como requisito previo para los desembolsos causados por la ocurrencia de las obligaciones contingentes señaladas en el </w:t>
      </w: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2.4.1.4. del presente título, la entidad estatal aportante declarará, mediante acto debidamente motivado, la ocurrencia de la contingencia, así como su monto. </w:t>
      </w:r>
    </w:p>
    <w:p w14:paraId="1019D3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D076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declaración podrá hacerla el funcionario competente de la entidad aportante en ejercicio de sus atribuciones legales o con fundamento en un acta de conciliación, una sentencia, laudo arbitral o en cualquier otro acto jurídico que tenga como efecto la exigibilidad inmediata de la obligación a cargo de la entidad aportante, a condición de que el acto respectivo se encuentre en firme. </w:t>
      </w:r>
    </w:p>
    <w:p w14:paraId="6668F54B" w14:textId="61607DA2" w:rsidR="008F7B30" w:rsidRPr="002C1480" w:rsidRDefault="008F7B30" w:rsidP="00D05D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43" w:name="ver_30056992"/>
      <w:bookmarkEnd w:id="443"/>
    </w:p>
    <w:p w14:paraId="63973E26" w14:textId="7C7F00B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2.4.1.1.21. Desembolsos. La fiduciaria La Previsora S.A., efectuará el pago debido por una entidad aportante a su contratista, por concepto de una obligación contingente, cuando sea requerida para ello, con los recursos que haya aportado la entidad al Fondo de contingencias contractuales de las entidades estatales en relación con el contrato que dio origen a la obligación y hasta concurrencia de la suma aportada con tal objeto. </w:t>
      </w:r>
    </w:p>
    <w:p w14:paraId="3C3813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62D4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la finalidad anotada, la fiduciaria La Previsora S.A., deberá verificar que el requerimiento de desembolso proviene del funcionario o funcionarios competentes de la entidad estatal aportante, así como la autenticidad del acto debidamente motivado que declara la ocurrencia de la contingencia y la de los documentos que acompañen la solicitud de desembolso. </w:t>
      </w:r>
    </w:p>
    <w:p w14:paraId="40830B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4B32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desembolso deberá realizarse dentro de los diez (10) días hábiles siguientes al recibo del requerimiento en debida forma. </w:t>
      </w:r>
    </w:p>
    <w:p w14:paraId="29E4D5E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4" w:name="ver_30056993"/>
      <w:bookmarkEnd w:id="444"/>
    </w:p>
    <w:p w14:paraId="4AEE4F7D" w14:textId="541C98A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2.4.1.1.22. Titularidad del cobro. En todo caso, la entrega de recursos por parte del Fondo de contingencias contractuales de las entidades estatales por concepto del pago de obligaciones contingentes, solamente podrá solicitarse por el funcionario competente de la entidad aportante siguiendo el trámite señalado anteriormente. En consecuencia, los contratistas de entidades aportantes al Fondo de contingencias contractuales delas entidades estatales, no podrán reclamar directamente el giro a su favor o exigir ante el mismo Fondo el pago en su propio beneficio, por razón de las obligaciones contingentes definidas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 del presente título. </w:t>
      </w:r>
    </w:p>
    <w:p w14:paraId="336C49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3C2F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lo tanto todas las acciones relacionadas con dichas obligaciones, deberán ejercerse ante la respectiva entidad pública contratante. </w:t>
      </w:r>
    </w:p>
    <w:p w14:paraId="7BBA6DDE" w14:textId="77777777" w:rsidR="007048BC" w:rsidRDefault="007048BC" w:rsidP="00D05DFA">
      <w:pPr>
        <w:spacing w:after="0" w:line="293" w:lineRule="atLeast"/>
        <w:jc w:val="center"/>
        <w:rPr>
          <w:rFonts w:ascii="Arial" w:eastAsia="Times New Roman" w:hAnsi="Arial" w:cs="Arial"/>
          <w:b/>
          <w:bCs/>
          <w:color w:val="000000"/>
          <w:lang w:eastAsia="es-CO"/>
        </w:rPr>
      </w:pPr>
      <w:bookmarkStart w:id="445" w:name="ver_30056994"/>
      <w:bookmarkEnd w:id="445"/>
    </w:p>
    <w:p w14:paraId="758EB839" w14:textId="64ED3941" w:rsidR="008F7B30" w:rsidRPr="00D05DFA" w:rsidRDefault="008F7B30" w:rsidP="00D05DFA">
      <w:pPr>
        <w:spacing w:after="0"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CAPÍTULO 2</w:t>
      </w:r>
    </w:p>
    <w:p w14:paraId="7F3E5831" w14:textId="77777777" w:rsidR="008F7B30" w:rsidRPr="00D05DFA" w:rsidRDefault="008F7B30" w:rsidP="00D05DFA">
      <w:pPr>
        <w:spacing w:line="293" w:lineRule="atLeast"/>
        <w:jc w:val="center"/>
        <w:rPr>
          <w:rFonts w:ascii="Arial" w:eastAsia="Times New Roman" w:hAnsi="Arial" w:cs="Arial"/>
          <w:b/>
          <w:bCs/>
          <w:color w:val="000000"/>
          <w:lang w:eastAsia="es-CO"/>
        </w:rPr>
      </w:pPr>
      <w:r w:rsidRPr="00D05DFA">
        <w:rPr>
          <w:rFonts w:ascii="Arial" w:eastAsia="Times New Roman" w:hAnsi="Arial" w:cs="Arial"/>
          <w:b/>
          <w:bCs/>
          <w:color w:val="000000"/>
          <w:lang w:eastAsia="es-CO"/>
        </w:rPr>
        <w:t>VALORACIÓN DE CONTINGENCIAS</w:t>
      </w:r>
    </w:p>
    <w:p w14:paraId="15CA48D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6" w:name="ver_30056995"/>
      <w:bookmarkEnd w:id="446"/>
    </w:p>
    <w:p w14:paraId="0C581487" w14:textId="4078F1C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2.4.1.2.1. Metodologías de valoración de contingencias. La Dirección General de Crédito Público y Tesoro Nacional del Ministerio de Hacienda y Crédito Público, adoptará mediante actos administrativos de carácter general, las metodologías aplicables a los contratos estatales para determinar el valor de las obligaciones contingentes que en ellos se estipulen. </w:t>
      </w:r>
    </w:p>
    <w:p w14:paraId="704B934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7" w:name="ver_30056996"/>
      <w:bookmarkEnd w:id="447"/>
    </w:p>
    <w:p w14:paraId="1E5E8249" w14:textId="5DF257B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2.4.1.2.2. Área de riesgos del Fondo de contingencias contractuales de las entidades estatales. La Dirección General de Crédito Público y Tesoro Nacional del Ministerio de Hacienda y Crédito Público, determinará cuáles de los riesgos certificados por la dependencia de planeación respectiva, deben ser atendidos con los recursos del Fondo de contingencias contractuales de las entidades estatales, para lo cual establecerá un área de riesgos a partir de dos variables que se tomarán como coordenadas para determinarla, a saber: </w:t>
      </w:r>
    </w:p>
    <w:p w14:paraId="2AB8EAE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17BB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El valor del pago como porcentaje del proyecto; y </w:t>
      </w:r>
    </w:p>
    <w:p w14:paraId="107042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ABAC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probabilidad de ocurrencia de la contingencia. </w:t>
      </w:r>
    </w:p>
    <w:p w14:paraId="2CAA02E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8" w:name="ver_30056997"/>
      <w:bookmarkEnd w:id="448"/>
    </w:p>
    <w:p w14:paraId="113EA2AD" w14:textId="01ACB40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2.4.1.2.3. Evolución de las metodologías. La Dirección General de Crédito Público y Tesoro Nacional del Ministerio de Hacienda y Crédito Público evaluará permanentemente las metodologías de valoración de obligaciones contingentes de las entidades estatales, con miras a mantenerlas en consonancia con las necesidades reales de contratación pública. En todo caso, la evolución de las metodologías, deberá orientarse respetando la finalidad y los objetivos del sistema de política de riesgo contractual del Estado. </w:t>
      </w:r>
    </w:p>
    <w:p w14:paraId="4865E5F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49" w:name="ver_30056998"/>
      <w:bookmarkEnd w:id="449"/>
    </w:p>
    <w:p w14:paraId="0833CD29" w14:textId="4201347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2.4.1.2.4. Seguimiento de los riesgos.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 la Ley 448 de 1998, la Dirección General de Crédito Público y Tesoro Nacional, efectuará un seguimiento periódico al comportamiento de los riesgos comprendidos en el área de riesgos del Fondo de contingencias contractuales de las entidades estatales, con el fin de determinar, para cada contrato en particular, la necesidad de incrementar o disminuir los respectivos aportes. </w:t>
      </w:r>
    </w:p>
    <w:p w14:paraId="45AC137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50" w:name="ver_30056999"/>
      <w:bookmarkEnd w:id="450"/>
    </w:p>
    <w:p w14:paraId="757280C2" w14:textId="3F4AC58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2.4.1.2.5. Modificaciones al plan de aportes. Cuando como consecuencia de la evolución de las metodologías y en virtud del seguimiento a que alude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la Dirección General de Crédito Público y Tesoro Nacional del Ministerio de Hacienda y Crédito Público establezca que los montos de los aportes incluidos en un plan de aportes ya registrado por el administrador deben ser modificados, así se lo comunicará a la entidad aportante y a la fiduciaria La Previsora S.A., con el fin de que se proceda a efectuar el registro del plan de aportes reformado, para la cual se seguirá en lo pertinente lo dispuesto en el Capítulo 1 del presente título. </w:t>
      </w:r>
    </w:p>
    <w:p w14:paraId="49429B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4FE2A2" w14:textId="62BDA8C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2.4.1.2.6. Procedimiento para la valoración de las contingencias. Toda entidad estatal sometida a las disposiciones de la Ley 448 de 1998 y del presente título que pretenda celebrar un contrato en el cual se estipulen obligaciones contingentes, deberá -con antelación a la apertura de la correspondiente licitación o a la celebración del contrato si no se requiere licitación- presentar a la Dirección General de Crédito Público y Tesoro Nacional del Ministerio de Hacienda y Crédito Público los documentos en los que aparezcan las obligaciones contingentes que va a asumir, acompañados de un cronograma que proyecte las sumas correspondientes a dichas obligaciones durante el plazo del contrato, así como el concepto de la autoridad de planeación sobre el sometimiento de las respectivas obligaciones contingentes a la política de riesgo contractual del Estado. </w:t>
      </w:r>
    </w:p>
    <w:p w14:paraId="62B627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082B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la documentación se encuentra completa y la Dirección General de Crédito Público y Tesoro Nacional encuentra que el cronograma propuesto se ajusta a la metodología de valoración aplicable, lo aprobará como plan de aportes al Fondo de contingencias contractuales de las entidades estatales para el contrato sometido a su consideración, el cual deberá ser registrado ante la fiduciaria La Previsora S.A. </w:t>
      </w:r>
    </w:p>
    <w:p w14:paraId="318259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ABE4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el cronograma presentado se aparte de la metodología oficial de valoración de contingencias, la entidad deberá proceder a efectuar los ajustes que indique la Dirección General de Crédito Público y Tesoro Nacional, con el fin de que sea aprobado como plan de aportes. </w:t>
      </w:r>
    </w:p>
    <w:p w14:paraId="4AE99C11" w14:textId="00A8BC82" w:rsidR="008F7B30" w:rsidRPr="002C1480" w:rsidRDefault="008F7B30" w:rsidP="00AF5291">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51" w:name="ver_30057000"/>
      <w:bookmarkEnd w:id="451"/>
    </w:p>
    <w:p w14:paraId="7F1507BF" w14:textId="0B3778B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2.4.1.2.7. Riesgos no comprendidos por el área de riesgos. En el evento en que la Dirección General de Crédito Público y Tesoro Nacional del Ministerio de Hacienda y Crédito Público estime que las obligaciones contingentes sometidas a su consideración no se encuentran </w:t>
      </w:r>
      <w:r w:rsidR="008F7B30" w:rsidRPr="002C1480">
        <w:rPr>
          <w:rFonts w:ascii="Arial" w:eastAsia="Times New Roman" w:hAnsi="Arial" w:cs="Arial"/>
          <w:color w:val="000000"/>
          <w:lang w:eastAsia="es-CO"/>
        </w:rPr>
        <w:lastRenderedPageBreak/>
        <w:t>comprendidas en el área de riesgos, así se lo informará a la respectiva entidad estatal, evento en el cual se entenderá que tales obligaciones no se sujetan al régimen aquí previsto. </w:t>
      </w:r>
    </w:p>
    <w:p w14:paraId="0D21A9C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52" w:name="ver_30057001"/>
      <w:bookmarkEnd w:id="452"/>
    </w:p>
    <w:p w14:paraId="5F7AC84D" w14:textId="476483F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2.4.1.2.8. Ausencia de metodologías. Cuando las entidades estatales vayan a contraer obligaciones contingentes en relación con las cuales la Dirección General de Crédito Público y Tesoro Nacional del Ministerio de Hacienda y Crédito Público no haya establecido una metodología de valoración, la documentación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deberá exponer unas cifras de valoración de dichas obligaciones conforme a una metodología adecuada al respectivo proyecto, la cual será analizada y aprobada por dicha dirección atendiendo la naturaleza del contrato y los criterios señalados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2.4.1.1.9. del Capítulo 1 presente título. </w:t>
      </w:r>
    </w:p>
    <w:p w14:paraId="0A3C9C2E" w14:textId="6611BCEA" w:rsidR="008F7B30" w:rsidRPr="002C1480" w:rsidRDefault="008F7B30" w:rsidP="002321A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53" w:name="ver_30057002"/>
      <w:bookmarkEnd w:id="453"/>
    </w:p>
    <w:p w14:paraId="52403ECB" w14:textId="1EDDA5B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2.4.1.2.9. Inclusión en la base única de datos del Ministerio de Hacienda y Crédito Público, Dirección General de Crédito Público y Tesoro Nacional. Para los efectos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16 de la Ley 533 de 1999 las obligaciones contingentes a que se refiere el presente título, se incluirán en la base única de datos del Ministerio de Hacienda y Crédito Público, Dirección General de Crédito Público y Tesoro Nacional, como deuda pública cuando se reconozca la ocurrencia de la contingencia conforme al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2.4.1.1.20. del Capítulo 1 del presente título. </w:t>
      </w:r>
    </w:p>
    <w:p w14:paraId="2CCD81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FEB751" w14:textId="77777777" w:rsidR="008F7B30" w:rsidRPr="0093512F" w:rsidRDefault="008F7B30" w:rsidP="0093512F">
      <w:pPr>
        <w:spacing w:after="0" w:line="293" w:lineRule="atLeast"/>
        <w:jc w:val="center"/>
        <w:rPr>
          <w:rFonts w:ascii="Arial" w:eastAsia="Times New Roman" w:hAnsi="Arial" w:cs="Arial"/>
          <w:b/>
          <w:bCs/>
          <w:color w:val="000000"/>
          <w:lang w:eastAsia="es-CO"/>
        </w:rPr>
      </w:pPr>
      <w:bookmarkStart w:id="454" w:name="ver_30057003"/>
      <w:bookmarkEnd w:id="454"/>
      <w:r w:rsidRPr="0093512F">
        <w:rPr>
          <w:rFonts w:ascii="Arial" w:eastAsia="Times New Roman" w:hAnsi="Arial" w:cs="Arial"/>
          <w:b/>
          <w:bCs/>
          <w:color w:val="000000"/>
          <w:lang w:eastAsia="es-CO"/>
        </w:rPr>
        <w:t>CAPÍTULO 3</w:t>
      </w:r>
    </w:p>
    <w:p w14:paraId="60CB842D"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ASPECTOS PRESUPUESTALES</w:t>
      </w:r>
    </w:p>
    <w:p w14:paraId="7A9AA5C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55" w:name="ver_30057004"/>
      <w:bookmarkEnd w:id="455"/>
    </w:p>
    <w:p w14:paraId="19D7F2E2" w14:textId="2049379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2.4.1.3.1. Preparación de los presupuestos. En cumplimiento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 de la Ley 448 de 1998, las dependencias encargadas de elaborar y adoptar los proyectos de presupuesto de la Nación, de las entidades territoriales y de las entidades descentralizadas de cualquier orden, efectuarán las apropiaciones para las obligaciones contingentes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 del presente título, incorporando en el respectivo proyecto, las cifras contenidas en el plan de aportes debidamente aprobado por la Dirección General de Crédito Público y Tesoro Nacional del Ministerio de Hacienda y Crédito Público conforme al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2.4.1.2.6. del presente título. </w:t>
      </w:r>
    </w:p>
    <w:p w14:paraId="0C8D85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3A9D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apropiaciones presupuestales de las obligaciones contingentes de que trata el presente capítulo, deberán incluirse en el presupuesto de cada una de las vigencias fiscales que comprenda el plan anual de aportes. </w:t>
      </w:r>
    </w:p>
    <w:p w14:paraId="28D1810C" w14:textId="7A922C9F"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56" w:name="ver_30057005"/>
      <w:bookmarkEnd w:id="456"/>
    </w:p>
    <w:p w14:paraId="08506D79" w14:textId="6F2686C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2.4.1.3.2. Discusión y aprobación de los presupuestos. En la discusión y aprobación de los presupuestos de la Nación, de las entidades territoriales y de las entidades descentralizadas de cualquier orden, las partidas propuestas para las obligaciones contingentes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 de la Ley 448 de 1998, se programarán dentro del servicio de la deuda pública y tendrán la prelación correspondiente a esta. </w:t>
      </w:r>
    </w:p>
    <w:p w14:paraId="108472B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3142A0" w14:textId="255825B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351, en concordancia con el 353 de la Constitución Política y el Estatuto Orgánico del Presupuesto General de la Nación, las partidas propuestas por este concepto, no podrán ser eliminadas ni disminuidas. </w:t>
      </w:r>
    </w:p>
    <w:p w14:paraId="46469B6F" w14:textId="5EB478A9"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57" w:name="ver_30057006"/>
      <w:bookmarkEnd w:id="457"/>
    </w:p>
    <w:p w14:paraId="1DC5C9E4" w14:textId="5189411C"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2.4.1.3.3. Ejecución presupuestal. De conformidad con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 de la Ley 448 de 1998, las partidas apropiadas para las obligaciones contingentes, previstas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2.4.1.3.1. del presente capítulo se entenderán ejecutadas una vez se transfiera el aporte al Fondo de contingencias contractuales de las entidades estatales. </w:t>
      </w:r>
    </w:p>
    <w:p w14:paraId="1993C2CA" w14:textId="77777777" w:rsidR="002321A2" w:rsidRPr="002C1480" w:rsidRDefault="002321A2" w:rsidP="00C32F85">
      <w:pPr>
        <w:spacing w:after="0" w:line="254" w:lineRule="atLeast"/>
        <w:jc w:val="both"/>
        <w:rPr>
          <w:rFonts w:ascii="Arial" w:eastAsia="Times New Roman" w:hAnsi="Arial" w:cs="Arial"/>
          <w:color w:val="000000"/>
          <w:lang w:eastAsia="es-CO"/>
        </w:rPr>
      </w:pPr>
    </w:p>
    <w:p w14:paraId="254FAFFA" w14:textId="51B92133" w:rsidR="008F7B30" w:rsidRPr="0093512F" w:rsidRDefault="008F7B30" w:rsidP="007048BC">
      <w:pPr>
        <w:spacing w:after="0" w:line="254" w:lineRule="atLeast"/>
        <w:jc w:val="center"/>
        <w:rPr>
          <w:rFonts w:ascii="Arial" w:eastAsia="Times New Roman" w:hAnsi="Arial" w:cs="Arial"/>
          <w:b/>
          <w:bCs/>
          <w:color w:val="000000"/>
          <w:lang w:eastAsia="es-CO"/>
        </w:rPr>
      </w:pPr>
      <w:bookmarkStart w:id="458" w:name="ver_30057007"/>
      <w:bookmarkEnd w:id="458"/>
      <w:r w:rsidRPr="0093512F">
        <w:rPr>
          <w:rFonts w:ascii="Arial" w:eastAsia="Times New Roman" w:hAnsi="Arial" w:cs="Arial"/>
          <w:b/>
          <w:bCs/>
          <w:color w:val="000000"/>
          <w:lang w:eastAsia="es-CO"/>
        </w:rPr>
        <w:lastRenderedPageBreak/>
        <w:t>CAPÍTULO 4</w:t>
      </w:r>
    </w:p>
    <w:p w14:paraId="7D1EC4B6"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RESPONSABILIDAD POR EL INCUMPLIMIENTO DEL RÉGIMEN</w:t>
      </w:r>
    </w:p>
    <w:p w14:paraId="206D717B" w14:textId="77777777" w:rsidR="008F7B30" w:rsidRPr="0093512F" w:rsidRDefault="008F7B30" w:rsidP="0093512F">
      <w:pPr>
        <w:spacing w:after="0" w:line="240" w:lineRule="auto"/>
        <w:jc w:val="center"/>
        <w:rPr>
          <w:rFonts w:ascii="Arial" w:eastAsia="Times New Roman" w:hAnsi="Arial" w:cs="Arial"/>
          <w:b/>
          <w:bCs/>
          <w:color w:val="000000"/>
          <w:lang w:eastAsia="es-CO"/>
        </w:rPr>
      </w:pPr>
      <w:bookmarkStart w:id="459" w:name="ver_30057008"/>
      <w:bookmarkEnd w:id="459"/>
    </w:p>
    <w:p w14:paraId="21A73CCC" w14:textId="3EDD190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2.4.1.4.1. De la responsabilidad de los representantes legales de las entidades sometidas al régimen de contingencias públicas. Los jefes de los organismos del sector central en los órdenes nacional, departamental y municipal, así como los representantes legales de las entidades enumeradas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2.4.1.8. del presente título, serán responsables disciplinaria, fiscal y penalmente por el cumplimiento de las presentes disposiciones. </w:t>
      </w:r>
    </w:p>
    <w:p w14:paraId="65C46B53" w14:textId="77777777" w:rsidR="008F7B30" w:rsidRPr="002C1480" w:rsidRDefault="008F7B30" w:rsidP="00C32F85">
      <w:pPr>
        <w:spacing w:after="0" w:line="254" w:lineRule="atLeast"/>
        <w:jc w:val="both"/>
        <w:rPr>
          <w:rFonts w:ascii="Arial" w:eastAsia="Times New Roman" w:hAnsi="Arial" w:cs="Arial"/>
          <w:color w:val="000000"/>
          <w:lang w:eastAsia="es-CO"/>
        </w:rPr>
      </w:pPr>
      <w:bookmarkStart w:id="460" w:name="ver_30057009"/>
      <w:bookmarkEnd w:id="460"/>
      <w:r w:rsidRPr="002C1480">
        <w:rPr>
          <w:rFonts w:ascii="Arial" w:eastAsia="Times New Roman" w:hAnsi="Arial" w:cs="Arial"/>
          <w:color w:val="000000"/>
          <w:lang w:eastAsia="es-CO"/>
        </w:rPr>
        <w:t>  </w:t>
      </w:r>
    </w:p>
    <w:p w14:paraId="3B564AEF" w14:textId="057D16C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2.4.1.4.2. Responsabilidad especial de los representantes legales. Los servidores indicados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serán especialmente responsables por la veracidad de la información que suministren a la dependencia de planeación respectiva, en lo relativo a las obligaciones contingentes previstas en los contratos que vayan a celebrar y a la Dirección General de Crédito Público y Tesoro Nacional del Ministerio de Hacienda y Crédito Público conforme al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2.4.1.2.6. del Capítulo 2 del presente título. </w:t>
      </w:r>
    </w:p>
    <w:p w14:paraId="78858F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5FA88D" w14:textId="38A6E32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2.4.1.4.3. Prohibición de apropiar para obligaciones contratadas con violación del régimen. Ninguna dependencia estatal que tenga asignadas funciones de hacienda pública dará curso a solicitudes de incorporar presupuestalmente montos para el servicio de la deuda, destinados al pago de obligaciones contingentes de las entidades estatales sujetas al régimen de contingencias, cuando no se hayan dado cumplimiento a las exigencias consagradas en el presente título. </w:t>
      </w:r>
    </w:p>
    <w:p w14:paraId="7ED20F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A69925" w14:textId="4C82CB9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fin de asegurar al cumplimiento del régimen de contingencias las entidades estatales a él sometidas, deberán -cuando soliciten la incorporación de apropiaciones destinadas al pago de obligaciones contingentes- presentar ante la respectiva oficina de presupuesto una constancia expedida por la Dirección General de Crédito Público y Tesoro Nacional del Ministerio de Hacienda y Crédito Público, de que dichas obligaciones han sido evaluadas conforme a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2.4.1.2.6. y 2.4.1.2.7. del Capítulo 2 del presente título. </w:t>
      </w:r>
    </w:p>
    <w:p w14:paraId="521DFA95" w14:textId="3C9E2C0A"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61" w:name="ver_30057011"/>
      <w:bookmarkEnd w:id="461"/>
    </w:p>
    <w:p w14:paraId="632305A9" w14:textId="4D42323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2.4.1.4.4. Intervención de los organismos de control. Cuando una entidad obligada por la Ley 448 de 1998 a hacer aportes al Fondo de contingencias contractuales de las entidades estatales no los realice en el monto y oportunidad dispuestos en el plan de aportes, la fiduciaria La Previsora S.A., deberá informarlo así a los organismos de control respectivos para lo de su competencia. </w:t>
      </w:r>
    </w:p>
    <w:p w14:paraId="31E5CADB" w14:textId="121EA66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A40036" w14:textId="77777777" w:rsidR="008F7B30" w:rsidRPr="0093512F" w:rsidRDefault="008F7B30" w:rsidP="0093512F">
      <w:pPr>
        <w:spacing w:after="0" w:line="293" w:lineRule="atLeast"/>
        <w:jc w:val="center"/>
        <w:rPr>
          <w:rFonts w:ascii="Arial" w:eastAsia="Times New Roman" w:hAnsi="Arial" w:cs="Arial"/>
          <w:b/>
          <w:bCs/>
          <w:color w:val="000000"/>
          <w:lang w:eastAsia="es-CO"/>
        </w:rPr>
      </w:pPr>
      <w:bookmarkStart w:id="462" w:name="ver_30057012"/>
      <w:bookmarkEnd w:id="462"/>
      <w:r w:rsidRPr="0093512F">
        <w:rPr>
          <w:rFonts w:ascii="Arial" w:eastAsia="Times New Roman" w:hAnsi="Arial" w:cs="Arial"/>
          <w:b/>
          <w:bCs/>
          <w:color w:val="000000"/>
          <w:lang w:eastAsia="es-CO"/>
        </w:rPr>
        <w:t>TÍTULO 2</w:t>
      </w:r>
    </w:p>
    <w:p w14:paraId="49A8EA7D"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PASIVOS CONTINGENTES</w:t>
      </w:r>
    </w:p>
    <w:p w14:paraId="70389333" w14:textId="77777777" w:rsidR="008F7B30" w:rsidRPr="002C1480" w:rsidRDefault="008F7B30" w:rsidP="0093512F">
      <w:pPr>
        <w:spacing w:after="0" w:line="240" w:lineRule="auto"/>
        <w:jc w:val="both"/>
        <w:rPr>
          <w:rFonts w:ascii="Arial" w:eastAsia="Times New Roman" w:hAnsi="Arial" w:cs="Arial"/>
          <w:color w:val="000000"/>
          <w:lang w:eastAsia="es-CO"/>
        </w:rPr>
      </w:pPr>
      <w:bookmarkStart w:id="463" w:name="ver_30057013"/>
      <w:bookmarkEnd w:id="463"/>
    </w:p>
    <w:p w14:paraId="45740AE8" w14:textId="64E3D201" w:rsidR="008F7B30" w:rsidRPr="002C1480" w:rsidRDefault="002C148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2.4.2.1. Pasivos contingentes provenientes de operaciones de crédito público. Para los efectos del presente título se entiende por pasivos contingentes provenientes de las operaciones de crédito público las obligaciones pecuniarias sometidas a condición, que surgen a cargo de las entidades descritas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siguiente, cuando estas actúen como garantes de obligaciones de pago de terceros. </w:t>
      </w:r>
    </w:p>
    <w:p w14:paraId="0FD338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1944E7" w14:textId="7A4D876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trámite, celebración y ejecución de estas operaciones se someterá a las reglas del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80 de 1993, sus disposiciones reglamentarias y las normas que las modifiquen o adicionen, sin perjuicio del cumplimiento de los requisitos indicados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 de la Ley 185 de 1995, para las contragarantías respecto del otorgamiento de créditos </w:t>
      </w:r>
      <w:r w:rsidRPr="002C1480">
        <w:rPr>
          <w:rFonts w:ascii="Arial" w:eastAsia="Times New Roman" w:hAnsi="Arial" w:cs="Arial"/>
          <w:color w:val="000000"/>
          <w:lang w:eastAsia="es-CO"/>
        </w:rPr>
        <w:lastRenderedPageBreak/>
        <w:t>financiados con ingresos incorporados en el Presupuesto General de la Nación y de la garantía por parte de la Nación, y de los demás requisitos previstos en las disposiciones legales vigentes. </w:t>
      </w:r>
    </w:p>
    <w:p w14:paraId="0FF2DBD0" w14:textId="6E18AAE2"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64" w:name="ver_30057014"/>
      <w:bookmarkEnd w:id="464"/>
    </w:p>
    <w:p w14:paraId="72E76A97" w14:textId="49C8039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2.4.2.2. Campo de aplicación. El presente título se aplicará a los pasivos contingentes provenientes de las operaciones de crédito público cuando quiera que alguna de las siguientes entidades actúe en condición de garante de obligaciones de pago: </w:t>
      </w:r>
    </w:p>
    <w:p w14:paraId="32F10D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964D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Nación. </w:t>
      </w:r>
    </w:p>
    <w:p w14:paraId="7531C8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E477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Departamentos, los Distritos y los Municipios. </w:t>
      </w:r>
    </w:p>
    <w:p w14:paraId="04D826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4F3F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Establecimientos Públicos. </w:t>
      </w:r>
    </w:p>
    <w:p w14:paraId="4256A1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846E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Empresas Industriales y Comerciales del Estado y las Sociedades Públicas. </w:t>
      </w:r>
    </w:p>
    <w:p w14:paraId="4387F8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6599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Las Sociedades de Economía Mixta en las que la participación directa o indirecta del Estado sea igual o superior al 50% del capital social. </w:t>
      </w:r>
    </w:p>
    <w:p w14:paraId="1EBCCC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0066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Las Unidades Administrativas Especiales con personería jurídica. </w:t>
      </w:r>
    </w:p>
    <w:p w14:paraId="466889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6BEC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Las Corporaciones Autónomas Regionales. </w:t>
      </w:r>
    </w:p>
    <w:p w14:paraId="4E5E45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AA55E6" w14:textId="6F3449C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8. Las Entidades indicadas en los numerales 3, 4, 5 y 6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 los órdenes departamental, municipal y distrital. </w:t>
      </w:r>
    </w:p>
    <w:p w14:paraId="4EAE17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CDEC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Las Empresas de Servicios Públicos Domiciliarios oficiales y mixtas, en este último caso cuando la participación directa o indirecta del Estado sea superior al 50% del capital social. </w:t>
      </w:r>
    </w:p>
    <w:p w14:paraId="01F804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C647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Las Áreas Metropolitanas y las Asociaciones de Municipios. </w:t>
      </w:r>
    </w:p>
    <w:p w14:paraId="2BA5BF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AD91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Los Entes Universitarios Autónomos de carácter estatal u oficial. </w:t>
      </w:r>
    </w:p>
    <w:p w14:paraId="6DC385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DC51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La Autoridad Nacional de Televisión. </w:t>
      </w:r>
    </w:p>
    <w:p w14:paraId="52B1F0C4" w14:textId="41C83F81"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65" w:name="ver_30057015"/>
      <w:bookmarkEnd w:id="465"/>
    </w:p>
    <w:p w14:paraId="0F6E82E5" w14:textId="0B74BC8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2.4.2.3. Contabilización de los pasivos contingentes. Sin perjuicio de las disposiciones contables especiales aplicables a las entidades estatales de carácter financiero, los pasivos contingentes provenientes de las operaciones de crédito público deberán registrarse en las cuentas de orden de la entidad garante, de conformidad con las instrucciones que al respecto imparta la Contaduría General de la Nación. </w:t>
      </w:r>
    </w:p>
    <w:p w14:paraId="1DA050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2BD9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Contaduría General de la Nación determinará los eventos en los cuales los pasivos contingentes deban incorporarse total o parcialmente al balance de la entidad garante. </w:t>
      </w:r>
    </w:p>
    <w:p w14:paraId="18A22F9C" w14:textId="6E3277D2"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66" w:name="ver_30057016"/>
      <w:bookmarkEnd w:id="466"/>
    </w:p>
    <w:p w14:paraId="21093AEE" w14:textId="11F7A96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2.4.2.4. Presupuestación de los pasivos contingentes. Las entidades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2.4.2.2. del presente título deberán incluir en su presupuesto anual, en el rubro del servicio de la deuda, las partidas necesarias para atender las pérdidas probables que surjan de los pasivos contingentes de las operaciones de crédito público en las que actúen en condición de garantes, cuando dichas operaciones se hubieran perfeccionado con posterioridad a la vigencia de la Ley 448 de 1998. </w:t>
      </w:r>
    </w:p>
    <w:p w14:paraId="7A268C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E28A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Las pérdidas probables anuales se estimarán de acuerdo con la metodología de valoración que expida la Dirección General de Crédito Público y Tesoro Nacional del Ministerio de Hacienda y Crédito Público y en consonancia con la aprobación impartida por dicha Dirección en los términos del presente título. </w:t>
      </w:r>
    </w:p>
    <w:p w14:paraId="14F564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2E88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la estimación de la pérdida probable anual en las operaciones de crédito público garantizadas por la Nación, se tendrá en cuenta, además de los criterios establecidos en la metodología de valoración, el valor de los aportes realizados al Fondo de Contingencias de las Entidades Estatales por las entidades garantizadas. </w:t>
      </w:r>
    </w:p>
    <w:p w14:paraId="7A90489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67" w:name="ver_30219275"/>
      <w:bookmarkStart w:id="468" w:name="ver_30057017"/>
      <w:bookmarkEnd w:id="467"/>
    </w:p>
    <w:p w14:paraId="0C3DB0DC" w14:textId="207A4EC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2.4.2.5. Aportes al fondo de contingencias de las entidades estatales. Las entidades estatales cuyas obligaciones de pago sean garantizadas por la Nación en desarrollo de operaciones de crédito público que se perfeccionaron a partir del 27 de octubre de 2005, deberán realizar aportes al Fondo de Contingencias de las Entidades Estatales en la forma indicada en el presente título. </w:t>
      </w:r>
    </w:p>
    <w:p w14:paraId="35B69F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20E1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monto del aporte al Fondo de Contingencias de las Entidades Estatales será determinado por la Dirección General de Crédito Público y Tesoro Nacional de acuerdo con la metodología de valoración de las contingencias que establezca dicha Dirección. </w:t>
      </w:r>
    </w:p>
    <w:p w14:paraId="1A89AF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1AC0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la determinación del monto del aporte, la aprobación del plan de aportes y su primer pago, cuando hubiere lugar a ello, serán condiciones previas al otorgamiento de la garantía de la Nación. </w:t>
      </w:r>
    </w:p>
    <w:p w14:paraId="3061B1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A3B60B" w14:textId="50DF6B0E"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los eventos en los cuales sea declarada una emergencia económica, social y ecológica por el Presidente de la República, los planes de aportes al Fondo de Contingencias de las Entidades Estatales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podrán ser suspendidos hasta tanto expire el término de declaratoria de tal emergencia. En todo caso, una vez expirado el término de la declaratoria, las entidades estatales deberán realizar los pagos causados durante dicho periodo.</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Para acogerse a la suspensión de los planes de aportes, las Entidades Estatales deberán enviar solicitud al Ministerio de Hacienda y Crédito Público- Dirección General de Crédito Público y Tesoro Nacional en el que se determine el monto que será suspendido y la fecha en que se realizará el correspondiente pago que no podrá exceder dos meses desde la terminación de declaratoria de emergencia”.</w:t>
      </w:r>
      <w:r w:rsidRPr="002C1480">
        <w:rPr>
          <w:rFonts w:ascii="Arial" w:eastAsia="Times New Roman" w:hAnsi="Arial" w:cs="Arial"/>
          <w:color w:val="000000"/>
          <w:lang w:eastAsia="es-CO"/>
        </w:rPr>
        <w:br/>
        <w:t>  </w:t>
      </w:r>
      <w:bookmarkStart w:id="469" w:name="ver_30057018"/>
      <w:bookmarkEnd w:id="468"/>
      <w:bookmarkEnd w:id="469"/>
    </w:p>
    <w:p w14:paraId="5B8B8A21" w14:textId="7DB4508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2.4.2.6. Transferencia de los aportes. Las entidades estatales garantizadas por la Nación deberán incluir en sus presupuestos del servicio de la deuda el valor de los aportes anuales al Fondo de Contingencias de las Entidades Estatales. De acuerdo con lo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 de la Ley 448 de 1998, los aportes realizados al Fondo se entienden ejecutados una vez transferidos al mismo. </w:t>
      </w:r>
    </w:p>
    <w:p w14:paraId="704DAEA6" w14:textId="69C628A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321B73" w14:textId="6965EC2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 el fin de preservar los objetivos del Fondo de Contingencias de las Entidades Estatales,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 de la Ley 448 de 1998, y cubrir adecuadamente los riesgos incurridos por la Nación en su condición de garante, los aportes efectuados por las entidades garantizadas se mantendrán en el Fondo con el fin de atender las contingencias provenientes de obligaciones garantizadas por la Nación. Cuando el monto de la subcuenta especial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sea suficiente para atender las contingencias garantizadas, la Dirección General de Crédito Público y Tesoro Nacional podrá autorizar la reducción de los aportes a cargo de las entidades aportantes. </w:t>
      </w:r>
    </w:p>
    <w:p w14:paraId="10D9335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0" w:name="ver_30057019"/>
      <w:bookmarkEnd w:id="470"/>
    </w:p>
    <w:p w14:paraId="77941D25" w14:textId="67A0F0B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2.4.2.7. Administración de los aportes. Los aportes de las entidades estatales garantizadas se administrarán en el Fondo de Contingencias de las Entidades Estatales en una subcuenta especial denominada “Garantías de la Nación”. </w:t>
      </w:r>
    </w:p>
    <w:p w14:paraId="082F14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37CF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totalidad de los recursos de la subcuenta se destinará a atender los pasivos contingentes provenientes de las operaciones de crédito público garantizadas por la Nación y a la realización de operaciones de cobertura. Los recursos se invertirán en la forma prevista para los demás recursos del Fondo de Contingencias de las Entidades Estatales. </w:t>
      </w:r>
    </w:p>
    <w:p w14:paraId="252773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7EF4B6" w14:textId="72116182"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los demás aspectos no regulados en el presente título, la administración de los recursos de la subcuenta especial se regirá por lo previsto en el Título 1 de esta Parte 4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w:t>
      </w:r>
    </w:p>
    <w:p w14:paraId="77E2152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1" w:name="ver_30057020"/>
      <w:bookmarkEnd w:id="471"/>
    </w:p>
    <w:p w14:paraId="37515F44" w14:textId="15901D2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2.4.2.8. Plan de aportes. El monto de los aportes a cargo de las entidades garantizadas por la Nación se transferirá al Fondo de Contingencias de las Entidades Estatales de acuerdo con el plan de aportes que para el efecto apruebe la Dirección General de Crédito Público y Tesoro Nacional del Ministerio de Hacienda y Crédito Público. </w:t>
      </w:r>
    </w:p>
    <w:p w14:paraId="47C08A3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8464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 aprobación del plan de aportes, la Dirección General de Crédito Público y Tesoro Nacional tendrá en cuenta, entre otros factores, la situación financiera de la entidad garantizada, el plazo de la obligación garantizada y las necesidades de cobertura de la Nación frente a los pasivos contingentes a su cargo. </w:t>
      </w:r>
    </w:p>
    <w:p w14:paraId="407792CE" w14:textId="495F05A8"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72" w:name="ver_30057021"/>
      <w:bookmarkEnd w:id="472"/>
    </w:p>
    <w:p w14:paraId="4647C406" w14:textId="3E4C6FA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2.4.2.9. Incremento o reducción de los aportes. La Dirección General de Crédito Público y Tesoro Nacional deberá realizar un seguimiento periódico de los riesgos derivados de los pasivos contingentes de que trata el presente título y podrá ordenar a las entidades el incremento de los aportes cuando ello sea necesario para proteger adecuadamente a la Nación de las pérdidas probables que surjan de la obligación garantizada. </w:t>
      </w:r>
    </w:p>
    <w:p w14:paraId="4A37F6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EC91BC" w14:textId="64E48C1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Dirección General de Crédito Público y Tesoro Nacional podrá autorizar la reducción de los aportes a cargo de las entidades garantizadas en el evento previsto en el inciso final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2.4.2.5. del presente título. </w:t>
      </w:r>
    </w:p>
    <w:p w14:paraId="7688EF7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3" w:name="ver_30057022"/>
      <w:bookmarkEnd w:id="473"/>
    </w:p>
    <w:p w14:paraId="7E581DEB" w14:textId="0A5590C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2.4.2.10. Valoración de pasivos contingentes. De conformidad con lo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de la Ley 819 de 2003, los pasivos contingentes provenientes de las operaciones de crédito público cuyo perfeccionamiento se lleve a cabo con posterioridad a la vigencia de la Ley 448 de 1998, deberán ser valorados en la forma prevista en dicha ley y de acuerdo con las reglas del presente título. La valoración de estos pasivos deberá ser aprobada por la Dirección General de Crédito Público y Tesoro Nacional. </w:t>
      </w:r>
    </w:p>
    <w:p w14:paraId="1580B14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1E33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pasivos contingentes provenientes de operaciones de crédito público perfeccionadas con anterioridad a la vigencia de la Ley 448 de 1998 se valorarán de acuerdo con los parámetros establecidos por el Departamento Nacional de Planeación. </w:t>
      </w:r>
    </w:p>
    <w:p w14:paraId="5AED5CB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4" w:name="ver_30057023"/>
      <w:bookmarkEnd w:id="474"/>
    </w:p>
    <w:p w14:paraId="5F0A976B" w14:textId="6D4F1D1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2.4.2.11. Metodología de valoración. La valoración de los pasivos contingentes de que trata el inciso 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se realizará de acuerdo con la metodología que expida la Dirección General de Crédito Público y Tesoro Nacional del Ministerio de Hacienda y Crédito Público. </w:t>
      </w:r>
    </w:p>
    <w:p w14:paraId="345FD3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509A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Para efectos de la valoración de estos pasivos, la Dirección General de Crédito Público y Tesoro Nacional tendrá en cuenta, entre otros criterios, los siguientes: </w:t>
      </w:r>
    </w:p>
    <w:p w14:paraId="3E444E6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80DC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calidad crediticia de la entidad garantizada. </w:t>
      </w:r>
    </w:p>
    <w:p w14:paraId="338B6F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419A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récord crediticio de la entidad garantizada en otras operaciones de garantía. </w:t>
      </w:r>
    </w:p>
    <w:p w14:paraId="7ADC9C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75D8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riesgos implícitos de la operación garantizada. </w:t>
      </w:r>
    </w:p>
    <w:p w14:paraId="500258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F873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 liquidez de las contragarantías otorgadas. </w:t>
      </w:r>
    </w:p>
    <w:p w14:paraId="19931EAB" w14:textId="77777777" w:rsidR="0093512F" w:rsidRDefault="0093512F" w:rsidP="00C32F85">
      <w:pPr>
        <w:spacing w:after="0" w:line="293" w:lineRule="atLeast"/>
        <w:jc w:val="both"/>
        <w:rPr>
          <w:rFonts w:ascii="Arial" w:eastAsia="Times New Roman" w:hAnsi="Arial" w:cs="Arial"/>
          <w:color w:val="000000"/>
          <w:lang w:eastAsia="es-CO"/>
        </w:rPr>
      </w:pPr>
      <w:bookmarkStart w:id="475" w:name="ver_30057024"/>
      <w:bookmarkEnd w:id="475"/>
    </w:p>
    <w:p w14:paraId="1425F69E" w14:textId="5D68D3D3"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TÍTULO 3</w:t>
      </w:r>
    </w:p>
    <w:p w14:paraId="0F72C446"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OBLIGACIONES CONDICIONALES DE LA NACIÓN COMO SOCIA</w:t>
      </w:r>
    </w:p>
    <w:p w14:paraId="40E05FBC"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EN ENTIDADES PÚBLICAS O MIXTAS QUE FINANCIEN INFRAESTRUCTURA</w:t>
      </w:r>
    </w:p>
    <w:p w14:paraId="7AC592E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6" w:name="ver_30057025"/>
      <w:bookmarkEnd w:id="476"/>
    </w:p>
    <w:p w14:paraId="08A08494" w14:textId="7F19912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2.4.3.1. Objeto. El presente título tiene por objeto establecer el manejo fiscal y presupuestal por parte de la Nación en el marco de las obligaciones condicionales que esta pueda asumir conforme a la autorización contenida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70 de la Ley 1682 de 2013. </w:t>
      </w:r>
    </w:p>
    <w:p w14:paraId="6CA44EAA" w14:textId="77777777" w:rsidR="002321A2" w:rsidRDefault="002321A2" w:rsidP="00C32F85">
      <w:pPr>
        <w:spacing w:after="0" w:line="254" w:lineRule="atLeast"/>
        <w:jc w:val="both"/>
        <w:rPr>
          <w:rFonts w:ascii="Arial" w:eastAsia="Times New Roman" w:hAnsi="Arial" w:cs="Arial"/>
          <w:color w:val="000000"/>
          <w:lang w:eastAsia="es-CO"/>
        </w:rPr>
      </w:pPr>
    </w:p>
    <w:p w14:paraId="73A9983E" w14:textId="2F69105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2.4.3.2. Autorización. Las obligaciones condicionales de las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70 de la ley 1682 de 2013, que impliquen la adquisición parcial o total de la participación accionaria de los socios estratégicos deberán contar, previo a su asunción, únicamente con aval fiscal que confiera el Consejo Superior de Política Fiscal-CONFIS. La Dirección General de Crédito Público y Tesoro Nacional, con base en la información disponible presentará en el momento en que se solicite el aval fiscal al CONFIS, un estimativo del monto que pueda corresponder para el eventual cumplimiento de tal obligación condicional. </w:t>
      </w:r>
    </w:p>
    <w:p w14:paraId="19561D0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7" w:name="ver_30057027"/>
      <w:bookmarkEnd w:id="477"/>
    </w:p>
    <w:p w14:paraId="17A45276" w14:textId="3FEDA76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2.4.3.3. Manejo presupuestal de las obligaciones condicionales. En el evento que se active la obligación condicional de adquirir parcial o totalmente la participación accionaria de los socios estratégicos,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70 de la ley 1682 de 2013, el respectivo monto se incluirá en la ley de Presupuesto General de la Nación de la vigencia fiscal siguiente a aquella en que se active la obligación condicional, que podrá atenderse mediante el servicio de la deuda, o a través de la emisión de bonos u otros títulos de deuda pública, en condiciones de mercado de conformidad con el régimen que sea aplicable </w:t>
      </w:r>
    </w:p>
    <w:p w14:paraId="4093C002" w14:textId="77777777" w:rsidR="0093512F" w:rsidRDefault="0093512F" w:rsidP="00C32F85">
      <w:pPr>
        <w:spacing w:after="0" w:line="293" w:lineRule="atLeast"/>
        <w:jc w:val="both"/>
        <w:rPr>
          <w:rFonts w:ascii="Arial" w:eastAsia="Times New Roman" w:hAnsi="Arial" w:cs="Arial"/>
          <w:color w:val="000000"/>
          <w:lang w:eastAsia="es-CO"/>
        </w:rPr>
      </w:pPr>
      <w:bookmarkStart w:id="478" w:name="ver_30057028"/>
      <w:bookmarkEnd w:id="478"/>
    </w:p>
    <w:p w14:paraId="301D0A3F" w14:textId="3C0C57DE"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PARTE 5</w:t>
      </w:r>
    </w:p>
    <w:p w14:paraId="651EEF45" w14:textId="7F39D6D4" w:rsidR="008F7B30"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GESTIÓN DE ACTIVOS</w:t>
      </w:r>
    </w:p>
    <w:p w14:paraId="68F37581" w14:textId="77777777" w:rsidR="0093512F" w:rsidRPr="0093512F" w:rsidRDefault="0093512F" w:rsidP="0093512F">
      <w:pPr>
        <w:spacing w:after="0" w:line="293" w:lineRule="atLeast"/>
        <w:jc w:val="center"/>
        <w:rPr>
          <w:rFonts w:ascii="Arial" w:eastAsia="Times New Roman" w:hAnsi="Arial" w:cs="Arial"/>
          <w:b/>
          <w:bCs/>
          <w:color w:val="000000"/>
          <w:lang w:eastAsia="es-CO"/>
        </w:rPr>
      </w:pPr>
    </w:p>
    <w:p w14:paraId="6ECE28D8"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TÍTULO 1</w:t>
      </w:r>
    </w:p>
    <w:p w14:paraId="7601CD31" w14:textId="5EEFC4AE" w:rsidR="008F7B30"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ENAJENACIÓN DE PROPIEDAD ACCIONARIA</w:t>
      </w:r>
    </w:p>
    <w:p w14:paraId="2F5939DA" w14:textId="77777777" w:rsidR="0093512F" w:rsidRPr="0093512F" w:rsidRDefault="0093512F" w:rsidP="0093512F">
      <w:pPr>
        <w:spacing w:after="0" w:line="293" w:lineRule="atLeast"/>
        <w:jc w:val="center"/>
        <w:rPr>
          <w:rFonts w:ascii="Arial" w:eastAsia="Times New Roman" w:hAnsi="Arial" w:cs="Arial"/>
          <w:b/>
          <w:bCs/>
          <w:color w:val="000000"/>
          <w:lang w:eastAsia="es-CO"/>
        </w:rPr>
      </w:pPr>
    </w:p>
    <w:p w14:paraId="3E29D234"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1</w:t>
      </w:r>
    </w:p>
    <w:p w14:paraId="6571E30A"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PATRIMONIO HISTÓRICO Y CULTURAL</w:t>
      </w:r>
    </w:p>
    <w:p w14:paraId="5D1FE1C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79" w:name="ver_30057029"/>
      <w:bookmarkEnd w:id="479"/>
    </w:p>
    <w:p w14:paraId="2B2585C2" w14:textId="3CF5734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2.5.1.1.1. Transferencia de patrimonio histórico y cultural en procesos de enajenación de propiedad accionaria. En desarrollo de lo dispuesto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13 de la Ley 226 de 1995 y de conformidad con los </w:t>
      </w:r>
      <w:r w:rsidR="00731A76">
        <w:rPr>
          <w:rFonts w:ascii="Arial" w:eastAsia="Times New Roman" w:hAnsi="Arial" w:cs="Arial"/>
          <w:color w:val="000000"/>
          <w:lang w:eastAsia="es-CO"/>
        </w:rPr>
        <w:t>DECRETOS</w:t>
      </w:r>
      <w:r w:rsidR="008F7B30" w:rsidRPr="002C1480">
        <w:rPr>
          <w:rFonts w:ascii="Arial" w:eastAsia="Times New Roman" w:hAnsi="Arial" w:cs="Arial"/>
          <w:color w:val="000000"/>
          <w:lang w:eastAsia="es-CO"/>
        </w:rPr>
        <w:t xml:space="preserve"> que aprueban los programas de enajenación de la </w:t>
      </w:r>
      <w:r w:rsidR="008F7B30" w:rsidRPr="002C1480">
        <w:rPr>
          <w:rFonts w:ascii="Arial" w:eastAsia="Times New Roman" w:hAnsi="Arial" w:cs="Arial"/>
          <w:color w:val="000000"/>
          <w:lang w:eastAsia="es-CO"/>
        </w:rPr>
        <w:lastRenderedPageBreak/>
        <w:t>propiedad accionaria estatal de las diferentes entidades, se deberá transferir a favor de la Nación-Ministerio de Hacienda y Crédito Público, el derecho de propiedad sobre todas las obras de arte y demás bienes relacionados con el patrimonio histórico y cultural que a la fecha de enajenación de las respectivas participaciones estatales, eran propiedad de las entidades objeto de dichos procesos y que no hayan sido objeto de declaratoria de bien de interés cultural, por parte del Ministerio de Cultura. En los casos en que dichos bienes ya hayan sido declarados bienes de interés cultural las entidades deberán transferirlos directamente al Ministerio de Cultura, debiendo informar de dicha trasferencia al Ministerio de Hacienda y Crédito Público. </w:t>
      </w:r>
    </w:p>
    <w:p w14:paraId="306D3090" w14:textId="021FBBF9"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80" w:name="ver_30057030"/>
      <w:bookmarkEnd w:id="480"/>
    </w:p>
    <w:p w14:paraId="67ECD77B" w14:textId="672BC6A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2.5.1.1.2. Plazo. Dentro de los 30 días hábiles siguientes a la enajenación de la propiedad accionaria estatal, la entidad objeto del proceso de enajenación deberá remitir al Ministerio de Hacienda y Crédito Público la totalidad de las obras de arte y demás bienes relacionados con el patrimonio histórico y cultural de propiedad de dicha entidad. La entrega se deberá acompañar de una relación que deberá contener como mínimo: </w:t>
      </w:r>
    </w:p>
    <w:p w14:paraId="04137B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6FF43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Avalúo de las obras de arte; </w:t>
      </w:r>
    </w:p>
    <w:p w14:paraId="33F9285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8C7D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Certificado de originalidad, si procede; </w:t>
      </w:r>
    </w:p>
    <w:p w14:paraId="40C1E0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C706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Informe acerca del estado y ubicación de las obras de arte, y demás documentos que garanticen una recepción idónea y oportuna. </w:t>
      </w:r>
    </w:p>
    <w:p w14:paraId="364B61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E42A19" w14:textId="233F07F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Ministerio de Hacienda y Crédito Público, al momento de recibir las obras de arte y demás bienes relacionados con el patrimonio histórico y cultural deberá verificar la información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surtido lo cual, deberá suscribir la correspondiente acta de recepción. </w:t>
      </w:r>
    </w:p>
    <w:p w14:paraId="402FC2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4DEB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Respecto de los procesos de enajenación de la propiedad accionaria estatal que a 27 de diciembre de 2006 hubiesen finalizado, las entidades públicas titulares de las participaciones objeto de dichos procesos, coordinarán con el Ministerio de Hacienda y Crédito Público la entrega de obras de arte y demás bienes relacionados con el patrimonio histórico y cultural. </w:t>
      </w:r>
    </w:p>
    <w:p w14:paraId="5F0B582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81" w:name="ver_30057031"/>
      <w:bookmarkEnd w:id="481"/>
    </w:p>
    <w:p w14:paraId="5142FF01" w14:textId="2F3C9C3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2.5.1.1.3. Competencia. Es competencia exclusiva del Ministerio de Hacienda y Crédito Público en su calidad de coordinador de los procesos de enajenación de activos y propiedad accionaria de la Nación, una vez recibidas las obras de arte y demás bienes relacionados con el patrimonio histórico y cultural propiedad de las entidades objeto de estos procesos realizar ante el Ministerio de Cultura los trámites a que haya lugar de conformidad con lo dispuesto por la Ley 397 de 1997. </w:t>
      </w:r>
    </w:p>
    <w:p w14:paraId="123DB3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28F6DA" w14:textId="653A6A0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Ministerio de Hacienda y Crédito Público en ejercicio de la competencia a que alude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será el encargado de ordenar mediante resolución la entrega de las obras de arte y demás bienes relacionados con el patrimonio histórico y cultural a otras entidades o de suscribir los convenios o contratos necesarios para disponer sobre la administración, custodia y uso de dichos bienes, cuando a ello haya lugar, y previa la autorización del Ministerio de la Cultura, en los casos previstos por la ley. </w:t>
      </w:r>
    </w:p>
    <w:p w14:paraId="07339C14" w14:textId="77777777" w:rsidR="0093512F" w:rsidRDefault="0093512F" w:rsidP="00C32F85">
      <w:pPr>
        <w:spacing w:after="0" w:line="293" w:lineRule="atLeast"/>
        <w:jc w:val="both"/>
        <w:rPr>
          <w:rFonts w:ascii="Arial" w:eastAsia="Times New Roman" w:hAnsi="Arial" w:cs="Arial"/>
          <w:color w:val="000000"/>
          <w:lang w:eastAsia="es-CO"/>
        </w:rPr>
      </w:pPr>
      <w:bookmarkStart w:id="482" w:name="ver_30057032"/>
      <w:bookmarkEnd w:id="482"/>
    </w:p>
    <w:p w14:paraId="714B3C11" w14:textId="167AFC74"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2</w:t>
      </w:r>
    </w:p>
    <w:p w14:paraId="6E4C415F"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ENAJENACIÓN DE LA PROPIEDAD ACCIONARIA A TRABAJADORES</w:t>
      </w:r>
    </w:p>
    <w:p w14:paraId="7E74DA9C"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Y EXTRABAJADORES</w:t>
      </w:r>
    </w:p>
    <w:p w14:paraId="63F391A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83" w:name="ver_30057033"/>
      <w:bookmarkEnd w:id="483"/>
    </w:p>
    <w:p w14:paraId="12286F32" w14:textId="5D6A339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2.5.1.2.1. Adquisición de acciones por parte de trabajadores y ex trabajadores. Cuando el Estado enajene la propiedad accionaria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 de la Ley 226 de 1995, los trabajadores y ex trabajadores destinatarios de las condiciones especiales a que se refiere la citada ley, podrán adquirir acciones utilizando, entre otros recursos, las cesantías disponibles que tengan acumuladas, conforme a lo previsto en el presente capítulo. </w:t>
      </w:r>
    </w:p>
    <w:p w14:paraId="1F8631E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84" w:name="ver_30057034"/>
      <w:bookmarkEnd w:id="484"/>
    </w:p>
    <w:p w14:paraId="7A34173E" w14:textId="27D9EEA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2.5.1.2.2. Condiciones especiales para el destinatario. El trabajador o extrabajador destinatario de las condiciones especiales, por lo menos quince (15) días calendario antes de la fecha de vencimiento del plazo de la correspondiente oferta, deberá manifestar por escrito al empleador o a la entidad administradora de sus cesantías, según el caso, su intención de adquirir acciones en desarrollo de un programa de enajenación de propiedad accionaria del Estado, señalando el monto de las cesantías que pretende comprometer para este fin. </w:t>
      </w:r>
    </w:p>
    <w:p w14:paraId="434E333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85" w:name="ver_30057035"/>
      <w:bookmarkEnd w:id="485"/>
    </w:p>
    <w:p w14:paraId="2A0EFE06" w14:textId="414BCFE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2.5.1.2.3. Giro de cesantías. Adjudicadas las acciones, el trabajador o extrabajador, procederá de inmediato a solicitar al empleador o a la entidad encargada del manejo de sus cesantías, que gire directamente a la entidad vendedora o al comisionista de bolsa, según el caso, el valor de las cesantías que corresponda para el efecto, anexando el respectivo comprobante de adjudicación. </w:t>
      </w:r>
    </w:p>
    <w:p w14:paraId="1C3405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C3A0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empleador o la entidad administradora de cesantías, en forma inmediata girará directamente a la entidad vendedora o al comisionista de bolsa, según el caso, el valor autorizado por el beneficiario de la adjudicación de acciones, so pena de asumir las responsabilidades contractuales y extracontractuales que puedan derivarse de su incumplimiento. </w:t>
      </w:r>
    </w:p>
    <w:p w14:paraId="21F3584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86" w:name="ver_30057036"/>
      <w:bookmarkEnd w:id="486"/>
    </w:p>
    <w:p w14:paraId="0F8E3F2A" w14:textId="109342F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2.5.1.2.4. Control y vigilancia. Las autoridades competentes serán las encargadas de ejercer el control y vigilancia sobre los empleadores y las entidades encargadas del manejo de las cesantías, en relación con el cumplimiento de las disposiciones contenidas en este capítulo. </w:t>
      </w:r>
    </w:p>
    <w:p w14:paraId="5F19D7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6ECC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anterior sin perjuicio de las funciones de inspección y vigilancia que ejercen las entidades competentes sobre los fondos privados de cesantías. </w:t>
      </w:r>
    </w:p>
    <w:p w14:paraId="5E58B2DE" w14:textId="380EA11E" w:rsidR="008F7B30" w:rsidRPr="0093512F" w:rsidRDefault="008F7B30" w:rsidP="0093512F">
      <w:pPr>
        <w:spacing w:after="0" w:line="254" w:lineRule="atLeast"/>
        <w:jc w:val="center"/>
        <w:rPr>
          <w:rFonts w:ascii="Arial" w:eastAsia="Times New Roman" w:hAnsi="Arial" w:cs="Arial"/>
          <w:b/>
          <w:bCs/>
          <w:color w:val="000000"/>
          <w:lang w:eastAsia="es-CO"/>
        </w:rPr>
      </w:pPr>
    </w:p>
    <w:p w14:paraId="0BD2DEAB" w14:textId="61F75CA4" w:rsidR="008F7B30" w:rsidRPr="0093512F" w:rsidRDefault="008F7B30" w:rsidP="0093512F">
      <w:pPr>
        <w:spacing w:after="0" w:line="240" w:lineRule="auto"/>
        <w:jc w:val="center"/>
        <w:rPr>
          <w:rFonts w:ascii="Arial" w:eastAsia="Times New Roman" w:hAnsi="Arial" w:cs="Arial"/>
          <w:b/>
          <w:bCs/>
          <w:color w:val="000000"/>
          <w:lang w:eastAsia="es-CO"/>
        </w:rPr>
      </w:pPr>
      <w:bookmarkStart w:id="487" w:name="ver_30202864"/>
      <w:bookmarkEnd w:id="487"/>
      <w:r w:rsidRPr="0093512F">
        <w:rPr>
          <w:rFonts w:ascii="Arial" w:eastAsia="Times New Roman" w:hAnsi="Arial" w:cs="Arial"/>
          <w:b/>
          <w:bCs/>
          <w:color w:val="000000"/>
          <w:lang w:eastAsia="es-CO"/>
        </w:rPr>
        <w:t>TITULO 2MOVILIZACIÓN DE ACTIVOS, PLANES DE ENAJENACIÓN ONEROSA Y ENAJENACIÓN DE PARTICIPACIONES MINORITARIAS</w:t>
      </w:r>
    </w:p>
    <w:p w14:paraId="4405AFA8" w14:textId="77777777" w:rsidR="008F7B30" w:rsidRPr="002C1480" w:rsidRDefault="008F7B30" w:rsidP="0093512F">
      <w:pPr>
        <w:spacing w:after="0" w:line="240" w:lineRule="auto"/>
        <w:jc w:val="both"/>
        <w:rPr>
          <w:rFonts w:ascii="Arial" w:eastAsia="Times New Roman" w:hAnsi="Arial" w:cs="Arial"/>
          <w:color w:val="000000"/>
          <w:lang w:eastAsia="es-CO"/>
        </w:rPr>
      </w:pPr>
      <w:bookmarkStart w:id="488" w:name="ver_30103642"/>
      <w:bookmarkStart w:id="489" w:name="ver_30103641"/>
      <w:bookmarkEnd w:id="488"/>
    </w:p>
    <w:p w14:paraId="29308A10" w14:textId="5A486B00" w:rsidR="008F7B30" w:rsidRPr="002C1480" w:rsidRDefault="002C148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2.5.2.1</w:t>
      </w:r>
      <w:r w:rsidR="00AF529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Definiciones:  </w:t>
      </w:r>
    </w:p>
    <w:p w14:paraId="462D4CF9" w14:textId="77777777"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EEB908" w14:textId="3B66BA77"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Activos inmobiliarios. Son todos los inmuebles de propiedad de la entidad pública. Para efectos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entiende por activos inmobiliarios el derecho proindiviso o cuota de entidades públicas sobre bienes inmuebles, así como derechos fiduciarios en fideicomisos que tienen como bien(es) fideicomitido(s) inmuebles.  </w:t>
      </w:r>
    </w:p>
    <w:p w14:paraId="2B3D5A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B923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Bienes inmuebles requeridos para el ejercicio sus funciones: Aquellos Activos Inmobiliarios propiedad de las entidades públicas que cumplan con una o varias de las siguientes condiciones:  </w:t>
      </w:r>
    </w:p>
    <w:p w14:paraId="38A307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57DE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Que actualmente se estén utilizando por la entidad pública;  </w:t>
      </w:r>
    </w:p>
    <w:p w14:paraId="02FFF6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ABB438" w14:textId="40AAEAC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 Que hagan parte de proyectos de Asociación Público Privada de los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233 de la Ley 1450 de 2011;  </w:t>
      </w:r>
    </w:p>
    <w:p w14:paraId="462DA6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57A6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iii) Que hagan parte de proyectos de inversión pública relacionados con las funciones de la entidad pública propietaria y cuenten con autorizaciones para comprometer recursos de vigencias futuras ordinarias o extraordinarias.  </w:t>
      </w:r>
    </w:p>
    <w:p w14:paraId="1D96A2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F1F6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CISA. Es el Colector de Activos Públicos, Central de Inversiones S. A. (CISA), sociedad comercial de economía mixta del orden nacional, vinculada al Ministerio de Hacienda y Crédito Público, de naturaleza única, sujeta en la celebración de todos sus actos y contratos, al régimen de derecho privado, encargada de contribuir a la adecuada gestión de activos estatales.  </w:t>
      </w:r>
    </w:p>
    <w:p w14:paraId="7B8AC2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4ECA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Gastos administrativos de los Activos Inmobiliarios: Son todos aquellos gastos derivados de servicios públicos, cuotas de administración, impuestos, tasas y contribuciones, seguros, avalúos o cualquier otro gasto relacionado con los Activos Inmobiliarios; así como todos aquellos que se requieran para la obtención de los paz y salvos pertinentes que permitan la escrituración y registro; y los derivados de la custodia, defensa, promoción y enajenación de los activos recibidos por CISA.  </w:t>
      </w:r>
    </w:p>
    <w:p w14:paraId="0ABA14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A0AC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Dichos gastos administrativos podrán corresponder tanto a períodos causados con anterioridad a la fecha de recibo del inmueble por parte de CISA, como a períodos posteriores.  </w:t>
      </w:r>
    </w:p>
    <w:p w14:paraId="71F4C9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E829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Modelo de Valoración: Es una herramienta técnica utilizada por CISA, que incorpora metodologías matemáticas, financieras y/o estadísticas, la cual es aprobada por la Junta Directiva de CISA y arroja el precio al cual las entidades públicas deben vender a CISA los diferentes activos. Igualmente, el Modelo de Valoración, junto con las políticas definidas por la Junta Directiva de CISA, arroja el precio al cual esta comercializa a terceros los activos adquiridos en desarrollo de su objeto social.  </w:t>
      </w:r>
    </w:p>
    <w:p w14:paraId="237C23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5D6E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Sistema de Información de Gestión de Activos (SIGA): El Sistema de Información de Gestión de Activos (SIGA) es la única herramienta de información de activos del Estado, en la cual se consolidan las características generales, técnicas, administrativas y jurídicas de los mismos.  </w:t>
      </w:r>
    </w:p>
    <w:p w14:paraId="577559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EB26E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Venta de Cartera: Venta de cartera que se hace a CISA por una entidad u organismo público, mediante contrato interadministrativo de compraventa o por parte de un patrimonio autónomo de remanentes de entidades públicas liquidadas.  </w:t>
      </w:r>
    </w:p>
    <w:p w14:paraId="173F78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FFB7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Cartera Vencida: Es aquella que presente 180 días o más:  </w:t>
      </w:r>
    </w:p>
    <w:p w14:paraId="052A99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560D2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De vencido el plazo para el pago total o de alguno de sus instalamentos; o  </w:t>
      </w:r>
    </w:p>
    <w:p w14:paraId="5643C8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61FC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De la ejecutoria del acto administrativo sancionatorio que dio origen a la cartera, contados a partir del día siguiente de la fecha de su vencimiento.  </w:t>
      </w:r>
    </w:p>
    <w:p w14:paraId="272631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474EAD" w14:textId="553457E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lo establecido en el parágrafo 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163 de la Ley 1753 de 2015, las entidades públicas podrán realizar la depuración definitiva de los saldos contables, en los eventos en que la cartera sea de imposible recaudo por la prescripción o caducidad de la acción, por la pérdida de fuerza ejecutoria del acto administrativo que le dio origen o por la inexistencia probada del deudor o su insolvencia demostrada y por tanto no sea posible ejercer los derechos de cobro o bien porque la relación costo-beneficio al realizar su cobro no resulta eficiente. En todos los casos se debe realizar un informe detallado de las causales por las cuales se depura.  </w:t>
      </w:r>
    </w:p>
    <w:p w14:paraId="6DA23C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F796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9. Administración de Cartera Vencida: Es el desarrollo de las actividades orientadas a la evaluación, seguimiento, control de la cartera, cobro prejurídico y jurídico, y en general el desarrollo de las gestiones conducentes a la obtención del pago.  </w:t>
      </w:r>
    </w:p>
    <w:p w14:paraId="4C5F09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025D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Cartera de Naturaleza Coactiva: Es aquella sobre la cual se ha iniciado proceso de cobro coactivo y se ha proferido el respectivo mandamiento de pago.  </w:t>
      </w:r>
    </w:p>
    <w:p w14:paraId="76DA3C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5071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Administración de Cartera de Naturaleza Coactiva: Es el desarrollo de las actividades orientadas a apoyar la gestión del cobro administrativo coactivo mediante la sustanciación de las etapas procesales del mismo, de conformidad con lo dispuesto en el Estatuto Tributario, en el Código General del Proceso y en el Código de Procedimiento Administrativo y de lo Contencioso Administrativo.  </w:t>
      </w:r>
    </w:p>
    <w:p w14:paraId="3D9E3F4B" w14:textId="77777777" w:rsidR="008F7B30" w:rsidRPr="002C1480" w:rsidRDefault="008F7B30" w:rsidP="00C32F85">
      <w:pPr>
        <w:spacing w:after="0" w:line="254" w:lineRule="atLeast"/>
        <w:jc w:val="both"/>
        <w:rPr>
          <w:rFonts w:ascii="Arial" w:eastAsia="Times New Roman" w:hAnsi="Arial" w:cs="Arial"/>
          <w:color w:val="000000"/>
          <w:lang w:eastAsia="es-CO"/>
        </w:rPr>
      </w:pPr>
      <w:bookmarkStart w:id="490" w:name="ver_30202865"/>
      <w:bookmarkStart w:id="491" w:name="ver_30057039"/>
      <w:bookmarkEnd w:id="489"/>
      <w:bookmarkEnd w:id="490"/>
    </w:p>
    <w:p w14:paraId="7AEEE5A0" w14:textId="77777777" w:rsidR="008F7B30" w:rsidRPr="0093512F" w:rsidRDefault="008F7B30" w:rsidP="0093512F">
      <w:pPr>
        <w:spacing w:after="0" w:line="293" w:lineRule="atLeast"/>
        <w:jc w:val="center"/>
        <w:rPr>
          <w:rFonts w:ascii="Arial" w:eastAsia="Times New Roman" w:hAnsi="Arial" w:cs="Arial"/>
          <w:b/>
          <w:bCs/>
          <w:color w:val="000000"/>
          <w:lang w:eastAsia="es-CO"/>
        </w:rPr>
      </w:pPr>
      <w:bookmarkStart w:id="492" w:name="ver_30103644"/>
      <w:bookmarkEnd w:id="491"/>
      <w:bookmarkEnd w:id="492"/>
      <w:r w:rsidRPr="0093512F">
        <w:rPr>
          <w:rFonts w:ascii="Arial" w:eastAsia="Times New Roman" w:hAnsi="Arial" w:cs="Arial"/>
          <w:b/>
          <w:bCs/>
          <w:color w:val="000000"/>
          <w:lang w:eastAsia="es-CO"/>
        </w:rPr>
        <w:t>CAPÍTULO 1</w:t>
      </w:r>
    </w:p>
    <w:p w14:paraId="39EC32F8"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INFORMACIÓN DE ACTIVOS DEL ESTADO</w:t>
      </w:r>
    </w:p>
    <w:p w14:paraId="02E0BE81" w14:textId="77777777" w:rsidR="0093512F" w:rsidRDefault="0093512F" w:rsidP="00C32F85">
      <w:pPr>
        <w:spacing w:after="0" w:line="293" w:lineRule="atLeast"/>
        <w:jc w:val="both"/>
        <w:rPr>
          <w:rFonts w:ascii="Arial" w:eastAsia="Times New Roman" w:hAnsi="Arial" w:cs="Arial"/>
          <w:color w:val="000000"/>
          <w:lang w:eastAsia="es-CO"/>
        </w:rPr>
      </w:pPr>
      <w:bookmarkStart w:id="493" w:name="ver_30103643"/>
      <w:bookmarkEnd w:id="493"/>
    </w:p>
    <w:p w14:paraId="13FCA68C" w14:textId="11B25E85"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1</w:t>
      </w:r>
    </w:p>
    <w:p w14:paraId="5E8E12D0"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INFORMACIÓN INMOBILIARIA DEL ESTADO</w:t>
      </w:r>
    </w:p>
    <w:p w14:paraId="0B749A1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94" w:name="ver_30103646"/>
      <w:bookmarkStart w:id="495" w:name="ver_30103645"/>
      <w:bookmarkEnd w:id="494"/>
    </w:p>
    <w:p w14:paraId="13494199" w14:textId="273DBAA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2.5.2.1.1.</w:t>
      </w:r>
      <w:r w:rsidR="00AF529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Administración del Sistema de Información de Gestión de Activos (SIGA). En su calidad de colector de activos públicos y coordinador de la gestión de activos del Estado, CISA, continuará con el desarrollo, administración y mantenimiento del Sistema de Gestión de Activos (SIGA), con el fin de contribuir a la normalización o monetización de los activos públicos.  </w:t>
      </w:r>
    </w:p>
    <w:p w14:paraId="7C6656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024D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tal forma CISA seguirá teniendo a su cargo la administración, mantenimiento y expansión del SIGA, así como la consolidación del inventario total de los activos del Estado, incluyendo aquellos que respaldan pasivo pensional y cuya gestión se desarrolle en disposiciones complementarias al presente título.  </w:t>
      </w:r>
    </w:p>
    <w:p w14:paraId="5C6820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89A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CISA podrá desarrollar todas las actividades que permitan la integración del SIGA con otros sistemas de información pública que puedan llegar a contribuir, directa o indirectamente, con el aseguramiento de la calidad de los datos sobre activos del Estado. Con la finalidad de asegurar la calidad de los datos reportados en el SIGA, las entidades públicas que administren información de activos públicos deberán facilitar los procesos de interoperabilidad y acceso masivo a la información a CISA.  </w:t>
      </w:r>
    </w:p>
    <w:p w14:paraId="6A8B3BA1" w14:textId="0EB833A4" w:rsidR="008F7B30" w:rsidRPr="002C1480" w:rsidRDefault="008F7B30" w:rsidP="0093512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496" w:name="ver_30103648"/>
      <w:bookmarkStart w:id="497" w:name="ver_30103647"/>
      <w:bookmarkEnd w:id="495"/>
      <w:bookmarkEnd w:id="496"/>
    </w:p>
    <w:p w14:paraId="7A7B7370" w14:textId="0C4E7DE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2.5.2.1.2.Reporte de información. Para los fines previstos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todas las entidades públicas del orden nacional, territorial y los órganos autónomos e independientes, cualquiera sea su naturaleza, incluidas las de naturaleza mixta con o sin ánimo de lucro, así como cualquier entidad, unidad o dependencia productora de información que se caracterice por ser unidad jurídica y/o administrativa y/o económica, que desarrolle funciones de cometido estatal y controlen, administren, manejen o de cualquier forma tengan a su cargo recursos públicos, deberán registrarse, reportar y/o actualizar, según el caso, la información general, técnica, administrativa y jurídica sobre todos sus activos al SIGA, incluyendo los que hayan recibido de entidades en liquidación y estén afectos al pasivo pensional, bajo los estándares, tiempos y frecuencias establecidos por el administrador del Sistema.  </w:t>
      </w:r>
    </w:p>
    <w:p w14:paraId="6D089B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4B1B23" w14:textId="61C274C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información deberá actualizarse una vez se presente un hecho o una situación jurídica que modifique de cualquier forma los datos reportados. Igualmente, cada vez que una entidad a las </w:t>
      </w:r>
      <w:r w:rsidRPr="002C1480">
        <w:rPr>
          <w:rFonts w:ascii="Arial" w:eastAsia="Times New Roman" w:hAnsi="Arial" w:cs="Arial"/>
          <w:color w:val="000000"/>
          <w:lang w:eastAsia="es-CO"/>
        </w:rPr>
        <w:lastRenderedPageBreak/>
        <w:t xml:space="preserve">que hace referencia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adquiera un activo fijo inmobiliario deberá reportarlo al SIGA a partir de la fecha de inscripción del acto de adquisición en el registro de instrumentos públicos.  </w:t>
      </w:r>
    </w:p>
    <w:p w14:paraId="225D15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10F4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públicas deberán reportar los activos en el momento en que los adquieran.  </w:t>
      </w:r>
    </w:p>
    <w:p w14:paraId="6D910A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3D77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CISA definirá y divulgará los procedimientos, tiempos y frecuencias para el reporte y actualización de la información de activos en el SIGA. En ese mismo sentido, los representantes legales de cada entidad obligada a reportar y los funcionarios autorizados por este para el reporte de datos serán responsables del cumplimiento del reporte bajo los estándares definidos y de la pertinencia, exactitud, oportunidad, accesibilidad, interpretabilidad, coherencia, integridad y consistencia de los datos suministrados.  </w:t>
      </w:r>
    </w:p>
    <w:p w14:paraId="012858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D6CB57" w14:textId="28D9632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entidades cabeza de sector, dentro del límite de sus competencias, deberán velar porque las entidades adscritas o vinculadas cumplan con la obligación contenida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aún en el caso de que estas se encuentren en proceso de liquidación. </w:t>
      </w:r>
    </w:p>
    <w:p w14:paraId="03DBAA9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498" w:name="ver_30103650"/>
      <w:bookmarkStart w:id="499" w:name="ver_30103649"/>
      <w:bookmarkEnd w:id="497"/>
      <w:bookmarkEnd w:id="498"/>
    </w:p>
    <w:p w14:paraId="1D2C3282" w14:textId="20243BC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2.5.2.1.3.Garantía de la calidad de la información. Los representantes de las entidades públicas obligadas a reportar la información, deberán garantizar la oportunidad de los reportes, al igual que la idoneidad del personal responsable del reporte, para cuyo efecto deberá registrarse en el SIGA cualquier cambio o novedad del personal autorizado por la entidad para el registro, reporte y/o actualización de la información en el Sistema.  </w:t>
      </w:r>
    </w:p>
    <w:p w14:paraId="73E9809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00" w:name="ver_30103652"/>
      <w:bookmarkStart w:id="501" w:name="ver_30103651"/>
      <w:bookmarkEnd w:id="499"/>
      <w:bookmarkEnd w:id="500"/>
    </w:p>
    <w:p w14:paraId="5FF83877" w14:textId="5A98803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2.5.2.1.4.Condiciones de la Información. Las entidades públicas obligadas a reportar la información, deberán registrar en el SIGA la información correspondiente a los indicadores establecidos por CISA que permitan medir la eficiencia en la gestión de los activos fijos inmobiliarios.  </w:t>
      </w:r>
    </w:p>
    <w:p w14:paraId="509B0B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DF72AE" w14:textId="77777777" w:rsidR="008F7B30" w:rsidRPr="0093512F" w:rsidRDefault="008F7B30" w:rsidP="0093512F">
      <w:pPr>
        <w:spacing w:after="0" w:line="293" w:lineRule="atLeast"/>
        <w:jc w:val="center"/>
        <w:rPr>
          <w:rFonts w:ascii="Arial" w:eastAsia="Times New Roman" w:hAnsi="Arial" w:cs="Arial"/>
          <w:b/>
          <w:bCs/>
          <w:color w:val="000000"/>
          <w:lang w:eastAsia="es-CO"/>
        </w:rPr>
      </w:pPr>
      <w:bookmarkStart w:id="502" w:name="ver_30103654"/>
      <w:bookmarkStart w:id="503" w:name="ver_30103640"/>
      <w:bookmarkEnd w:id="501"/>
      <w:bookmarkEnd w:id="502"/>
      <w:bookmarkEnd w:id="503"/>
      <w:r w:rsidRPr="0093512F">
        <w:rPr>
          <w:rFonts w:ascii="Arial" w:eastAsia="Times New Roman" w:hAnsi="Arial" w:cs="Arial"/>
          <w:b/>
          <w:bCs/>
          <w:color w:val="000000"/>
          <w:lang w:eastAsia="es-CO"/>
        </w:rPr>
        <w:t>CAPÍTULO 2</w:t>
      </w:r>
    </w:p>
    <w:p w14:paraId="4A3F62E3"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VENTA DE CARTERA A CISA</w:t>
      </w:r>
    </w:p>
    <w:p w14:paraId="7F14A7BE" w14:textId="77777777" w:rsidR="0093512F" w:rsidRDefault="0093512F" w:rsidP="00C32F85">
      <w:pPr>
        <w:spacing w:after="0" w:line="293" w:lineRule="atLeast"/>
        <w:jc w:val="both"/>
        <w:rPr>
          <w:rFonts w:ascii="Arial" w:eastAsia="Times New Roman" w:hAnsi="Arial" w:cs="Arial"/>
          <w:color w:val="000000"/>
          <w:lang w:eastAsia="es-CO"/>
        </w:rPr>
      </w:pPr>
    </w:p>
    <w:p w14:paraId="27FCD9CF" w14:textId="54E20CDF"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TÍTULO 2</w:t>
      </w:r>
    </w:p>
    <w:p w14:paraId="2A3C96F8"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MOVILIZACIÓN DE ACTIVOS, PLANES DE ENAJENACIÓN ONEROSA Y ENAJENACIÓN DE PARTICIPACIONES MINORITARIAS</w:t>
      </w:r>
    </w:p>
    <w:p w14:paraId="2F65FA6A" w14:textId="77777777" w:rsidR="0093512F" w:rsidRDefault="0093512F" w:rsidP="00C32F85">
      <w:pPr>
        <w:spacing w:after="0" w:line="293" w:lineRule="atLeast"/>
        <w:jc w:val="both"/>
        <w:rPr>
          <w:rFonts w:ascii="Arial" w:eastAsia="Times New Roman" w:hAnsi="Arial" w:cs="Arial"/>
          <w:color w:val="000000"/>
          <w:lang w:eastAsia="es-CO"/>
        </w:rPr>
      </w:pPr>
      <w:bookmarkStart w:id="504" w:name="ver_30103412"/>
      <w:bookmarkEnd w:id="504"/>
    </w:p>
    <w:p w14:paraId="3326CD26" w14:textId="0AAD24B5"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3</w:t>
      </w:r>
    </w:p>
    <w:p w14:paraId="72990132"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OPERACIÓN DEL SISTEMA DE SEGURO DE CRÉDITO A LA EXPORTACIÓN</w:t>
      </w:r>
    </w:p>
    <w:p w14:paraId="00491134" w14:textId="77777777" w:rsidR="0093512F" w:rsidRDefault="0093512F" w:rsidP="00C32F85">
      <w:pPr>
        <w:spacing w:after="0" w:line="293" w:lineRule="atLeast"/>
        <w:jc w:val="both"/>
        <w:rPr>
          <w:rFonts w:ascii="Arial" w:eastAsia="Times New Roman" w:hAnsi="Arial" w:cs="Arial"/>
          <w:color w:val="000000"/>
          <w:lang w:eastAsia="es-CO"/>
        </w:rPr>
      </w:pPr>
      <w:bookmarkStart w:id="505" w:name="ver_30103381"/>
      <w:bookmarkEnd w:id="505"/>
    </w:p>
    <w:p w14:paraId="27DAFC75" w14:textId="05C20BBD"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2</w:t>
      </w:r>
    </w:p>
    <w:p w14:paraId="4D7AD1F4" w14:textId="77777777" w:rsidR="008F7B30" w:rsidRPr="0093512F" w:rsidRDefault="008F7B30" w:rsidP="0093512F">
      <w:pPr>
        <w:spacing w:after="0" w:line="293" w:lineRule="atLeast"/>
        <w:jc w:val="center"/>
        <w:rPr>
          <w:rFonts w:ascii="Arial" w:eastAsia="Times New Roman" w:hAnsi="Arial" w:cs="Arial"/>
          <w:b/>
          <w:bCs/>
          <w:color w:val="000000"/>
          <w:lang w:eastAsia="es-CO"/>
        </w:rPr>
      </w:pPr>
      <w:bookmarkStart w:id="506" w:name="ver_30102816"/>
      <w:bookmarkEnd w:id="506"/>
      <w:r w:rsidRPr="0093512F">
        <w:rPr>
          <w:rFonts w:ascii="Arial" w:eastAsia="Times New Roman" w:hAnsi="Arial" w:cs="Arial"/>
          <w:b/>
          <w:bCs/>
          <w:color w:val="000000"/>
          <w:lang w:eastAsia="es-CO"/>
        </w:rPr>
        <w:t>PARTE 15</w:t>
      </w:r>
    </w:p>
    <w:p w14:paraId="7BD55587"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DISPOSICIONES ESPECÍFICAS AL FONDO PARA EL DESARROLLO DEL PLAN TODOS SOMOS PAZCÍFICO</w:t>
      </w:r>
    </w:p>
    <w:p w14:paraId="4D24E030" w14:textId="77777777" w:rsidR="0093512F" w:rsidRDefault="0093512F" w:rsidP="00C32F85">
      <w:pPr>
        <w:spacing w:after="0" w:line="293" w:lineRule="atLeast"/>
        <w:jc w:val="both"/>
        <w:rPr>
          <w:rFonts w:ascii="Arial" w:eastAsia="Times New Roman" w:hAnsi="Arial" w:cs="Arial"/>
          <w:color w:val="000000"/>
          <w:lang w:eastAsia="es-CO"/>
        </w:rPr>
      </w:pPr>
      <w:bookmarkStart w:id="507" w:name="ver_30103653"/>
      <w:bookmarkEnd w:id="507"/>
    </w:p>
    <w:p w14:paraId="0A8A4A4B" w14:textId="21AB8BF4"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2</w:t>
      </w:r>
    </w:p>
    <w:p w14:paraId="7650E3BA" w14:textId="77777777" w:rsidR="008F7B30" w:rsidRPr="0093512F" w:rsidRDefault="008F7B30" w:rsidP="0093512F">
      <w:pPr>
        <w:spacing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CESIÓN DE CARTERA AL COLECTOR DE ACTIVOS PÚBLICOS (CISA)</w:t>
      </w:r>
    </w:p>
    <w:p w14:paraId="183D5786" w14:textId="77777777" w:rsidR="008F7B30" w:rsidRPr="0093512F" w:rsidRDefault="008F7B30" w:rsidP="0093512F">
      <w:pPr>
        <w:spacing w:after="0" w:line="293" w:lineRule="atLeast"/>
        <w:jc w:val="center"/>
        <w:rPr>
          <w:rFonts w:ascii="Arial" w:eastAsia="Times New Roman" w:hAnsi="Arial" w:cs="Arial"/>
          <w:b/>
          <w:bCs/>
          <w:color w:val="000000"/>
          <w:lang w:eastAsia="es-CO"/>
        </w:rPr>
      </w:pPr>
      <w:bookmarkStart w:id="508" w:name="ver_30103446"/>
      <w:bookmarkEnd w:id="508"/>
      <w:r w:rsidRPr="0093512F">
        <w:rPr>
          <w:rFonts w:ascii="Arial" w:eastAsia="Times New Roman" w:hAnsi="Arial" w:cs="Arial"/>
          <w:b/>
          <w:bCs/>
          <w:color w:val="000000"/>
          <w:lang w:eastAsia="es-CO"/>
        </w:rPr>
        <w:t>CAPÍTULO 5</w:t>
      </w:r>
    </w:p>
    <w:p w14:paraId="04537A63" w14:textId="77777777" w:rsidR="008F7B30" w:rsidRPr="0093512F" w:rsidRDefault="008F7B30"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RÉGIMEN DE INVERSIONES</w:t>
      </w:r>
    </w:p>
    <w:p w14:paraId="179E2963" w14:textId="6108196F" w:rsidR="008F7B30" w:rsidRPr="0093512F" w:rsidRDefault="0093512F" w:rsidP="0093512F">
      <w:pPr>
        <w:spacing w:after="0" w:line="293" w:lineRule="atLeast"/>
        <w:jc w:val="center"/>
        <w:rPr>
          <w:rFonts w:ascii="Arial" w:eastAsia="Times New Roman" w:hAnsi="Arial" w:cs="Arial"/>
          <w:b/>
          <w:bCs/>
          <w:color w:val="000000"/>
          <w:lang w:eastAsia="es-CO"/>
        </w:rPr>
      </w:pPr>
      <w:bookmarkStart w:id="509" w:name="ver_30103428"/>
      <w:bookmarkEnd w:id="509"/>
      <w:r w:rsidRPr="0093512F">
        <w:rPr>
          <w:rFonts w:ascii="Arial" w:eastAsia="Times New Roman" w:hAnsi="Arial" w:cs="Arial"/>
          <w:b/>
          <w:bCs/>
          <w:color w:val="000000"/>
          <w:lang w:eastAsia="es-CO"/>
        </w:rPr>
        <w:lastRenderedPageBreak/>
        <w:t>CAPÍTULO 4</w:t>
      </w:r>
    </w:p>
    <w:p w14:paraId="29A68A3E" w14:textId="291B263D" w:rsidR="008F7B30" w:rsidRPr="0093512F"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RESERVAS TÉCNICAS</w:t>
      </w:r>
    </w:p>
    <w:p w14:paraId="56C1BF0E" w14:textId="77777777" w:rsidR="0093512F" w:rsidRDefault="0093512F" w:rsidP="0093512F">
      <w:pPr>
        <w:spacing w:after="0" w:line="293" w:lineRule="atLeast"/>
        <w:jc w:val="center"/>
        <w:rPr>
          <w:rFonts w:ascii="Arial" w:eastAsia="Times New Roman" w:hAnsi="Arial" w:cs="Arial"/>
          <w:b/>
          <w:bCs/>
          <w:color w:val="000000"/>
          <w:lang w:eastAsia="es-CO"/>
        </w:rPr>
      </w:pPr>
      <w:bookmarkStart w:id="510" w:name="ver_30103352"/>
      <w:bookmarkEnd w:id="510"/>
    </w:p>
    <w:p w14:paraId="54652608" w14:textId="5D515962" w:rsidR="008F7B30" w:rsidRPr="0093512F"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PARTE 16</w:t>
      </w:r>
    </w:p>
    <w:p w14:paraId="4770E709" w14:textId="46BD5311" w:rsidR="008F7B30"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SISTEMA DE SEGURO DE CRÉDITO A LA EXPORTACIÓN</w:t>
      </w:r>
    </w:p>
    <w:p w14:paraId="50126DA6" w14:textId="77777777" w:rsidR="0093512F" w:rsidRPr="0093512F" w:rsidRDefault="0093512F" w:rsidP="0093512F">
      <w:pPr>
        <w:spacing w:after="0" w:line="293" w:lineRule="atLeast"/>
        <w:jc w:val="center"/>
        <w:rPr>
          <w:rFonts w:ascii="Arial" w:eastAsia="Times New Roman" w:hAnsi="Arial" w:cs="Arial"/>
          <w:b/>
          <w:bCs/>
          <w:color w:val="000000"/>
          <w:lang w:eastAsia="es-CO"/>
        </w:rPr>
      </w:pPr>
    </w:p>
    <w:p w14:paraId="515C0DD9" w14:textId="74C27AA0" w:rsidR="008F7B30" w:rsidRPr="0093512F"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TÍTULO 1</w:t>
      </w:r>
    </w:p>
    <w:p w14:paraId="538C25E8" w14:textId="39909979" w:rsidR="008F7B30" w:rsidRPr="0093512F"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GARANTÍA DE LA NACIÓN SOBRE RIESGOS POLÍTICOS Y EXTRAORDINARIOS</w:t>
      </w:r>
    </w:p>
    <w:p w14:paraId="42971A96" w14:textId="27F261E1" w:rsidR="008F7B30" w:rsidRPr="0093512F"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CAPÍTULO 1</w:t>
      </w:r>
    </w:p>
    <w:p w14:paraId="39E3B626" w14:textId="10C4295B" w:rsidR="008F7B30" w:rsidRPr="0093512F" w:rsidRDefault="0093512F" w:rsidP="0093512F">
      <w:pPr>
        <w:spacing w:after="0" w:line="293" w:lineRule="atLeast"/>
        <w:jc w:val="center"/>
        <w:rPr>
          <w:rFonts w:ascii="Arial" w:eastAsia="Times New Roman" w:hAnsi="Arial" w:cs="Arial"/>
          <w:b/>
          <w:bCs/>
          <w:color w:val="000000"/>
          <w:lang w:eastAsia="es-CO"/>
        </w:rPr>
      </w:pPr>
      <w:r w:rsidRPr="0093512F">
        <w:rPr>
          <w:rFonts w:ascii="Arial" w:eastAsia="Times New Roman" w:hAnsi="Arial" w:cs="Arial"/>
          <w:b/>
          <w:bCs/>
          <w:color w:val="000000"/>
          <w:lang w:eastAsia="es-CO"/>
        </w:rPr>
        <w:t>DISPOSICIONES GENERALES</w:t>
      </w:r>
    </w:p>
    <w:p w14:paraId="0A19AE3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11" w:name="ver_30103656"/>
      <w:bookmarkStart w:id="512" w:name="ver_30103655"/>
      <w:bookmarkEnd w:id="511"/>
    </w:p>
    <w:p w14:paraId="163DD78A" w14:textId="07F63DC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2.5.2.2.1.</w:t>
      </w:r>
      <w:r w:rsidR="00AF529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Modelo de valoración de cartera. Las condiciones incluidas en el Modelo de Valoración de Cartera para la fijación del precio de la cartera a adquirir, serán las siguientes:  </w:t>
      </w:r>
    </w:p>
    <w:p w14:paraId="5D8295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A4F3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construcción del flujo de caja de las obligaciones, según las condiciones actuales de la misma, tales como la existencia y cubrimiento de las garantías, edad de mora, la etapa procesal en caso de que esté judicializada, contingencia procesal, posibilidad de prescripción de la obligación o de caducidad de la acción, gastos administrativos, extrajudiciales y judiciales y de gestión asociados a la cobranza de la cartera a futuro, entre otros.  </w:t>
      </w:r>
    </w:p>
    <w:p w14:paraId="5429A5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BA9D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estimación de la tasa de descuento del flujo en función de los ingresos, costos y gastos asociados a la cartera, incluyendo además los factores de riesgo inherentes al deudor, a la(s) garantía(s) que ampara(n) la cartera y a la operación, que puedan afectar el pago normal de las obligaciones.  </w:t>
      </w:r>
    </w:p>
    <w:p w14:paraId="7E3956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ACB16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precio máximo será el valor presente neto (VPN) del flujo, teniendo en cuenta la tasa de descuento.  </w:t>
      </w:r>
    </w:p>
    <w:p w14:paraId="141F86C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8254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demás consideraciones aceptadas para este tipo de operaciones.  </w:t>
      </w:r>
    </w:p>
    <w:p w14:paraId="5AF3E59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BBCF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la medida en que la valoración parte de la información entregada por las entidades públicas, el resultado obtenido podrá ser ajustado conforme a las condiciones fijadas en el contrato interadministrativo o en el acta de entrega, según sea el caso. </w:t>
      </w:r>
    </w:p>
    <w:p w14:paraId="66EA13E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13" w:name="ver_30103658"/>
      <w:bookmarkStart w:id="514" w:name="ver_30103657"/>
      <w:bookmarkEnd w:id="512"/>
      <w:bookmarkEnd w:id="513"/>
    </w:p>
    <w:p w14:paraId="3D09B6C5" w14:textId="0CADC8F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2.5.2.2.2.</w:t>
      </w:r>
      <w:r w:rsidR="00AF529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Forma de pago. El valor arrojado por el modelo de valoración se reflejará en el contrato interadministrativo o en el acta de entrega que se suscriba para la adquisición y será girado en los plazos fijados por CISA, atendiendo sus disponibilidades de caja, así: </w:t>
      </w:r>
    </w:p>
    <w:p w14:paraId="38B56C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00CE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Al Tesoro Nacional, en el caso de las entidades que hacen parte del presupuesto nacional; y </w:t>
      </w:r>
    </w:p>
    <w:p w14:paraId="70F83EC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8D8FCA" w14:textId="67E5A76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Directamente a los patrimonios autónomos de remanentes y a las entidades pertenecientes al sector descentralizado del nivel nacional cobijados por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238 de la Ley 1450 de 2011, así como los fondos especiales cuya ley de creación incluyan ingresos de capital por venta de bienes propios de las entidades a las que están adscritos como fuente de recursos. </w:t>
      </w:r>
    </w:p>
    <w:p w14:paraId="2E5BE8E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15" w:name="ver_30103659"/>
      <w:bookmarkEnd w:id="514"/>
      <w:bookmarkEnd w:id="515"/>
    </w:p>
    <w:p w14:paraId="17032536" w14:textId="4445F6C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2.5.2.2.3</w:t>
      </w:r>
      <w:r w:rsidR="00AF529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Administración de Cartera no Vencida y de Cartera de Naturaleza Coactiva. La Cartera no Vencida y la Cartera de Naturaleza Coactiva podrá ser administrada por CISA, para lo cual habrá de celebrarse el correspondiente contrato interadministrativo en el cual se establecerán las obligaciones de las partes y las comisiones que cobrará CISA por dicha gestión.  </w:t>
      </w:r>
    </w:p>
    <w:p w14:paraId="6EB758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0AB966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 la comisión que cobrará CISA por la administración de esta cartera podrá tener un componente fijo y/o uno variable y podrá ser descontado por CISA de los recursos que ingresen por la administración.  </w:t>
      </w:r>
    </w:p>
    <w:p w14:paraId="0590BD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AFE3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administración de cartera comprenderá las actividades tendientes a su gestión y cobro.  </w:t>
      </w:r>
    </w:p>
    <w:p w14:paraId="22BA3C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BC0387" w14:textId="4FAB5D4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Cartera no Vencida también podrá ser adquirida por CISA, de acuerdo con su Modelo de Valoración y atendiendo para el efecto los procedimientos y reglas establecidas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anteriores.  </w:t>
      </w:r>
    </w:p>
    <w:p w14:paraId="156D7723" w14:textId="77777777" w:rsidR="00496DEF" w:rsidRDefault="00496DEF" w:rsidP="00C32F85">
      <w:pPr>
        <w:spacing w:after="0" w:line="293" w:lineRule="atLeast"/>
        <w:jc w:val="both"/>
        <w:rPr>
          <w:rFonts w:ascii="Arial" w:eastAsia="Times New Roman" w:hAnsi="Arial" w:cs="Arial"/>
          <w:color w:val="000000"/>
          <w:lang w:eastAsia="es-CO"/>
        </w:rPr>
      </w:pPr>
      <w:bookmarkStart w:id="516" w:name="ver_30201135"/>
      <w:bookmarkEnd w:id="516"/>
    </w:p>
    <w:p w14:paraId="129D86A6" w14:textId="0983840C" w:rsidR="008F7B30" w:rsidRPr="00496DEF" w:rsidRDefault="008F7B30" w:rsidP="00496DEF">
      <w:pPr>
        <w:spacing w:after="0" w:line="293" w:lineRule="atLeast"/>
        <w:jc w:val="center"/>
        <w:rPr>
          <w:rFonts w:ascii="Arial" w:eastAsia="Times New Roman" w:hAnsi="Arial" w:cs="Arial"/>
          <w:b/>
          <w:bCs/>
          <w:color w:val="000000"/>
          <w:lang w:eastAsia="es-CO"/>
        </w:rPr>
      </w:pPr>
      <w:r w:rsidRPr="00496DEF">
        <w:rPr>
          <w:rFonts w:ascii="Arial" w:eastAsia="Times New Roman" w:hAnsi="Arial" w:cs="Arial"/>
          <w:b/>
          <w:bCs/>
          <w:color w:val="000000"/>
          <w:lang w:eastAsia="es-CO"/>
        </w:rPr>
        <w:t>CAPÍTULO 3.</w:t>
      </w:r>
    </w:p>
    <w:p w14:paraId="40434DC5" w14:textId="77777777" w:rsidR="008F7B30" w:rsidRPr="00496DEF" w:rsidRDefault="008F7B30" w:rsidP="00496DEF">
      <w:pPr>
        <w:spacing w:line="293" w:lineRule="atLeast"/>
        <w:jc w:val="center"/>
        <w:rPr>
          <w:rFonts w:ascii="Arial" w:eastAsia="Times New Roman" w:hAnsi="Arial" w:cs="Arial"/>
          <w:b/>
          <w:bCs/>
          <w:color w:val="000000"/>
          <w:lang w:eastAsia="es-CO"/>
        </w:rPr>
      </w:pPr>
      <w:r w:rsidRPr="00496DEF">
        <w:rPr>
          <w:rFonts w:ascii="Arial" w:eastAsia="Times New Roman" w:hAnsi="Arial" w:cs="Arial"/>
          <w:b/>
          <w:bCs/>
          <w:color w:val="000000"/>
          <w:lang w:eastAsia="es-CO"/>
        </w:rPr>
        <w:t>VENTA DE ACTIVOS INMOBILIARIOS A CISA.</w:t>
      </w:r>
    </w:p>
    <w:p w14:paraId="710B52A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17" w:name="ver_30103663"/>
      <w:bookmarkStart w:id="518" w:name="ver_30103662"/>
      <w:bookmarkEnd w:id="517"/>
    </w:p>
    <w:p w14:paraId="5A6E0969" w14:textId="60BCEB9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2.5.2.3.1</w:t>
      </w:r>
      <w:r w:rsidR="00AF5291">
        <w:rPr>
          <w:rFonts w:ascii="Arial" w:eastAsia="Times New Roman" w:hAnsi="Arial" w:cs="Arial"/>
          <w:color w:val="000000"/>
          <w:lang w:eastAsia="es-CO"/>
        </w:rPr>
        <w:t xml:space="preserve"> </w:t>
      </w:r>
      <w:r w:rsidR="008F7B30" w:rsidRPr="002C1480">
        <w:rPr>
          <w:rFonts w:ascii="Arial" w:eastAsia="Times New Roman" w:hAnsi="Arial" w:cs="Arial"/>
          <w:color w:val="000000"/>
          <w:lang w:eastAsia="es-CO"/>
        </w:rPr>
        <w:t xml:space="preserve">Venta de Activos Inmobiliarios no requeridos para el ejercicio de funciones. En cumplimiento de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163 de la Ley 1753 de 2015, modificatorio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238 de la Ley 1450 de 2011, las entidades públicas del orden nacional deberán vender a CISA todos aquellos Activos Inmobiliarios que no requieran para el ejercicio de sus funciones. Lo anterior, con excepción de las entidades financieras de carácter estatal, las Empresas Industriales y Comerciales del Estado, las Sociedades de Economía Mixta y las entidades en liquidación. </w:t>
      </w:r>
    </w:p>
    <w:p w14:paraId="3D2E360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19" w:name="ver_30103664"/>
      <w:bookmarkEnd w:id="518"/>
      <w:bookmarkEnd w:id="519"/>
    </w:p>
    <w:p w14:paraId="30DB8582" w14:textId="56FA5AF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2.5.2.3.2.Excepciones a la obligación de venta de inmuebles a CISA. Se exceptúan de la obligación de venta a CISA consagrada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163 de la Ley 1753 de 2015, modificatorio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238 de la Ley 1450 de 2011, aquellos activos inmobiliarios que, si bien no son requeridos por las entidades públicas del orden nacional para el ejercicio de sus funciones, presentan una o varias de las siguientes condiciones:  </w:t>
      </w:r>
    </w:p>
    <w:p w14:paraId="709D93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2A0C2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No existen físicamente, o no tienen identificación registral y catastral.  </w:t>
      </w:r>
    </w:p>
    <w:p w14:paraId="302214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7B6F3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Sean de uso o espacio público.  </w:t>
      </w:r>
    </w:p>
    <w:p w14:paraId="6867675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F3D82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que tengan algún gravamen o limitación que impida su enajenación o aquellos respecto de los cuales la entidad no tenga la posesión y/o la misma se encuentre en discusión.  </w:t>
      </w:r>
    </w:p>
    <w:p w14:paraId="62B7694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4F2D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Pesen sobre ellos condiciones resolutorias de dominio vigentes o procesos de cualquier tipo en contra de la entidad pública propietaria o esta hubiere iniciado algún proceso.  </w:t>
      </w:r>
    </w:p>
    <w:p w14:paraId="457F23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87D4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Estén ubicados en zonas declaradas de alto riesgo identificadas en el respectivo Plan de Ordenamiento Territorial y en los instrumentos que lo desarrollen y complementen, o en aquellas definidas por estudios geotécnicos que en cualquier momento adopte la correspondiente Administración Municipal, Distrital o el Departamento Archipiélago de San Andrés, Providencia y Santa Catalina.  </w:t>
      </w:r>
    </w:p>
    <w:p w14:paraId="2AE19F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A81D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Estén ubicados en zonas de cantera que hayan sufrido grave deterioro físico.  </w:t>
      </w:r>
    </w:p>
    <w:p w14:paraId="4880352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84E7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Tengan diferencias de áreas entre los títulos y la información catastral del inmueble.  </w:t>
      </w:r>
    </w:p>
    <w:p w14:paraId="7AAC1F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47B0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8. Se encuentren incluidos en los planes de ordenamiento territorial como zona de protección forestal, parques, zonas verdes o conservación ambiental, resguardos o zonas de asentamientos de comunidades protegidas.  </w:t>
      </w:r>
    </w:p>
    <w:p w14:paraId="315D0F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3439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Hayan sido declarados de Interés Cultural, conforme a la Ley 1185 de 2008.  </w:t>
      </w:r>
    </w:p>
    <w:p w14:paraId="208A65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7242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Aquellos cuyo valor de compra resulte ser cero (0) o negativo, conforme al Modelo de valoración de CISA.  </w:t>
      </w:r>
    </w:p>
    <w:p w14:paraId="527593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98868B" w14:textId="244032A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11. Se trate de inmuebles que se enmarquen en las condiciones establecidas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1° y 14 de la Ley 708 de 2001,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1001 de 2005.  </w:t>
      </w:r>
    </w:p>
    <w:p w14:paraId="0D6E23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64A2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Se trate de inmuebles a cargo del Fondo para la Rehabilitación, Inversión Social y Lucha contra el Crimen Organizado (Frisco) o de inmuebles especiales a cargo de la Sociedad de Activos Especiales (SAE).  </w:t>
      </w:r>
    </w:p>
    <w:p w14:paraId="10B312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E250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Amparen pasivos pensionales.  </w:t>
      </w:r>
    </w:p>
    <w:p w14:paraId="453ACE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FFCC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14. Inmuebles localizados en el exterior.  </w:t>
      </w:r>
    </w:p>
    <w:p w14:paraId="1F44B8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60A7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Se trate de activos inmobiliarios con destinación específica y que estén cumpliendo con tal destinación.  </w:t>
      </w:r>
    </w:p>
    <w:p w14:paraId="590178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8208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anterior de conformidad con la normativa aplicable en cada caso.  </w:t>
      </w:r>
    </w:p>
    <w:p w14:paraId="1F93FE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96BDE1" w14:textId="299D35F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los eventos previstos en los numerales 3, 4 y 7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CISA podrá tomar la decisión de adquirir los Activos Inmobiliarios para adelantar el proceso de saneamiento a que haya lugar, para proceder posteriormente, a su enajenación de conformidad con los procedimientos establecidos para el efecto. </w:t>
      </w:r>
    </w:p>
    <w:p w14:paraId="10B0AD79" w14:textId="77777777" w:rsidR="002B48C7" w:rsidRDefault="002B48C7" w:rsidP="00C32F85">
      <w:pPr>
        <w:spacing w:after="0" w:line="254" w:lineRule="atLeast"/>
        <w:jc w:val="both"/>
        <w:rPr>
          <w:rFonts w:ascii="Arial" w:eastAsia="Times New Roman" w:hAnsi="Arial" w:cs="Arial"/>
          <w:color w:val="000000"/>
          <w:lang w:eastAsia="es-CO"/>
        </w:rPr>
      </w:pPr>
    </w:p>
    <w:p w14:paraId="2A6A454E" w14:textId="0F642A1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2.5.2.3.3. Listado de bienes inmuebles susceptibles de enajenación a CISA. Las entidades públicas del orden nacional a las que hace referencia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163 de la Ley 1753 de 2015, deberán elaborar un listado de bienes inmuebles que no requieran para el ejercicio de sus funciones. Este listado deberá incluir la identificación de los inmuebles y las fechas programadas para realizar la venta a CISA.  </w:t>
      </w:r>
    </w:p>
    <w:p w14:paraId="49F17B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2C34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modelo para la elaboración del listado de bienes inmuebles susceptibles de enajenación se encontrará en el Sistema de Gestión de Activos (SIGA). Este listado debe publicarse por las entidades en el SIGA a más tardar el 31 de enero de cada vigencia fiscal.  </w:t>
      </w:r>
    </w:p>
    <w:p w14:paraId="4AF81FC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E8C6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entidades deberán modificar el listado de bienes susceptibles de enajenación, dentro de los primeros cinco (5) días de cada trimestre en el evento en que sea necesario incluir inmuebles que ya no se requieran para el ejercicio de sus funciones. </w:t>
      </w:r>
    </w:p>
    <w:p w14:paraId="3013BF3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20" w:name="ver_30103666"/>
      <w:bookmarkEnd w:id="520"/>
    </w:p>
    <w:p w14:paraId="009C1E2B" w14:textId="4D573A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2.5.2.3.4 Avalúo comercial. En todos los casos, para realizar la venta a CISA, las entidades deben contar con el avalúo comercial del inmueble realizado por el Instituto Geográfico Agustín Codazzi o por Lonjas de Inmuebles o Avaluadores que estén inscritos en el Registro Abierto de Avaluadores en los términos de la Ley 1673 de 2013. Estos avalúos deben tener una vigencia máxima de un año. No obstante, en el evento en que el avalúo se encuentre vencido, las </w:t>
      </w:r>
      <w:r w:rsidR="008F7B30" w:rsidRPr="002C1480">
        <w:rPr>
          <w:rFonts w:ascii="Arial" w:eastAsia="Times New Roman" w:hAnsi="Arial" w:cs="Arial"/>
          <w:color w:val="000000"/>
          <w:lang w:eastAsia="es-CO"/>
        </w:rPr>
        <w:lastRenderedPageBreak/>
        <w:t>partes podrán suscribir la correspondiente transferencia y acordar una cláusula de reajuste del precio, una vez se obtenga el nuevo avalúo. </w:t>
      </w:r>
    </w:p>
    <w:p w14:paraId="7A1BB73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21" w:name="ver_30103667"/>
      <w:bookmarkEnd w:id="521"/>
    </w:p>
    <w:p w14:paraId="14513A96" w14:textId="7B6C072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2.5.2.3.5.Precio y Forma de Pago. Tomando como base el valor del avalúo comercial, CISA realizará el análisis del inmueble según criterios técnicos, jurídicos y comerciales de acuerdo a su Modelo de Valoración, y fijará el precio de compra del inmueble. Esta metodología, junto con sus políticas y procedimientos será aplicable igualmente por CISA en el proceso de enajenación de los inmuebles a terceros en desarrollo de su actividad de movilización de los activos.  </w:t>
      </w:r>
    </w:p>
    <w:p w14:paraId="0B4152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08BE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CISA pagará el precio en los plazos que se establezcan en el correspondiente contrato interadministrativo, los cuales se pactarán atendiendo las disponibilidades de caja de CISA.  </w:t>
      </w:r>
    </w:p>
    <w:p w14:paraId="3E8873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C2ED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entidad propietaria de un activo inmobiliario podrá autorizar al Colector de Activos Públicos para contratar el avalúo y que se descuente su costo del precio de venta, sin perjuicio de que sea cancelado directamente por la Entidad Pública. </w:t>
      </w:r>
    </w:p>
    <w:p w14:paraId="79CDB7CC" w14:textId="77777777" w:rsidR="002B48C7" w:rsidRDefault="002B48C7" w:rsidP="00C32F85">
      <w:pPr>
        <w:spacing w:after="0" w:line="293" w:lineRule="atLeast"/>
        <w:jc w:val="both"/>
        <w:rPr>
          <w:rFonts w:ascii="Arial" w:eastAsia="Times New Roman" w:hAnsi="Arial" w:cs="Arial"/>
          <w:color w:val="000000"/>
          <w:lang w:eastAsia="es-CO"/>
        </w:rPr>
      </w:pPr>
      <w:bookmarkStart w:id="522" w:name="ver_30201136"/>
      <w:bookmarkEnd w:id="522"/>
    </w:p>
    <w:p w14:paraId="611DEDC5" w14:textId="1C0152AF" w:rsidR="008F7B30" w:rsidRPr="002B48C7" w:rsidRDefault="008F7B30"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SECCIÓN 1.</w:t>
      </w:r>
    </w:p>
    <w:p w14:paraId="543779AE" w14:textId="77777777" w:rsidR="008F7B30" w:rsidRPr="002B48C7" w:rsidRDefault="008F7B30" w:rsidP="002B48C7">
      <w:pPr>
        <w:spacing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ADMINISTRACIÓN Y COMERCIALIZACIÓN DE INMUEBLES NO SANEADOS O EXCLUIDOS.</w:t>
      </w:r>
    </w:p>
    <w:p w14:paraId="6F43DD4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23" w:name="ver_30103671"/>
      <w:bookmarkStart w:id="524" w:name="ver_30103670"/>
      <w:bookmarkEnd w:id="523"/>
    </w:p>
    <w:p w14:paraId="198BE6AD" w14:textId="6410FE19"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2.5.2.3.1.1.Comercialización y Administración de Inmuebles. Las entidades públicas podrán contratar los servicios del Colector de Activos Públicos para que este realice la comercialización, administración o saneamiento de los Activos Inmobiliarios que no sean comprados por CISA. El Contrato Interadministrativo suscrito entre CISA y la entidad pública definirá el alcance de las labores de administración y/o comercialización según las necesidades de la entidad estatal y bajo las políticas y procedimientos del Colector, cobrando por este servicio una comisión o tarifa.  </w:t>
      </w:r>
    </w:p>
    <w:p w14:paraId="7AF101FC" w14:textId="77777777" w:rsidR="002B48C7" w:rsidRPr="002C1480" w:rsidRDefault="002B48C7" w:rsidP="00C32F85">
      <w:pPr>
        <w:spacing w:after="0" w:line="254" w:lineRule="atLeast"/>
        <w:jc w:val="both"/>
        <w:rPr>
          <w:rFonts w:ascii="Arial" w:eastAsia="Times New Roman" w:hAnsi="Arial" w:cs="Arial"/>
          <w:color w:val="000000"/>
          <w:lang w:eastAsia="es-CO"/>
        </w:rPr>
      </w:pPr>
    </w:p>
    <w:p w14:paraId="271D29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estimar el valor de las comisiones y tarifas, CISA tendrá en cuenta las condiciones y actividades necesarias para desarrollar dicha labor y sus costos. La comisión podrá tener un componente fijo y/o uno variable.  </w:t>
      </w:r>
    </w:p>
    <w:p w14:paraId="24C380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2A12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comisiones y/o tarifas por las labores de administración y comercialización y en general los Gastos Administrativos de los Activos Inmobiliarios podrán ser descontados por el Colector de Activos Públicos de los recursos que perciba por dicha gestión y/o de los frutos recibidos durante la administración o de los valores recibidos de la venta. Si se determina que los frutos o recursos a percibir por la administración de los inmuebles no son suficientes para cubrir las comisiones de CISA o los Gastos Administrativos, esta informará a la entidad antes de la suscripción del contrato, para que la misma surta los trámites para la expedición de la disponibilidad presupuestal correspondiente.  </w:t>
      </w:r>
    </w:p>
    <w:p w14:paraId="1813AD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F150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CISA podrá adquirir de particulares o incluso de entidades públicas, inmuebles que sean requeridos por entidades públicas como sedes administrativas, para el ejercicio de sus funciones o para mejorar la gestión de los activos inmobiliarios de dichas entidades públicas, mediante la generación de valor por la rentabilidad y el óptimo aprovechamiento de los mismos. Las entidades públicas deberán vender a CISA la propiedad de las sedes antiguas que no sean requeridas por la entidad para el ejercicio de sus funciones.  </w:t>
      </w:r>
    </w:p>
    <w:p w14:paraId="55A506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EBF3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CISA también podrá adquirir bienes inmuebles cuya titularidad sea de particulares o de entidades públicas, para entregarlos a título de arrendamiento a las entidades públicas que lo requieran para el ejercicio de sus funciones. CISA fijará el canon de arrendamiento de acuerdo con sus políticas comerciales.  </w:t>
      </w:r>
    </w:p>
    <w:p w14:paraId="250D50C7" w14:textId="10B352C1" w:rsidR="008F7B30" w:rsidRPr="002C1480" w:rsidRDefault="008F7B30" w:rsidP="002B48C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25" w:name="ver_30103673"/>
      <w:bookmarkStart w:id="526" w:name="ver_30103672"/>
      <w:bookmarkEnd w:id="524"/>
      <w:bookmarkEnd w:id="525"/>
    </w:p>
    <w:p w14:paraId="0AE0BBC3" w14:textId="4724166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2.5.2.3.1.2.Transferencia de inmuebles recibidos en desarrollo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238 de la Ley 1450 de 2011. CISA podrá enajenar los inmuebles que le hubieren transferido las entidades públicas en desarrollo de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238 de la Ley 1450 de 2011 y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 de la Ley 1420 de 2010 y que a la fecha de expedición de la Ley 1753 de 2015 no hubieren sido enajenados por CISA, siguiendo para el efecto su modelo de valoración y sus políticas y procedimientos. </w:t>
      </w:r>
    </w:p>
    <w:p w14:paraId="10AFC9F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27" w:name="ver_30202866"/>
      <w:bookmarkStart w:id="528" w:name="ver_30057053"/>
      <w:bookmarkEnd w:id="526"/>
      <w:bookmarkEnd w:id="527"/>
    </w:p>
    <w:p w14:paraId="42E346CB" w14:textId="0E201F2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2.5.2.3.1.3. Derogado </w:t>
      </w:r>
    </w:p>
    <w:p w14:paraId="3F7D73A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29" w:name="ver_30202867"/>
      <w:bookmarkStart w:id="530" w:name="ver_30057054"/>
      <w:bookmarkEnd w:id="528"/>
      <w:bookmarkEnd w:id="529"/>
    </w:p>
    <w:p w14:paraId="4AC99126" w14:textId="3F52400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2.5.2.3.1.4. Derogado </w:t>
      </w:r>
    </w:p>
    <w:p w14:paraId="265B92E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31" w:name="ver_30202868"/>
      <w:bookmarkStart w:id="532" w:name="ver_30057055"/>
      <w:bookmarkEnd w:id="530"/>
      <w:bookmarkEnd w:id="531"/>
    </w:p>
    <w:p w14:paraId="22208623" w14:textId="3D54C2A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2.5.2.3.1.5. Derogado </w:t>
      </w:r>
    </w:p>
    <w:p w14:paraId="5BDF5E53" w14:textId="77777777" w:rsidR="002B48C7" w:rsidRDefault="002B48C7" w:rsidP="00C32F85">
      <w:pPr>
        <w:spacing w:after="0" w:line="293" w:lineRule="atLeast"/>
        <w:jc w:val="both"/>
        <w:rPr>
          <w:rFonts w:ascii="Arial" w:eastAsia="Times New Roman" w:hAnsi="Arial" w:cs="Arial"/>
          <w:color w:val="000000"/>
          <w:lang w:eastAsia="es-CO"/>
        </w:rPr>
      </w:pPr>
      <w:bookmarkStart w:id="533" w:name="ver_30201137"/>
      <w:bookmarkEnd w:id="532"/>
      <w:bookmarkEnd w:id="533"/>
    </w:p>
    <w:p w14:paraId="4FCBC1A3" w14:textId="23327E9B" w:rsidR="008F7B30" w:rsidRPr="002B48C7" w:rsidRDefault="008F7B30" w:rsidP="002B48C7">
      <w:pPr>
        <w:spacing w:after="0" w:line="293" w:lineRule="atLeast"/>
        <w:jc w:val="center"/>
        <w:rPr>
          <w:rFonts w:ascii="Arial" w:eastAsia="Times New Roman" w:hAnsi="Arial" w:cs="Arial"/>
          <w:b/>
          <w:bCs/>
          <w:lang w:eastAsia="es-CO"/>
        </w:rPr>
      </w:pPr>
      <w:r w:rsidRPr="002B48C7">
        <w:rPr>
          <w:rFonts w:ascii="Arial" w:eastAsia="Times New Roman" w:hAnsi="Arial" w:cs="Arial"/>
          <w:b/>
          <w:bCs/>
          <w:lang w:eastAsia="es-CO"/>
        </w:rPr>
        <w:t>SECCIÓN 2.</w:t>
      </w:r>
    </w:p>
    <w:p w14:paraId="56D06CBF" w14:textId="77777777" w:rsidR="008F7B30" w:rsidRPr="002B48C7" w:rsidRDefault="008F7B30" w:rsidP="002B48C7">
      <w:pPr>
        <w:spacing w:line="293" w:lineRule="atLeast"/>
        <w:jc w:val="center"/>
        <w:rPr>
          <w:rFonts w:ascii="Arial" w:eastAsia="Times New Roman" w:hAnsi="Arial" w:cs="Arial"/>
          <w:b/>
          <w:bCs/>
          <w:lang w:eastAsia="es-CO"/>
        </w:rPr>
      </w:pPr>
      <w:r w:rsidRPr="002B48C7">
        <w:rPr>
          <w:rFonts w:ascii="Arial" w:eastAsia="Times New Roman" w:hAnsi="Arial" w:cs="Arial"/>
          <w:b/>
          <w:bCs/>
          <w:lang w:eastAsia="es-CO"/>
        </w:rPr>
        <w:t>TRANSFERENCIA DE RECURSOS.</w:t>
      </w:r>
    </w:p>
    <w:p w14:paraId="14E8AFC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34" w:name="ver_30103677"/>
      <w:bookmarkEnd w:id="534"/>
    </w:p>
    <w:p w14:paraId="3DAB6D2F" w14:textId="65F5670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2.5.2.3.2.1.Transferencia de recursos producto de la enajenación que realice CISA. El Colector de Activos Públicos (CISA) girará al final de cada ejercicio a la Dirección General de Crédito Público y Tesoro Nacional del Ministerio de Hacienda y Crédito Público, el resultado neto derivado de las ventas a los terceros, de los inmuebles que haya recibido a título gratuito en el marco de las Leyes 1420 de 2010 y 1450 de 2011.  </w:t>
      </w:r>
    </w:p>
    <w:p w14:paraId="748877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5936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a girar corresponderá al producto de la venta del bien inmueble al tercero, previo descuento de:  </w:t>
      </w:r>
    </w:p>
    <w:p w14:paraId="239D2F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281F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Una comisión del 29.85% sobre el valor de la venta;  </w:t>
      </w:r>
    </w:p>
    <w:p w14:paraId="7E4979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C7F1FA" w14:textId="1A9C16D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 Los gastos administrativos definidos en el numeral 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2.5.2.1 del presente título, asumidos por CISA.  </w:t>
      </w:r>
    </w:p>
    <w:p w14:paraId="089AFE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10363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Aquellos gastos asumidos por el colector de activos de inmuebles posteriormente revocados;  </w:t>
      </w:r>
    </w:p>
    <w:p w14:paraId="31FC0C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71EF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iv) Gastos asumidos a partir de las resoluciones de transferencia hasta la entrega del inmueble, incluyendo aquellos generados en vigencias anteriores.  </w:t>
      </w:r>
    </w:p>
    <w:p w14:paraId="06FDB4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F22E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CISA incurra en otros gastos como saneamientos técnicos y/o jurídicos cuya duración sea superior o igual a 12 meses a partir de la entrega del bien de la entidad pública tradente a CISA, esta última, adicionalmente, descontará dichos gastos del valor final de venta del bien.  </w:t>
      </w:r>
    </w:p>
    <w:p w14:paraId="5EDD40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FF520C" w14:textId="20B5F17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aquellos eventos en que los inmuebles transferidos gratuitamente al Colector de Activos Públicos (CISA), en virtud de la aplicación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238 de la Ley 1450 de 2011, estén produciendo frutos, y estos sean percibidos por CISA, el valor de estos, al igual que los </w:t>
      </w:r>
      <w:r w:rsidRPr="002C1480">
        <w:rPr>
          <w:rFonts w:ascii="Arial" w:eastAsia="Times New Roman" w:hAnsi="Arial" w:cs="Arial"/>
          <w:color w:val="000000"/>
          <w:lang w:eastAsia="es-CO"/>
        </w:rPr>
        <w:lastRenderedPageBreak/>
        <w:t xml:space="preserve">rendimientos, intereses y demás valores derivados de los mismos serán descontados del valor de la comisión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E44F593" w14:textId="4FDF410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DD10D6" w14:textId="24D04783" w:rsidR="008F7B30" w:rsidRPr="002B48C7" w:rsidRDefault="002B48C7" w:rsidP="002B48C7">
      <w:pPr>
        <w:spacing w:after="0" w:line="293" w:lineRule="atLeast"/>
        <w:jc w:val="center"/>
        <w:rPr>
          <w:rFonts w:ascii="Arial" w:eastAsia="Times New Roman" w:hAnsi="Arial" w:cs="Arial"/>
          <w:b/>
          <w:bCs/>
          <w:color w:val="000000"/>
          <w:lang w:eastAsia="es-CO"/>
        </w:rPr>
      </w:pPr>
      <w:bookmarkStart w:id="535" w:name="ver_30103675"/>
      <w:bookmarkEnd w:id="535"/>
      <w:r w:rsidRPr="002B48C7">
        <w:rPr>
          <w:rFonts w:ascii="Arial" w:eastAsia="Times New Roman" w:hAnsi="Arial" w:cs="Arial"/>
          <w:b/>
          <w:bCs/>
          <w:color w:val="000000"/>
          <w:lang w:eastAsia="es-CO"/>
        </w:rPr>
        <w:t>SECCIÓN 2</w:t>
      </w:r>
    </w:p>
    <w:p w14:paraId="70DBC013" w14:textId="1E9B644D" w:rsidR="008F7B30" w:rsidRPr="002B48C7" w:rsidRDefault="002B48C7"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TRANSFERENCIA DE RECURSOS</w:t>
      </w:r>
    </w:p>
    <w:p w14:paraId="4A639259" w14:textId="77777777" w:rsidR="002B48C7" w:rsidRPr="002C1480" w:rsidRDefault="002B48C7" w:rsidP="002B48C7">
      <w:pPr>
        <w:spacing w:after="0" w:line="293" w:lineRule="atLeast"/>
        <w:jc w:val="center"/>
        <w:rPr>
          <w:rFonts w:ascii="Arial" w:eastAsia="Times New Roman" w:hAnsi="Arial" w:cs="Arial"/>
          <w:color w:val="000000"/>
          <w:lang w:eastAsia="es-CO"/>
        </w:rPr>
      </w:pPr>
    </w:p>
    <w:p w14:paraId="6183A773" w14:textId="75E4E605" w:rsidR="008F7B30" w:rsidRPr="002B48C7" w:rsidRDefault="002B48C7" w:rsidP="002B48C7">
      <w:pPr>
        <w:spacing w:after="0" w:line="293" w:lineRule="atLeast"/>
        <w:jc w:val="center"/>
        <w:rPr>
          <w:rFonts w:ascii="Arial" w:eastAsia="Times New Roman" w:hAnsi="Arial" w:cs="Arial"/>
          <w:b/>
          <w:bCs/>
          <w:color w:val="000000"/>
          <w:lang w:eastAsia="es-CO"/>
        </w:rPr>
      </w:pPr>
      <w:bookmarkStart w:id="536" w:name="ver_30103669"/>
      <w:bookmarkEnd w:id="536"/>
      <w:r w:rsidRPr="002B48C7">
        <w:rPr>
          <w:rFonts w:ascii="Arial" w:eastAsia="Times New Roman" w:hAnsi="Arial" w:cs="Arial"/>
          <w:b/>
          <w:bCs/>
          <w:color w:val="000000"/>
          <w:lang w:eastAsia="es-CO"/>
        </w:rPr>
        <w:t>SECCIÓN 1.</w:t>
      </w:r>
    </w:p>
    <w:p w14:paraId="12BBD96C" w14:textId="68F238E5" w:rsidR="008F7B30" w:rsidRDefault="002B48C7"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ADMINISTRACIÓN Y COMERCIALIZACIÓN DE INMUEBLES NO SANEADOS O EXCLUIDOS</w:t>
      </w:r>
    </w:p>
    <w:p w14:paraId="2F7D9DDB" w14:textId="77777777" w:rsidR="002B48C7" w:rsidRPr="002B48C7" w:rsidRDefault="002B48C7" w:rsidP="002B48C7">
      <w:pPr>
        <w:spacing w:after="0" w:line="293" w:lineRule="atLeast"/>
        <w:jc w:val="center"/>
        <w:rPr>
          <w:rFonts w:ascii="Arial" w:eastAsia="Times New Roman" w:hAnsi="Arial" w:cs="Arial"/>
          <w:b/>
          <w:bCs/>
          <w:color w:val="000000"/>
          <w:lang w:eastAsia="es-CO"/>
        </w:rPr>
      </w:pPr>
    </w:p>
    <w:p w14:paraId="096058BE" w14:textId="77777777" w:rsidR="008F7B30" w:rsidRPr="002B48C7" w:rsidRDefault="008F7B30" w:rsidP="002B48C7">
      <w:pPr>
        <w:spacing w:after="0" w:line="293" w:lineRule="atLeast"/>
        <w:jc w:val="center"/>
        <w:rPr>
          <w:rFonts w:ascii="Arial" w:eastAsia="Times New Roman" w:hAnsi="Arial" w:cs="Arial"/>
          <w:b/>
          <w:bCs/>
          <w:color w:val="000000"/>
          <w:lang w:eastAsia="es-CO"/>
        </w:rPr>
      </w:pPr>
      <w:bookmarkStart w:id="537" w:name="ver_30103661"/>
      <w:bookmarkEnd w:id="537"/>
      <w:r w:rsidRPr="002B48C7">
        <w:rPr>
          <w:rFonts w:ascii="Arial" w:eastAsia="Times New Roman" w:hAnsi="Arial" w:cs="Arial"/>
          <w:b/>
          <w:bCs/>
          <w:color w:val="000000"/>
          <w:lang w:eastAsia="es-CO"/>
        </w:rPr>
        <w:t>CAPÍTULO 3</w:t>
      </w:r>
    </w:p>
    <w:p w14:paraId="503921CD" w14:textId="4E4F3359" w:rsidR="008F7B30" w:rsidRDefault="008F7B30"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VENTA DE ACTIVOS INMOBILIARIOS A CISA</w:t>
      </w:r>
    </w:p>
    <w:p w14:paraId="4F71B9CB" w14:textId="77777777" w:rsidR="002B48C7" w:rsidRPr="002B48C7" w:rsidRDefault="002B48C7" w:rsidP="002B48C7">
      <w:pPr>
        <w:spacing w:after="0" w:line="293" w:lineRule="atLeast"/>
        <w:jc w:val="center"/>
        <w:rPr>
          <w:rFonts w:ascii="Arial" w:eastAsia="Times New Roman" w:hAnsi="Arial" w:cs="Arial"/>
          <w:b/>
          <w:bCs/>
          <w:color w:val="000000"/>
          <w:lang w:eastAsia="es-CO"/>
        </w:rPr>
      </w:pPr>
    </w:p>
    <w:p w14:paraId="3C3DD14F" w14:textId="77777777" w:rsidR="008F7B30" w:rsidRPr="002B48C7" w:rsidRDefault="008F7B30" w:rsidP="002B48C7">
      <w:pPr>
        <w:spacing w:after="0" w:line="293" w:lineRule="atLeast"/>
        <w:jc w:val="center"/>
        <w:rPr>
          <w:rFonts w:ascii="Arial" w:eastAsia="Times New Roman" w:hAnsi="Arial" w:cs="Arial"/>
          <w:b/>
          <w:bCs/>
          <w:color w:val="000000"/>
          <w:lang w:eastAsia="es-CO"/>
        </w:rPr>
      </w:pPr>
      <w:bookmarkStart w:id="538" w:name="ver_30103679"/>
      <w:bookmarkEnd w:id="538"/>
      <w:r w:rsidRPr="002B48C7">
        <w:rPr>
          <w:rFonts w:ascii="Arial" w:eastAsia="Times New Roman" w:hAnsi="Arial" w:cs="Arial"/>
          <w:b/>
          <w:bCs/>
          <w:color w:val="000000"/>
          <w:lang w:eastAsia="es-CO"/>
        </w:rPr>
        <w:t>CAPÍTULO 4</w:t>
      </w:r>
    </w:p>
    <w:p w14:paraId="2A93AACD" w14:textId="77777777" w:rsidR="008F7B30" w:rsidRPr="002B48C7" w:rsidRDefault="008F7B30"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PLANES DE ENAJENACIÓN ONEROSA</w:t>
      </w:r>
    </w:p>
    <w:p w14:paraId="405AFF89" w14:textId="77777777" w:rsidR="002B48C7" w:rsidRDefault="002B48C7" w:rsidP="002B48C7">
      <w:pPr>
        <w:spacing w:after="0" w:line="293" w:lineRule="atLeast"/>
        <w:jc w:val="center"/>
        <w:rPr>
          <w:rFonts w:ascii="Arial" w:eastAsia="Times New Roman" w:hAnsi="Arial" w:cs="Arial"/>
          <w:b/>
          <w:bCs/>
          <w:color w:val="000000"/>
          <w:lang w:eastAsia="es-CO"/>
        </w:rPr>
      </w:pPr>
      <w:bookmarkStart w:id="539" w:name="ver_30103687"/>
      <w:bookmarkEnd w:id="539"/>
    </w:p>
    <w:p w14:paraId="39AF56E0" w14:textId="3733268F" w:rsidR="008F7B30" w:rsidRPr="002B48C7" w:rsidRDefault="008F7B30"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CAPÍTULO 5</w:t>
      </w:r>
    </w:p>
    <w:p w14:paraId="16A49356" w14:textId="77777777" w:rsidR="008F7B30" w:rsidRPr="002B48C7" w:rsidRDefault="008F7B30"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ENAJENACIÓN DE PARTICIPACIONES ACCIONARIAS MINORITARIAS DE LA NACIÓN A TRAVÉS DE CISA Y DE LAS PARTICIPACIONES MINORITARIAS ACCIONARIAS DE PROPIEDAD DE CISA</w:t>
      </w:r>
    </w:p>
    <w:p w14:paraId="38C33BF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40" w:name="ver_30103676"/>
      <w:bookmarkEnd w:id="540"/>
    </w:p>
    <w:p w14:paraId="34E10678" w14:textId="0F286B0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2.5.2.3.2.1. Transferencia de recursos producto de la enajenación que realice CISA. El Colector de Activos Públicos (CISA) girará trimestralmente a la Dirección General de Crédito Público y Tesoro Nacional del Ministerio de Hacienda y Crédito Público, el resultado neto derivado de las ventas a los terceros, de los inmuebles que haya recibido a título gratuito. </w:t>
      </w:r>
    </w:p>
    <w:p w14:paraId="37C1ED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CEB03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a girar corresponderá al producto de la venta del bien inmueble al tercero, previo descuento de: </w:t>
      </w:r>
    </w:p>
    <w:p w14:paraId="054C11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48CA5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Una comisión, y </w:t>
      </w:r>
    </w:p>
    <w:p w14:paraId="4D887B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E561B7" w14:textId="760F60B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 Los gastos administrativos definidos en el numeral 6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2.5.2.1 del presente título, asumidos por el Colector de Activos Públicos (CISA), de conformidad con lo establecido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2.5.2.3.1 del capítulo 3 del presente título; </w:t>
      </w:r>
    </w:p>
    <w:p w14:paraId="05E261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C72C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Aquellos gastos asumidos por el colector de activos de inmuebles posteriormente revocados; </w:t>
      </w:r>
    </w:p>
    <w:p w14:paraId="6C090F7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A2E0F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iv) Gastos asumidos a partir de las resoluciones de transferencia hasta la entrega del inmueble, incluyendo aquellos generados en vigencias anteriores. </w:t>
      </w:r>
    </w:p>
    <w:p w14:paraId="2D9CEE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7FE3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este efecto, el valor a descontar corresponderá al 29.85% del precio de la venta del inmueble. </w:t>
      </w:r>
    </w:p>
    <w:p w14:paraId="5D5189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15EA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CISA incurra en otros gastos como saneamientos técnicos y/o jurídicos cuya duración sea superior o igual a 12 meses a partir de la entrega del bien de la entidad pública tradente a CISA, CISA, adicionalmente al porcentaje anterior, descontará dichos gastos del valor final de venta del bien. </w:t>
      </w:r>
    </w:p>
    <w:p w14:paraId="0FC7289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6CA57B" w14:textId="1B7240E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aquellos eventos en que los inmuebles transferidos gratuitamente al Colector de Activos Públicos (CISA), en virtud de la aplicación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238 de la Ley 1450 de 2011, </w:t>
      </w:r>
      <w:r w:rsidRPr="002C1480">
        <w:rPr>
          <w:rFonts w:ascii="Arial" w:eastAsia="Times New Roman" w:hAnsi="Arial" w:cs="Arial"/>
          <w:color w:val="000000"/>
          <w:lang w:eastAsia="es-CO"/>
        </w:rPr>
        <w:lastRenderedPageBreak/>
        <w:t xml:space="preserve">estén produciendo frutos, y estos sean percibidos por CISA, el valor de estos, al igual que los rendimientos, intereses y demás valores derivados de los mismos serán descontados del valor de la comisión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A499CE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41" w:name="ver_30202869"/>
      <w:bookmarkStart w:id="542" w:name="ver_30057058"/>
      <w:bookmarkEnd w:id="541"/>
    </w:p>
    <w:p w14:paraId="451570DC" w14:textId="43FCB6A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2.5.2.3.2.2. Derogado </w:t>
      </w:r>
    </w:p>
    <w:p w14:paraId="062ADF0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43" w:name="ver_30201138"/>
      <w:bookmarkEnd w:id="542"/>
      <w:bookmarkEnd w:id="543"/>
    </w:p>
    <w:p w14:paraId="35BB3CC7" w14:textId="46991085" w:rsidR="008F7B30" w:rsidRPr="002B48C7" w:rsidRDefault="008F7B30" w:rsidP="002B48C7">
      <w:pPr>
        <w:spacing w:after="0" w:line="254"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CAPÍTULO 4.</w:t>
      </w:r>
    </w:p>
    <w:p w14:paraId="6B177655" w14:textId="791B9D40" w:rsidR="008F7B30" w:rsidRPr="002B48C7" w:rsidRDefault="008F7B30" w:rsidP="002B48C7">
      <w:pPr>
        <w:spacing w:after="0" w:line="254"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PLANES DE ENAJENACIÓN ONEROSA.</w:t>
      </w:r>
    </w:p>
    <w:p w14:paraId="7E23852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44" w:name="ver_30103681"/>
      <w:bookmarkStart w:id="545" w:name="ver_30103680"/>
      <w:bookmarkEnd w:id="544"/>
    </w:p>
    <w:p w14:paraId="33B70C58" w14:textId="2729034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2.5.2.4.1.Planes de enajenación onerosa. Las Empresas Industriales y Comerciales del Estado y los Órganos Autónomos e Independientes del orden nacional, deberán adoptar sus planes de enajenación onerosa de conformidad con lo establecido en la Ley 708 de 2001.  </w:t>
      </w:r>
    </w:p>
    <w:p w14:paraId="7048B22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46" w:name="ver_30103683"/>
      <w:bookmarkStart w:id="547" w:name="ver_30103682"/>
      <w:bookmarkEnd w:id="545"/>
      <w:bookmarkEnd w:id="546"/>
    </w:p>
    <w:p w14:paraId="2FE81861" w14:textId="73AC867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2.5.2.4.2.Procedimiento del plan de enajenación onerosa. Las entidades mencionadas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deberán actualizar sus planes de enajenación onerosa bimestralmente, mediante acto administrativo suscrito por su Representante Legal. Dicho acto administrativo deberá expedirse dentro de los diez (10) días siguientes al vencimiento del bimestre correspondiente, siempre que la entidad haya adquirido la propiedad del (los) bien(es) inmueble(s) durante dicho periodo. </w:t>
      </w:r>
    </w:p>
    <w:p w14:paraId="75FC05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6605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ellos la entidad identificará los activos inmobiliarios que no sean requeridos para el ejercicio de sus funciones, excluyendo aquellos que: </w:t>
      </w:r>
    </w:p>
    <w:p w14:paraId="44EB9F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4A88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Estén ubicados en zonas declaradas de alto riesgo no mitigadle, identificadas en el Plan de Ordenamiento Territorial y en los instrumentos que lo desarrollen y complementen, o en aquellas que de acuerdo a estudios geotécnicos que en cualquier momento adopte la Administración Municipal, Distrital o el Departamento Archipiélago de San Andrés, Providencia y Santa Catalina; </w:t>
      </w:r>
    </w:p>
    <w:p w14:paraId="2C577D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63EB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 sean aptos para la construcción y los que estén ubicados en zonas de cantera que hayan sufrido grave deterioro físico; </w:t>
      </w:r>
    </w:p>
    <w:p w14:paraId="1B54406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37AE5A" w14:textId="65D7B5F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Los contemplados en el inciso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 de la Ley 708 de 2001, vale decir, aquellos que tengan la naturaleza de bienes inmuebles fiscales con vocación para la construcción de vivienda de interés social urbana o rural, los cuales deberán ser reportados al Ministerio de Vivienda, Ciudad y Territorio, o al Ministerio de Agricultura y Desarrollo Rural, siempre que se cumpla con lo establecido en las disposiciones sobre estos inmuebles fiscales contenidas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del Sector Vivienda, Ciudad y Territorio y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724 de 2002 compilado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del Sector de Agricultura y Desarrollo Rural. </w:t>
      </w:r>
    </w:p>
    <w:p w14:paraId="15285A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29CB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plan de enajenación onerosa deberá publicarse en la página web de la entidad dentro de los tres (3) días hábiles siguientes a su expedición y por un término de dos (2) días hábiles. De igual manera, se deberá enviar copia del mismo al Colector de Activos Públicos (CISA), dentro de los tres (3) días hábiles siguientes a su publicación. </w:t>
      </w:r>
    </w:p>
    <w:p w14:paraId="06738E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255B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Vencido el plazo anterior, las entidades tendrán hasta cinco (5) meses para venderlos a un tercero o para venderlos a CISA, conforme a sus políticas y procedimientos internos. </w:t>
      </w:r>
    </w:p>
    <w:p w14:paraId="2629DD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2E9C2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Si transcurrido el término establecido en el inciso anterior, la entidad propietaria no hubiere vendido sus bienes inmuebles, los mismos se ofrecerán a las entidades públicas, por una sola vez, a través </w:t>
      </w:r>
      <w:r w:rsidRPr="002C1480">
        <w:rPr>
          <w:rFonts w:ascii="Arial" w:eastAsia="Times New Roman" w:hAnsi="Arial" w:cs="Arial"/>
          <w:color w:val="000000"/>
          <w:lang w:eastAsia="es-CO"/>
        </w:rPr>
        <w:lastRenderedPageBreak/>
        <w:t>de la página web de la entidad y en un periódico de amplia circulación nacional, publicados en la misma fecha, para que en un plazo no mayor de treinta (30) días calendario, aquellas que estén interesadas soliciten por escrito la transferencia a título gratuito, solicitud que debe ser atendida en un plazo no mayor de treinta (30) días calendario, contados a partir de su recibo. </w:t>
      </w:r>
    </w:p>
    <w:p w14:paraId="2A292A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5A1C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solicitud de transferencia a la entidad propietaria del bien debe contener la destinación que se le dará al inmueble para: </w:t>
      </w:r>
    </w:p>
    <w:p w14:paraId="0411E9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2D56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El cumplimiento de su misión, o </w:t>
      </w:r>
    </w:p>
    <w:p w14:paraId="6C6D6B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D2B0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La ejecución de proyectos de inversión enmarcados dentro del Plan Nacional de Desarrollo. </w:t>
      </w:r>
    </w:p>
    <w:p w14:paraId="79D76C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7B39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requerimiento de transferencia que eleve la entidad solicitante deberá contar con una justificación técnica y financiera, suscrita por el representante legal de la entidad solicitante, en la cual se detalle la destinación del bien y las partidas presupuestales que garanticen la ejecución, operación y mantenimiento del inmueble. </w:t>
      </w:r>
    </w:p>
    <w:p w14:paraId="0A6969E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1076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sea aceptada la solicitud de transferencia, la entidad propietaria del inmueble, mediante acto administrativo, procederá a realizar la transferencia a título gratuito. </w:t>
      </w:r>
    </w:p>
    <w:p w14:paraId="57A371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5850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transcurrido el plazo de seis meses, la entidad que recibió el bien no le está dando el uso para el cual le fue transferido, deberá proceder a la transferencia a título gratuito dentro de los treinta (30) días calendario mediante acto administrativo al Colector de Activos Públicos (CISA) para que este lo comercialice bajo sus políticas y procedimientos. </w:t>
      </w:r>
    </w:p>
    <w:p w14:paraId="3B2264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6A2043" w14:textId="4D50C91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Los actos administrativos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deberán ser inscritos en la oficina de registro de instrumentos públicos correspondiente y se considerarán actos sin cuantía. </w:t>
      </w:r>
    </w:p>
    <w:p w14:paraId="4F6485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57E892" w14:textId="3D5F8A6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procedimiento del plan de enajenación onerosa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se aplica a los bienes inmuebles que amparen pasivos pensionales de propiedad de las entidades públicas, cuyo objeto o misión sea la administración o monetización de dichos activos, ni a los bienes de las entidades cuyo objeto es o fue de administradoras y/o pagadoras de pensiones. </w:t>
      </w:r>
    </w:p>
    <w:p w14:paraId="039EA6A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48" w:name="ver_30103685"/>
      <w:bookmarkStart w:id="549" w:name="ver_30103684"/>
      <w:bookmarkEnd w:id="547"/>
      <w:bookmarkEnd w:id="548"/>
    </w:p>
    <w:p w14:paraId="786D4C81" w14:textId="74109B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2.5.2.4.3.Sanciones. La omisión, la información incorrecta o el incumplimiento por parte de los responsables de la ejecución de lo previsto en el presente título, acarreará las sanciones disciplinarias y fiscales que establezca la ley. </w:t>
      </w:r>
    </w:p>
    <w:p w14:paraId="44BD17DF" w14:textId="762886AC" w:rsidR="008F7B30" w:rsidRPr="002C1480" w:rsidRDefault="008F7B30" w:rsidP="002B48C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50" w:name="ver_30202870"/>
      <w:bookmarkStart w:id="551" w:name="ver_30057063"/>
      <w:bookmarkEnd w:id="549"/>
      <w:bookmarkEnd w:id="550"/>
    </w:p>
    <w:p w14:paraId="2549AE77" w14:textId="1E82113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2.5.2.4.4. Derogado </w:t>
      </w:r>
    </w:p>
    <w:p w14:paraId="158492B5"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19FCE074" w14:textId="77777777" w:rsidR="008F7B30" w:rsidRPr="002B48C7" w:rsidRDefault="008F7B30" w:rsidP="002B48C7">
      <w:pPr>
        <w:spacing w:after="0" w:line="293" w:lineRule="atLeast"/>
        <w:jc w:val="center"/>
        <w:rPr>
          <w:rFonts w:ascii="Arial" w:eastAsia="Times New Roman" w:hAnsi="Arial" w:cs="Arial"/>
          <w:b/>
          <w:bCs/>
          <w:color w:val="000000"/>
          <w:lang w:eastAsia="es-CO"/>
        </w:rPr>
      </w:pPr>
      <w:bookmarkStart w:id="552" w:name="ver_30201139"/>
      <w:bookmarkEnd w:id="551"/>
      <w:bookmarkEnd w:id="552"/>
      <w:r w:rsidRPr="002B48C7">
        <w:rPr>
          <w:rFonts w:ascii="Arial" w:eastAsia="Times New Roman" w:hAnsi="Arial" w:cs="Arial"/>
          <w:b/>
          <w:bCs/>
          <w:color w:val="000000"/>
          <w:lang w:eastAsia="es-CO"/>
        </w:rPr>
        <w:t>CAPÍTULO 5</w:t>
      </w:r>
    </w:p>
    <w:p w14:paraId="153B8C8C" w14:textId="77777777" w:rsidR="008F7B30" w:rsidRPr="002B48C7" w:rsidRDefault="008F7B30" w:rsidP="002B48C7">
      <w:pPr>
        <w:spacing w:after="0" w:line="293" w:lineRule="atLeast"/>
        <w:jc w:val="center"/>
        <w:rPr>
          <w:rFonts w:ascii="Arial" w:eastAsia="Times New Roman" w:hAnsi="Arial" w:cs="Arial"/>
          <w:b/>
          <w:bCs/>
          <w:color w:val="000000"/>
          <w:lang w:eastAsia="es-CO"/>
        </w:rPr>
      </w:pPr>
      <w:r w:rsidRPr="002B48C7">
        <w:rPr>
          <w:rFonts w:ascii="Arial" w:eastAsia="Times New Roman" w:hAnsi="Arial" w:cs="Arial"/>
          <w:b/>
          <w:bCs/>
          <w:color w:val="000000"/>
          <w:lang w:eastAsia="es-CO"/>
        </w:rPr>
        <w:t>ENAJENACIÓN DE PARTICIPACIONES ACCIONARIAS MINORITARIAS DE LAS ENTIDADES ESTATALES DE CUALQUIER ORDEN O RAMA</w:t>
      </w:r>
    </w:p>
    <w:p w14:paraId="0E661E7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53" w:name="ver_30201142"/>
      <w:bookmarkStart w:id="554" w:name="ver_30103688"/>
      <w:bookmarkStart w:id="555" w:name="ver_30103689"/>
      <w:bookmarkEnd w:id="553"/>
    </w:p>
    <w:p w14:paraId="7EABD5BB" w14:textId="1FF985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2.5.2.5.1. Objeto. El presente Capítulo tiene por objeto desarrollar la facultad de enajenación de participaciones minoritarias por parte de entidades estatales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44 de la Ley 1955 de 2019. </w:t>
      </w:r>
    </w:p>
    <w:p w14:paraId="1BF20B2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56" w:name="ver_30201143"/>
      <w:bookmarkStart w:id="557" w:name="ver_30057066"/>
      <w:bookmarkEnd w:id="554"/>
      <w:bookmarkEnd w:id="555"/>
      <w:bookmarkEnd w:id="556"/>
    </w:p>
    <w:p w14:paraId="2FA1D3AC" w14:textId="06FAF3E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2.5.2.5.2. Alcance del concepto participaciones accionarias minoritarias. Para efectos de lo previsto en este Capítulo, cuando se haga referencia a participaciones accionarias minoritarias deberá entenderse por tales las acciones, independientemente de si la participación la ostenta directamente o a través de derechos fiduciarios, los bonos obligatoriamente convertibles en acciones (Boceas) y, en general, las participaciones de propiedad de entidades estatales de cualquier orden o rama cuya propiedad haya sido producto de un acto en el que no haya mediado su voluntad expresa o que provengan de una dación en pago, siempre y cuando esta participación no supere el cuarenta y nueve por ciento (49%) de la propiedad accionaria de la sociedad. </w:t>
      </w:r>
    </w:p>
    <w:p w14:paraId="449C8BF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58" w:name="ver_30201144"/>
      <w:bookmarkEnd w:id="557"/>
      <w:bookmarkEnd w:id="558"/>
    </w:p>
    <w:p w14:paraId="44B36345" w14:textId="4797FC4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2.5.2.5.3. Reglas aplicables al proceso de enajenación. En el proceso de enajenación se deberán tener en cuenta las siguientes reglas:  </w:t>
      </w:r>
    </w:p>
    <w:p w14:paraId="060ADA76" w14:textId="77777777" w:rsidR="00E8703F" w:rsidRDefault="00E8703F" w:rsidP="00E8703F">
      <w:pPr>
        <w:spacing w:after="0" w:line="254" w:lineRule="atLeast"/>
        <w:jc w:val="both"/>
        <w:rPr>
          <w:rFonts w:ascii="Arial" w:eastAsia="Times New Roman" w:hAnsi="Arial" w:cs="Arial"/>
          <w:color w:val="000000"/>
          <w:lang w:eastAsia="es-CO"/>
        </w:rPr>
      </w:pPr>
    </w:p>
    <w:p w14:paraId="30F4194C" w14:textId="2F9519C8"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entidad estatal de cualquier orden o rama deberá, previo a enajenar total o parcialmente cualquier participación accionaria minoritaria, comprobar que la propiedad que ostenta fue producto de un acto en el que no medió la voluntad expresa o que provino de una dación en pago, para lo cual deberá, en todo caso, realizar el respectivo análisis o estudio que determine el mecanismo en virtud del cual adquirió la propiedad de la misma, y específicamente si medió la voluntad expresa de la entidad pública o provino de dación en pago.  </w:t>
      </w:r>
    </w:p>
    <w:p w14:paraId="6032199D" w14:textId="77777777" w:rsidR="00E8703F" w:rsidRDefault="00E8703F" w:rsidP="00E8703F">
      <w:pPr>
        <w:spacing w:after="0" w:line="254" w:lineRule="atLeast"/>
        <w:jc w:val="both"/>
        <w:rPr>
          <w:rFonts w:ascii="Arial" w:eastAsia="Times New Roman" w:hAnsi="Arial" w:cs="Arial"/>
          <w:color w:val="000000"/>
          <w:lang w:eastAsia="es-CO"/>
        </w:rPr>
      </w:pPr>
    </w:p>
    <w:p w14:paraId="1F7B3A2D" w14:textId="696B9B4F"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Las entidades estatales podrán enajenar directamente o a través del colector de activos de la Nación, Central de Inversiones S. A. (CISA), las participaciones accionarias minoritarias. En este caso, la entidad estatal y CISA podrán suscribir un convenio / contrato interadministrativo en el cual se pactará, entre otros, lo dispuesto en el tercer inciso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44 de la Ley 1955 de 2019.  </w:t>
      </w:r>
    </w:p>
    <w:p w14:paraId="086D042E" w14:textId="77777777" w:rsidR="00E8703F" w:rsidRDefault="00E8703F" w:rsidP="00E8703F">
      <w:pPr>
        <w:spacing w:after="0" w:line="254" w:lineRule="atLeast"/>
        <w:jc w:val="both"/>
        <w:rPr>
          <w:rFonts w:ascii="Arial" w:eastAsia="Times New Roman" w:hAnsi="Arial" w:cs="Arial"/>
          <w:color w:val="000000"/>
          <w:lang w:eastAsia="es-CO"/>
        </w:rPr>
      </w:pPr>
    </w:p>
    <w:p w14:paraId="5573815A" w14:textId="7D0D75CC"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Cuando las entidades estatales de que trata el primer inciso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44 de la Ley 1955 de 2019 opten por enajenar la participación en una sociedad, se deberá dar aplicación al régimen societario al cual se encuentra sometida. Si la parti</w:t>
      </w:r>
      <w:r w:rsidRPr="002C1480">
        <w:rPr>
          <w:rFonts w:ascii="Arial" w:eastAsia="Times New Roman" w:hAnsi="Arial" w:cs="Arial"/>
          <w:color w:val="000000"/>
          <w:lang w:eastAsia="es-CO"/>
        </w:rPr>
        <w:softHyphen/>
        <w:t>cipación accionaria está representada en títulos que no se encuentran inscritos en bolsa, la enajenación de la participación accionaria adicionalmente deberá realizarse de conformidad con los estatutos de la respectiva sociedad y en con</w:t>
      </w:r>
      <w:r w:rsidRPr="002C1480">
        <w:rPr>
          <w:rFonts w:ascii="Arial" w:eastAsia="Times New Roman" w:hAnsi="Arial" w:cs="Arial"/>
          <w:color w:val="000000"/>
          <w:lang w:eastAsia="es-CO"/>
        </w:rPr>
        <w:softHyphen/>
        <w:t>cordancia con las normas aplicables a la misma.  </w:t>
      </w:r>
    </w:p>
    <w:p w14:paraId="6FDE18A4" w14:textId="77777777" w:rsidR="00E8703F" w:rsidRDefault="00E8703F" w:rsidP="00E8703F">
      <w:pPr>
        <w:spacing w:after="0" w:line="254" w:lineRule="atLeast"/>
        <w:jc w:val="both"/>
        <w:rPr>
          <w:rFonts w:ascii="Arial" w:eastAsia="Times New Roman" w:hAnsi="Arial" w:cs="Arial"/>
          <w:color w:val="000000"/>
          <w:lang w:eastAsia="es-CO"/>
        </w:rPr>
      </w:pPr>
    </w:p>
    <w:p w14:paraId="4B362B97" w14:textId="59460FEF"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Tratándose de acciones o bonos obligatoriamente convertibles en acciones no inscritos en bolsa, la entidad pública o Central de Inversiones S. A. (CISA), se</w:t>
      </w:r>
      <w:r w:rsidRPr="002C1480">
        <w:rPr>
          <w:rFonts w:ascii="Arial" w:eastAsia="Times New Roman" w:hAnsi="Arial" w:cs="Arial"/>
          <w:color w:val="000000"/>
          <w:lang w:eastAsia="es-CO"/>
        </w:rPr>
        <w:softHyphen/>
        <w:t xml:space="preserve">gún el caso, podrá hacer uso del mecanismo de inscripción temporal de valores que se encuentra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5.2.2.2.1 y siguientes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w:t>
      </w:r>
      <w:r w:rsidRPr="002C1480">
        <w:rPr>
          <w:rFonts w:ascii="Arial" w:eastAsia="Times New Roman" w:hAnsi="Arial" w:cs="Arial"/>
          <w:color w:val="000000"/>
          <w:lang w:eastAsia="es-CO"/>
        </w:rPr>
        <w:softHyphen/>
        <w:t>mero 2555 de 2010 para enajenar dichas participaciones a través de los sistemas de negociación y/o procedimientos legalmente autorizados para la enajenación de las participaciones accionarias.  </w:t>
      </w:r>
    </w:p>
    <w:p w14:paraId="3E88A2C0" w14:textId="77777777" w:rsidR="00E8703F" w:rsidRDefault="00E8703F" w:rsidP="00E8703F">
      <w:pPr>
        <w:spacing w:after="0" w:line="254" w:lineRule="atLeast"/>
        <w:jc w:val="both"/>
        <w:rPr>
          <w:rFonts w:ascii="Arial" w:eastAsia="Times New Roman" w:hAnsi="Arial" w:cs="Arial"/>
          <w:color w:val="000000"/>
          <w:lang w:eastAsia="es-CO"/>
        </w:rPr>
      </w:pPr>
    </w:p>
    <w:p w14:paraId="78332E26" w14:textId="36643D18"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Si la participación accionaria está representada en acciones o bonos obligato</w:t>
      </w:r>
      <w:r w:rsidRPr="002C1480">
        <w:rPr>
          <w:rFonts w:ascii="Arial" w:eastAsia="Times New Roman" w:hAnsi="Arial" w:cs="Arial"/>
          <w:color w:val="000000"/>
          <w:lang w:eastAsia="es-CO"/>
        </w:rPr>
        <w:softHyphen/>
        <w:t>riamente convertibles en acciones inscritos en bolsa, su venta se deberá realizar con sujeción a las reglas y a través de los procedimientos bursátiles legalmente autorizados para la enajenación de esta clase de valores.  </w:t>
      </w:r>
    </w:p>
    <w:p w14:paraId="7F07F8A7" w14:textId="77777777" w:rsidR="00E8703F" w:rsidRDefault="00E8703F" w:rsidP="00E8703F">
      <w:pPr>
        <w:spacing w:after="0" w:line="254" w:lineRule="atLeast"/>
        <w:jc w:val="both"/>
        <w:rPr>
          <w:rFonts w:ascii="Arial" w:eastAsia="Times New Roman" w:hAnsi="Arial" w:cs="Arial"/>
          <w:color w:val="000000"/>
          <w:lang w:eastAsia="es-CO"/>
        </w:rPr>
      </w:pPr>
    </w:p>
    <w:p w14:paraId="5E7E5007" w14:textId="1AD88235"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Tratándose de acciones o bonos obligatoriamente convertibles en acciones no inscritos en bolsa pero sí en el Registro Nacional de Valores y Emisores, la ena</w:t>
      </w:r>
      <w:r w:rsidRPr="002C1480">
        <w:rPr>
          <w:rFonts w:ascii="Arial" w:eastAsia="Times New Roman" w:hAnsi="Arial" w:cs="Arial"/>
          <w:color w:val="000000"/>
          <w:lang w:eastAsia="es-CO"/>
        </w:rPr>
        <w:softHyphen/>
        <w:t>jenación se podrá realizar conforme a los procedimientos legalmente autorizados para su venta mediante oferta pública en el mercado secundario, en el evento de que resulte más conveniente.  </w:t>
      </w:r>
    </w:p>
    <w:p w14:paraId="42229ADE" w14:textId="77777777" w:rsidR="00E8703F" w:rsidRDefault="00E8703F" w:rsidP="00E8703F">
      <w:pPr>
        <w:spacing w:after="0" w:line="254" w:lineRule="atLeast"/>
        <w:jc w:val="both"/>
        <w:rPr>
          <w:rFonts w:ascii="Arial" w:eastAsia="Times New Roman" w:hAnsi="Arial" w:cs="Arial"/>
          <w:color w:val="000000"/>
          <w:lang w:eastAsia="es-CO"/>
        </w:rPr>
      </w:pPr>
    </w:p>
    <w:p w14:paraId="2ED10FDC" w14:textId="6FDB10DB" w:rsidR="008F7B30" w:rsidRPr="002C1480" w:rsidRDefault="008F7B30" w:rsidP="00E870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7. Las entidades a que hace referencia el primer inciso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44 de la Ley 1955 de 2019 podrán, a través de CISA, enajenar las acciones que hubieren ad</w:t>
      </w:r>
      <w:r w:rsidRPr="002C1480">
        <w:rPr>
          <w:rFonts w:ascii="Arial" w:eastAsia="Times New Roman" w:hAnsi="Arial" w:cs="Arial"/>
          <w:color w:val="000000"/>
          <w:lang w:eastAsia="es-CO"/>
        </w:rPr>
        <w:softHyphen/>
        <w:t>quirido con anterioridad a la expedición de la Ley 1955 de 2019 o aquellas que adquieran posteriormente, siempre que se cumplan con los requisitos estableci</w:t>
      </w:r>
      <w:r w:rsidRPr="002C1480">
        <w:rPr>
          <w:rFonts w:ascii="Arial" w:eastAsia="Times New Roman" w:hAnsi="Arial" w:cs="Arial"/>
          <w:color w:val="000000"/>
          <w:lang w:eastAsia="es-CO"/>
        </w:rPr>
        <w:softHyphen/>
        <w:t xml:space="preserve">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44 de la Ley 1955 de 2019 y en el presente Capítulo.  </w:t>
      </w:r>
    </w:p>
    <w:p w14:paraId="32A457E9" w14:textId="77777777" w:rsidR="00E8703F" w:rsidRDefault="00E8703F" w:rsidP="00C32F85">
      <w:pPr>
        <w:spacing w:after="0" w:line="254" w:lineRule="atLeast"/>
        <w:jc w:val="both"/>
        <w:rPr>
          <w:rFonts w:ascii="Arial" w:eastAsia="Times New Roman" w:hAnsi="Arial" w:cs="Arial"/>
          <w:color w:val="000000"/>
          <w:lang w:eastAsia="es-CO"/>
        </w:rPr>
      </w:pPr>
    </w:p>
    <w:p w14:paraId="255A334E" w14:textId="65CD53A5"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Cuando se trate de (i) acciones o bonos obligatoriamente convertibles en acciones inscritos en bolsa o (ii) no inscritos en bolsa, pero sí en el Registro Nacional de Valores y Emisores, la sociedad comisionista que se encargue del proceso podrá ser contratada por la entidad pública o por Central de Inversiones S. A. (CISA), según quien esté adelantando el proceso de enajenación, y de conformidad con las normas aplicables para el caso.  </w:t>
      </w:r>
    </w:p>
    <w:p w14:paraId="110EBE28" w14:textId="77777777" w:rsidR="00E8703F" w:rsidRPr="002C1480" w:rsidRDefault="00E8703F" w:rsidP="00C32F85">
      <w:pPr>
        <w:spacing w:after="0" w:line="254" w:lineRule="atLeast"/>
        <w:jc w:val="both"/>
        <w:rPr>
          <w:rFonts w:ascii="Arial" w:eastAsia="Times New Roman" w:hAnsi="Arial" w:cs="Arial"/>
          <w:color w:val="000000"/>
          <w:lang w:eastAsia="es-CO"/>
        </w:rPr>
      </w:pPr>
    </w:p>
    <w:p w14:paraId="106EFCA6" w14:textId="7DA1B681"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Las entidades estatales a las que aplica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44 de la Ley 1955 de 2019 y CISA, deberán adelantar la enajenación buscando las condiciones que garanticen el mayor beneficio económico para la entidad estatal respetando los principios de publicidad, libre concurrencia y participación en la propiedad accionaria.  </w:t>
      </w:r>
    </w:p>
    <w:p w14:paraId="3FE378FC" w14:textId="77777777" w:rsidR="00E8703F" w:rsidRPr="002C1480" w:rsidRDefault="00E8703F" w:rsidP="00C32F85">
      <w:pPr>
        <w:spacing w:after="0" w:line="254" w:lineRule="atLeast"/>
        <w:jc w:val="both"/>
        <w:rPr>
          <w:rFonts w:ascii="Arial" w:eastAsia="Times New Roman" w:hAnsi="Arial" w:cs="Arial"/>
          <w:color w:val="000000"/>
          <w:lang w:eastAsia="es-CO"/>
        </w:rPr>
      </w:pPr>
    </w:p>
    <w:p w14:paraId="0CDF2075" w14:textId="5019AE0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Sin perjuicio de las actividades de promoción y divulgación de los procesos de enajenación, será viable realizar operaciones preacordadas con sujeción a las reglas previstas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2555 de 2010 y demás normas del mercado de valores que regulen la materia.  </w:t>
      </w:r>
    </w:p>
    <w:p w14:paraId="49CC1327" w14:textId="77777777" w:rsidR="009F612B" w:rsidRDefault="009F612B" w:rsidP="00C32F85">
      <w:pPr>
        <w:spacing w:after="0" w:line="254" w:lineRule="atLeast"/>
        <w:jc w:val="both"/>
        <w:rPr>
          <w:rFonts w:ascii="Arial" w:eastAsia="Times New Roman" w:hAnsi="Arial" w:cs="Arial"/>
          <w:color w:val="000000"/>
          <w:lang w:eastAsia="es-CO"/>
        </w:rPr>
      </w:pPr>
    </w:p>
    <w:p w14:paraId="10CB9B52" w14:textId="092E9476"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2.5.2.5.4. Valoraciones de las participaciones accionarias a enajenar. Las valoraciones de la participación accionaria de las entidades a las que aplica la facultad consagrada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44 de la Ley 1955 de 2019, que opten por la enajenación directa, deberán tener en cuenta los siguientes parámetros:  </w:t>
      </w:r>
    </w:p>
    <w:p w14:paraId="5B023A92" w14:textId="77777777" w:rsidR="002321A2" w:rsidRPr="002C1480" w:rsidRDefault="002321A2" w:rsidP="00C32F85">
      <w:pPr>
        <w:spacing w:after="0" w:line="254" w:lineRule="atLeast"/>
        <w:jc w:val="both"/>
        <w:rPr>
          <w:rFonts w:ascii="Arial" w:eastAsia="Times New Roman" w:hAnsi="Arial" w:cs="Arial"/>
          <w:color w:val="000000"/>
          <w:lang w:eastAsia="es-CO"/>
        </w:rPr>
      </w:pPr>
    </w:p>
    <w:p w14:paraId="6E12642A" w14:textId="77777777" w:rsidR="008F7B30" w:rsidRPr="002C1480" w:rsidRDefault="008F7B30" w:rsidP="009F61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entidades del sector central del orden nacional deberán contar con la no objeción de la Dirección General de Participaciones Estatales del Ministerio de Hacienda y Crédito Público. Esta Dirección deberá tener en cuenta la razonabili</w:t>
      </w:r>
      <w:r w:rsidRPr="002C1480">
        <w:rPr>
          <w:rFonts w:ascii="Arial" w:eastAsia="Times New Roman" w:hAnsi="Arial" w:cs="Arial"/>
          <w:color w:val="000000"/>
          <w:lang w:eastAsia="es-CO"/>
        </w:rPr>
        <w:softHyphen/>
        <w:t>dad de la o las metodologías de valoración aplicadas, según sea el caso, tomando como base los supuestos e información entregada a dicha Dirección, la cual debe ser el resultado de la debida diligencia llevada a cabo por quien realizó la valora</w:t>
      </w:r>
      <w:r w:rsidRPr="002C1480">
        <w:rPr>
          <w:rFonts w:ascii="Arial" w:eastAsia="Times New Roman" w:hAnsi="Arial" w:cs="Arial"/>
          <w:color w:val="000000"/>
          <w:lang w:eastAsia="es-CO"/>
        </w:rPr>
        <w:softHyphen/>
        <w:t>ción.  </w:t>
      </w:r>
    </w:p>
    <w:p w14:paraId="000FAD32" w14:textId="77777777" w:rsidR="009F612B" w:rsidRDefault="009F612B" w:rsidP="009F612B">
      <w:pPr>
        <w:spacing w:after="0" w:line="254" w:lineRule="atLeast"/>
        <w:jc w:val="both"/>
        <w:rPr>
          <w:rFonts w:ascii="Arial" w:eastAsia="Times New Roman" w:hAnsi="Arial" w:cs="Arial"/>
          <w:color w:val="000000"/>
          <w:lang w:eastAsia="es-CO"/>
        </w:rPr>
      </w:pPr>
    </w:p>
    <w:p w14:paraId="5299951F" w14:textId="35079C9B" w:rsidR="008F7B30" w:rsidRPr="002C1480" w:rsidRDefault="008F7B30" w:rsidP="009F61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entidades del sector descentralizado del orden nacional y las entidades te</w:t>
      </w:r>
      <w:r w:rsidRPr="002C1480">
        <w:rPr>
          <w:rFonts w:ascii="Arial" w:eastAsia="Times New Roman" w:hAnsi="Arial" w:cs="Arial"/>
          <w:color w:val="000000"/>
          <w:lang w:eastAsia="es-CO"/>
        </w:rPr>
        <w:softHyphen/>
        <w:t xml:space="preserve">rritoriales de cualquier orden, deberán contar con la aprobación de la valoración de la participación accionaria a enajenar, por parte de las autoridades señaladas en el inciso segundo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44 de la Ley 1955 de 2019. La aprobación solo podrá impartirse a partir del estudio de la razonabilidad de la o las me</w:t>
      </w:r>
      <w:r w:rsidRPr="002C1480">
        <w:rPr>
          <w:rFonts w:ascii="Arial" w:eastAsia="Times New Roman" w:hAnsi="Arial" w:cs="Arial"/>
          <w:color w:val="000000"/>
          <w:lang w:eastAsia="es-CO"/>
        </w:rPr>
        <w:softHyphen/>
        <w:t>todologías de valoración aplicadas, según sea el caso, tomando como base los supuestos y la información entregada al respectivo órgano o representante. La información que se presente al competente de la aprobación debe ser el resul</w:t>
      </w:r>
      <w:r w:rsidRPr="002C1480">
        <w:rPr>
          <w:rFonts w:ascii="Arial" w:eastAsia="Times New Roman" w:hAnsi="Arial" w:cs="Arial"/>
          <w:color w:val="000000"/>
          <w:lang w:eastAsia="es-CO"/>
        </w:rPr>
        <w:softHyphen/>
        <w:t>tado de la debida diligencia llevada a cabo por quien realizó la correspondiente valoración.  </w:t>
      </w:r>
    </w:p>
    <w:p w14:paraId="21D1D260" w14:textId="77777777" w:rsidR="009F612B" w:rsidRDefault="009F612B" w:rsidP="009F612B">
      <w:pPr>
        <w:spacing w:after="0" w:line="254" w:lineRule="atLeast"/>
        <w:jc w:val="both"/>
        <w:rPr>
          <w:rFonts w:ascii="Arial" w:eastAsia="Times New Roman" w:hAnsi="Arial" w:cs="Arial"/>
          <w:color w:val="000000"/>
          <w:lang w:eastAsia="es-CO"/>
        </w:rPr>
      </w:pPr>
    </w:p>
    <w:p w14:paraId="68FA9575" w14:textId="74740431" w:rsidR="008F7B30" w:rsidRPr="002C1480" w:rsidRDefault="008F7B30" w:rsidP="009F61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valoración de la participación deberá considerar, entre otros aspectos, las con</w:t>
      </w:r>
      <w:r w:rsidRPr="002C1480">
        <w:rPr>
          <w:rFonts w:ascii="Arial" w:eastAsia="Times New Roman" w:hAnsi="Arial" w:cs="Arial"/>
          <w:color w:val="000000"/>
          <w:lang w:eastAsia="es-CO"/>
        </w:rPr>
        <w:softHyphen/>
        <w:t>diciones y naturaleza del mercado en que opera la empresa, su capacidad para generar dividendos al accionista, las variables propias de su operación, y el valor comercial de sus activos y pasivos.  </w:t>
      </w:r>
    </w:p>
    <w:p w14:paraId="205B8792" w14:textId="77777777" w:rsidR="009F612B" w:rsidRDefault="009F612B" w:rsidP="00C32F85">
      <w:pPr>
        <w:spacing w:after="0" w:line="254" w:lineRule="atLeast"/>
        <w:jc w:val="both"/>
        <w:rPr>
          <w:rFonts w:ascii="Arial" w:eastAsia="Times New Roman" w:hAnsi="Arial" w:cs="Arial"/>
          <w:color w:val="000000"/>
          <w:lang w:eastAsia="es-CO"/>
        </w:rPr>
      </w:pPr>
    </w:p>
    <w:p w14:paraId="7044A97B" w14:textId="098076D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Para efectos de justificar determinada transacción, la entidad que adelante un proceso de enajenación podrá realizar un análisis sobre el costo de oportunidad de no llevar a cabo la misma. </w:t>
      </w:r>
    </w:p>
    <w:p w14:paraId="1F309F5B" w14:textId="77777777" w:rsidR="009F612B" w:rsidRDefault="009F612B" w:rsidP="00C32F85">
      <w:pPr>
        <w:spacing w:after="0" w:line="293" w:lineRule="atLeast"/>
        <w:jc w:val="both"/>
        <w:rPr>
          <w:rFonts w:ascii="Arial" w:eastAsia="Times New Roman" w:hAnsi="Arial" w:cs="Arial"/>
          <w:color w:val="000000"/>
          <w:lang w:eastAsia="es-CO"/>
        </w:rPr>
      </w:pPr>
      <w:bookmarkStart w:id="559" w:name="ver_30057067"/>
      <w:bookmarkEnd w:id="559"/>
    </w:p>
    <w:p w14:paraId="31AD8521" w14:textId="269E3A55" w:rsidR="008F7B30" w:rsidRPr="009F612B" w:rsidRDefault="008F7B30" w:rsidP="009F612B">
      <w:pPr>
        <w:spacing w:after="0"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TÍTULO 3</w:t>
      </w:r>
    </w:p>
    <w:p w14:paraId="68D921B2" w14:textId="275E1CAF" w:rsidR="008F7B30" w:rsidRDefault="008F7B30" w:rsidP="009F612B">
      <w:pPr>
        <w:spacing w:after="0"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lastRenderedPageBreak/>
        <w:t>GOBIERNO CORPORATIVO</w:t>
      </w:r>
    </w:p>
    <w:p w14:paraId="607F2902" w14:textId="77777777" w:rsidR="009F612B" w:rsidRPr="009F612B" w:rsidRDefault="009F612B" w:rsidP="009F612B">
      <w:pPr>
        <w:spacing w:after="0" w:line="293" w:lineRule="atLeast"/>
        <w:jc w:val="center"/>
        <w:rPr>
          <w:rFonts w:ascii="Arial" w:eastAsia="Times New Roman" w:hAnsi="Arial" w:cs="Arial"/>
          <w:b/>
          <w:bCs/>
          <w:color w:val="000000"/>
          <w:lang w:eastAsia="es-CO"/>
        </w:rPr>
      </w:pPr>
    </w:p>
    <w:p w14:paraId="6CEE9A47" w14:textId="77777777" w:rsidR="008F7B30" w:rsidRPr="009F612B" w:rsidRDefault="008F7B30" w:rsidP="009F612B">
      <w:pPr>
        <w:spacing w:after="0"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CAPÍTULO 1</w:t>
      </w:r>
    </w:p>
    <w:p w14:paraId="18A19639" w14:textId="77777777" w:rsidR="008F7B30" w:rsidRPr="009F612B" w:rsidRDefault="008F7B30" w:rsidP="009F612B">
      <w:pPr>
        <w:spacing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HONORARIOS DE MIEMBROS DE JUNTAS Y CONSEJOS DIRECTIVOS</w:t>
      </w:r>
    </w:p>
    <w:p w14:paraId="0A0CC91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0" w:name="ver_30057068"/>
      <w:bookmarkEnd w:id="560"/>
    </w:p>
    <w:p w14:paraId="278A9281" w14:textId="17706DA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2.5.3.1.1. Fijación de honorarios de miembros de juntas o consejos directivos de entidades públicas. De conformidad con el numeral 15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4712 de 2008, los honorarios de los miembros de juntas o consejos directivos de los establecimientos públicos, empresas industriales y comerciales del Estado y sociedades de economía mixta asimiladas a éstas, o en aquellas en las cuales la Nación tenga participación mayoritaria, serán fijados por el Ministro de Hacienda y Crédito Público. </w:t>
      </w:r>
    </w:p>
    <w:p w14:paraId="6DE18D8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1" w:name="ver_30057069"/>
      <w:bookmarkEnd w:id="561"/>
    </w:p>
    <w:p w14:paraId="00FFA4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2.5.3.1.2. Honorarios de miembros de comités o comisiones de Junta o Consejo directivo. Los honorarios para los miembros de los comités o comisiones de las mismas juntas o consejos directivos, serán fijados por el Ministro de Hacienda y Crédito Público. </w:t>
      </w:r>
    </w:p>
    <w:p w14:paraId="50F1E9D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2" w:name="ver_30057070"/>
      <w:bookmarkEnd w:id="562"/>
    </w:p>
    <w:p w14:paraId="6BA48CD5" w14:textId="75B8F82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2.5.3.1.3. Fijación de honorarios por asambleas de accionistas o juntas de socios. Los honorarios de los miembros de juntas de socios o consejos directivos de las sociedades de economía mixta y de las sociedades a las cuales no se aplique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primero, serán fijados por las respectivas asambleas de accionistas o juntas de socios. Igualmente los honorarios para los miembros de los comités o comisiones de las mismas juntas de socios o consejos directivos. </w:t>
      </w:r>
    </w:p>
    <w:p w14:paraId="033FCC6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3" w:name="ver_30220433"/>
      <w:bookmarkStart w:id="564" w:name="ver_30057071"/>
      <w:bookmarkEnd w:id="563"/>
    </w:p>
    <w:p w14:paraId="41903AE5" w14:textId="393B071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2.5.3.1.4. Criterios para fijación de honorarios. Para la fijación de los honorarios de los miembros de juntas o consejos directivos, comités o comisiones de las mismas, a que se refieren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anteriores, deberán tenerse en cuenta los siguientes criterios: </w:t>
      </w:r>
    </w:p>
    <w:p w14:paraId="553029A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B9C6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Se fijarán por resolución, en salarios mínimos legales mensuales vigentes, por sesión. </w:t>
      </w:r>
    </w:p>
    <w:p w14:paraId="78F0B6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A084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Se establecerán, entre otros, de acuerdo al nivel de activos del respectivo establecimiento público, empresa industrial y comercial del estado, sociedad de economía mixta o sociedad en que la Nación posea participación mayoritaria, y tomando en consideración las disponibilidades presupuestales de la respectiva entidad y su viabilidad financiera. </w:t>
      </w:r>
    </w:p>
    <w:p w14:paraId="3A0EA3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B2EA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Por las sesiones realizadas en un mismo día solo podrá pagarse el equivalente a una sesión. </w:t>
      </w:r>
    </w:p>
    <w:p w14:paraId="10EB52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C123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Por las reuniones de juntas o consejos directivos no presenciales, se pagarán los honorarios establecidos para las sesiones presenciales, previa modificación de los estatutos sociales o aprobación por parte de la asamblea general de accionistas, según corresponda.  </w:t>
      </w:r>
    </w:p>
    <w:p w14:paraId="4277C8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489663" w14:textId="75EB110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valor de los honorarios establecidos de acuerdo con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incrementará automáticamente con el incremento anual del salario mínimo legal mensual decretado por el Gobierno Nacional. </w:t>
      </w:r>
    </w:p>
    <w:p w14:paraId="613D2D2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5" w:name="ver_30057072"/>
      <w:bookmarkEnd w:id="564"/>
      <w:bookmarkEnd w:id="565"/>
    </w:p>
    <w:p w14:paraId="02FA314D" w14:textId="51AC659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2.5.3.1.5. Límite de honorarios. De conformidad con el literal f)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19 de la Ley 4 de 1992, los funcionarios públicos no podrán recibir remuneración por más de dos (2) juntas o consejos directivos que formen parte en virtud de mandato legal o por delegación. </w:t>
      </w:r>
    </w:p>
    <w:p w14:paraId="5341FB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530994" w14:textId="65527B7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Los particulares no podrán ser miembros de más de dos (2) juntas o consejos directivos de las entidades a que se refiere el presente capítulo, en concordancia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5º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 Ley 128 de 1976. </w:t>
      </w:r>
    </w:p>
    <w:p w14:paraId="122C5891" w14:textId="26FD73E1" w:rsidR="008F7B30" w:rsidRPr="002C1480" w:rsidRDefault="008F7B30" w:rsidP="009F61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66" w:name="ver_30057073"/>
      <w:bookmarkEnd w:id="566"/>
    </w:p>
    <w:p w14:paraId="4A4E6E65" w14:textId="2F7551C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2.5.3.1.6. Gastos de desplazamiento de los miembros de juntas directivas. Los representantes legales de las entidades enumeradas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anteriores, podrán autorizar el pago de los gastos de desplazamiento entendidos éstos como el valor del transporte por cualquier medio idóneo, en que incurran los miembros de juntas de socios o consejos directivos, cuyos lugares habituales de trabajo estén fuera del domicilio principal de la entidad. </w:t>
      </w:r>
    </w:p>
    <w:p w14:paraId="7A7328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EBF047" w14:textId="77777777" w:rsidR="008F7B30" w:rsidRPr="009F612B" w:rsidRDefault="008F7B30" w:rsidP="009F612B">
      <w:pPr>
        <w:spacing w:after="0" w:line="293" w:lineRule="atLeast"/>
        <w:jc w:val="center"/>
        <w:rPr>
          <w:rFonts w:ascii="Arial" w:eastAsia="Times New Roman" w:hAnsi="Arial" w:cs="Arial"/>
          <w:b/>
          <w:bCs/>
          <w:color w:val="000000"/>
          <w:lang w:eastAsia="es-CO"/>
        </w:rPr>
      </w:pPr>
      <w:bookmarkStart w:id="567" w:name="ver_30057074"/>
      <w:bookmarkEnd w:id="567"/>
      <w:r w:rsidRPr="009F612B">
        <w:rPr>
          <w:rFonts w:ascii="Arial" w:eastAsia="Times New Roman" w:hAnsi="Arial" w:cs="Arial"/>
          <w:b/>
          <w:bCs/>
          <w:color w:val="000000"/>
          <w:lang w:eastAsia="es-CO"/>
        </w:rPr>
        <w:t>CAPÍTULO 2</w:t>
      </w:r>
    </w:p>
    <w:p w14:paraId="2C6DAAA3" w14:textId="77777777" w:rsidR="008F7B30" w:rsidRPr="009F612B" w:rsidRDefault="008F7B30" w:rsidP="009F612B">
      <w:pPr>
        <w:spacing w:after="0"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REPRESENTACIÓN DE LA PARTICIPACIÓN ACCIONARIA DE LA NACIÓN</w:t>
      </w:r>
    </w:p>
    <w:p w14:paraId="0637F6B3" w14:textId="77777777" w:rsidR="008F7B30" w:rsidRPr="009F612B" w:rsidRDefault="008F7B30" w:rsidP="009F612B">
      <w:pPr>
        <w:spacing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EN EMPRESAS DE SERVICIOS PÚBLICOS DOMICILIARIOS</w:t>
      </w:r>
    </w:p>
    <w:p w14:paraId="2BFFEF7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8" w:name="ver_30057075"/>
      <w:bookmarkEnd w:id="568"/>
    </w:p>
    <w:p w14:paraId="1491A7A8" w14:textId="20502ED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2.5.3.2.1. Representación de la participación accionaria de la Nación en las asambleas de accionistas. De conformidad con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819 de 2003, en las asambleas de accionistas de las empresas de servicios públicos domiciliarios en las cuales la Nación tenga participación accionaria, las acciones de la Nación estarán representadas por funcionarios de la planta de personal del Ministerio de Hacienda y Crédito Público, sin perjuicio de lo dispuesto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104 y s.s. de la Ley 489 de 1998 y demás normas concordantes y pertinentes. </w:t>
      </w:r>
    </w:p>
    <w:p w14:paraId="318896E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69" w:name="ver_30057076"/>
      <w:bookmarkEnd w:id="569"/>
    </w:p>
    <w:p w14:paraId="601164C5" w14:textId="5649B8E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2.5.3.2.2. Representación de la participación accionaria de la Nación en las juntas directivas. En la composición de las juntas directivas de las empresas de servicios públicos domiciliarios deberá participar, por lo menos, un funcionario de la planta de personal del Ministerio de Hacienda y Crédito Público con su respectivo suplente designados por el Ministro de Hacienda y Crédito Público, de acuerdo con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819 de 2003, en concordancia con lo establecido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434 del Código de Comercio y 19.16 de la Ley 142 de 1993. </w:t>
      </w:r>
    </w:p>
    <w:p w14:paraId="1653BF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E259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participación de los funcionarios de planta del Ministerio de Hacienda y Crédito Público en las juntas directivas de las empresas de servicios públicos domiciliarios, tendrá carácter concurrente con la de las demás personas elegidas válidamente por las respectivas asambleas de accionistas. </w:t>
      </w:r>
    </w:p>
    <w:p w14:paraId="0D5F39A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0" w:name="ver_30057077"/>
      <w:bookmarkEnd w:id="570"/>
    </w:p>
    <w:p w14:paraId="19333D65" w14:textId="13C1C32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2.5.3.2.3. Prohibición de modificación de la adscripción o vinculación de una empresa por representación de la participación accionaria en cabeza del Ministerio de Hacienda. La participación de los funcionarios de planta del Ministerio de Hacienda y Crédito Público en las asambleas y juntas directivas de las empresas de servicios públicos domiciliarios en las cuales la Nación tiene participación accionaria, no modifica la adscripción o vinculación de las respectivas empresas al Ministerio o Departamento Administrativo correspondiente. </w:t>
      </w:r>
    </w:p>
    <w:p w14:paraId="67AE8EA8" w14:textId="77777777" w:rsidR="009F612B" w:rsidRDefault="009F612B" w:rsidP="00C32F85">
      <w:pPr>
        <w:spacing w:after="0" w:line="293" w:lineRule="atLeast"/>
        <w:jc w:val="both"/>
        <w:rPr>
          <w:rFonts w:ascii="Arial" w:eastAsia="Times New Roman" w:hAnsi="Arial" w:cs="Arial"/>
          <w:color w:val="000000"/>
          <w:lang w:eastAsia="es-CO"/>
        </w:rPr>
      </w:pPr>
      <w:bookmarkStart w:id="571" w:name="ver_30057078"/>
      <w:bookmarkEnd w:id="571"/>
    </w:p>
    <w:p w14:paraId="4C9248AF" w14:textId="64533895" w:rsidR="008F7B30" w:rsidRPr="009F612B" w:rsidRDefault="008F7B30" w:rsidP="009F612B">
      <w:pPr>
        <w:spacing w:after="0"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TÍTULO 4</w:t>
      </w:r>
    </w:p>
    <w:p w14:paraId="22FB51E5" w14:textId="77777777" w:rsidR="008F7B30" w:rsidRPr="009F612B" w:rsidRDefault="008F7B30" w:rsidP="009F612B">
      <w:pPr>
        <w:spacing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RÉGIMEN LIQUIDATORIO DE ENTIDADES PÚBLICAS</w:t>
      </w:r>
    </w:p>
    <w:p w14:paraId="1E817C6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2" w:name="ver_30057079"/>
      <w:bookmarkEnd w:id="572"/>
    </w:p>
    <w:p w14:paraId="688D8C4C" w14:textId="59EBEB1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2.5.4.1. Procesos Liquidatorios adelantados por otra entidad estatal. En los casos en que se disponga que otra entidad estatal continúe adelantando las actividades correspondientes al proceso liquidatorio, para culminar dichas actividades la misma dará aplicación a las </w:t>
      </w:r>
      <w:r w:rsidR="008F7B30" w:rsidRPr="002C1480">
        <w:rPr>
          <w:rFonts w:ascii="Arial" w:eastAsia="Times New Roman" w:hAnsi="Arial" w:cs="Arial"/>
          <w:color w:val="000000"/>
          <w:lang w:eastAsia="es-CO"/>
        </w:rPr>
        <w:lastRenderedPageBreak/>
        <w:t>disposiciones vigentes. Cuando la entidad estatal maneje los recursos entregados, provenientes o derivados de los activos de la liquidación deberá hacerlo en una cuenta independiente que permita asumir los gastos de la liquidación y mantener su destinación específica al pago de pasivos pensionales y otros pasivos de la liquidación. </w:t>
      </w:r>
    </w:p>
    <w:p w14:paraId="194C31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13D8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este caso la entidad podrá celebrar todos los actos, contratos o convenios necesarios para la conservación de los activos, en particular, los que tengan por propósito evitar el deterioro o destrucción de los bienes o activos, así como celebrar los contratos o convenios requeridos para el desarrollo de la liquidación y aquellos que faciliten la cancelación del pasivo. </w:t>
      </w:r>
    </w:p>
    <w:p w14:paraId="72E3DD6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3" w:name="ver_30057080"/>
      <w:bookmarkEnd w:id="573"/>
    </w:p>
    <w:p w14:paraId="2AB2E60F" w14:textId="7B40FDF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2.5.4.2. Participación en la Fórmula de Adjudicación. En los casos en que la Nación asuma el pago del pasivo pensional, la misma participará en la aprobación de la fórmula de adjudicación de los activos remanentes con los votos que correspondan a dicho pasivo. </w:t>
      </w:r>
    </w:p>
    <w:p w14:paraId="5AB3CFE8" w14:textId="77777777" w:rsidR="009F612B" w:rsidRPr="009F612B" w:rsidRDefault="009F612B" w:rsidP="009F612B">
      <w:pPr>
        <w:spacing w:after="0" w:line="293" w:lineRule="atLeast"/>
        <w:jc w:val="center"/>
        <w:rPr>
          <w:rFonts w:ascii="Arial" w:eastAsia="Times New Roman" w:hAnsi="Arial" w:cs="Arial"/>
          <w:b/>
          <w:bCs/>
          <w:color w:val="000000"/>
          <w:lang w:eastAsia="es-CO"/>
        </w:rPr>
      </w:pPr>
      <w:bookmarkStart w:id="574" w:name="ver_30057081"/>
      <w:bookmarkEnd w:id="574"/>
    </w:p>
    <w:p w14:paraId="53BC4237" w14:textId="2EA3BDC4" w:rsidR="008F7B30" w:rsidRPr="009F612B" w:rsidRDefault="008F7B30" w:rsidP="009F612B">
      <w:pPr>
        <w:spacing w:after="0"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CAPÍTULO 1</w:t>
      </w:r>
    </w:p>
    <w:p w14:paraId="78451F61" w14:textId="77777777" w:rsidR="008F7B30" w:rsidRPr="009F612B" w:rsidRDefault="008F7B30" w:rsidP="009F612B">
      <w:pPr>
        <w:spacing w:line="293" w:lineRule="atLeast"/>
        <w:jc w:val="center"/>
        <w:rPr>
          <w:rFonts w:ascii="Arial" w:eastAsia="Times New Roman" w:hAnsi="Arial" w:cs="Arial"/>
          <w:b/>
          <w:bCs/>
          <w:color w:val="000000"/>
          <w:lang w:eastAsia="es-CO"/>
        </w:rPr>
      </w:pPr>
      <w:r w:rsidRPr="009F612B">
        <w:rPr>
          <w:rFonts w:ascii="Arial" w:eastAsia="Times New Roman" w:hAnsi="Arial" w:cs="Arial"/>
          <w:b/>
          <w:bCs/>
          <w:color w:val="000000"/>
          <w:lang w:eastAsia="es-CO"/>
        </w:rPr>
        <w:t>INVENTARIOS Y AVALÚOS EN EL PROCESO DE LIQUIDACIÓN</w:t>
      </w:r>
    </w:p>
    <w:p w14:paraId="0ED1BF8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5" w:name="ver_30057093"/>
      <w:bookmarkEnd w:id="575"/>
    </w:p>
    <w:p w14:paraId="1FAE730B" w14:textId="4C2234A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2.5.4.1.1. Publicidad de inventarios y avalúos. Para dar cumplimiento a lo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30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-Ley 254 de 2000,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16 de la Ley 1105 de 2006, la publicación del inventario y avalúo comercial de los bienes de las entidades públicas en liquidación, deberá realizarse en la página web de la entidad en liquidación. </w:t>
      </w:r>
    </w:p>
    <w:p w14:paraId="10B94AB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6" w:name="ver_30057094"/>
      <w:bookmarkEnd w:id="576"/>
    </w:p>
    <w:p w14:paraId="2F733013" w14:textId="2A16F40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2.5.4.1.2. Determinación del valor inferior de venta de activos. Para la enajenación de activos por un valor inferior al avalúo comercial, de acuerdo con lo establecido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30 y 31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-Ley 254 de 2000, modificados por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16 y 17 de la Ley 1105 de 2006, los liquidadores deberán implementar una metodología para determinar el valor inferior de enajenación teniendo en consideración las siguientes variables, las cuales incorporan el costo de oportunidad del dinero y el valor presente neto de la administración y mantenimiento: </w:t>
      </w:r>
    </w:p>
    <w:p w14:paraId="710813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F1EE3C" w14:textId="6DD39BB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Valor del avalúo: Corresponde al valor arrojado por el avalúo comercial vigente realizado de conformidad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 de la Ley 1105 de 2006. </w:t>
      </w:r>
    </w:p>
    <w:p w14:paraId="254D68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B8C9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Ingresos: Corresponden a cualquier tipo de recursos que perciba la entidad, proveniente del activo, tales como cánones de arrendamiento, aprovechamientos y rendimientos. </w:t>
      </w:r>
    </w:p>
    <w:p w14:paraId="3D06954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9981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Gastos: Se refiere a la totalidad de los gastos en que incurre la entidad, dependiendo del tipo de activo, que se deriven de la titularidad, la comercialización, el saneamiento, el mantenimiento y la administración del mismo, tales como: </w:t>
      </w:r>
    </w:p>
    <w:p w14:paraId="5BFDD1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5525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Servicios públicos. </w:t>
      </w:r>
    </w:p>
    <w:p w14:paraId="647AC5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E75E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Conservación, administración y vigilancia. </w:t>
      </w:r>
    </w:p>
    <w:p w14:paraId="4B3212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0629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Impuestos y gravámenes. </w:t>
      </w:r>
    </w:p>
    <w:p w14:paraId="166DB7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3571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Seguros. </w:t>
      </w:r>
    </w:p>
    <w:p w14:paraId="3F5A12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957D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Gastos de promoción en ventas. </w:t>
      </w:r>
    </w:p>
    <w:p w14:paraId="6B0A911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6C87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Costos y gastos de saneamiento. </w:t>
      </w:r>
    </w:p>
    <w:p w14:paraId="519B08F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B3EC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Comisiones fiduciarias. </w:t>
      </w:r>
    </w:p>
    <w:p w14:paraId="688EA0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9FCB5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Gastos de bodegaje. </w:t>
      </w:r>
    </w:p>
    <w:p w14:paraId="074801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6E56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Tasa de Descuento: Es el porcentaje al cual se descuentan los flujos de caja futuros para traerlos al valor presente y poder con ello determinar un valor equivalente del activo. </w:t>
      </w:r>
    </w:p>
    <w:p w14:paraId="5407C5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2684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tasa puede variar dependiendo del tiempo estimado de comercialización que se asigne a los activos y estará determinada en función de la DTF. </w:t>
      </w:r>
    </w:p>
    <w:p w14:paraId="65B097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9F17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Tiempo de Comercialización: Corresponde al tiempo que la entidad considera que tomará la comercialización de los activos con el fin de calcular los ingresos y egresos que se causarían durante este período. </w:t>
      </w:r>
    </w:p>
    <w:p w14:paraId="6C5189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2097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5.1. Factores que definen el tiempo de comercialización: Los siguientes factores, entre otros, afectan el tiempo de comercialización del activo: </w:t>
      </w:r>
    </w:p>
    <w:p w14:paraId="70593B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4749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Tipo de activo. </w:t>
      </w:r>
    </w:p>
    <w:p w14:paraId="0BCF67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B78C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Características particulares del activo. </w:t>
      </w:r>
    </w:p>
    <w:p w14:paraId="528F93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1BD5D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Comportamiento del mercado. </w:t>
      </w:r>
    </w:p>
    <w:p w14:paraId="6BE8A37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D372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Tiempo de permanencia del activo en el inventario de la entidad. </w:t>
      </w:r>
    </w:p>
    <w:p w14:paraId="08C97A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7482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Número de ofertas recibidas. </w:t>
      </w:r>
    </w:p>
    <w:p w14:paraId="74B053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85DB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Número de visitas recibidas. </w:t>
      </w:r>
    </w:p>
    <w:p w14:paraId="493804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0AF69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Tiempo de comercialización establecida por el avaluador. </w:t>
      </w:r>
    </w:p>
    <w:p w14:paraId="10A1C9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B48A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Estado jurídico del activo. </w:t>
      </w:r>
    </w:p>
    <w:p w14:paraId="0E3BEA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A5C8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Dependiendo de estos factores, los activos se clasificarán como de alta comercialización, de media comercialización y de baja comercialización. </w:t>
      </w:r>
    </w:p>
    <w:p w14:paraId="120FB3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66AA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Estado de saneamiento de los activos: Para efecto de determinar el estado jurídico de los activos, se tendrá en cuenta, además, si el mismo está saneado o no: </w:t>
      </w:r>
    </w:p>
    <w:p w14:paraId="20AE22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624A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 Activo saneado: Es el activo que no presenta ningún problema jurídico, administrativo o técnico, que se encuentra libre de deudas por cualquier concepto, así como aquel respecto del cual no exista ninguna afectación que impida su transferencia. </w:t>
      </w:r>
    </w:p>
    <w:p w14:paraId="7CD4D4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E93B8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6.2. Activo no saneado: Es el activo que presenta problemas jurídicos, técnicos o administrativos que limitan su uso, goce y disfrute, pero que no impiden su transferencia a favor de terceros. </w:t>
      </w:r>
    </w:p>
    <w:p w14:paraId="0D9E25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1FEF2D" w14:textId="62F4FEB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aquellos casos en que la entidad pública en liquidación, con posterioridad al inicio del proceso liquidatorio, deba garantizar la continuidad de la prestación del servicio público de </w:t>
      </w:r>
      <w:r w:rsidRPr="002C1480">
        <w:rPr>
          <w:rFonts w:ascii="Arial" w:eastAsia="Times New Roman" w:hAnsi="Arial" w:cs="Arial"/>
          <w:color w:val="000000"/>
          <w:lang w:eastAsia="es-CO"/>
        </w:rPr>
        <w:lastRenderedPageBreak/>
        <w:t xml:space="preserve">manera transitoria, mientras se enajenan los activos afectos a dicha prestación de servicios, en el cálculo de los ingresos y gastos, se incluirán, además, los ingresos obtenidos de manera transitoria en la operación de los activos afectos a dicha prestación, así como las erogaciones y adecuaciones que deberá seguir asumiendo por la imposibilidad de enajenar sus activos y disponer de los recursos necesarios para expedir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supresión de cargos. </w:t>
      </w:r>
    </w:p>
    <w:p w14:paraId="3597C42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7" w:name="ver_30057095"/>
      <w:bookmarkEnd w:id="577"/>
    </w:p>
    <w:p w14:paraId="1A4BD0B3" w14:textId="6905F7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2.5.4.1.3. Determinación del valor mínimo de venta de la cartera. El modelo financiero a utilizar para determinar el valor mínimo de venta de la cartera, deberá tener en consideración como mínimo los siguientes parámetros: </w:t>
      </w:r>
    </w:p>
    <w:p w14:paraId="69922B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89C1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construcción del flujo de pagos de cada obligación según las condiciones actuales del crédito y/o cuentas por cobrar. </w:t>
      </w:r>
    </w:p>
    <w:p w14:paraId="6AC1CB3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9D4B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estimación de la tasa de descuento del flujo en función de la DTF, tomando en consideración los factores de riesgo inherentes al deudor y a la operación, que puedan afectar el pago normal de la obligación. </w:t>
      </w:r>
    </w:p>
    <w:p w14:paraId="586D18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4322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cálculo del valor presente neto del flujo, adicionando a la tasa de descuento la prima de riesgo calculada. </w:t>
      </w:r>
    </w:p>
    <w:p w14:paraId="669AB5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24E9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gastos asociados a la cobranza de la cartera a futuro, las garantías asociadas a las obligaciones, edades de mora y prescripción de cobro. </w:t>
      </w:r>
    </w:p>
    <w:p w14:paraId="1B3198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A22D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El tiempo esperado para la recuperación de la cartera por recaudo directo o por vía judicial. </w:t>
      </w:r>
    </w:p>
    <w:p w14:paraId="60C48C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53F7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Las demás consideraciones universalmente aceptadas para este tipo de operaciones. </w:t>
      </w:r>
    </w:p>
    <w:p w14:paraId="65B339B8" w14:textId="77777777" w:rsidR="003517F6" w:rsidRDefault="003517F6" w:rsidP="00C32F85">
      <w:pPr>
        <w:spacing w:after="0" w:line="293" w:lineRule="atLeast"/>
        <w:jc w:val="both"/>
        <w:rPr>
          <w:rFonts w:ascii="Arial" w:eastAsia="Times New Roman" w:hAnsi="Arial" w:cs="Arial"/>
          <w:color w:val="000000"/>
          <w:lang w:eastAsia="es-CO"/>
        </w:rPr>
      </w:pPr>
      <w:bookmarkStart w:id="578" w:name="ver_30057096"/>
      <w:bookmarkEnd w:id="578"/>
    </w:p>
    <w:p w14:paraId="44ADA434" w14:textId="6DB8CD92" w:rsidR="008F7B30" w:rsidRPr="003517F6" w:rsidRDefault="008F7B30" w:rsidP="003517F6">
      <w:pPr>
        <w:spacing w:after="0"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CAPÍTULO 2</w:t>
      </w:r>
    </w:p>
    <w:p w14:paraId="54812A6B" w14:textId="77777777" w:rsidR="008F7B30" w:rsidRPr="003517F6" w:rsidRDefault="008F7B30" w:rsidP="003517F6">
      <w:pPr>
        <w:spacing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ENAJENACIÓN DE ACTIVOS AL COLECTOR DE ACTIVOS PÚBLICOS (CISA)</w:t>
      </w:r>
    </w:p>
    <w:p w14:paraId="7A45284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79" w:name="ver_30057097"/>
      <w:bookmarkEnd w:id="579"/>
    </w:p>
    <w:p w14:paraId="4A282595" w14:textId="03D0DC5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2.5.4.2.1. Enajenación onerosa de activos a Central de Inversiones S. A. Si transcurrido un (1) año a partir de la publicación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que ordene la supresión y liquidación de la entidad, no se han enajenado los activos que habiendo sido ofrecidos no se hubieren recibido posturas de las entidades públicas o de terceros; o no se hayan adjudicado, la entidad propietaria deberá enajenarlos a título oneroso a Central de Inversiones S. A., CISA, mediante contrato interadministrativo en el cual se estipularán las condiciones de la venta. </w:t>
      </w:r>
    </w:p>
    <w:p w14:paraId="013698A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8BEC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 transferencia a Central de Inversiones S. A., CISA, se establecerá conforme a los modelos de valoración adoptados por su Junta Directiva. </w:t>
      </w:r>
    </w:p>
    <w:p w14:paraId="6101B6C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CDD0EA" w14:textId="3D6E3AE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Sin perjuicio de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en el evento en que el liquidador haya agotado los trámites establecidos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16 y 17 de la Ley 1105 de 2006 en un término inferior a un (1) año, sin que se hubiere logrado la venta o adjudicación, el liquidador podrá realizar la enajenación a título oneroso a Central de Inversiones S. A., CISA. </w:t>
      </w:r>
    </w:p>
    <w:p w14:paraId="07D470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E45A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liquidador podrá contratar con Central de Inversiones S. A., CISA, la gestión comercial, el saneamiento, el mantenimiento y la recuperación de los activos en contraprestación de una comisión. </w:t>
      </w:r>
    </w:p>
    <w:p w14:paraId="0279E3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1FFD4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3°. Aquellas entidades públicas en liquidación que por mandato legal ya han sido autorizadas para vender o entregar en administración sus activos a Central de Inversiones S. A., CISA, estarán exentas de la aplicación del procedimiento aquí señalado y para el efecto podrán contratar directamente con esta. </w:t>
      </w:r>
    </w:p>
    <w:p w14:paraId="302B88E1" w14:textId="77777777" w:rsidR="003517F6" w:rsidRDefault="003517F6" w:rsidP="00C32F85">
      <w:pPr>
        <w:spacing w:after="0" w:line="293" w:lineRule="atLeast"/>
        <w:jc w:val="both"/>
        <w:rPr>
          <w:rFonts w:ascii="Arial" w:eastAsia="Times New Roman" w:hAnsi="Arial" w:cs="Arial"/>
          <w:color w:val="000000"/>
          <w:lang w:eastAsia="es-CO"/>
        </w:rPr>
      </w:pPr>
      <w:bookmarkStart w:id="580" w:name="ver_30101173"/>
      <w:bookmarkEnd w:id="580"/>
    </w:p>
    <w:p w14:paraId="0B24F9F6" w14:textId="27BA4666" w:rsidR="008F7B30" w:rsidRPr="003517F6" w:rsidRDefault="008F7B30" w:rsidP="003517F6">
      <w:pPr>
        <w:spacing w:after="0"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TÍTULO 5</w:t>
      </w:r>
    </w:p>
    <w:p w14:paraId="2495F67C" w14:textId="2132B9CE" w:rsidR="008F7B30" w:rsidRDefault="008F7B30" w:rsidP="003517F6">
      <w:pPr>
        <w:spacing w:after="0"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ADMINISTRACIÓN DE LOS BIENES DEL FRISCO</w:t>
      </w:r>
    </w:p>
    <w:p w14:paraId="320ED5A0" w14:textId="77777777" w:rsidR="003517F6" w:rsidRPr="003517F6" w:rsidRDefault="003517F6" w:rsidP="003517F6">
      <w:pPr>
        <w:spacing w:after="0" w:line="293" w:lineRule="atLeast"/>
        <w:jc w:val="center"/>
        <w:rPr>
          <w:rFonts w:ascii="Arial" w:eastAsia="Times New Roman" w:hAnsi="Arial" w:cs="Arial"/>
          <w:b/>
          <w:bCs/>
          <w:color w:val="000000"/>
          <w:lang w:eastAsia="es-CO"/>
        </w:rPr>
      </w:pPr>
    </w:p>
    <w:p w14:paraId="281DBBA7" w14:textId="77777777" w:rsidR="008F7B30" w:rsidRPr="003517F6" w:rsidRDefault="008F7B30" w:rsidP="003517F6">
      <w:pPr>
        <w:spacing w:after="0"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CAPÍTULO 1</w:t>
      </w:r>
    </w:p>
    <w:p w14:paraId="17B4CFE2" w14:textId="77777777" w:rsidR="008F7B30" w:rsidRPr="003517F6" w:rsidRDefault="008F7B30" w:rsidP="003517F6">
      <w:pPr>
        <w:spacing w:after="0"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DISPOSICIONES GENERALES</w:t>
      </w:r>
    </w:p>
    <w:p w14:paraId="62F30C7B" w14:textId="77777777" w:rsidR="003517F6" w:rsidRDefault="003517F6" w:rsidP="00C32F85">
      <w:pPr>
        <w:spacing w:after="0" w:line="254" w:lineRule="atLeast"/>
        <w:jc w:val="both"/>
        <w:rPr>
          <w:rFonts w:ascii="Arial" w:eastAsia="Times New Roman" w:hAnsi="Arial" w:cs="Arial"/>
          <w:color w:val="000000"/>
          <w:lang w:eastAsia="es-CO"/>
        </w:rPr>
      </w:pPr>
      <w:bookmarkStart w:id="581" w:name="ver_30101192"/>
      <w:bookmarkEnd w:id="581"/>
    </w:p>
    <w:p w14:paraId="3F766A27" w14:textId="328CE9D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 Objeto. El presente título se aplica a los bienes a cargo del Administrador del Fondo para la Rehabilitación, Inversión Social y Lucha contra el Crimen Organizado (Frisco) respecto de los cuales se declare la extinción de dominio o se hayan decretado o se decreten medidas cautelares en procesos de extinción de dominio. </w:t>
      </w:r>
    </w:p>
    <w:p w14:paraId="256901E4" w14:textId="066705D3" w:rsidR="008F7B30" w:rsidRPr="002C1480" w:rsidRDefault="008F7B30" w:rsidP="003517F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82" w:name="ver_30201675"/>
      <w:bookmarkStart w:id="583" w:name="ver_30101193"/>
      <w:bookmarkEnd w:id="582"/>
    </w:p>
    <w:p w14:paraId="487A498A" w14:textId="708B1F0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2.5.5.1.2. Definiciones. Los términos no definidos en el presente título y utilizados frecuentemente, deben entenderse de acuerdo con su significado natural y obvio. Para efecto del presente título, los términos aquí utilizados con mayúscula inicial deben ser entendidos con el significado que a continuación se indica: </w:t>
      </w:r>
    </w:p>
    <w:p w14:paraId="166418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0A4A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Activos Sociales. Son todos aquellos bienes de propiedad de una persona jurídica que se encuentran bajo la administración del Frisco. </w:t>
      </w:r>
    </w:p>
    <w:p w14:paraId="3AD2DA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1AF3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Administrador del Frisco. Es la Sociedad de Especiales S.A.S. (SAE). </w:t>
      </w:r>
    </w:p>
    <w:p w14:paraId="12FBCC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DED0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Bienes del Frisco. Son aquellos bienes sobre los cuales se ha declarado extinción de dominio mediante sentencia en firme. También se entenderán como bienes del Frisco aquellos sobre los cuales se hayan adoptado o se adopten medidas caute</w:t>
      </w:r>
      <w:r w:rsidRPr="002C1480">
        <w:rPr>
          <w:rFonts w:ascii="Arial" w:eastAsia="Times New Roman" w:hAnsi="Arial" w:cs="Arial"/>
          <w:color w:val="000000"/>
          <w:lang w:eastAsia="es-CO"/>
        </w:rPr>
        <w:softHyphen/>
        <w:t>lares dentro del proceso de extinción de dominio, así como, los dineros producto de la enajenación temprana y de los recursos que generen los bienes productivos en procesos de extinción de dominio, al igual que los bienes en comiso entrega</w:t>
      </w:r>
      <w:r w:rsidRPr="002C1480">
        <w:rPr>
          <w:rFonts w:ascii="Arial" w:eastAsia="Times New Roman" w:hAnsi="Arial" w:cs="Arial"/>
          <w:color w:val="000000"/>
          <w:lang w:eastAsia="es-CO"/>
        </w:rPr>
        <w:softHyphen/>
        <w:t>dos y administrados antes de la entrada en vigencia de la Ley 1615 de 2013. Para los fines de este título se hará referencia de los bienes descritos como bienes del Frisco. </w:t>
      </w:r>
    </w:p>
    <w:p w14:paraId="5EE674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046E1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Bienes Improductivos. Para los fines de este título, son aquellos que no generan recursos suficientes para su propio mantenimiento y sostenimiento, o que por su condición o estado no tienen vocación de generar recursos suficientes para su mantenimiento y/o sostenimiento. </w:t>
      </w:r>
    </w:p>
    <w:p w14:paraId="26FF5C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7CB6F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Bienes Productivos. Son aquellos que generan recursos suficientes para el pago y cumplimiento de todas las obligaciones derivadas de la administración del mis</w:t>
      </w:r>
      <w:r w:rsidRPr="002C1480">
        <w:rPr>
          <w:rFonts w:ascii="Arial" w:eastAsia="Times New Roman" w:hAnsi="Arial" w:cs="Arial"/>
          <w:color w:val="000000"/>
          <w:lang w:eastAsia="es-CO"/>
        </w:rPr>
        <w:softHyphen/>
        <w:t>mo bien. </w:t>
      </w:r>
    </w:p>
    <w:p w14:paraId="248529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A577E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Metodología de Administración. Conjunto de procedimientos internos propios desarrollados por el Administrador del Frisco para la administración de los Bie</w:t>
      </w:r>
      <w:r w:rsidRPr="002C1480">
        <w:rPr>
          <w:rFonts w:ascii="Arial" w:eastAsia="Times New Roman" w:hAnsi="Arial" w:cs="Arial"/>
          <w:color w:val="000000"/>
          <w:lang w:eastAsia="es-CO"/>
        </w:rPr>
        <w:softHyphen/>
        <w:t>nes del Frisco. </w:t>
      </w:r>
    </w:p>
    <w:p w14:paraId="1DF4E1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7557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Venta Masiva. Procedimiento de enajenación por medio del cual se pretende rea</w:t>
      </w:r>
      <w:r w:rsidRPr="002C1480">
        <w:rPr>
          <w:rFonts w:ascii="Arial" w:eastAsia="Times New Roman" w:hAnsi="Arial" w:cs="Arial"/>
          <w:color w:val="000000"/>
          <w:lang w:eastAsia="es-CO"/>
        </w:rPr>
        <w:softHyphen/>
        <w:t>lizar la venta de un número plural o conjunto de bienes con el fin de adjudicarlos en bloque. </w:t>
      </w:r>
    </w:p>
    <w:p w14:paraId="6EAF04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57A2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pago de las obligaciones a cargo de sociedades y establecimientos de comercio estarán a cargo de la productividad que generen. No obstante, el Administrador del Frisco podrá </w:t>
      </w:r>
      <w:r w:rsidRPr="002C1480">
        <w:rPr>
          <w:rFonts w:ascii="Arial" w:eastAsia="Times New Roman" w:hAnsi="Arial" w:cs="Arial"/>
          <w:color w:val="000000"/>
          <w:lang w:eastAsia="es-CO"/>
        </w:rPr>
        <w:lastRenderedPageBreak/>
        <w:t>asumir gastos para la correcta administración de las sociedades y establecimientos de comercio con cargo al fondo cuando los gastos no puedan ser asumidos por aquellos, siempre que, sean reconocidos en los estados de situación financiera y balances en los que se refleje la obligación a favor del Frisco. </w:t>
      </w:r>
    </w:p>
    <w:p w14:paraId="7C07E8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7B4E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pagos antes mencionados serán reconocidos al Frisco por la sociedad y establecimientos de comercio siempre a que a ello haya lugar de conformidad con lo estipulado en el acto administrativo que ordene pagar la obligación. </w:t>
      </w:r>
    </w:p>
    <w:p w14:paraId="6AB49B89"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2DBFBE66" w14:textId="77777777" w:rsidR="008F7B30" w:rsidRPr="003517F6" w:rsidRDefault="008F7B30" w:rsidP="003517F6">
      <w:pPr>
        <w:spacing w:after="0" w:line="293" w:lineRule="atLeast"/>
        <w:jc w:val="center"/>
        <w:rPr>
          <w:rFonts w:ascii="Arial" w:eastAsia="Times New Roman" w:hAnsi="Arial" w:cs="Arial"/>
          <w:b/>
          <w:bCs/>
          <w:color w:val="000000"/>
          <w:lang w:eastAsia="es-CO"/>
        </w:rPr>
      </w:pPr>
      <w:bookmarkStart w:id="584" w:name="ver_30101194"/>
      <w:bookmarkEnd w:id="583"/>
      <w:bookmarkEnd w:id="584"/>
      <w:r w:rsidRPr="003517F6">
        <w:rPr>
          <w:rFonts w:ascii="Arial" w:eastAsia="Times New Roman" w:hAnsi="Arial" w:cs="Arial"/>
          <w:b/>
          <w:bCs/>
          <w:color w:val="000000"/>
          <w:lang w:eastAsia="es-CO"/>
        </w:rPr>
        <w:t>CAPÍTULO 2</w:t>
      </w:r>
    </w:p>
    <w:p w14:paraId="2FF80A8D" w14:textId="77777777" w:rsidR="008F7B30" w:rsidRPr="003517F6" w:rsidRDefault="008F7B30" w:rsidP="003517F6">
      <w:pPr>
        <w:spacing w:after="0" w:line="293" w:lineRule="atLeast"/>
        <w:jc w:val="center"/>
        <w:rPr>
          <w:rFonts w:ascii="Arial" w:eastAsia="Times New Roman" w:hAnsi="Arial" w:cs="Arial"/>
          <w:b/>
          <w:bCs/>
          <w:color w:val="000000"/>
          <w:lang w:eastAsia="es-CO"/>
        </w:rPr>
      </w:pPr>
      <w:r w:rsidRPr="003517F6">
        <w:rPr>
          <w:rFonts w:ascii="Arial" w:eastAsia="Times New Roman" w:hAnsi="Arial" w:cs="Arial"/>
          <w:b/>
          <w:bCs/>
          <w:color w:val="000000"/>
          <w:lang w:eastAsia="es-CO"/>
        </w:rPr>
        <w:t>REGLAS GENERALES DE LA ADMINISTRACIÓN</w:t>
      </w:r>
    </w:p>
    <w:p w14:paraId="3C5333F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85" w:name="ver_30101195"/>
      <w:bookmarkEnd w:id="585"/>
    </w:p>
    <w:p w14:paraId="5EFD0DF3" w14:textId="0EAC81A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 Reglas generales para la administración de bienes. El Administrador del Frisco debe administrar los bienes de acuerdo con los distintos mecanismos establecidos en la ley, y desarrollados en el presente título. Así mismo, debe realizar, entre otras actividades, el seguimiento, evaluación, control, y adopción de las medidas preventivas y correctivas a que haya lugar para procurar la debida administración de los bienes. </w:t>
      </w:r>
    </w:p>
    <w:p w14:paraId="7F6E180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86" w:name="ver_30101197"/>
      <w:bookmarkEnd w:id="586"/>
    </w:p>
    <w:p w14:paraId="3D9DA156" w14:textId="3C58D9D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2.5.5.2.2. Mecanismos de administración. Los mecanismos de administración de los bienes del Frisco corresponden a los establecidos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92 de la Ley 1708 de 2014. </w:t>
      </w:r>
    </w:p>
    <w:p w14:paraId="1972A6CC" w14:textId="77777777" w:rsidR="003517F6" w:rsidRDefault="003517F6" w:rsidP="00C32F85">
      <w:pPr>
        <w:spacing w:after="0" w:line="254" w:lineRule="atLeast"/>
        <w:jc w:val="both"/>
        <w:rPr>
          <w:rFonts w:ascii="Arial" w:eastAsia="Times New Roman" w:hAnsi="Arial" w:cs="Arial"/>
          <w:color w:val="000000"/>
          <w:lang w:eastAsia="es-CO"/>
        </w:rPr>
      </w:pPr>
    </w:p>
    <w:p w14:paraId="1CD2D629" w14:textId="3EC4A82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2.5.5.2.3. Publicidad. El Administrador del Frisco es responsable de garantizar la publicidad de la lista de los bienes a administrar, los mecanismos que se utilicen para facilitar la administración de los bienes y los documentos de cada mecanismo, a través de su página web y de la página web del promotor o entidad estatal, cuando sea el caso, de conformidad con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2.5.5.3.1.12 de la Sección 1 del Capítulo 3 del presente título. </w:t>
      </w:r>
    </w:p>
    <w:p w14:paraId="6E5C9FD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87" w:name="ver_30101201"/>
      <w:bookmarkEnd w:id="587"/>
    </w:p>
    <w:p w14:paraId="726D0246" w14:textId="5121222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2.5.5.2.4. Garantías. Las personas, a quienes el Administrador del Frisco les entregue bienes utilizando cualquiera de los mecanismos de administración señalados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2.5.5.2.2 del presente capítulo, una vez aceptada la designación y previo a la entrega del bien a administrar, deberán constituir las garantías tendientes a preservar el buen ejercicio de la designación efectuada para la gestión de los bienes. Las características técnicas de estas garantías se determinarán en la metodología de administración. </w:t>
      </w:r>
    </w:p>
    <w:p w14:paraId="3F7CDED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88" w:name="ver_30101203"/>
      <w:bookmarkEnd w:id="588"/>
    </w:p>
    <w:p w14:paraId="347EEA67" w14:textId="1F7DBE2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2.5.5.2.5. Prohibición a los administradores. Las personas que tengan bienes del Frisco, en virtud de destinación provisional o depósito provisional, no pueden entregar los mismos ni ceder su calidad de administrador sin autorización previa y escrita del Administrador del Frisco. </w:t>
      </w:r>
    </w:p>
    <w:p w14:paraId="3A0640A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89" w:name="ver_30101204"/>
      <w:bookmarkEnd w:id="589"/>
    </w:p>
    <w:p w14:paraId="1CEAB476" w14:textId="27EE09B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2.5.5.2.6. Constitución de la fiducia. El Administrador del Frisco podrá constituir un encargo fiduciario para la administración de los recursos líquidos que generen los bienes. Los costos del encargo fiduciario se asumirán con cargo a los recursos del Frisco. </w:t>
      </w:r>
    </w:p>
    <w:p w14:paraId="01A3E49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90" w:name="ver_30201731"/>
      <w:bookmarkStart w:id="591" w:name="ver_30101209"/>
      <w:bookmarkEnd w:id="590"/>
    </w:p>
    <w:p w14:paraId="0786102A" w14:textId="21E0CB0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2.5.5.2.7. Costos y gastos de la administración de bienes. Todos los costos y gastos que se deriven de la administración de los bienes del Frisco, tales como saneamiento, custodia, vigilancia, conservación, mantenimiento, comercialización, así como de la obtención y verificación de la información relacionada con el estado físico, administrativo, jurídico y técnico de los mismos, serán con cargo a los recursos de la productividad de los bienes cuando estos se encuentren en dicho estado, y en caso contrario con cargo a los recursos del Frisco, salvo lo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110 de la Ley 1708 de 2014. </w:t>
      </w:r>
    </w:p>
    <w:p w14:paraId="3D26C6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96CD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El Administrador del Frisco tiene la facultad de invertir en el mantenimiento de los bienes improductivos con el fin de lograr su productividad, salvo en los casos que la Ley 1708 de 2014 expresamente lo prohíba u otorgue exenciones para su pago. </w:t>
      </w:r>
    </w:p>
    <w:p w14:paraId="1B62FC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894CE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pago de las obligaciones a cargo de sociedades y establecimientos de comercio estarán a cargo de la productividad que generen. No obstante, el Administrador del Frisco podrá asumir gastos para la correcta administración de las sociedades y establecimientos de comercio con cargo al fondo cuando los gastos no puedan ser asumidos por aquellos, siempre que, sean reconocidos en los estados de situación financiera y balances en los que se refleje la obligación a favor del Frisco.  </w:t>
      </w:r>
    </w:p>
    <w:p w14:paraId="1158A4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A3B1A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pagos antes mencionados serán reconocidos al Frisco por la sociedad y establecimientos de comercio siempre a que a ello haya lugar de conformidad con lo estipulado en el acto administrativo que ordene pagar la obligación.  </w:t>
      </w:r>
    </w:p>
    <w:p w14:paraId="03ACFB31" w14:textId="282DC5C4" w:rsidR="008F7B30" w:rsidRPr="002C1480" w:rsidRDefault="008F7B30" w:rsidP="00EC709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592" w:name="ver_30101211"/>
      <w:bookmarkEnd w:id="591"/>
      <w:bookmarkEnd w:id="592"/>
    </w:p>
    <w:p w14:paraId="1E2D48D1" w14:textId="30ABCA6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2.5.5.2.8. Pago de obligaciones tributarias del Frisco. Para efectos de garantizar el cumplimiento de las obligaciones tributarias que le son imputables a los recursos y bienes del Frisco, y atendiendo la naturaleza jurídica del mismo, el Administrador del Frisco está habilitado para gestionar y pagar tales obligaciones con los recursos que genere la administración de los bienes del Frisco, en virtud de sus facultades de administrador del mismo. </w:t>
      </w:r>
    </w:p>
    <w:p w14:paraId="6A779062" w14:textId="77777777" w:rsidR="00EC7098" w:rsidRDefault="00EC7098" w:rsidP="00C32F85">
      <w:pPr>
        <w:spacing w:after="0" w:line="254" w:lineRule="atLeast"/>
        <w:jc w:val="both"/>
        <w:rPr>
          <w:rFonts w:ascii="Arial" w:eastAsia="Times New Roman" w:hAnsi="Arial" w:cs="Arial"/>
          <w:color w:val="000000"/>
          <w:lang w:eastAsia="es-CO"/>
        </w:rPr>
      </w:pPr>
    </w:p>
    <w:p w14:paraId="0FF6A940" w14:textId="3835292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2.5.5.2.9. Funciones de policía administrativa del Administrador del Frisco. El Ministerio de Justicia y del Derecho podrá delegar en el Administrador del Frisco la función de policía de naturaleza administrativa, en materia de cumplimiento de decisiones judiciales proferidas en procesos de extinción de dominio. </w:t>
      </w:r>
    </w:p>
    <w:p w14:paraId="04C7C0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3407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autoridades de Policía locales, departamentales y nacionales estarán obligadas a prestar el apoyo que requiera quien tenga la función o en quien se encuentre delegada la misma para estas actuaciones, en cuanto correspondan a la efectiva administración de los bienes que ingresan al Frisco. </w:t>
      </w:r>
    </w:p>
    <w:p w14:paraId="2D02E9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BD78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acto que disponga hacer efectiva la entrega, se comunicará por el medio más expedito al ocupante ilegal del bien. </w:t>
      </w:r>
    </w:p>
    <w:p w14:paraId="76B1A5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1FDD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Transcurridos tres (3) días desde la fecha de comunicación del acto, quien tenga la función o en quien se encuentre delegada la misma practicará la diligencia directamente o por autoridad competente. </w:t>
      </w:r>
    </w:p>
    <w:p w14:paraId="7248209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93" w:name="ver_30201676"/>
      <w:bookmarkEnd w:id="593"/>
    </w:p>
    <w:p w14:paraId="541819F9" w14:textId="63272EC8"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2.5.5.2.10. Inscripción de decisiones en registro público.  </w:t>
      </w:r>
    </w:p>
    <w:p w14:paraId="713A8A11" w14:textId="77777777" w:rsidR="00EC7098" w:rsidRPr="002C1480" w:rsidRDefault="00EC7098" w:rsidP="00C32F85">
      <w:pPr>
        <w:spacing w:after="0" w:line="254" w:lineRule="atLeast"/>
        <w:jc w:val="both"/>
        <w:rPr>
          <w:rFonts w:ascii="Arial" w:eastAsia="Times New Roman" w:hAnsi="Arial" w:cs="Arial"/>
          <w:color w:val="000000"/>
          <w:lang w:eastAsia="es-CO"/>
        </w:rPr>
      </w:pPr>
    </w:p>
    <w:p w14:paraId="3BA957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solicitudes de inscripción en los registros públicos que emita el administrador del Frisco en virtud de sus competencias legales y reglamentarias deben ser resueltas sin dilación alguna y su inscripción será inmediata por parte de las autoridades encargadas de su ejecución y trámite, so pena de incurrir en las sanciones señaladas en las normas disciplinarias. </w:t>
      </w:r>
    </w:p>
    <w:p w14:paraId="0CE53AA3" w14:textId="77777777" w:rsidR="00E74EE3" w:rsidRDefault="00E74EE3" w:rsidP="00C32F85">
      <w:pPr>
        <w:spacing w:after="0" w:line="254" w:lineRule="atLeast"/>
        <w:jc w:val="both"/>
        <w:rPr>
          <w:rFonts w:ascii="Arial" w:eastAsia="Times New Roman" w:hAnsi="Arial" w:cs="Arial"/>
          <w:color w:val="000000"/>
          <w:lang w:eastAsia="es-CO"/>
        </w:rPr>
      </w:pPr>
    </w:p>
    <w:p w14:paraId="1B8C80C7" w14:textId="2E5BA56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2.5.5.2.11. Del Registro. En los casos en que un bien del Frisco sea objeto de un mecanismo de administración como enajenación temprana, chatarrización, demolición, destrucción, donación, destinación o asignación definitiva, el Administrador del Frisco deberá registrar esta operación en el sistema de control adoptado con la anotación correspondiente la cual </w:t>
      </w:r>
      <w:r w:rsidR="008F7B30" w:rsidRPr="002C1480">
        <w:rPr>
          <w:rFonts w:ascii="Arial" w:eastAsia="Times New Roman" w:hAnsi="Arial" w:cs="Arial"/>
          <w:color w:val="000000"/>
          <w:lang w:eastAsia="es-CO"/>
        </w:rPr>
        <w:lastRenderedPageBreak/>
        <w:t>deberá reflejarse en los registros contables que lleve la Entidad, sin perjuicio de los sistemas de registro de bienes muebles e inmuebles.  </w:t>
      </w:r>
    </w:p>
    <w:p w14:paraId="783517AC" w14:textId="77777777" w:rsidR="008F7B30" w:rsidRPr="00E74EE3" w:rsidRDefault="008F7B30" w:rsidP="00E74EE3">
      <w:pPr>
        <w:spacing w:after="0" w:line="254" w:lineRule="atLeast"/>
        <w:jc w:val="center"/>
        <w:rPr>
          <w:rFonts w:ascii="Arial" w:eastAsia="Times New Roman" w:hAnsi="Arial" w:cs="Arial"/>
          <w:b/>
          <w:bCs/>
          <w:color w:val="000000"/>
          <w:lang w:eastAsia="es-CO"/>
        </w:rPr>
      </w:pPr>
    </w:p>
    <w:p w14:paraId="7770617D" w14:textId="2C46D527" w:rsidR="008F7B30" w:rsidRPr="00E74EE3" w:rsidRDefault="00E74EE3" w:rsidP="00E74EE3">
      <w:pPr>
        <w:spacing w:after="0" w:line="293" w:lineRule="atLeast"/>
        <w:jc w:val="center"/>
        <w:rPr>
          <w:rFonts w:ascii="Arial" w:eastAsia="Times New Roman" w:hAnsi="Arial" w:cs="Arial"/>
          <w:b/>
          <w:bCs/>
          <w:color w:val="000000"/>
          <w:lang w:eastAsia="es-CO"/>
        </w:rPr>
      </w:pPr>
      <w:bookmarkStart w:id="594" w:name="ver_30101214"/>
      <w:bookmarkEnd w:id="594"/>
      <w:r w:rsidRPr="00E74EE3">
        <w:rPr>
          <w:rFonts w:ascii="Arial" w:eastAsia="Times New Roman" w:hAnsi="Arial" w:cs="Arial"/>
          <w:b/>
          <w:bCs/>
          <w:color w:val="000000"/>
          <w:lang w:eastAsia="es-CO"/>
        </w:rPr>
        <w:t>SECCIÓN 1</w:t>
      </w:r>
    </w:p>
    <w:p w14:paraId="2D5900C8" w14:textId="2DCF2BAE" w:rsidR="008F7B30" w:rsidRPr="00E74EE3" w:rsidRDefault="00E74EE3" w:rsidP="00E74EE3">
      <w:pPr>
        <w:spacing w:after="0" w:line="293" w:lineRule="atLeast"/>
        <w:jc w:val="center"/>
        <w:rPr>
          <w:rFonts w:ascii="Arial" w:eastAsia="Times New Roman" w:hAnsi="Arial" w:cs="Arial"/>
          <w:b/>
          <w:bCs/>
          <w:color w:val="000000"/>
          <w:lang w:eastAsia="es-CO"/>
        </w:rPr>
      </w:pPr>
      <w:r w:rsidRPr="00E74EE3">
        <w:rPr>
          <w:rFonts w:ascii="Arial" w:eastAsia="Times New Roman" w:hAnsi="Arial" w:cs="Arial"/>
          <w:b/>
          <w:bCs/>
          <w:color w:val="000000"/>
          <w:lang w:eastAsia="es-CO"/>
        </w:rPr>
        <w:t>SOBRE RECEPCIÓN DE BIENES DEL FRISCO</w:t>
      </w:r>
    </w:p>
    <w:p w14:paraId="2259BF3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95" w:name="ver_30201681"/>
      <w:bookmarkStart w:id="596" w:name="ver_30101220"/>
      <w:bookmarkEnd w:id="595"/>
    </w:p>
    <w:p w14:paraId="6809E4C4" w14:textId="4C360E7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2.5.5.2.1.1. Recepción de bienes. El Administrador del Frisco solamente administra los bienes que haya recibido materialmente. Una vez recibidos los bienes para su administración, debe cumplir con lo dispuesto en el presente título y en la metodología de administración de bienes que para el efecto expida el Administrador del Frisco.  </w:t>
      </w:r>
    </w:p>
    <w:p w14:paraId="5E9A25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8DE7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entiende entregado un bien para administración del Frisco con la suscripción del acta de materialización de la medida cautelar en que se deja constancia de la entrega material a la persona designada por el Administrador del Frisco y una descripción e identificación sucinta del bien afectado y de los bienes, haberes y negocios de las sociedades, establecimientos de comercio y unidades de explotación económica. Durante la diligencia de materialización de la medida cautelar, el fiscal o el juez, según el estado del proceso, deberá entregar la constancia de inscripción de la medida de suspensión del poder dispositivo y embargo y documentos tales como escrituras públicas, cédulas catastrales, certificado de tradición de vehículos y RUNT y todo aquel que sirva de soporte para la identificación del bien objeto de la medida, cuando sea procedente.  </w:t>
      </w:r>
    </w:p>
    <w:p w14:paraId="10E9B0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21A5E6" w14:textId="58664EC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Respecto de bienes muebles, el Administrador del Frisco no ejercerá funciones de secuestre judicial respecto de ninguna clase de armas o material bélico que sea objeto de aprehensión en desarrollo de las diligencias de materialización de las medidas cautelares. La entrega de estos bienes se regirá por lo dispuesto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2535 de 1993, o aquellos que lo modifiquen y/o compilen.  </w:t>
      </w:r>
    </w:p>
    <w:p w14:paraId="55E66F2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42012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las diligencias de secuestro el Administrador del Frisco deberá realizar un inventario relacionando los bienes y el estado en que se encuentren. El inventario hará parte integral del Acta de Materialización de la Medida Cautelar de la Fiscalía General de la Nación.  </w:t>
      </w:r>
    </w:p>
    <w:p w14:paraId="73332F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C178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las medidas cautelares sobre vehículos de transporte público la Fiscalía identificará si el derecho a reponer hace parte de la medida cautelar. De ser así, la Fiscalía oficiará a las entidades pertinentes. </w:t>
      </w:r>
    </w:p>
    <w:p w14:paraId="63417A9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97" w:name="ver_30101221"/>
      <w:bookmarkEnd w:id="596"/>
      <w:bookmarkEnd w:id="597"/>
    </w:p>
    <w:p w14:paraId="6209D2B8" w14:textId="246156F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2.5.5.2.1.2. Diligencias de práctica de las medidas cautelares. En atención a las facultades que la ley de Extinción de Dominio le asigna a la Fiscalía General de la Nación a efectos de decretar medidas cautelares sobre bienes respecto de los cuales se inicie proceso de extinción de dominio, corresponderá a dicha entidad reportar al Administrador del Frisco con la adecuada antelación, la ejecución de las diligencias en virtud de las cuales se deberá efectuar la aprehensión material de dichos bienes. </w:t>
      </w:r>
    </w:p>
    <w:p w14:paraId="3C6DE02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598" w:name="ver_30201685"/>
      <w:bookmarkStart w:id="599" w:name="ver_30101223"/>
      <w:bookmarkEnd w:id="598"/>
    </w:p>
    <w:p w14:paraId="5E3D0365" w14:textId="4BC055D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2.5.5.2.1.3. Materialización de las medidas cautelares sobre sociedades. Cuando se inicie un proceso de extinción de dominio que involucre sociedades, acciones, cuotas partes o derechos de una sociedad o persona jurídica y establecimientos de comercio, la materialización de las medidas cautelares debe realizarse de la forma establecida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103 de la Ley 1708 de 2014.  </w:t>
      </w:r>
    </w:p>
    <w:p w14:paraId="65B821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EE81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personas designadas por el Administrador del Frisco para representarlo en la diligencia deben identificar el bien objeto de la medida cautelar, recopilar la información pertinente y necesaria para </w:t>
      </w:r>
      <w:r w:rsidRPr="002C1480">
        <w:rPr>
          <w:rFonts w:ascii="Arial" w:eastAsia="Times New Roman" w:hAnsi="Arial" w:cs="Arial"/>
          <w:color w:val="000000"/>
          <w:lang w:eastAsia="es-CO"/>
        </w:rPr>
        <w:lastRenderedPageBreak/>
        <w:t>la administración de la sociedad, siempre que exista tal información, incluir un registro fotográfico, aprehender los libros de contabilidad de la sociedad, identificando los activos y pasivos, inventarios, así como los libros de accionistas y los libros de actas cuando sea del caso, y obtener la mayor información financiera de la sociedad o del establecimiento de comercio.  </w:t>
      </w:r>
    </w:p>
    <w:p w14:paraId="4FF50E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2AC36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Después de la materialización de la medida se deberá verificar y obtener información de los bienes en el Registro Mercantil, Oficinas de Instrumentos Públicos, Superintendencia de Sociedades, Ministerio de Transporte, DIAN, Secretarías de Hacienda y demás entidades a que haya lugar, así como también hacer visitas de inspección a la sociedad, y todas aquellas diligencias necesarias para garantizar la eficiente, eficaz y efectiva administración de la sociedad.  </w:t>
      </w:r>
    </w:p>
    <w:p w14:paraId="0E9622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A70C53" w14:textId="2C22AE4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órganos de administración de las personas jurídicas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tendrán la obligación de suministrar toda la información requerida por el Administrador del Frisco en el desarrollo de la materialización de las medidas cautelares.  </w:t>
      </w:r>
    </w:p>
    <w:p w14:paraId="13908D9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93BD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realizado el empalme a que se refiere el inciso anterior, en los casos en los que la medida cautelar afecte las acciones, partes o derechos de la persona jurídica en un porcentaje que confiera el control de la sociedad al Administrador del Frisco, se deben entregar de manera inmediata los espacios físicos de la sociedad si hacen parte del patrimonio de esta o establecimiento de comercio.  </w:t>
      </w:r>
    </w:p>
    <w:p w14:paraId="5DCA8E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DAC776" w14:textId="2A331B2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casos en los que el porcentaje afectado de las acciones, partes o derechos de una persona jurídica, dentro de los procesos de extinción de dominio, confiera el control de la sociedad al Administrador del Frisco, la dirección, administración y representación de la sociedad o persona jurídica será ejercida por el administrador del Frisco o por quien este designe como depositario provisional, de acuerdo con lo previsto en el último inciso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100 de la Ley 1708 de 2014.  </w:t>
      </w:r>
    </w:p>
    <w:p w14:paraId="6A22C2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96F5A7" w14:textId="2961330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Las Oficinas de Registro y las Cámaras de Comercio correspondientes inscribirán las medidas cautelares respectivas en los activos sociales, dividendos, intereses, frutos, rendimientos y demás beneficios o utilidades que genere, que estén sujetos a registro,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100 de la Ley 1708 de 2014.  </w:t>
      </w:r>
    </w:p>
    <w:p w14:paraId="045AEB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10F85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autoridades del orden nacional y territorial prestarán la ayuda requerida por el Administrador del Frisco en cuanto a la materialización de las medidas cautelares. </w:t>
      </w:r>
    </w:p>
    <w:p w14:paraId="137CC2F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00" w:name="ver_30101224"/>
      <w:bookmarkEnd w:id="599"/>
      <w:bookmarkEnd w:id="600"/>
    </w:p>
    <w:p w14:paraId="344FA89D" w14:textId="04BA850D"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2.5.5.2.1.4. Saneamiento de los bienes del Frisco. El Administrador del Frisco efectuará directamente o a través de terceros contratados por él, el saneamiento de los Bienes del Frisco. </w:t>
      </w:r>
    </w:p>
    <w:p w14:paraId="028F098F" w14:textId="77777777" w:rsidR="007F5895" w:rsidRPr="002C1480" w:rsidRDefault="007F5895" w:rsidP="00C32F85">
      <w:pPr>
        <w:spacing w:after="0" w:line="254" w:lineRule="atLeast"/>
        <w:jc w:val="both"/>
        <w:rPr>
          <w:rFonts w:ascii="Arial" w:eastAsia="Times New Roman" w:hAnsi="Arial" w:cs="Arial"/>
          <w:color w:val="000000"/>
          <w:lang w:eastAsia="es-CO"/>
        </w:rPr>
      </w:pPr>
    </w:p>
    <w:p w14:paraId="1F60E408" w14:textId="4068BE6D" w:rsidR="008F7B30" w:rsidRPr="00E74EE3" w:rsidRDefault="008F7B30" w:rsidP="00E74EE3">
      <w:pPr>
        <w:spacing w:after="0" w:line="293" w:lineRule="atLeast"/>
        <w:jc w:val="center"/>
        <w:rPr>
          <w:rFonts w:ascii="Arial" w:eastAsia="Times New Roman" w:hAnsi="Arial" w:cs="Arial"/>
          <w:b/>
          <w:bCs/>
          <w:color w:val="000000"/>
          <w:lang w:eastAsia="es-CO"/>
        </w:rPr>
      </w:pPr>
      <w:bookmarkStart w:id="601" w:name="ver_30201693"/>
      <w:bookmarkEnd w:id="601"/>
      <w:r w:rsidRPr="00E74EE3">
        <w:rPr>
          <w:rFonts w:ascii="Arial" w:eastAsia="Times New Roman" w:hAnsi="Arial" w:cs="Arial"/>
          <w:b/>
          <w:bCs/>
          <w:color w:val="000000"/>
          <w:lang w:eastAsia="es-CO"/>
        </w:rPr>
        <w:t>SECCIÓN 2</w:t>
      </w:r>
    </w:p>
    <w:p w14:paraId="6318D069" w14:textId="72A7D62F" w:rsidR="008F7B30" w:rsidRPr="00E74EE3" w:rsidRDefault="008F7B30" w:rsidP="00E74EE3">
      <w:pPr>
        <w:spacing w:after="0" w:line="293" w:lineRule="atLeast"/>
        <w:jc w:val="center"/>
        <w:rPr>
          <w:rFonts w:ascii="Arial" w:eastAsia="Times New Roman" w:hAnsi="Arial" w:cs="Arial"/>
          <w:b/>
          <w:bCs/>
          <w:color w:val="000000"/>
          <w:lang w:eastAsia="es-CO"/>
        </w:rPr>
      </w:pPr>
      <w:r w:rsidRPr="00E74EE3">
        <w:rPr>
          <w:rFonts w:ascii="Arial" w:eastAsia="Times New Roman" w:hAnsi="Arial" w:cs="Arial"/>
          <w:b/>
          <w:bCs/>
          <w:color w:val="000000"/>
          <w:lang w:eastAsia="es-CO"/>
        </w:rPr>
        <w:t>RECUPERACIÓN DE BIENES DEL FRISCO</w:t>
      </w:r>
    </w:p>
    <w:p w14:paraId="03D4D9A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02" w:name="ver_30201695"/>
      <w:bookmarkEnd w:id="602"/>
    </w:p>
    <w:p w14:paraId="17AF8B21" w14:textId="5B6031C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2.5.5.2.2.1. Funciones de policía administrativa del Administrador del Frisco. El Administrador del Frisco tendrá la facultad de policía administrativa para la recuperación física de los bienes que se encuentren bajo su administración, para ello expedirá acto administrativo motivado que lo ordene.  </w:t>
      </w:r>
    </w:p>
    <w:p w14:paraId="44793D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2D503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Transcurridos tres (3) días desde la fecha de comunicación del acto, el Administrador del Frisco podrá practicar la diligencia de entrega real y material del bien directamente o por autoridad </w:t>
      </w:r>
      <w:r w:rsidRPr="002C1480">
        <w:rPr>
          <w:rFonts w:ascii="Arial" w:eastAsia="Times New Roman" w:hAnsi="Arial" w:cs="Arial"/>
          <w:color w:val="000000"/>
          <w:lang w:eastAsia="es-CO"/>
        </w:rPr>
        <w:lastRenderedPageBreak/>
        <w:t>competente, de conformidad con el protocolo que para tal efecto expida el Administrador del Frisco.  </w:t>
      </w:r>
    </w:p>
    <w:p w14:paraId="376B89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7C4C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autoridades nacionales, departamentales, municipales, la policía local, y especialmente las autoridades necesarias para el desarrollo de la diligencia, tales como el Ministerio Público, Instituto Colombiano de Bienestar Familiar, alcaldías, estarán obligadas a prestar, de manera preferente y sin dilación injustificada, el apoyo que requiera el representante legal o su delegado, para hacer efectiva la administración de los bienes del Frisco.  </w:t>
      </w:r>
    </w:p>
    <w:p w14:paraId="429F74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44C42F" w14:textId="0BEB4F9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las disposiciones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75 de la Ley 1437 de 2011, contra el acto administrativo que ordene la entrega real y material del bien, así como contra los actos y operaciones de materialización, no procederán recursos u oposiciones, toda vez que se tratan de actos de ejecución. La diligencia sólo podrá ser suspendida siempre que exista orden judicial en firme que así lo ordene.  </w:t>
      </w:r>
    </w:p>
    <w:p w14:paraId="3B274B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76A4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facultad de policía administrativa conlleva la posibilidad de tener ingreso al inmueble con el fin de realizar la diligencia de entrega real y material. En caso de que le sea negado el acceso al predio, el Administrador del Frisco podrá ingresar al inmueble, siempre acompañado por el Ministerio Público y por el cuerpo de la Policía Nacional quienes deberán actuar en la diligencia en el marco de sus competencias. </w:t>
      </w:r>
    </w:p>
    <w:p w14:paraId="7ADE5D6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03" w:name="ver_30201697"/>
      <w:bookmarkEnd w:id="603"/>
    </w:p>
    <w:p w14:paraId="3FB269B3" w14:textId="493FCD2F"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2.5.5.2.2.2. Bienes muebles abandonados por el ocupante en el inmueble. El Administrador del Frisco está obligado a cumplir las disposiciones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2.4.3.1.3.14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Único Reglamentario 1084 de 2015, en lo que respecta a los bienes muebles abandonados en la diligencia de entrega real y material del bien. </w:t>
      </w:r>
    </w:p>
    <w:p w14:paraId="2FAF6E19" w14:textId="77777777" w:rsidR="00DF70C3" w:rsidRPr="002C1480" w:rsidRDefault="00DF70C3" w:rsidP="00C32F85">
      <w:pPr>
        <w:spacing w:after="0" w:line="254" w:lineRule="atLeast"/>
        <w:jc w:val="both"/>
        <w:rPr>
          <w:rFonts w:ascii="Arial" w:eastAsia="Times New Roman" w:hAnsi="Arial" w:cs="Arial"/>
          <w:color w:val="000000"/>
          <w:lang w:eastAsia="es-CO"/>
        </w:rPr>
      </w:pPr>
    </w:p>
    <w:p w14:paraId="3A8DC8E0" w14:textId="0E81364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Si los bienes muebles abandonados son animales, estos serán puestos a disposición de la alcaldía del municipio donde se encuentren, de conformidad con las disposiciones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 de la Ley 84 de 1989. </w:t>
      </w:r>
    </w:p>
    <w:p w14:paraId="5DEB0F6C" w14:textId="77777777" w:rsidR="00DF70C3" w:rsidRDefault="00DF70C3" w:rsidP="00C32F85">
      <w:pPr>
        <w:spacing w:after="0" w:line="293" w:lineRule="atLeast"/>
        <w:jc w:val="both"/>
        <w:rPr>
          <w:rFonts w:ascii="Arial" w:eastAsia="Times New Roman" w:hAnsi="Arial" w:cs="Arial"/>
          <w:color w:val="000000"/>
          <w:lang w:eastAsia="es-CO"/>
        </w:rPr>
      </w:pPr>
      <w:bookmarkStart w:id="604" w:name="ver_30101225"/>
      <w:bookmarkEnd w:id="604"/>
    </w:p>
    <w:p w14:paraId="1D1C2CAE" w14:textId="0C83B721" w:rsidR="008F7B30" w:rsidRPr="00DF70C3" w:rsidRDefault="00DF70C3" w:rsidP="00DF70C3">
      <w:pPr>
        <w:spacing w:after="0" w:line="293" w:lineRule="atLeast"/>
        <w:jc w:val="center"/>
        <w:rPr>
          <w:rFonts w:ascii="Arial" w:eastAsia="Times New Roman" w:hAnsi="Arial" w:cs="Arial"/>
          <w:b/>
          <w:bCs/>
          <w:color w:val="000000"/>
          <w:lang w:eastAsia="es-CO"/>
        </w:rPr>
      </w:pPr>
      <w:r w:rsidRPr="00DF70C3">
        <w:rPr>
          <w:rFonts w:ascii="Arial" w:eastAsia="Times New Roman" w:hAnsi="Arial" w:cs="Arial"/>
          <w:b/>
          <w:bCs/>
          <w:color w:val="000000"/>
          <w:lang w:eastAsia="es-CO"/>
        </w:rPr>
        <w:t>CAPÍTULO 3</w:t>
      </w:r>
    </w:p>
    <w:p w14:paraId="5CEAE288" w14:textId="3D9DCF1E" w:rsidR="008F7B30" w:rsidRDefault="00DF70C3" w:rsidP="00DF70C3">
      <w:pPr>
        <w:spacing w:after="0" w:line="293" w:lineRule="atLeast"/>
        <w:jc w:val="center"/>
        <w:rPr>
          <w:rFonts w:ascii="Arial" w:eastAsia="Times New Roman" w:hAnsi="Arial" w:cs="Arial"/>
          <w:b/>
          <w:bCs/>
          <w:color w:val="000000"/>
          <w:lang w:eastAsia="es-CO"/>
        </w:rPr>
      </w:pPr>
      <w:r w:rsidRPr="00DF70C3">
        <w:rPr>
          <w:rFonts w:ascii="Arial" w:eastAsia="Times New Roman" w:hAnsi="Arial" w:cs="Arial"/>
          <w:b/>
          <w:bCs/>
          <w:color w:val="000000"/>
          <w:lang w:eastAsia="es-CO"/>
        </w:rPr>
        <w:t>MECANISMO DE ENAJENACIÓN</w:t>
      </w:r>
    </w:p>
    <w:p w14:paraId="6A1F958D" w14:textId="77777777" w:rsidR="002321A2" w:rsidRPr="00DF70C3" w:rsidRDefault="002321A2" w:rsidP="00DF70C3">
      <w:pPr>
        <w:spacing w:after="0" w:line="293" w:lineRule="atLeast"/>
        <w:jc w:val="center"/>
        <w:rPr>
          <w:rFonts w:ascii="Arial" w:eastAsia="Times New Roman" w:hAnsi="Arial" w:cs="Arial"/>
          <w:b/>
          <w:bCs/>
          <w:color w:val="000000"/>
          <w:lang w:eastAsia="es-CO"/>
        </w:rPr>
      </w:pPr>
    </w:p>
    <w:p w14:paraId="3A0154A6" w14:textId="7AC2F30C" w:rsidR="008F7B30" w:rsidRPr="00DF70C3" w:rsidRDefault="00DF70C3" w:rsidP="00DF70C3">
      <w:pPr>
        <w:spacing w:after="0" w:line="293" w:lineRule="atLeast"/>
        <w:jc w:val="center"/>
        <w:rPr>
          <w:rFonts w:ascii="Arial" w:eastAsia="Times New Roman" w:hAnsi="Arial" w:cs="Arial"/>
          <w:b/>
          <w:bCs/>
          <w:color w:val="000000"/>
          <w:lang w:eastAsia="es-CO"/>
        </w:rPr>
      </w:pPr>
      <w:r w:rsidRPr="00DF70C3">
        <w:rPr>
          <w:rFonts w:ascii="Arial" w:eastAsia="Times New Roman" w:hAnsi="Arial" w:cs="Arial"/>
          <w:b/>
          <w:bCs/>
          <w:color w:val="000000"/>
          <w:lang w:eastAsia="es-CO"/>
        </w:rPr>
        <w:t>SECCIÓN 1</w:t>
      </w:r>
    </w:p>
    <w:p w14:paraId="60192497" w14:textId="3BEF7357" w:rsidR="008F7B30" w:rsidRPr="00DF70C3" w:rsidRDefault="00DF70C3" w:rsidP="00DF70C3">
      <w:pPr>
        <w:spacing w:after="0" w:line="293" w:lineRule="atLeast"/>
        <w:jc w:val="center"/>
        <w:rPr>
          <w:rFonts w:ascii="Arial" w:eastAsia="Times New Roman" w:hAnsi="Arial" w:cs="Arial"/>
          <w:b/>
          <w:bCs/>
          <w:color w:val="000000"/>
          <w:lang w:eastAsia="es-CO"/>
        </w:rPr>
      </w:pPr>
      <w:r w:rsidRPr="00DF70C3">
        <w:rPr>
          <w:rFonts w:ascii="Arial" w:eastAsia="Times New Roman" w:hAnsi="Arial" w:cs="Arial"/>
          <w:b/>
          <w:bCs/>
          <w:color w:val="000000"/>
          <w:lang w:eastAsia="es-CO"/>
        </w:rPr>
        <w:t>DISPOSICIONES GENERALES</w:t>
      </w:r>
    </w:p>
    <w:p w14:paraId="1F579C3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05" w:name="ver_30101226"/>
      <w:bookmarkEnd w:id="605"/>
    </w:p>
    <w:p w14:paraId="7F10852D" w14:textId="62BB2F4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 Enajenación. La enajenación de los bienes del Frisco está a cargo del Administrador del Frisco, bajo el régimen jurídico de derecho privado con sujeción a los principios de la función pública tales como imparcialidad, igualdad y transparencia conforme lo señalado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94 de la Ley 1708 de 2014. </w:t>
      </w:r>
    </w:p>
    <w:p w14:paraId="6362F4E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06" w:name="ver_30101227"/>
      <w:bookmarkEnd w:id="606"/>
    </w:p>
    <w:p w14:paraId="665B2E71" w14:textId="5936DD4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2.5.5.3.1.2. Régimen general para la enajenación. El Administrador del Frisco debe observar y atender en todos sus procesos los regímenes de inhabilidades, incompatibilidades y de conflictos de interés consagrados en la ley, haciendo prevalecer el interés general y a los principios de la función administrativa. </w:t>
      </w:r>
    </w:p>
    <w:p w14:paraId="5311990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28F5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la enajenación de los bienes del Frisco se deberá permitir el acceso de los potenciales compradores y garantizar la libre concurrencia y el mejor precio dentro de las condiciones de </w:t>
      </w:r>
      <w:r w:rsidRPr="002C1480">
        <w:rPr>
          <w:rFonts w:ascii="Arial" w:eastAsia="Times New Roman" w:hAnsi="Arial" w:cs="Arial"/>
          <w:color w:val="000000"/>
          <w:lang w:eastAsia="es-CO"/>
        </w:rPr>
        <w:lastRenderedPageBreak/>
        <w:t>mercado, por lo que el Administrador del Frisco publicará en su página web los bienes a enajenar y la determinación del precio base. </w:t>
      </w:r>
    </w:p>
    <w:p w14:paraId="70EF7C13" w14:textId="77777777" w:rsidR="00DF70C3" w:rsidRDefault="00DF70C3" w:rsidP="00C32F85">
      <w:pPr>
        <w:spacing w:after="0" w:line="254" w:lineRule="atLeast"/>
        <w:jc w:val="both"/>
        <w:rPr>
          <w:rFonts w:ascii="Arial" w:eastAsia="Times New Roman" w:hAnsi="Arial" w:cs="Arial"/>
          <w:color w:val="000000"/>
          <w:lang w:eastAsia="es-CO"/>
        </w:rPr>
      </w:pPr>
      <w:bookmarkStart w:id="607" w:name="ver_30101229"/>
    </w:p>
    <w:p w14:paraId="7421F44C" w14:textId="67BDA1A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2.5.5.3.1.3. Opciones para la enajenación. El Administrador del Frisco puede hacer uso de: a) la enajenación temprana de conformidad con lo previsto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93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1849 de 2017, b) el procedimiento de enajenación de que trata esta sección.  </w:t>
      </w:r>
    </w:p>
    <w:p w14:paraId="4D0429D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08" w:name="ver_30201699"/>
      <w:bookmarkStart w:id="609" w:name="ver_30101230"/>
      <w:bookmarkEnd w:id="607"/>
      <w:bookmarkEnd w:id="608"/>
    </w:p>
    <w:p w14:paraId="33C67653" w14:textId="4DA84056"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2.5.5.3.1.4. Avalúos y valoraciones. En todos los casos de enajenación, el Administrador del Frisco debe contar con un avalúo comercial. Para el caso de inmuebles el avalúo comercial tendrá una vigencia de 3 años y deberá actualizarse de conformidad con las disposiciones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92 de la Ley 1708 de 2014, adicionado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23 de la Ley 1849 de 2017,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116 de la Ley 1943 de 2018 y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72 de la Ley 1955 de 2019. </w:t>
      </w:r>
    </w:p>
    <w:p w14:paraId="4AB8F43D" w14:textId="77777777" w:rsidR="00DF70C3" w:rsidRPr="002C1480" w:rsidRDefault="00DF70C3" w:rsidP="00C32F85">
      <w:pPr>
        <w:spacing w:after="0" w:line="254" w:lineRule="atLeast"/>
        <w:jc w:val="both"/>
        <w:rPr>
          <w:rFonts w:ascii="Arial" w:eastAsia="Times New Roman" w:hAnsi="Arial" w:cs="Arial"/>
          <w:color w:val="000000"/>
          <w:lang w:eastAsia="es-CO"/>
        </w:rPr>
      </w:pPr>
    </w:p>
    <w:p w14:paraId="5FB617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caso de sociedades deberá contar con una valoración comercial vigente al momento de la enajenación conforme los lineamientos que para tal fin se indiquen en la metodología de administración. </w:t>
      </w:r>
    </w:p>
    <w:p w14:paraId="67B949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32B7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avalúo o valoración se podrá efectuar mediante la selección y contratación de un tercero especializado, de acuerdo con la Metodología de Administración y, en los casos que se indican a continuación, conforme a las siguientes reglas generales: </w:t>
      </w:r>
    </w:p>
    <w:p w14:paraId="66D9A5A4" w14:textId="77777777" w:rsidR="00DF70C3" w:rsidRDefault="00DF70C3" w:rsidP="00DF70C3">
      <w:pPr>
        <w:spacing w:after="0" w:line="254" w:lineRule="atLeast"/>
        <w:jc w:val="both"/>
        <w:rPr>
          <w:rFonts w:ascii="Arial" w:eastAsia="Times New Roman" w:hAnsi="Arial" w:cs="Arial"/>
          <w:color w:val="000000"/>
          <w:lang w:eastAsia="es-CO"/>
        </w:rPr>
      </w:pPr>
    </w:p>
    <w:p w14:paraId="3E8B97FE" w14:textId="5E6956F4" w:rsidR="008F7B30" w:rsidRDefault="008F7B30" w:rsidP="00B647F4">
      <w:pPr>
        <w:pStyle w:val="Prrafodelista"/>
        <w:numPr>
          <w:ilvl w:val="0"/>
          <w:numId w:val="36"/>
        </w:numPr>
        <w:spacing w:after="0" w:line="254" w:lineRule="atLeast"/>
        <w:ind w:left="360"/>
        <w:jc w:val="both"/>
        <w:rPr>
          <w:rFonts w:ascii="Arial" w:eastAsia="Times New Roman" w:hAnsi="Arial" w:cs="Arial"/>
          <w:color w:val="000000"/>
          <w:lang w:eastAsia="es-CO"/>
        </w:rPr>
      </w:pPr>
      <w:r w:rsidRPr="00B647F4">
        <w:rPr>
          <w:rFonts w:ascii="Arial" w:eastAsia="Times New Roman" w:hAnsi="Arial" w:cs="Arial"/>
          <w:color w:val="000000"/>
          <w:lang w:eastAsia="es-CO"/>
        </w:rPr>
        <w:t>Bienes inmuebles: Debe contar con el avalúo catastral y el avalúo o valoración comercial. Este último debe estar a cargo de una persona especializada inscrita en el Registro Abierto de Avaluadores - RAA, de conformidad con la reglamen</w:t>
      </w:r>
      <w:r w:rsidRPr="00B647F4">
        <w:rPr>
          <w:rFonts w:ascii="Arial" w:eastAsia="Times New Roman" w:hAnsi="Arial" w:cs="Arial"/>
          <w:color w:val="000000"/>
          <w:lang w:eastAsia="es-CO"/>
        </w:rPr>
        <w:softHyphen/>
        <w:t>tación vigente. De no poder ingresar al inmueble se seguirán las reglas conteni</w:t>
      </w:r>
      <w:r w:rsidRPr="00B647F4">
        <w:rPr>
          <w:rFonts w:ascii="Arial" w:eastAsia="Times New Roman" w:hAnsi="Arial" w:cs="Arial"/>
          <w:color w:val="000000"/>
          <w:lang w:eastAsia="es-CO"/>
        </w:rPr>
        <w:softHyphen/>
        <w:t xml:space="preserve">das en el </w:t>
      </w:r>
      <w:r w:rsidR="002C1480" w:rsidRPr="00B647F4">
        <w:rPr>
          <w:rFonts w:ascii="Arial" w:eastAsia="Times New Roman" w:hAnsi="Arial" w:cs="Arial"/>
          <w:color w:val="000000"/>
          <w:lang w:eastAsia="es-CO"/>
        </w:rPr>
        <w:t>ARTÍCULO</w:t>
      </w:r>
      <w:r w:rsidRPr="00B647F4">
        <w:rPr>
          <w:rFonts w:ascii="Arial" w:eastAsia="Times New Roman" w:hAnsi="Arial" w:cs="Arial"/>
          <w:color w:val="000000"/>
          <w:lang w:eastAsia="es-CO"/>
        </w:rPr>
        <w:t xml:space="preserve"> 92 de la Ley 1708 de 2014, adicionado por el </w:t>
      </w:r>
      <w:r w:rsidR="002C1480" w:rsidRPr="00B647F4">
        <w:rPr>
          <w:rFonts w:ascii="Arial" w:eastAsia="Times New Roman" w:hAnsi="Arial" w:cs="Arial"/>
          <w:color w:val="000000"/>
          <w:lang w:eastAsia="es-CO"/>
        </w:rPr>
        <w:t>ARTÍCULO</w:t>
      </w:r>
      <w:r w:rsidRPr="00B647F4">
        <w:rPr>
          <w:rFonts w:ascii="Arial" w:eastAsia="Times New Roman" w:hAnsi="Arial" w:cs="Arial"/>
          <w:color w:val="000000"/>
          <w:lang w:eastAsia="es-CO"/>
        </w:rPr>
        <w:t xml:space="preserve"> 23 de la Ley 1849 de 2017, </w:t>
      </w:r>
      <w:r w:rsidR="002C1480" w:rsidRPr="00B647F4">
        <w:rPr>
          <w:rFonts w:ascii="Arial" w:eastAsia="Times New Roman" w:hAnsi="Arial" w:cs="Arial"/>
          <w:color w:val="000000"/>
          <w:lang w:eastAsia="es-CO"/>
        </w:rPr>
        <w:t>ARTÍCULO</w:t>
      </w:r>
      <w:r w:rsidRPr="00B647F4">
        <w:rPr>
          <w:rFonts w:ascii="Arial" w:eastAsia="Times New Roman" w:hAnsi="Arial" w:cs="Arial"/>
          <w:color w:val="000000"/>
          <w:lang w:eastAsia="es-CO"/>
        </w:rPr>
        <w:t xml:space="preserve"> 116 de la Ley 1943 de 2018 y </w:t>
      </w:r>
      <w:r w:rsidR="002C1480" w:rsidRPr="00B647F4">
        <w:rPr>
          <w:rFonts w:ascii="Arial" w:eastAsia="Times New Roman" w:hAnsi="Arial" w:cs="Arial"/>
          <w:color w:val="000000"/>
          <w:lang w:eastAsia="es-CO"/>
        </w:rPr>
        <w:t>ARTÍCULO</w:t>
      </w:r>
      <w:r w:rsidRPr="00B647F4">
        <w:rPr>
          <w:rFonts w:ascii="Arial" w:eastAsia="Times New Roman" w:hAnsi="Arial" w:cs="Arial"/>
          <w:color w:val="000000"/>
          <w:lang w:eastAsia="es-CO"/>
        </w:rPr>
        <w:t xml:space="preserve"> 72 de la Ley 1955 de 2019.</w:t>
      </w:r>
    </w:p>
    <w:p w14:paraId="0A39B3F3" w14:textId="77777777" w:rsidR="00B647F4" w:rsidRPr="00B647F4" w:rsidRDefault="00B647F4" w:rsidP="00B647F4">
      <w:pPr>
        <w:pStyle w:val="Prrafodelista"/>
        <w:spacing w:after="0" w:line="254" w:lineRule="atLeast"/>
        <w:ind w:left="360"/>
        <w:jc w:val="both"/>
        <w:rPr>
          <w:rFonts w:ascii="Arial" w:eastAsia="Times New Roman" w:hAnsi="Arial" w:cs="Arial"/>
          <w:color w:val="000000"/>
          <w:lang w:eastAsia="es-CO"/>
        </w:rPr>
      </w:pPr>
    </w:p>
    <w:p w14:paraId="5F7A6E88" w14:textId="500369CE" w:rsidR="008F7B30" w:rsidRPr="00B647F4" w:rsidRDefault="008F7B30" w:rsidP="00B647F4">
      <w:pPr>
        <w:pStyle w:val="Prrafodelista"/>
        <w:numPr>
          <w:ilvl w:val="0"/>
          <w:numId w:val="36"/>
        </w:numPr>
        <w:spacing w:after="0" w:line="254" w:lineRule="atLeast"/>
        <w:ind w:left="360"/>
        <w:jc w:val="both"/>
        <w:rPr>
          <w:rFonts w:ascii="Arial" w:eastAsia="Times New Roman" w:hAnsi="Arial" w:cs="Arial"/>
          <w:color w:val="000000"/>
          <w:lang w:eastAsia="es-CO"/>
        </w:rPr>
      </w:pPr>
      <w:r w:rsidRPr="00B647F4">
        <w:rPr>
          <w:rFonts w:ascii="Arial" w:eastAsia="Times New Roman" w:hAnsi="Arial" w:cs="Arial"/>
          <w:color w:val="000000"/>
          <w:lang w:eastAsia="es-CO"/>
        </w:rPr>
        <w:t>Bienes en común y proindiviso: El Administrador del Frisco puede cancelar el valor total del avalúo comercial.</w:t>
      </w:r>
    </w:p>
    <w:p w14:paraId="76EF42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E77109" w14:textId="2EEA8D07" w:rsidR="008F7B30" w:rsidRPr="00B647F4" w:rsidRDefault="008F7B30" w:rsidP="00BD2775">
      <w:pPr>
        <w:pStyle w:val="Prrafodelista"/>
        <w:numPr>
          <w:ilvl w:val="0"/>
          <w:numId w:val="36"/>
        </w:numPr>
        <w:spacing w:after="0" w:line="254" w:lineRule="atLeast"/>
        <w:ind w:left="360"/>
        <w:jc w:val="both"/>
        <w:rPr>
          <w:rFonts w:ascii="Arial" w:eastAsia="Times New Roman" w:hAnsi="Arial" w:cs="Arial"/>
          <w:color w:val="000000"/>
          <w:lang w:eastAsia="es-CO"/>
        </w:rPr>
      </w:pPr>
      <w:r w:rsidRPr="00B647F4">
        <w:rPr>
          <w:rFonts w:ascii="Arial" w:eastAsia="Times New Roman" w:hAnsi="Arial" w:cs="Arial"/>
          <w:color w:val="000000"/>
          <w:lang w:eastAsia="es-CO"/>
        </w:rPr>
        <w:t>Bienes muebles: Debe contar con un avalúo realizado por una persona especiali</w:t>
      </w:r>
      <w:r w:rsidRPr="00B647F4">
        <w:rPr>
          <w:rFonts w:ascii="Arial" w:eastAsia="Times New Roman" w:hAnsi="Arial" w:cs="Arial"/>
          <w:color w:val="000000"/>
          <w:lang w:eastAsia="es-CO"/>
        </w:rPr>
        <w:softHyphen/>
        <w:t>zada inscrita en el Registro Abierto de Avaluadores (RAA), de conformidad con la reglamentación vigente o directamente por el Administrador del Frisco, a tra</w:t>
      </w:r>
      <w:r w:rsidRPr="00B647F4">
        <w:rPr>
          <w:rFonts w:ascii="Arial" w:eastAsia="Times New Roman" w:hAnsi="Arial" w:cs="Arial"/>
          <w:color w:val="000000"/>
          <w:lang w:eastAsia="es-CO"/>
        </w:rPr>
        <w:softHyphen/>
        <w:t>vés de funcionarios debidamente inscritos en el Registro Abierto de Avaluadores (RAA), cuando la relación de costo- beneficio lo justifique, en este caso se debe expedir resolución debidamente motivada fijando el precio. </w:t>
      </w:r>
    </w:p>
    <w:p w14:paraId="7156EDB8" w14:textId="77777777" w:rsidR="00B647F4" w:rsidRPr="00BD2775" w:rsidRDefault="00B647F4" w:rsidP="00BD2775">
      <w:pPr>
        <w:spacing w:after="0" w:line="254" w:lineRule="atLeast"/>
        <w:ind w:left="360"/>
        <w:jc w:val="both"/>
        <w:rPr>
          <w:rFonts w:ascii="Arial" w:eastAsia="Times New Roman" w:hAnsi="Arial" w:cs="Arial"/>
          <w:color w:val="000000"/>
          <w:lang w:eastAsia="es-CO"/>
        </w:rPr>
      </w:pPr>
    </w:p>
    <w:p w14:paraId="70E858AF" w14:textId="1DF6F402" w:rsidR="008F7B30" w:rsidRPr="00F70A03" w:rsidRDefault="008F7B30" w:rsidP="00F70A03">
      <w:pPr>
        <w:pStyle w:val="Prrafodelista"/>
        <w:numPr>
          <w:ilvl w:val="0"/>
          <w:numId w:val="36"/>
        </w:numPr>
        <w:spacing w:after="0" w:line="254" w:lineRule="atLeast"/>
        <w:ind w:left="360"/>
        <w:jc w:val="both"/>
        <w:rPr>
          <w:rFonts w:ascii="Arial" w:eastAsia="Times New Roman" w:hAnsi="Arial" w:cs="Arial"/>
          <w:color w:val="000000"/>
          <w:lang w:eastAsia="es-CO"/>
        </w:rPr>
      </w:pPr>
      <w:r w:rsidRPr="00F70A03">
        <w:rPr>
          <w:rFonts w:ascii="Arial" w:eastAsia="Times New Roman" w:hAnsi="Arial" w:cs="Arial"/>
          <w:color w:val="000000"/>
          <w:lang w:eastAsia="es-CO"/>
        </w:rPr>
        <w:t>Acciones, derechos, cuotas o partes de interés social o establecimientos de co</w:t>
      </w:r>
      <w:r w:rsidRPr="00F70A03">
        <w:rPr>
          <w:rFonts w:ascii="Arial" w:eastAsia="Times New Roman" w:hAnsi="Arial" w:cs="Arial"/>
          <w:color w:val="000000"/>
          <w:lang w:eastAsia="es-CO"/>
        </w:rPr>
        <w:softHyphen/>
        <w:t>mercio: La valoración se debe efectuar: </w:t>
      </w:r>
    </w:p>
    <w:p w14:paraId="73F876EA" w14:textId="77777777" w:rsidR="00F70A03" w:rsidRPr="00F70A03" w:rsidRDefault="00F70A03" w:rsidP="00F70A03">
      <w:pPr>
        <w:pStyle w:val="Prrafodelista"/>
        <w:spacing w:after="0" w:line="254" w:lineRule="atLeast"/>
        <w:jc w:val="both"/>
        <w:rPr>
          <w:rFonts w:ascii="Arial" w:eastAsia="Times New Roman" w:hAnsi="Arial" w:cs="Arial"/>
          <w:color w:val="000000"/>
          <w:lang w:eastAsia="es-CO"/>
        </w:rPr>
      </w:pPr>
    </w:p>
    <w:p w14:paraId="1C9F196D" w14:textId="77777777" w:rsidR="008F7B30" w:rsidRPr="002C1480" w:rsidRDefault="008F7B30" w:rsidP="00F70A0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 Mediante un proceso de contratación sujeto a régimen privado que garantice la selección objetiva de un tercero especializado con experiencia en valoración de empresas o en banca de inversión, debidamente inscritos en el Registro Abierto de Avaluadores (RAA), en los casos en que la normativa vigente así lo exija. En estos eventos los costos de las valoraciones deben ser asumidos con cargo a los recursos de la sociedad o del establecimiento de comercio; o en el evento en que la sociedad o el establecimiento de comercio no cuente con recursos para ello, se realizará con cargo a los recursos del Frisco y serán descontados del valor de la venta; o </w:t>
      </w:r>
    </w:p>
    <w:p w14:paraId="1E9F3B26" w14:textId="71B7A7AD" w:rsidR="008F7B30" w:rsidRDefault="008F7B30" w:rsidP="00F70A0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4.2 Directamente por el Administrador del Frisco, a través de funcionarios debida</w:t>
      </w:r>
      <w:r w:rsidRPr="002C1480">
        <w:rPr>
          <w:rFonts w:ascii="Arial" w:eastAsia="Times New Roman" w:hAnsi="Arial" w:cs="Arial"/>
          <w:color w:val="000000"/>
          <w:lang w:eastAsia="es-CO"/>
        </w:rPr>
        <w:softHyphen/>
        <w:t>mente inscritos en el Registro Abierto de Avaluadores (RAA), en los casos en que la normativa vigente así lo exija, cuando la relación de costo-beneficio lo jus</w:t>
      </w:r>
      <w:r w:rsidRPr="002C1480">
        <w:rPr>
          <w:rFonts w:ascii="Arial" w:eastAsia="Times New Roman" w:hAnsi="Arial" w:cs="Arial"/>
          <w:color w:val="000000"/>
          <w:lang w:eastAsia="es-CO"/>
        </w:rPr>
        <w:softHyphen/>
        <w:t>tifique o en caso de insolvencia de la sociedad o de participaciones minoritarias, teniendo en cuenta los activos sociales, patrimonio de la sociedad, la rentabilidad del negocio y el historial de ingresos y pasivos existentes. En este caso se debe expedir resolución debidamente motivada fijando el precio. </w:t>
      </w:r>
    </w:p>
    <w:p w14:paraId="2DA87BBB" w14:textId="77777777" w:rsidR="00F70A03" w:rsidRPr="002C1480" w:rsidRDefault="00F70A03" w:rsidP="00F70A03">
      <w:pPr>
        <w:spacing w:after="0" w:line="254" w:lineRule="atLeast"/>
        <w:jc w:val="both"/>
        <w:rPr>
          <w:rFonts w:ascii="Arial" w:eastAsia="Times New Roman" w:hAnsi="Arial" w:cs="Arial"/>
          <w:color w:val="000000"/>
          <w:lang w:eastAsia="es-CO"/>
        </w:rPr>
      </w:pPr>
    </w:p>
    <w:p w14:paraId="5DACDE65" w14:textId="04EF910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los casos que se suscriban contratos para el avalúo de los bienes de que tratan los numerales 1, 2 y 4.1.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deberá estipular en el respectivo contrato responsabilidad solidaria a cargo del promotor y/o entidad pública con quien se contrate el avalúo por cualquier tipo de reclamación administrativa, judicial o extrajudicial que se pueda presentar con ocasión del avalúo. También deberá constar en el respectivo contrato una disposición sobre que el Administrador del Frisco se reserva el derecho de solicitar la revisión de tales avalúos. </w:t>
      </w:r>
    </w:p>
    <w:p w14:paraId="49FEF650" w14:textId="77777777" w:rsidR="00F70A03" w:rsidRDefault="00F70A03" w:rsidP="00C32F85">
      <w:pPr>
        <w:spacing w:after="0" w:line="254" w:lineRule="atLeast"/>
        <w:jc w:val="both"/>
        <w:rPr>
          <w:rFonts w:ascii="Arial" w:eastAsia="Times New Roman" w:hAnsi="Arial" w:cs="Arial"/>
          <w:color w:val="000000"/>
          <w:lang w:eastAsia="es-CO"/>
        </w:rPr>
      </w:pPr>
      <w:bookmarkStart w:id="610" w:name="ver_30101231"/>
      <w:bookmarkEnd w:id="609"/>
      <w:bookmarkEnd w:id="610"/>
    </w:p>
    <w:p w14:paraId="3DCE0205" w14:textId="77DF3B9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2.5.5.3.1.5. Venta masiva de bienes. El administrador del Frisco podrá agrupar un lote de bienes para su venta masiva bajo la metodología que este determine y en el cual indicará el precio base de los mismos. </w:t>
      </w:r>
    </w:p>
    <w:p w14:paraId="7FEF6459" w14:textId="307C299B" w:rsidR="008F7B30" w:rsidRPr="002C1480" w:rsidRDefault="008F7B30" w:rsidP="00F70A03">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11" w:name="ver_30201700"/>
      <w:bookmarkStart w:id="612" w:name="ver_30101232"/>
      <w:bookmarkEnd w:id="611"/>
    </w:p>
    <w:p w14:paraId="1DE9A884" w14:textId="02EA8FB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2.5.5.3.1.6. Precio Base mínimo de venta. La venta de los bienes del Frisco se realizará por un precio base mínimo que será determinado mediante la metodología de administración que resulte de aplicar el avalúo comercial vigente, y las variables que se describen a continuación: </w:t>
      </w:r>
    </w:p>
    <w:p w14:paraId="27F27E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FC6C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ingresos que recibe el Administrador del Frisco por el uso del bien, si a ello hay lugar. </w:t>
      </w:r>
    </w:p>
    <w:p w14:paraId="1AD722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5EF095" w14:textId="04BFC39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Los gastos y obligaciones asociados al mantenimiento, custodia y administración del bien, incluidos sus impuestos y seguros. En el caso de los bienes improductivos, las obligaciones a que hace referencia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110 de la Ley 1708 de 2014. </w:t>
      </w:r>
    </w:p>
    <w:p w14:paraId="3740635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30BB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tiempo y los costos requeridos para la enajenación del bien. </w:t>
      </w:r>
    </w:p>
    <w:p w14:paraId="349434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B760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Estado y costos del saneamiento de los activos. </w:t>
      </w:r>
    </w:p>
    <w:p w14:paraId="79EC60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47E4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Tasa de descuento. </w:t>
      </w:r>
    </w:p>
    <w:p w14:paraId="6D23C0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A5CD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existan deudas asociadas al bien que se pretende enajenar, que superen el valor del mismo, el Administrador del Frisco puede llegar a acuerdos con los acreedores para poder disponer del bien con el fin de cancelar estas obligaciones, hasta la concurrencia del avalúo del bien. </w:t>
      </w:r>
    </w:p>
    <w:p w14:paraId="66B772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B2E3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debe publicar el precio base de venta, de conformidad con los mecanismos de publicación que establezca en la metodología de administración. </w:t>
      </w:r>
    </w:p>
    <w:p w14:paraId="37C1AED4" w14:textId="0E8CC52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la enajenación temprana, el Administrador del Frisco deberá atender las reglas contenidas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1C5CDC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pasivos asociados a los bienes objeto de enajenación temprana serán pagados con cargo a la venta. </w:t>
      </w:r>
    </w:p>
    <w:p w14:paraId="23D03D4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13" w:name="ver_30101234"/>
      <w:bookmarkEnd w:id="612"/>
      <w:bookmarkEnd w:id="613"/>
    </w:p>
    <w:p w14:paraId="06CC913C" w14:textId="2207C6E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2.5.5.3.1.7. Condiciones para poder presentar ofertas. Para presentar ofertas de compra en sobre cerrado o participar en subasta pública, el oferente debe consignar el veinte por ciento (20%) del precio base mínimo de venta a favor del Administrador del Frisco, en la cuenta </w:t>
      </w:r>
      <w:r w:rsidR="008F7B30" w:rsidRPr="002C1480">
        <w:rPr>
          <w:rFonts w:ascii="Arial" w:eastAsia="Times New Roman" w:hAnsi="Arial" w:cs="Arial"/>
          <w:color w:val="000000"/>
          <w:lang w:eastAsia="es-CO"/>
        </w:rPr>
        <w:lastRenderedPageBreak/>
        <w:t>que la entidad determine. Dicha suma es imputable al precio para el mejor postor aprobado, y se perderá a título de sanción en caso de incumplimiento de las obligaciones adquiridas con la presentación de la oferta. </w:t>
      </w:r>
    </w:p>
    <w:p w14:paraId="70EC71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CF13B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Al oferente cuya oferta no fuere seleccionada se le devolverá el valor consignado dentro de los quince (15) días calendario siguientes a la aprobación definitiva de la oferta, sin que haya lugar al reconocimiento de intereses, rendimientos e indemnizaciones, ni reconocimiento del impuesto a las transacciones financieras. </w:t>
      </w:r>
    </w:p>
    <w:p w14:paraId="5834F7A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0C97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 oferente podrá mantener la consignación previa para participar en la oferta de otros bienes cuando así lo manifieste por escrito, y siempre y cuando dicho valor corresponda por lo menos al 20% del precio mínimo de venta del bien en el cual esté interesado o adicione recursos que representen tal porcentaje. </w:t>
      </w:r>
    </w:p>
    <w:p w14:paraId="5D3287EA" w14:textId="77777777" w:rsidR="00F70A03" w:rsidRDefault="00F70A03" w:rsidP="00C32F85">
      <w:pPr>
        <w:spacing w:after="0" w:line="254" w:lineRule="atLeast"/>
        <w:jc w:val="both"/>
        <w:rPr>
          <w:rFonts w:ascii="Arial" w:eastAsia="Times New Roman" w:hAnsi="Arial" w:cs="Arial"/>
          <w:color w:val="000000"/>
          <w:lang w:eastAsia="es-CO"/>
        </w:rPr>
      </w:pPr>
    </w:p>
    <w:p w14:paraId="6EA3B2B8" w14:textId="18C874B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2.5.5.3.1.8. Condiciones para la aprobación definitiva de la oferta. Para la enajenación de los bienes del Frisco se debe tener en cuenta la prevalencia del interés general y los principios de la función administrativa. Antes de la aprobación definitiva de la oferta, el Administrador del Frisco debe verificar las condiciones que considere necesarias respecto del oferente, para garantizar que con la enajenación no se contravienen estos principios. </w:t>
      </w:r>
    </w:p>
    <w:p w14:paraId="190C2D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4461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antes de la adjudicación definitiva, puede desistir de la enajenación de los bienes, cuando estos principios puedan resultar vulnerados, especialmente para evitar actividades ilícitas. </w:t>
      </w:r>
    </w:p>
    <w:p w14:paraId="715CD5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764D5E" w14:textId="5579E82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oferente, con la sola presentación de su oferta, acepta las condiciones establecidas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renuncia a cualquier reclamación relacionada con estas facultades del Administrador del Frisco. De todo lo anterior, se deberá informar a los oferentes sin que la mencionada decisión requiera de motivación alguna. </w:t>
      </w:r>
    </w:p>
    <w:p w14:paraId="0282C1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4347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plazos para el pago, procedimiento de entrega y la situación jurídica, material, fiscal y de ocupación del bien, así como el procedimiento para definir la formalización de la venta, serán indicados por el Administrador del Frisco en la invitación. </w:t>
      </w:r>
    </w:p>
    <w:p w14:paraId="06C895B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14" w:name="ver_30101236"/>
      <w:bookmarkEnd w:id="614"/>
    </w:p>
    <w:p w14:paraId="5824710F" w14:textId="7D9928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2.5.5.3.1.9. Pago del precio de enajenación, escrituración y entrega del bien. El pago del saldo no excederá del término establecido en la Metodología de Administración. El. Frisco está facultado para incorporar en su Metodología de Administración categorías y requisitos en los cuales sea susceptible el ajuste de los plazos indicados. </w:t>
      </w:r>
    </w:p>
    <w:p w14:paraId="091235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A0FC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plazos, condiciones y lugar de suscripción de la escritura pública o documento de compraventa y de entrega del bien serán determinados por el Administrador del Frisco </w:t>
      </w:r>
    </w:p>
    <w:p w14:paraId="2CF20A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8C04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bien objeto de venta se entregará al comprador en el lugar de ubicación y estado físico y jurídico pactados, y este será el responsable de iniciar las acciones extrajudiciales o judiciales tendientes a la recuperación del mismo, cuando a ello hubiere lugar. </w:t>
      </w:r>
    </w:p>
    <w:p w14:paraId="39C4C52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15" w:name="ver_30201701"/>
      <w:bookmarkStart w:id="616" w:name="ver_30101237"/>
      <w:bookmarkEnd w:id="615"/>
    </w:p>
    <w:p w14:paraId="4CCBB7B7" w14:textId="04076E82"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2.5.5.3.1.10. Pago de los costos y gastos de venta. Sin perjuicio de lo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2.5.5.2.7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el pago de los costos y gastos administrativos, jurídicos y financieros que implique la venta de los bienes, tales como tasas o contribuciones, deudas de administración inmobiliaria, servicios públicos, mantenimiento, cerramiento, vigilancia, seguros, embargos, bodegaje, depósito, costos de promoción, avalúos, comisiones de venta y </w:t>
      </w:r>
      <w:r w:rsidR="008F7B30" w:rsidRPr="002C1480">
        <w:rPr>
          <w:rFonts w:ascii="Arial" w:eastAsia="Times New Roman" w:hAnsi="Arial" w:cs="Arial"/>
          <w:color w:val="000000"/>
          <w:lang w:eastAsia="es-CO"/>
        </w:rPr>
        <w:lastRenderedPageBreak/>
        <w:t>todos aquellos que pudieran derivarse de la actividad de comercialización, serán sufragados con cargo a los recursos del Frisco para facilitar su comercialización, gastos que serán reembolsados al Frisco al momento de venta de los bienes. </w:t>
      </w:r>
    </w:p>
    <w:p w14:paraId="2C2711E6" w14:textId="77777777" w:rsidR="00F70A03" w:rsidRPr="002C1480" w:rsidRDefault="00F70A03" w:rsidP="00C32F85">
      <w:pPr>
        <w:spacing w:after="0" w:line="254" w:lineRule="atLeast"/>
        <w:jc w:val="both"/>
        <w:rPr>
          <w:rFonts w:ascii="Arial" w:eastAsia="Times New Roman" w:hAnsi="Arial" w:cs="Arial"/>
          <w:color w:val="000000"/>
          <w:lang w:eastAsia="es-CO"/>
        </w:rPr>
      </w:pPr>
    </w:p>
    <w:p w14:paraId="3E53C5D1" w14:textId="2BB9BCA7"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caso de impuestos se aplicará lo dispuesto al régimen tributario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 de la Ley 785 de 2002,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54 de la Ley 1849 de 2017. </w:t>
      </w:r>
    </w:p>
    <w:p w14:paraId="0F87276A" w14:textId="77777777" w:rsidR="00F70A03" w:rsidRPr="002C1480" w:rsidRDefault="00F70A03" w:rsidP="00C32F85">
      <w:pPr>
        <w:spacing w:after="0" w:line="254" w:lineRule="atLeast"/>
        <w:jc w:val="both"/>
        <w:rPr>
          <w:rFonts w:ascii="Arial" w:eastAsia="Times New Roman" w:hAnsi="Arial" w:cs="Arial"/>
          <w:color w:val="000000"/>
          <w:lang w:eastAsia="es-CO"/>
        </w:rPr>
      </w:pPr>
    </w:p>
    <w:p w14:paraId="2ED8B0B4" w14:textId="7EB727B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gastos de la venta de activos sociales estarán a cargo de la respectiva sociedad, sin perjuicio de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2.5.5.3.1.11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6F8D726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17" w:name="ver_30201702"/>
      <w:bookmarkStart w:id="618" w:name="ver_30101238"/>
      <w:bookmarkEnd w:id="616"/>
      <w:bookmarkEnd w:id="617"/>
    </w:p>
    <w:p w14:paraId="206A4869" w14:textId="4480339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2.5.5.3.1.11. Enajenación temprana. El Administrador del Frisco, directamente o a través de terceras personas y previa aprobación del Comité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93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1849 de 2017, efectuará la enajenación temprana de bienes con medidas cautelares puestos a su disposición cuando se presenten los eventos de que trata el citado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w:t>
      </w:r>
    </w:p>
    <w:p w14:paraId="2868B5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FA0D7A" w14:textId="6710EEE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enajenación temprana podrá realizarse independientemente de la etapa en que se encuentre el proceso de extinción de dominio y la fecha en que el mismo haya iniciado, de acuerdo con las normas aplicables a la venta de bienes con extinción de dominio y previo agotamiento del trámite establecido en el citado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93 de la Ley 1708 de 2014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1849 de 2017.  </w:t>
      </w:r>
    </w:p>
    <w:p w14:paraId="3AE3F4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2CD998" w14:textId="0CCFD54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 los dineros producto de la enajenación temprana, previo descuento de los gastos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2.5.5.2.7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tasas, contribuciones e impuestos que se hayan erogado para su enajenación, se conformará una reserva técnica del 30% conforme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93 de la Ley 1708 de 2014 modificado y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1849 de 2017, los cuales serán invertidos de manera preferente en el mercado primario en títulos de deuda pública de acuerdo con lo establecido en los Capítulos 1 a 5 del Título 3 de la Parte 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11A487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FE1057" w14:textId="4F2C148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70% restante del producto de la enajenación temprana será distribuido conforme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modificado y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1849 de 2017 y sus normas reglamentarias.  </w:t>
      </w:r>
    </w:p>
    <w:p w14:paraId="00C5C3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EED23A" w14:textId="4709F51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la decisión de la enajenación temprana se informará al Fiscal o Juez, según la etapa en que se encuentre el proceso, con el objeto de que, de ordenarse la devolución del bien, se disponga el pago del dinero producto de la venta –a la(s) persona(s) que indique la decisión–, junto con sus rendimientos financieros, previa deducción de los gastos de administración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2.5.5.2.7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tributos en los que incurra el Administrador del Frisco.  </w:t>
      </w:r>
    </w:p>
    <w:p w14:paraId="0E03D3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DAEDF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deberá informar al Fiscal o Juez, según la etapa en que se encuentre el proceso, sobre la enajenación temprana, chatarrización, demolición y destrucción.  </w:t>
      </w:r>
    </w:p>
    <w:p w14:paraId="40E880E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A561FA" w14:textId="303F84B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pago a que se refiere el inciso quinto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realizará con cargo al 30% de la reserva técnica, en consonancia con las disposiciones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93 de la Ley 1708 de 2014,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1849 de 2017. En caso de que este pago supere el monto de la reserva técnica, el Administrador del Frisco podrá afectar los recursos del Fondo, como un pasivo del Frisco de los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w:t>
      </w:r>
    </w:p>
    <w:p w14:paraId="0DAC81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F772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enajenación temprana de sociedades comprende la totalidad y/o el porcentaje de cuotas, partes y/o acciones que hagan parte del Frisco.  </w:t>
      </w:r>
    </w:p>
    <w:p w14:paraId="08FA5D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D0E7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comprende la enajenación de establecimientos de comercio y los procesos liquidatorios en los que se encuentren las sociedades que hagan parte del Frisco.  </w:t>
      </w:r>
    </w:p>
    <w:p w14:paraId="744C59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17656F" w14:textId="7679C8C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productividad de las sociedades, cuotas, partes, acciones y establecimientos de comercio que hagan parte del Frisco, entendidas como los rendimientos y/o utilidades de las sociedades activas serán destinados en un 30% a conformar la reserva técnica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93 de la Ley 1708 de 2014 modificado y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1849 de 2017; en los procesos liquidatorios de las sociedades administradas se deberá atender prioritariamente el pago de los pasivos debidamente reconocidos y en caso de quedar un remanente se deberá seguir las reglas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93 de la Ley 1708 de 2014 modificado y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1849 de 2017. </w:t>
      </w:r>
    </w:p>
    <w:p w14:paraId="3B62DDE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19" w:name="ver_30101239"/>
      <w:bookmarkEnd w:id="618"/>
      <w:bookmarkEnd w:id="619"/>
    </w:p>
    <w:p w14:paraId="4102B075" w14:textId="5008E21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2.5.5.3.1.12. Formas de enajenación. La enajenación de los Bienes del Frisco se realizará mediante los mecanismos de enajenación establecidos en el presente capítulo, de la siguiente forma: a) Por el Administrador del Frisco, sin intermediarios; b) A través de un convenio interadministrativo celebrado con Entidades Estatales cuyo objeto social les permita la venta de bienes por cuenta de terceros a través de sus propios procedimientos y, c) A través de promotores mediante el procedimiento que autorice la Junta Directiva del Administrador del Frisco. </w:t>
      </w:r>
    </w:p>
    <w:p w14:paraId="1F385C8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0" w:name="ver_30201705"/>
      <w:bookmarkEnd w:id="620"/>
    </w:p>
    <w:p w14:paraId="5042BA0D" w14:textId="57662D2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2.5.5.3.1.13. Efectos de la Resolución para la Enajenación Temprana. En los casos de sociedades activas o un porcentaje en la participación de estas o sus activos, sociedades en liquidación y en los establecimientos de comercio, con el registro del acto administrativo de que trata el parágrafo 4°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92 de la Ley 1708 de 2014 adicionado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73 de la Ley 1955 de 2019, las Cámaras de Comercio procederán a cancelar las medidas cautelares inscritas en los registros mercantiles e inscribir el acto administrativo que transfiere el derecho de dominio al Frisco, en caso de ser procedente.  </w:t>
      </w:r>
    </w:p>
    <w:p w14:paraId="2AE86D1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AE32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las Cámaras de Comercio se inscribirán por solicitud del administrador del Frisco, el acto administrativo expedido por el administrador del Frisco y, el acta de junta de socios o asamblea de accionistas que apruebe la cuenta final de liquidación y/o la solicitud de cancelación de la matrícula mercantil. </w:t>
      </w:r>
    </w:p>
    <w:p w14:paraId="45F8A7D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1" w:name="ver_30201707"/>
      <w:bookmarkEnd w:id="621"/>
    </w:p>
    <w:p w14:paraId="6F4C0B2B" w14:textId="54AA25D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2.5.5.3.1.14. Gestiones necesarias de la Superintendencia de Notariado y Registro, las Oficinas de Registro de Instrumentos Públicos y la Aeronáutica Civil, las Capitanías de Puerto, Ministerio de Transporte a través del RUNT, las Secretarías de Tránsito y las Cámaras de Comercio. Las autoridades encargadas del registro de bienes estarán obligadas a adoptar los instrumentos necesarios y pertinentes para el cumplimiento de las disposiciones de este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especialmente, a crear el código registral y especificación para inscribir el acto administrativo de transferencia de la propiedad y sus efectos como acto de transferencia del dominio y cancelación de medidas cautelares.  </w:t>
      </w:r>
    </w:p>
    <w:p w14:paraId="1B9A2AD9" w14:textId="77777777" w:rsidR="00610A36" w:rsidRDefault="00610A36" w:rsidP="00C32F85">
      <w:pPr>
        <w:spacing w:after="0" w:line="293" w:lineRule="atLeast"/>
        <w:jc w:val="both"/>
        <w:rPr>
          <w:rFonts w:ascii="Arial" w:eastAsia="Times New Roman" w:hAnsi="Arial" w:cs="Arial"/>
          <w:color w:val="000000"/>
          <w:lang w:eastAsia="es-CO"/>
        </w:rPr>
      </w:pPr>
      <w:bookmarkStart w:id="622" w:name="ver_30101240"/>
      <w:bookmarkEnd w:id="622"/>
    </w:p>
    <w:p w14:paraId="34F7CFC2" w14:textId="6746B51D" w:rsidR="008F7B30" w:rsidRPr="00FA1213" w:rsidRDefault="00FA1213" w:rsidP="00610A36">
      <w:pPr>
        <w:spacing w:after="0" w:line="293" w:lineRule="atLeast"/>
        <w:jc w:val="center"/>
        <w:rPr>
          <w:rFonts w:ascii="Arial" w:eastAsia="Times New Roman" w:hAnsi="Arial" w:cs="Arial"/>
          <w:b/>
          <w:bCs/>
          <w:color w:val="000000"/>
          <w:lang w:eastAsia="es-CO"/>
        </w:rPr>
      </w:pPr>
      <w:r w:rsidRPr="00FA1213">
        <w:rPr>
          <w:rFonts w:ascii="Arial" w:eastAsia="Times New Roman" w:hAnsi="Arial" w:cs="Arial"/>
          <w:b/>
          <w:bCs/>
          <w:color w:val="000000"/>
          <w:lang w:eastAsia="es-CO"/>
        </w:rPr>
        <w:t>SECCIÓN 2</w:t>
      </w:r>
    </w:p>
    <w:p w14:paraId="21EA0F48" w14:textId="54C8A614" w:rsidR="008F7B30" w:rsidRPr="00FA1213" w:rsidRDefault="00FA1213" w:rsidP="00610A36">
      <w:pPr>
        <w:spacing w:after="0" w:line="293" w:lineRule="atLeast"/>
        <w:jc w:val="center"/>
        <w:rPr>
          <w:rFonts w:ascii="Arial" w:eastAsia="Times New Roman" w:hAnsi="Arial" w:cs="Arial"/>
          <w:b/>
          <w:bCs/>
          <w:color w:val="000000"/>
          <w:lang w:eastAsia="es-CO"/>
        </w:rPr>
      </w:pPr>
      <w:r w:rsidRPr="00FA1213">
        <w:rPr>
          <w:rFonts w:ascii="Arial" w:eastAsia="Times New Roman" w:hAnsi="Arial" w:cs="Arial"/>
          <w:b/>
          <w:bCs/>
          <w:color w:val="000000"/>
          <w:lang w:eastAsia="es-CO"/>
        </w:rPr>
        <w:t>MECANISMOS PARA LA ENAJENACIÓN</w:t>
      </w:r>
    </w:p>
    <w:p w14:paraId="13586BD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3" w:name="ver_30101241"/>
      <w:bookmarkEnd w:id="623"/>
    </w:p>
    <w:p w14:paraId="422F14CA" w14:textId="493E8D0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2.5.5.3.2.1. Mecanismos para la enajenación de bienes. La enajenación de los bienes del Frisco se realizará a través de los mecanismos de: a) Venta en sobre cerrado; b) subasta pública, presencial o electrónica; y c) en los casos especiales establecidos en la presente sección </w:t>
      </w:r>
      <w:r w:rsidR="008F7B30" w:rsidRPr="002C1480">
        <w:rPr>
          <w:rFonts w:ascii="Arial" w:eastAsia="Times New Roman" w:hAnsi="Arial" w:cs="Arial"/>
          <w:color w:val="000000"/>
          <w:lang w:eastAsia="es-CO"/>
        </w:rPr>
        <w:lastRenderedPageBreak/>
        <w:t xml:space="preserve">podrá realizarse venta directa a entidades públicas. En cualquiera de los mecanismos utilizados, se deberá suministrar la información que resulte relevante para determinar el valor de la oferta, tales como las condiciones particulares del bien relacionadas con el estado de conservación, la existencia de contratos sobre el mismo, o el estado de tenencia u ocupación, a cualquier título, el valor catastral cuando aplique, las variables usadas para fijar el precio mínimo de venta establecidas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2.5.5.3.1.6 de la Sección 1 del Capítulo 3 del presente título y las obligaciones pendientes que corren a cargo del comprador, si las hubiere. </w:t>
      </w:r>
    </w:p>
    <w:p w14:paraId="22DE461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4" w:name="ver_30201708"/>
      <w:bookmarkStart w:id="625" w:name="ver_30101242"/>
      <w:bookmarkEnd w:id="624"/>
    </w:p>
    <w:p w14:paraId="44343082" w14:textId="057D941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2.5.5.3.2.2. Venta en sobre cerrado. El administrador del Frisco, o el promotor publicarán en su página web un aviso de invitación pública que contenga, además de la información relacionada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2.5.5.3.1.6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lo siguiente: a) el cronograma según el cual se llevará a cabo la venta; y b) los requisitos para participar en la venta.  </w:t>
      </w:r>
    </w:p>
    <w:p w14:paraId="2135B5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85C9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interesado en adquirir un bien puede presentar su oferta de compra en sobre cerrado al Administrador del Frisco, a la entidad estatal o al promotor, según fuere el caso. Vencido el plazo para la presentación de ofertas, el Administrador del Frisco, la entidad estatal o el promotor realizará la audiencia pública de apertura de sobres, en la que se levantará un acta con la relación de oferentes, valor de la oferta, bien objeto de la oferta y folios de cada una de estas. El acta se publicará en la página web del Administrador del Frisco, de la entidad estatal o del promotor, según fuere el caso.  </w:t>
      </w:r>
    </w:p>
    <w:p w14:paraId="3B8F9E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C9D32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no recibir ninguna oferta el proceso se declarará desierto.  </w:t>
      </w:r>
    </w:p>
    <w:p w14:paraId="4CB6BA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200B0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la entidad estatal o el promotor presentarán el informe correspondiente con la relación de oferentes habilitados y el término para mejorar la oferta, en el plazo previsto en el aviso de la invitación pública en su página web, para ese efecto.  </w:t>
      </w:r>
    </w:p>
    <w:p w14:paraId="7D5377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0C70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empate, los participantes empatados podrán realizar un nuevo lance. En caso de que subsista el empate se utilizará un método aleatorio que defina el Administrador del Frisco, en su Metodología de Administración.  </w:t>
      </w:r>
    </w:p>
    <w:p w14:paraId="264A21E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03DB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Surtida esta etapa, en caso de no presentarse ninguna mejora entre las ofertas que resultaron habilitadas, se adjudicará el bien al oferente que haya ofrecido el mejor precio y se dejará constancia en acta de la celebración de dicha audiencia y de lo ocurrido en la misma.  </w:t>
      </w:r>
    </w:p>
    <w:p w14:paraId="001376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AF32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Con la presentación de la oferta se acepta plenamente por parte del oferente, las condiciones fijadas para la misma, la reglamentación contenida en el presente título y las demás que estime el Administrador del Frisco en la Metodología de Administración.  </w:t>
      </w:r>
    </w:p>
    <w:p w14:paraId="4DF4E71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6" w:name="ver_30101243"/>
      <w:bookmarkEnd w:id="625"/>
      <w:bookmarkEnd w:id="626"/>
    </w:p>
    <w:p w14:paraId="47516565" w14:textId="5AF68A9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2.5.5.3.2.3. Venta a través de subasta pública. En la página web del Administrador del Frisco, o el promotor, según fuere el caso, se publicará un aviso que contenga el lugar, fecha y hora en la que se llevará a cabo la audiencia en la que se realizará la subasta, la identificación de los bienes objeto de venta, las variables usadas para fijar el precio mínimo de venta establecidas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2.5.5.3.1.6 de la sección 1 del Capítulo 3 del presente título y las condiciones básicas para acceder a la misma. </w:t>
      </w:r>
    </w:p>
    <w:p w14:paraId="18ABB4F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499F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Entre la publicación del aviso y la celebración de la audiencia para la subasta pública, no deberán transcurrir menos de quince (15) días calendario. </w:t>
      </w:r>
    </w:p>
    <w:p w14:paraId="397027D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B4E3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subasta podrá realizarse mediante una de las siguientes modalidades: </w:t>
      </w:r>
    </w:p>
    <w:p w14:paraId="1C81FC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41B75B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Subasta electrónica, caso en el cual la misma tendrá lugar en línea a través del uso de recursos tecnológicos; </w:t>
      </w:r>
    </w:p>
    <w:p w14:paraId="3243C9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A240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Subasta presencial, caso en el cual los lances de presentación de las propuestas se harán con la presencia física de los proponentes y por escrito. </w:t>
      </w:r>
    </w:p>
    <w:p w14:paraId="5A66BAF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7" w:name="ver_30101244"/>
      <w:bookmarkEnd w:id="627"/>
    </w:p>
    <w:p w14:paraId="321F8633" w14:textId="13ABBF5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2.5.5.3.2.4. Normas comunes al procedimiento de subasta. El reglamento de la subasta determinará los márgenes mínimos por debajo de los cuales los lances no serán aceptables. En consecuencia, solo serán válidos los lances que superen este margen. En todo caso la oferta no puede ser inferior al precio base mínimo de venta. </w:t>
      </w:r>
    </w:p>
    <w:p w14:paraId="7E6C1E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E0DB7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en la subasta se presentare una sola oferta, se celebrará la venta con ese único oferente, siempre y cuando el valor ofrecido sea igual o superior al precio base mínimo de venta. </w:t>
      </w:r>
    </w:p>
    <w:p w14:paraId="188ACEC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8" w:name="ver_30101245"/>
      <w:bookmarkEnd w:id="628"/>
    </w:p>
    <w:p w14:paraId="202C8C6E" w14:textId="6BD3717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2.5.5.3.2.5. Procedimiento de la subasta electrónica. La subasta debe iniciar en la fecha y hora fijada en el aviso de invitación pública y se utilizarán los mecanismos de seguridad que adopte el Administrador del Frisco para el intercambio de mensajes de datos. </w:t>
      </w:r>
    </w:p>
    <w:p w14:paraId="681418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F8E2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precio de arranque de la subasta electrónica será el mayor precio ofrecido inicialmente, que en ningún caso será inferior al precio base mínimo de venta, hasta lograr la selección del mejor postor condicionado. </w:t>
      </w:r>
    </w:p>
    <w:p w14:paraId="1828C6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6327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interesados presentarán sus lances de precio usando para el efecto las herramientas tecnológicas definidas por el Administrador del Frisco en el reglamento de la subasta. </w:t>
      </w:r>
    </w:p>
    <w:p w14:paraId="49FD3F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8C02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en el curso de una subasta dos o más proponentes presentan una postura del mismo valor, se registrará únicamente la que haya sido recibida cronológicamente en primer lugar por el medio electrónico establecido para la subasta electrónica. </w:t>
      </w:r>
    </w:p>
    <w:p w14:paraId="7D4900E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B4894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Conforme avance la subasta, el proponente será informado por parte del sistema o del operador tecnológico que brinda servicios de subasta, de la recepción de su lance y la confirmación de su valor, así como del puesto en que se encuentra su propuesta, sin perjuicio de la confidencialidad que se mantendrá sobre la identidad de los proponentes. </w:t>
      </w:r>
    </w:p>
    <w:p w14:paraId="4D03C0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0E78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en el curso de una subasta electrónica se presentaren fallas técnicas imputables al responsable de la operación tecnológica de la subasta y las mismas impiden que los proponentes envíen sus propuestas, la subasta será cancelada y deberá reiniciarse el proceso en la fecha y hora que el Administrador del Frisco, o el promotor, según fuere el caso, señale en su página web. </w:t>
      </w:r>
    </w:p>
    <w:p w14:paraId="5A33BB9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B0B88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por causas imputables al proponente o a su proveedor de servicio de internet, aquel pierde conexión con el operador tecnológico de la subasta, no se cancelará la subasta y se entenderá que el proveedor desconectado ha desistido de participar en la misma, salvo que logre volver a conectarse antes de la terminación del evento. </w:t>
      </w:r>
    </w:p>
    <w:p w14:paraId="4FA39B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8918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subasta electrónica el operador tecnológico debe asegurar que el registro de los lances válidos de precios se produzca automáticamente, sin que haya lugar a una intervención directa de su parte y se deberá contar con al menos una línea telefónica abierta de disponibilidad exclusiva, la cual prestará auxilio técnico a los proponentes sobre aspectos relacionados con la subasta. </w:t>
      </w:r>
    </w:p>
    <w:p w14:paraId="7081F1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163F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Si el Administrador del Frisco, o el promotor, según fuere el caso, cuenta con una plataforma tecnológica que permita la realización de subastas electrónicas podrá hacerlas por sí mismo, de lo contrario, podrá contratar su realización a través de terceros. </w:t>
      </w:r>
    </w:p>
    <w:p w14:paraId="27B7CC0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29" w:name="ver_30101246"/>
      <w:bookmarkEnd w:id="629"/>
    </w:p>
    <w:p w14:paraId="511A10E3" w14:textId="3CEF387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2.5.5.3.2.6. Procedimiento de la subasta presencial. La subasta presencial se adelantará en audiencia, bajo las reglas establecidas en el presente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w:t>
      </w:r>
    </w:p>
    <w:p w14:paraId="7006BC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6AA0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Reunidos los interesados en la audiencia de la subasta pública, se procederá a la apertura formal de la misma, iniciando la puja partiendo del precio mínimo de venta, hasta lograr la selección del Mejor Postor Condicionado. </w:t>
      </w:r>
    </w:p>
    <w:p w14:paraId="0E911A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A4F8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proponentes se les distribuirán sobres y formularios para la presentación de los lances a que haya lugar durante la subasta. En dichos formularios se deberá consignar únicamente el precio ofrecido por el proponente o la expresión clara e inequívoca de que no se hará ningún lance adicional. </w:t>
      </w:r>
    </w:p>
    <w:p w14:paraId="26D19E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A952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detectarse acuerdos entre los participantes, la subasta se declarará fallida y se dará inicio a un nuevo proceso de enajenación. El Administrador del Frisco presentará las denuncias a que haya lugar. </w:t>
      </w:r>
    </w:p>
    <w:p w14:paraId="44CE18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9DC5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Durante la audiencia se dará apertura a los sobres con las ofertas iniciales de precio y se registrarán los lances válidos, los cuales se ordenarán ascendentemente. Con base en este orden, se dará a conocer en la audiencia únicamente el mayor precio ofrecido. </w:t>
      </w:r>
    </w:p>
    <w:p w14:paraId="0CA92E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74E9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proponentes se les otorgará un término común señalado en el reglamento de la subasta, con el fin de que hagan un lance que mejore la mayor de las ofertas iniciales de precio a que se refiere el inciso anterior. </w:t>
      </w:r>
    </w:p>
    <w:p w14:paraId="0D2CDA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C5BA1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entenderá como no válido, todo lance que sea inferior al margen mínimo establecido en la metodología. </w:t>
      </w:r>
    </w:p>
    <w:p w14:paraId="188184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C376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procedimiento descrito se repetirá en tantas rondas como sea necesario, hasta que no se reciba ningún lance que mejore el mayor precio ofrecido en la ronda anterior. Los proponentes que no presentaron un lance válido no podrán seguir presentándolos durante la subasta. </w:t>
      </w:r>
    </w:p>
    <w:p w14:paraId="54B3C7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F9D4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aprobada condicionalmente la venta, en audiencia se informará la mejor oferta económica recibida. </w:t>
      </w:r>
    </w:p>
    <w:p w14:paraId="7E5AA35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3852A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que los oferentes no presenten un nuevo lance y persista el empate, la adjudicación condicionada se realizará a quien haya presentado el mayor precio inicial de los oferentes que se encuentren en situación de empate. El Administrador del Frisco deberá determinar, en la Metodología de Administración, los criterios de desempate cuando el mayor precio inicial presentado por los oferentes empatados sea igual. </w:t>
      </w:r>
    </w:p>
    <w:p w14:paraId="7B77DD0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0" w:name="ver_30101247"/>
      <w:bookmarkEnd w:id="630"/>
    </w:p>
    <w:p w14:paraId="4066A01F" w14:textId="25FD61B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2.5.5.3.2.7. Venta directa a entidades públicas. En cualquier momento el Administrador del Frisco podrá realizar venta directa de bienes sin acudir a los mecanismos de enajenación establecidos en la presente sección, siempre que el comprador interesado sea una entidad pública de cualquier orden. El valor del bien será el precio mínimo de venta determinado según el presente título. De igual forma se procederá cuando se trate de oferta de compra de áreas </w:t>
      </w:r>
      <w:r w:rsidR="008F7B30" w:rsidRPr="002C1480">
        <w:rPr>
          <w:rFonts w:ascii="Arial" w:eastAsia="Times New Roman" w:hAnsi="Arial" w:cs="Arial"/>
          <w:color w:val="000000"/>
          <w:lang w:eastAsia="es-CO"/>
        </w:rPr>
        <w:lastRenderedPageBreak/>
        <w:t xml:space="preserve">o predios presentada por una entidad pública cuando los bienes sean requeridos por motivos de utilidad pública o interés social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58 de la Ley 388 de 1997. </w:t>
      </w:r>
    </w:p>
    <w:p w14:paraId="5AC07720" w14:textId="77777777" w:rsidR="00FA1213" w:rsidRDefault="00FA1213" w:rsidP="00C32F85">
      <w:pPr>
        <w:spacing w:after="0" w:line="293" w:lineRule="atLeast"/>
        <w:jc w:val="both"/>
        <w:rPr>
          <w:rFonts w:ascii="Arial" w:eastAsia="Times New Roman" w:hAnsi="Arial" w:cs="Arial"/>
          <w:color w:val="000000"/>
          <w:lang w:eastAsia="es-CO"/>
        </w:rPr>
      </w:pPr>
      <w:bookmarkStart w:id="631" w:name="ver_30101248"/>
      <w:bookmarkEnd w:id="631"/>
    </w:p>
    <w:p w14:paraId="274B1EB8" w14:textId="327695F6" w:rsidR="008F7B30" w:rsidRPr="00FA1213" w:rsidRDefault="00FA1213" w:rsidP="00FA1213">
      <w:pPr>
        <w:spacing w:after="0" w:line="293" w:lineRule="atLeast"/>
        <w:jc w:val="center"/>
        <w:rPr>
          <w:rFonts w:ascii="Arial" w:eastAsia="Times New Roman" w:hAnsi="Arial" w:cs="Arial"/>
          <w:b/>
          <w:bCs/>
          <w:color w:val="000000"/>
          <w:lang w:eastAsia="es-CO"/>
        </w:rPr>
      </w:pPr>
      <w:r w:rsidRPr="00FA1213">
        <w:rPr>
          <w:rFonts w:ascii="Arial" w:eastAsia="Times New Roman" w:hAnsi="Arial" w:cs="Arial"/>
          <w:b/>
          <w:bCs/>
          <w:color w:val="000000"/>
          <w:lang w:eastAsia="es-CO"/>
        </w:rPr>
        <w:t>SECCIÓN 3</w:t>
      </w:r>
    </w:p>
    <w:p w14:paraId="07E63264" w14:textId="32EEA07D" w:rsidR="008F7B30" w:rsidRPr="00FA1213" w:rsidRDefault="00FA1213" w:rsidP="00FA1213">
      <w:pPr>
        <w:spacing w:after="0" w:line="293" w:lineRule="atLeast"/>
        <w:jc w:val="center"/>
        <w:rPr>
          <w:rFonts w:ascii="Arial" w:eastAsia="Times New Roman" w:hAnsi="Arial" w:cs="Arial"/>
          <w:b/>
          <w:bCs/>
          <w:color w:val="000000"/>
          <w:lang w:eastAsia="es-CO"/>
        </w:rPr>
      </w:pPr>
      <w:r w:rsidRPr="00FA1213">
        <w:rPr>
          <w:rFonts w:ascii="Arial" w:eastAsia="Times New Roman" w:hAnsi="Arial" w:cs="Arial"/>
          <w:b/>
          <w:bCs/>
          <w:color w:val="000000"/>
          <w:lang w:eastAsia="es-CO"/>
        </w:rPr>
        <w:t>ENAJENACIONES ESPECIALES</w:t>
      </w:r>
    </w:p>
    <w:p w14:paraId="07BB646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2" w:name="ver_30101249"/>
      <w:bookmarkEnd w:id="632"/>
    </w:p>
    <w:p w14:paraId="3B0789A0" w14:textId="38F8A1C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2.5.5.3.3.1. Derechos de terceros. En caso de que la providencia judicial ejecutoriada y en firme que declare la extinción de dominio de un bien reconozca sobre el activo derechos parciales a favor de un tercero de buena fe, el Administrador del Frisco podrá ofrecer en primer término a dicho tercero el bien objeto de extinción, quien tendrá la opción de aceptarlo por el valor del avalúo comercial cancelando la diferencia por el mismo. </w:t>
      </w:r>
    </w:p>
    <w:p w14:paraId="2B37A0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1660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el Administrador del Frisco está obligado a reconocer un valor superior al producto de la venta del bien, previa deducción de los gastos que esta implique y el pago de las obligaciones, incluido el avalúo comercial. </w:t>
      </w:r>
    </w:p>
    <w:p w14:paraId="457AC8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74D4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oferta el Administrador del Frisco debe indicar: i) el avalúo comercial del bien; ii) que el mismo se ofrece en dación en pago y; iii) la advertencia de que si no se recibe una respuesta dentro del mes siguiente a la fecha de remisión de la oferta, se entenderá que no existe interés en dicha forma de pago, en cuyo caso se procederá a la venta como se indica en el presente título. </w:t>
      </w:r>
    </w:p>
    <w:p w14:paraId="35632C0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3" w:name="ver_30101251"/>
      <w:bookmarkEnd w:id="633"/>
    </w:p>
    <w:p w14:paraId="389DC929" w14:textId="4CE5406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2.5.5.3.3.2. Enajenación de activos de sociedades en liquidación. La venta de los activos de sociedades en liquidación respecto a las cuales el Frisco es titular del ciento por ciento del capital social, se hará por el liquidador de conformidad con los mecanismos que rigen la venta de los bienes del Frisco establecidos en el presente título, siguiendo los procedimientos, normas internas, instrucciones y orientaciones impartidas por el Administrador del Frisco. El precio de venta de los bienes será determinado de conformidad con el presente título. Los liquidadores de las sociedades no podrán enajenar bienes sin la autorización previa y por escrito del Administrador del Frisco. </w:t>
      </w:r>
    </w:p>
    <w:p w14:paraId="183B0C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6CA5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obstante lo anterior, en cualquier momento el Administrador del Frisco podrá efectuar la venta de los activos de sociedades en liquidación respecto de las cuales el Frisco es titular del ciento por ciento del capital social, sin intermediario, de conformidad con la regulación establecida en el presente capítulo. Los recursos obtenidos por la enajenación, previo descuento de los gastos en que haya incurrido el Administrador del Frisco, deberán entregarse a dichas sociedades o unidades de explotación económica para cancelar sus pasivos y gastos en general. Lo anterior sin perjuicio de las normas que rigen la liquidación de las sociedades. </w:t>
      </w:r>
    </w:p>
    <w:p w14:paraId="5F0528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DDB7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canceladas las obligaciones y gastos, los remanentes deberán ser entregados al Administrador del Frisco. </w:t>
      </w:r>
    </w:p>
    <w:p w14:paraId="4BCA799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A69F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extinción del derecho de dominio del 100% de las acciones, cuotas o derechos o partes de interés que representen el capital social, comprende igualmente la extinción del derecho de dominio sobre los bienes que componen el activo societario. </w:t>
      </w:r>
    </w:p>
    <w:p w14:paraId="4E1E5D01" w14:textId="77777777" w:rsidR="00FA1213" w:rsidRDefault="00FA1213" w:rsidP="00C32F85">
      <w:pPr>
        <w:spacing w:after="0" w:line="254" w:lineRule="atLeast"/>
        <w:jc w:val="both"/>
        <w:rPr>
          <w:rFonts w:ascii="Arial" w:eastAsia="Times New Roman" w:hAnsi="Arial" w:cs="Arial"/>
          <w:color w:val="000000"/>
          <w:lang w:eastAsia="es-CO"/>
        </w:rPr>
      </w:pPr>
    </w:p>
    <w:p w14:paraId="19D605F3" w14:textId="4FECE51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2.5.5.3.3.3. Enajenación de acciones, derechos, cuotas o partes de interés social. La enajenación de acciones, derechos, cuotas o partes de interés social en personas jurídicas de naturaleza civil o comercial, respecto de las cuales se haya decretado parcialmente la extinción del derecho de dominio, cuyo titular sea la nación-Frisco, se efectuará conforme a lo dispuesto en </w:t>
      </w:r>
      <w:r w:rsidR="008F7B30" w:rsidRPr="002C1480">
        <w:rPr>
          <w:rFonts w:ascii="Arial" w:eastAsia="Times New Roman" w:hAnsi="Arial" w:cs="Arial"/>
          <w:color w:val="000000"/>
          <w:lang w:eastAsia="es-CO"/>
        </w:rPr>
        <w:lastRenderedPageBreak/>
        <w:t>los estatutos sociales internos de cada una, en concordancia con las normas del derecho privado. En lo no regulado se aplicará lo dispuesto en el presente capítulo. </w:t>
      </w:r>
    </w:p>
    <w:p w14:paraId="3D0C253C" w14:textId="77777777" w:rsidR="00FA1213" w:rsidRDefault="00FA1213" w:rsidP="00C32F85">
      <w:pPr>
        <w:spacing w:after="0" w:line="254" w:lineRule="atLeast"/>
        <w:jc w:val="both"/>
        <w:rPr>
          <w:rFonts w:ascii="Arial" w:eastAsia="Times New Roman" w:hAnsi="Arial" w:cs="Arial"/>
          <w:color w:val="000000"/>
          <w:lang w:eastAsia="es-CO"/>
        </w:rPr>
      </w:pPr>
      <w:bookmarkStart w:id="634" w:name="ver_30101254"/>
    </w:p>
    <w:p w14:paraId="71628900" w14:textId="0555864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2.5.5.3.3.4. Enajenación de sociedades y de establecimientos de comercio. La venta de sociedades y de establecimientos de comercio se realizará de la siguiente forma:  </w:t>
      </w:r>
    </w:p>
    <w:p w14:paraId="6C2EADF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D515B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En una primera fase se efectuará la valoración de la sociedad o del estableci</w:t>
      </w:r>
      <w:r w:rsidRPr="002C1480">
        <w:rPr>
          <w:rFonts w:ascii="Arial" w:eastAsia="Times New Roman" w:hAnsi="Arial" w:cs="Arial"/>
          <w:color w:val="000000"/>
          <w:lang w:eastAsia="es-CO"/>
        </w:rPr>
        <w:softHyphen/>
        <w:t>miento de comercio objeto de enajenación, a través de avaluadores debidamente inscritos en el Registro Abierto de Avaluadores (RAA) y de conformidad con lo establecido en el presente capítulo.  </w:t>
      </w:r>
    </w:p>
    <w:p w14:paraId="6AAF6C8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E3E08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 la segunda fase, se estructurará el proceso de venta, por un tercero especiali</w:t>
      </w:r>
      <w:r w:rsidRPr="002C1480">
        <w:rPr>
          <w:rFonts w:ascii="Arial" w:eastAsia="Times New Roman" w:hAnsi="Arial" w:cs="Arial"/>
          <w:color w:val="000000"/>
          <w:lang w:eastAsia="es-CO"/>
        </w:rPr>
        <w:softHyphen/>
        <w:t>zado (diferente al avaluador) o directamente por el Administrador del Frisco, de acuerdo con la Metodología de Administración.  </w:t>
      </w:r>
    </w:p>
    <w:p w14:paraId="4F2927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EAD8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estructuración del proceso de venta a través de un tercero especializado requerirá aprobación del Administrador del Frisco.  </w:t>
      </w:r>
    </w:p>
    <w:p w14:paraId="6488F4B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2103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En la tercera fase, el Administrador del Frisco procederá a enajenar la sociedad o el establecimiento de comercio, bien sea directamente o a través del mismo tercero especializado e inscribirá el acto de venta en el registro mercantil corres</w:t>
      </w:r>
      <w:r w:rsidRPr="002C1480">
        <w:rPr>
          <w:rFonts w:ascii="Arial" w:eastAsia="Times New Roman" w:hAnsi="Arial" w:cs="Arial"/>
          <w:color w:val="000000"/>
          <w:lang w:eastAsia="es-CO"/>
        </w:rPr>
        <w:softHyphen/>
        <w:t>pondiente </w:t>
      </w:r>
    </w:p>
    <w:p w14:paraId="25A9714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5" w:name="ver_30101256"/>
      <w:bookmarkEnd w:id="634"/>
      <w:bookmarkEnd w:id="635"/>
    </w:p>
    <w:p w14:paraId="706C3E75" w14:textId="1B93F71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2.5.5.3.3.5. Enajenación de sustancias químicas. El Administrador del Frisco realizará directamente la enajenación de sustancias químicas mediante invitación pública a través de la página web de la entidad o mediante el procedimiento que adopte para tal efecto en la Metodología de Administración, de acuerdo con las normas que para el efecto expida el Gobierno nacional el cual en todo caso deberá ser público y permitir la libre concurrencia de participantes, garantizando la transparencia, la eficiencia y la selección objetiva. </w:t>
      </w:r>
    </w:p>
    <w:p w14:paraId="5391272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6" w:name="ver_30101258"/>
      <w:bookmarkEnd w:id="636"/>
    </w:p>
    <w:p w14:paraId="0297947B" w14:textId="5F55789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2.5.5.3.3.6. Mecanismo de extinción de obligaciones. El Administrador del Frisco podrá promover ante las entidades territoriales, la DIAN y otros acreedores, mecanismos de extinción de obligaciones por concepto de impuestos, valorización, inversiones, mejoras u otras obligaciones que pesan sobre los bienes objeto de venta. </w:t>
      </w:r>
    </w:p>
    <w:p w14:paraId="4FE4EF5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7" w:name="ver_30101259"/>
      <w:bookmarkEnd w:id="637"/>
    </w:p>
    <w:p w14:paraId="1CBF4A81" w14:textId="133C229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2.5.5.3.3.7. Consignación de dineros en cuentas del administrador del Frisco. En caso de que un tercero efectúe consignaciones de dinero respecto de bienes que no se encuentren en venta o que no guarden relación directa con la actividad comercial, el Administrador del Frisco pondrá en conocimiento de la Fiscalía General de la Nación y de la UIAF dicha situación para que inicien la investigación correspondiente. Dichos dineros deben ser puestos a disposición mediante depósito judicial a favor del tercero que efectuó la consignación. </w:t>
      </w:r>
    </w:p>
    <w:p w14:paraId="1170EC9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38" w:name="ver_30101261"/>
      <w:bookmarkEnd w:id="638"/>
    </w:p>
    <w:p w14:paraId="343060C6" w14:textId="68F2A5A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2.5.5.3.3.8. Aspectos no regulados para la enajenación. Los procedimientos internos y aquellos que conduzcan al cumplimiento de los fines estatales perseguidos mediante la enajenación de los activos especiales, que no se encuentren señalados en la ley o en el presente título, serán determinados en la Metodología de Administración que expida el Administrador del Frisco. </w:t>
      </w:r>
    </w:p>
    <w:p w14:paraId="51C30503" w14:textId="77777777" w:rsidR="00190DA0" w:rsidRDefault="00190DA0" w:rsidP="00C32F85">
      <w:pPr>
        <w:spacing w:after="0" w:line="293" w:lineRule="atLeast"/>
        <w:jc w:val="both"/>
        <w:rPr>
          <w:rFonts w:ascii="Arial" w:eastAsia="Times New Roman" w:hAnsi="Arial" w:cs="Arial"/>
          <w:color w:val="000000"/>
          <w:lang w:eastAsia="es-CO"/>
        </w:rPr>
      </w:pPr>
      <w:bookmarkStart w:id="639" w:name="ver_30101263"/>
      <w:bookmarkEnd w:id="639"/>
    </w:p>
    <w:p w14:paraId="7281EA2D" w14:textId="76B9D23A" w:rsidR="008F7B30" w:rsidRPr="00190DA0" w:rsidRDefault="008F7B30" w:rsidP="00190DA0">
      <w:pPr>
        <w:spacing w:after="0" w:line="293" w:lineRule="atLeast"/>
        <w:jc w:val="center"/>
        <w:rPr>
          <w:rFonts w:ascii="Arial" w:eastAsia="Times New Roman" w:hAnsi="Arial" w:cs="Arial"/>
          <w:b/>
          <w:bCs/>
          <w:color w:val="000000"/>
          <w:lang w:eastAsia="es-CO"/>
        </w:rPr>
      </w:pPr>
      <w:r w:rsidRPr="00190DA0">
        <w:rPr>
          <w:rFonts w:ascii="Arial" w:eastAsia="Times New Roman" w:hAnsi="Arial" w:cs="Arial"/>
          <w:b/>
          <w:bCs/>
          <w:color w:val="000000"/>
          <w:lang w:eastAsia="es-CO"/>
        </w:rPr>
        <w:t>CAPÍTULO 4</w:t>
      </w:r>
    </w:p>
    <w:p w14:paraId="7D01B588" w14:textId="77777777" w:rsidR="008F7B30" w:rsidRPr="00190DA0" w:rsidRDefault="008F7B30" w:rsidP="00190DA0">
      <w:pPr>
        <w:spacing w:after="0" w:line="293" w:lineRule="atLeast"/>
        <w:jc w:val="center"/>
        <w:rPr>
          <w:rFonts w:ascii="Arial" w:eastAsia="Times New Roman" w:hAnsi="Arial" w:cs="Arial"/>
          <w:b/>
          <w:bCs/>
          <w:color w:val="000000"/>
          <w:lang w:eastAsia="es-CO"/>
        </w:rPr>
      </w:pPr>
      <w:r w:rsidRPr="00190DA0">
        <w:rPr>
          <w:rFonts w:ascii="Arial" w:eastAsia="Times New Roman" w:hAnsi="Arial" w:cs="Arial"/>
          <w:b/>
          <w:bCs/>
          <w:color w:val="000000"/>
          <w:lang w:eastAsia="es-CO"/>
        </w:rPr>
        <w:t>CONTRATACIÓN</w:t>
      </w:r>
    </w:p>
    <w:p w14:paraId="5F2106B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0" w:name="ver_30101265"/>
      <w:bookmarkEnd w:id="640"/>
    </w:p>
    <w:p w14:paraId="110BF86C" w14:textId="2E1AAB2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2.5.5.4.1. Tipos de contrato. El Administrador del Frisco podrá celebrar cualquier acto y/o contrato que permita una eficiente administración de los bienes y recursos dentro del marco de la legalidad y con el propósito de salvaguardar los fines establecidos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94 de la Ley 1708 de 2014. </w:t>
      </w:r>
    </w:p>
    <w:p w14:paraId="0C68E6A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1" w:name="ver_30101266"/>
      <w:bookmarkEnd w:id="641"/>
    </w:p>
    <w:p w14:paraId="2F667342" w14:textId="516D440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2.5.5.4.2. Garantías de pago en contratos de arrendamiento o explotación económica. Los contratos de arrendamiento o de explotación económica que se suscriban sobre Bienes del Frisco a partir de la inclusión del presente título, deberán contar con una póliza de seguros que garantice su pago expedida por una compañía de seguros legalmente establecida en Colombia, para amparar el cumplimiento de las obligaciones a cargo del contratista. En todo caso, el Administrador del Frisco, a través de un Comité Técnico conformado al interior de la Entidad, podrá autorizar la suscripción de contratos de arrendamiento o explotación económica con la posibilidad de acudir a otros mecanismos de respaldo como fianzas, deudores solidarios u otro tipo de garantías, para amparar el incumplimiento, cuando resulte comprobada la imposibilidad de expedición de pólizas por las compañías aseguradoras, por aspectos como el valor, el estado o ubicación del inmueble o la vigencia contractual pactada, entre otros. </w:t>
      </w:r>
    </w:p>
    <w:p w14:paraId="37E07333" w14:textId="77777777" w:rsidR="00190DA0" w:rsidRDefault="00190DA0" w:rsidP="00C32F85">
      <w:pPr>
        <w:spacing w:after="0" w:line="254" w:lineRule="atLeast"/>
        <w:jc w:val="both"/>
        <w:rPr>
          <w:rFonts w:ascii="Arial" w:eastAsia="Times New Roman" w:hAnsi="Arial" w:cs="Arial"/>
          <w:color w:val="000000"/>
          <w:lang w:eastAsia="es-CO"/>
        </w:rPr>
      </w:pPr>
    </w:p>
    <w:p w14:paraId="7D4980EF" w14:textId="1AC94EC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2.5.5.4.3. Acuerdos de pago. El Administrador del Frisco está facultado para celebrar acuerdos de pago con los contratistas que se encuentren en mora, en aras de lograr la normalización de los saldos de cartera que se llegaren a generar dentro de sus gestiones de administración y de acuerdo con los lineamientos establecidos en la metodología de administración, expedida para el efecto. </w:t>
      </w:r>
    </w:p>
    <w:p w14:paraId="07E43D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228C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Estos acuerdos de pago se podrán celebrar directamente o a través de centros de conciliación. </w:t>
      </w:r>
    </w:p>
    <w:p w14:paraId="0F99802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2" w:name="ver_30169228"/>
      <w:bookmarkEnd w:id="642"/>
    </w:p>
    <w:p w14:paraId="0ED5A9F1" w14:textId="0662051B"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2.5.5.4.4. Contratos de arrendamiento de inmuebles rurales en proceso de extinción de dominio en el marco del Acuerdo Final para la Terminación del Conflicto y la Construcción de una Paz Estable y Duradera. El administrador del Frisco podrá suscribir contratos de arrendamiento de acuerdo con los requisitos que exija su metodología de administración, en los términos de la Parte 5 del Libro 2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número 1068 de 2015,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Único Reglamentario del Sector Hacienda y Crédito Público, sobre bienes inmuebles rurales que estén afectados con medidas cautelares dentro de procesos de extinción de dominio, con el fin exclusivo de desarrollar proyectos productivos de carácter agropecuario, acuícola, pesquero, forestal o de desarrollo rural, en los que se vincule, por cualquier medio jurídico, a las personas que formen parte de alguna de las siguientes poblaciones:  </w:t>
      </w:r>
    </w:p>
    <w:p w14:paraId="796AA27D" w14:textId="77777777" w:rsidR="00190DA0" w:rsidRPr="002C1480" w:rsidRDefault="00190DA0" w:rsidP="00C32F85">
      <w:pPr>
        <w:spacing w:after="0" w:line="254" w:lineRule="atLeast"/>
        <w:jc w:val="both"/>
        <w:rPr>
          <w:rFonts w:ascii="Arial" w:eastAsia="Times New Roman" w:hAnsi="Arial" w:cs="Arial"/>
          <w:color w:val="000000"/>
          <w:lang w:eastAsia="es-CO"/>
        </w:rPr>
      </w:pPr>
    </w:p>
    <w:p w14:paraId="35E533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Víctimas identificadas en el Registro Único de Víctimas o cuyos predios se encuentren inscritos en el Registro de Tierras Despojadas y Abandonadas Forzosamente.  </w:t>
      </w:r>
    </w:p>
    <w:p w14:paraId="17533EB3" w14:textId="77777777" w:rsidR="00190DA0" w:rsidRDefault="00190DA0" w:rsidP="00C32F85">
      <w:pPr>
        <w:spacing w:after="0" w:line="254" w:lineRule="atLeast"/>
        <w:jc w:val="both"/>
        <w:rPr>
          <w:rFonts w:ascii="Arial" w:eastAsia="Times New Roman" w:hAnsi="Arial" w:cs="Arial"/>
          <w:color w:val="000000"/>
          <w:lang w:eastAsia="es-CO"/>
        </w:rPr>
      </w:pPr>
    </w:p>
    <w:p w14:paraId="34EC2100" w14:textId="0AE892C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Beneficiarios del Programa de Reincorporación,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Ley 899 de 2017, acreditados por la Oficina del Alto Comisionado para la Paz.  </w:t>
      </w:r>
    </w:p>
    <w:p w14:paraId="5EF451DA" w14:textId="77777777" w:rsidR="00190DA0" w:rsidRDefault="00190DA0" w:rsidP="00C32F85">
      <w:pPr>
        <w:spacing w:after="0" w:line="254" w:lineRule="atLeast"/>
        <w:jc w:val="both"/>
        <w:rPr>
          <w:rFonts w:ascii="Arial" w:eastAsia="Times New Roman" w:hAnsi="Arial" w:cs="Arial"/>
          <w:color w:val="000000"/>
          <w:lang w:eastAsia="es-CO"/>
        </w:rPr>
      </w:pPr>
    </w:p>
    <w:p w14:paraId="61BAD56A" w14:textId="6F99162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Beneficiarios del Programa Nacional Integral de Sustitución de Cultivos Ilícitos, certificados por la Dirección para la Sustitución de Cultivos Ilícitos adscrita a la Alta Consejería Presidencial para el Posconflicto del Departamento Administrativo de la Presidencia de la República.  </w:t>
      </w:r>
    </w:p>
    <w:p w14:paraId="579A2A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531AC2" w14:textId="4308BC23"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Los contratos de arrendamiento deberán cumplir con lo dispuesto en el capítulo que para ello se determine en la Metodología de Administración de los Bienes del Frisco, que podrá incluir los plazos, condiciones y garantías de acuerdo con las características de cada proyecto productivo de conformidad con lo dispuesto en este Capítulo. Las minutas de estos contratos </w:t>
      </w:r>
      <w:r w:rsidRPr="002C1480">
        <w:rPr>
          <w:rFonts w:ascii="Arial" w:eastAsia="Times New Roman" w:hAnsi="Arial" w:cs="Arial"/>
          <w:color w:val="000000"/>
          <w:lang w:eastAsia="es-CO"/>
        </w:rPr>
        <w:lastRenderedPageBreak/>
        <w:t xml:space="preserve">deberán indicar expresamente que los proyectos productivos a los cuales se destinan los bienes arrendados deberán cumplir con la vinculación de las poblaciones descritas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durante todo el periodo del arrendamiento y atendiendo la normatividad aplicable vigente.  </w:t>
      </w:r>
    </w:p>
    <w:p w14:paraId="412668FA"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1F3671F3" w14:textId="799605A0"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incumplimiento de lo señalado dará lugar a la terminación unilateral y anticipada del contrato de arrendamiento. Esto será parte integral de la minuta de contrato firmada por las partes.  </w:t>
      </w:r>
    </w:p>
    <w:p w14:paraId="0B62BDEB"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06BE3938" w14:textId="661C9E56"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contrato podrá ser terminado de manera unilateral por el administrador del FRISCO, cuando el arrendatario destine el bien para un uso diferente al acordado en el contrato.  </w:t>
      </w:r>
    </w:p>
    <w:p w14:paraId="72F32B65"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4AA5C6D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el contrato de arrendamiento será únicamente sobre el uso del suelo y el arrendador no será responsable de las actividades comerciales o de cualquier otra naturaleza que el arrendatario realice sobre el inmueble.  </w:t>
      </w:r>
    </w:p>
    <w:p w14:paraId="54C970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E65081" w14:textId="75D4BFF1"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la suscripción de los contratos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deberá verificar lo siguiente:  </w:t>
      </w:r>
    </w:p>
    <w:p w14:paraId="7DD4834C"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74AB3B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administrador del Frisco, una vez agotado el trámite de solicitud de predios establecido en la Metodología de Administración de Bienes del Frisco, solicitará a la Unidad Administrativa Especial de Gestión de Restitución de Tierras Despojadas una certificación en la que acredite si dichos predios están o no vinculados a procesos de restitución con el propósito de respetar su destinación a la restitución en caso de que el juez de conocimiento decida ordenarla.  </w:t>
      </w:r>
    </w:p>
    <w:p w14:paraId="42445794" w14:textId="77777777" w:rsidR="004152BC" w:rsidRDefault="004152BC" w:rsidP="00C32F85">
      <w:pPr>
        <w:spacing w:after="0" w:line="254" w:lineRule="atLeast"/>
        <w:jc w:val="both"/>
        <w:rPr>
          <w:rFonts w:ascii="Arial" w:eastAsia="Times New Roman" w:hAnsi="Arial" w:cs="Arial"/>
          <w:color w:val="000000"/>
          <w:lang w:eastAsia="es-CO"/>
        </w:rPr>
      </w:pPr>
    </w:p>
    <w:p w14:paraId="6815B69F" w14:textId="6B1FE94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En el caso en que el predio presente vinculación a procesos de restitución con posterioridad a la suscripción de los contratos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 Unidad Administrativa Especial de Gestión de Restitución de Tierras Despojadas, sobre la base del reconocimiento del derecho de dominio del restituido, de conformidad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99 de la Ley 1448 de 2011, solicitará al Juez y/o Magistrado correspondiente que autorice, mediante el trámite incidental, la cesión del contrato de arrendamiento entre los beneficiarios de la restitución y el inversionista que estuviera desarrollando el proyecto productivo.  </w:t>
      </w:r>
    </w:p>
    <w:p w14:paraId="281F28A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3" w:name="ver_30169229"/>
      <w:bookmarkEnd w:id="643"/>
    </w:p>
    <w:p w14:paraId="4E6844F2" w14:textId="45008FE5"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2.5.5.4.5 Autorización. El administrador del Frisco podrá suscribir los contratos de arrendamiento con los inversionistas o interesados, una vez cuente con la aprobación de viabilidad de los proyectos productivos por parte de las instancias o entidades competentes, cuando el capital del proyecto provenga de las poblaciones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2.5.5.4.4., atendiendo los siguientes criterios:  </w:t>
      </w:r>
    </w:p>
    <w:p w14:paraId="419D2A65"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1129D8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Cuando el capital del proyecto productivo provenga de los beneficios económicos de programas de víctimas identificadas en el Registro Único de Víctimas, se deberá aportar la certificación de viabilidad que para el efecto expida la Agencia de Desarrollo Rural.  </w:t>
      </w:r>
    </w:p>
    <w:p w14:paraId="7CB7491C" w14:textId="77777777" w:rsidR="004152BC" w:rsidRDefault="004152BC" w:rsidP="00C32F85">
      <w:pPr>
        <w:spacing w:after="0" w:line="254" w:lineRule="atLeast"/>
        <w:jc w:val="both"/>
        <w:rPr>
          <w:rFonts w:ascii="Arial" w:eastAsia="Times New Roman" w:hAnsi="Arial" w:cs="Arial"/>
          <w:color w:val="000000"/>
          <w:lang w:eastAsia="es-CO"/>
        </w:rPr>
      </w:pPr>
    </w:p>
    <w:p w14:paraId="0D607F47" w14:textId="4570353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Cuando el capital del proyecto productivo provenga de beneficios económicos otorgados en el marco del Programa de Reincorporación, se deberá aportar la certificación de viabilidad que para el efecto expida el Consejo Nacional de Reincorporación (CNR).  </w:t>
      </w:r>
    </w:p>
    <w:p w14:paraId="3359DB30" w14:textId="77777777" w:rsidR="004152BC" w:rsidRDefault="004152BC" w:rsidP="00C32F85">
      <w:pPr>
        <w:spacing w:after="0" w:line="254" w:lineRule="atLeast"/>
        <w:jc w:val="both"/>
        <w:rPr>
          <w:rFonts w:ascii="Arial" w:eastAsia="Times New Roman" w:hAnsi="Arial" w:cs="Arial"/>
          <w:color w:val="000000"/>
          <w:lang w:eastAsia="es-CO"/>
        </w:rPr>
      </w:pPr>
    </w:p>
    <w:p w14:paraId="49FF8AAD" w14:textId="1E7CC33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Cuando el capital del proyecto productivo provenga de beneficios económicos otorgados en el marco del Programa Nacional Integral de Sustitución de Cultivos Ilícitos, se deberá aportar la certificación de viabilidad técnica que para el efecto expida la Dirección para la Sustitución de </w:t>
      </w:r>
      <w:r w:rsidRPr="002C1480">
        <w:rPr>
          <w:rFonts w:ascii="Arial" w:eastAsia="Times New Roman" w:hAnsi="Arial" w:cs="Arial"/>
          <w:color w:val="000000"/>
          <w:lang w:eastAsia="es-CO"/>
        </w:rPr>
        <w:lastRenderedPageBreak/>
        <w:t>Cultivos Ilícitos de la Alta Consejería Presidencial para el Posconflicto del Departamento Administrativo de la Presidencia de la República, acompañada del respectivo plan de inversión.  </w:t>
      </w:r>
    </w:p>
    <w:p w14:paraId="795FBA66" w14:textId="77777777" w:rsidR="004152BC" w:rsidRDefault="004152BC" w:rsidP="00C32F85">
      <w:pPr>
        <w:spacing w:after="0" w:line="254" w:lineRule="atLeast"/>
        <w:jc w:val="both"/>
        <w:rPr>
          <w:rFonts w:ascii="Arial" w:eastAsia="Times New Roman" w:hAnsi="Arial" w:cs="Arial"/>
          <w:color w:val="000000"/>
          <w:lang w:eastAsia="es-CO"/>
        </w:rPr>
      </w:pPr>
    </w:p>
    <w:p w14:paraId="6B77FE6A" w14:textId="193AA1D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 Agencia de Desarrollo Rural será la entidad encargada de aportar la certificación de viabilidad cuando el capital del proyecto productivo provenga exclusivamente de un inversionista, interesado o de cooperación internacional.  </w:t>
      </w:r>
    </w:p>
    <w:p w14:paraId="667A5B9D" w14:textId="77777777" w:rsidR="004152BC" w:rsidRDefault="004152BC" w:rsidP="00C32F85">
      <w:pPr>
        <w:spacing w:after="0" w:line="254" w:lineRule="atLeast"/>
        <w:jc w:val="both"/>
        <w:rPr>
          <w:rFonts w:ascii="Arial" w:eastAsia="Times New Roman" w:hAnsi="Arial" w:cs="Arial"/>
          <w:color w:val="000000"/>
          <w:lang w:eastAsia="es-CO"/>
        </w:rPr>
      </w:pPr>
    </w:p>
    <w:p w14:paraId="7568141A" w14:textId="687EE09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En caso de que el capital del proyecto productivo provenga de fuentes mixtas relacionadas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deberán aportar las certificaciones de cada entidad o instancia competente, con el fin de que la Agencia de Desarrollo Rural determine la viabilidad.  </w:t>
      </w:r>
    </w:p>
    <w:p w14:paraId="34D823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D121EA" w14:textId="51AC72A9"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 selección de los proyectos productivos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2.5.5.4.4. del presente Capítulo se adelantará teniendo en cuenta los procedimientos propios de cada entidad encargada de otorgar la viabilidad que, en todo caso, deberán garantizar una selección objetiva.  </w:t>
      </w:r>
    </w:p>
    <w:p w14:paraId="0C0EEF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FDD4B4" w14:textId="203D55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Administrador del Frisco no tendrá responsabilidad alguna por la certificación de los proyectos productivos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o injerencia en el trámite de su expedición, así como tampoco por la planeación, ejecución y selección de dichos proyectos”. </w:t>
      </w:r>
    </w:p>
    <w:p w14:paraId="479B2F6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4" w:name="ver_30201710"/>
      <w:bookmarkEnd w:id="644"/>
    </w:p>
    <w:p w14:paraId="2775D4A3" w14:textId="01076E8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2.5.5.4.6. Condición especial del contrato de arrendamiento. El administrador del Frisco para efectos de celebrar un contrato de arrendamiento, dentro del estudio que adelante, deberá contar con una declaración del interesado en la que señale que no tiene ningún tipo de relación con el afectado dentro del proceso de extinción de dominio de acuerdo con lo consagrado en el régimen general de inhabilidades e incompatibilidades consagrado para la contratación estatal.  </w:t>
      </w:r>
    </w:p>
    <w:p w14:paraId="25450899" w14:textId="00AA582A" w:rsidR="008F7B30" w:rsidRPr="002C1480" w:rsidRDefault="008F7B30" w:rsidP="00C32F85">
      <w:pPr>
        <w:spacing w:after="0" w:line="254" w:lineRule="atLeast"/>
        <w:jc w:val="both"/>
        <w:rPr>
          <w:rFonts w:ascii="Arial" w:eastAsia="Times New Roman" w:hAnsi="Arial" w:cs="Arial"/>
          <w:color w:val="000000"/>
          <w:lang w:eastAsia="es-CO"/>
        </w:rPr>
      </w:pPr>
    </w:p>
    <w:p w14:paraId="646789F4" w14:textId="312FF65B" w:rsidR="008F7B30" w:rsidRPr="004152BC" w:rsidRDefault="004152BC" w:rsidP="004152BC">
      <w:pPr>
        <w:spacing w:after="0" w:line="293" w:lineRule="atLeast"/>
        <w:jc w:val="center"/>
        <w:rPr>
          <w:rFonts w:ascii="Arial" w:eastAsia="Times New Roman" w:hAnsi="Arial" w:cs="Arial"/>
          <w:b/>
          <w:bCs/>
          <w:color w:val="000000"/>
          <w:lang w:eastAsia="es-CO"/>
        </w:rPr>
      </w:pPr>
      <w:bookmarkStart w:id="645" w:name="ver_30101268"/>
      <w:bookmarkEnd w:id="645"/>
      <w:r w:rsidRPr="004152BC">
        <w:rPr>
          <w:rFonts w:ascii="Arial" w:eastAsia="Times New Roman" w:hAnsi="Arial" w:cs="Arial"/>
          <w:b/>
          <w:bCs/>
          <w:color w:val="000000"/>
          <w:lang w:eastAsia="es-CO"/>
        </w:rPr>
        <w:t>CAPÍTULO 5</w:t>
      </w:r>
    </w:p>
    <w:p w14:paraId="53CD3357" w14:textId="04319F8D" w:rsidR="008F7B30" w:rsidRPr="004152BC" w:rsidRDefault="004152BC" w:rsidP="004152BC">
      <w:pPr>
        <w:spacing w:after="0" w:line="293" w:lineRule="atLeast"/>
        <w:jc w:val="center"/>
        <w:rPr>
          <w:rFonts w:ascii="Arial" w:eastAsia="Times New Roman" w:hAnsi="Arial" w:cs="Arial"/>
          <w:b/>
          <w:bCs/>
          <w:color w:val="000000"/>
          <w:lang w:eastAsia="es-CO"/>
        </w:rPr>
      </w:pPr>
      <w:r w:rsidRPr="004152BC">
        <w:rPr>
          <w:rFonts w:ascii="Arial" w:eastAsia="Times New Roman" w:hAnsi="Arial" w:cs="Arial"/>
          <w:b/>
          <w:bCs/>
          <w:color w:val="000000"/>
          <w:lang w:eastAsia="es-CO"/>
        </w:rPr>
        <w:t>DESTINACIÓN PROVISIONAL</w:t>
      </w:r>
    </w:p>
    <w:p w14:paraId="0237636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6" w:name="ver_30101269"/>
      <w:bookmarkEnd w:id="646"/>
    </w:p>
    <w:p w14:paraId="21ED353F" w14:textId="2E7C3B4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2.5.5.5.1. Destinación provisional. Es el mecanismo de administración en virtud del cual el Administrador del Frisco entrega un bien bajo su administración al servicio de una entidad estatal o persona jurídica de derecho privado sin ánimo de lucro, previo cumplimiento de los requisitos del presente capítulo. </w:t>
      </w:r>
    </w:p>
    <w:p w14:paraId="242068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5C03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Podrán destinarse provisionalmente bienes a personas jurídicas de derecho privado sin ánimo de lucro, únicamente cuando tengan por lo menos diez (10) años de existencia , cuenten con reconocida idoneidad y que sus programas sean de público reconocimiento, con el fin de impulsar programas u actividades de interés público acordes con el Plan Nacional de Desarrollo y los Planes Seccionales de Desarrollo, lo cual deberá ser constatado a través de los medios idóneos que establezca el Administrador del Frisco en su Metodología de Administración . En todo caso el Administrador del Frisco deberá consultar los antecedentes judiciales a todos los miembros de los órganos de Dirección y fundadores de estas entidades. </w:t>
      </w:r>
    </w:p>
    <w:p w14:paraId="070977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35A3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condiciones para la destinación provisional a estas personas jurídicas se fijarán en la Metodología de Administración. </w:t>
      </w:r>
    </w:p>
    <w:p w14:paraId="44DCC16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47" w:name="ver_30101297"/>
      <w:bookmarkEnd w:id="647"/>
    </w:p>
    <w:p w14:paraId="63F45912" w14:textId="06F3778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2.5.5.5.2. Garantías. El destinatario provisional, previo a la entrega del bien destinado, deberá constituir una garantía real, bancaria o una póliza de seguros contra todo riesgo, expedida por una compañía de seguros legalmente establecida en Colombia, que ampare el buen uso y la conservación del bien entregado en destinación provisional. </w:t>
      </w:r>
    </w:p>
    <w:p w14:paraId="134836AA" w14:textId="6DA7198A" w:rsidR="008F7B30" w:rsidRPr="002C1480" w:rsidRDefault="002C1480" w:rsidP="00C32F85">
      <w:pPr>
        <w:spacing w:after="0" w:line="254" w:lineRule="atLeast"/>
        <w:jc w:val="both"/>
        <w:rPr>
          <w:rFonts w:ascii="Arial" w:eastAsia="Times New Roman" w:hAnsi="Arial" w:cs="Arial"/>
          <w:color w:val="000000"/>
          <w:lang w:eastAsia="es-CO"/>
        </w:rPr>
      </w:pPr>
      <w:bookmarkStart w:id="648" w:name="ver_30101298"/>
      <w:bookmarkEnd w:id="648"/>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2.5.5.5.3. Responsabilidad de los destinatarios. Los destinatarios provisionales de que trata este capítulo responderán directamente por la pérdida, daño, destrucción, deterioro de los bienes e incumplimiento de las condiciones fijadas por el Administrador del Frisco, así como responderán por los perjuicios ocasionados a terceros como consecuencia de la indebida administración. También, deberán asumir los gastos, impuestos, sanciones y demás costos que se generen durante el término de la destinación provisional de los bienes entregados. </w:t>
      </w:r>
    </w:p>
    <w:p w14:paraId="5465D0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EA86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obligaciones del destinatario provisional serán definidas por el Administrador del Frisco en su Metodología de Administración. </w:t>
      </w:r>
    </w:p>
    <w:p w14:paraId="3931E591" w14:textId="77777777" w:rsidR="008F7B30" w:rsidRPr="002C1480" w:rsidRDefault="008F7B30" w:rsidP="00C32F85">
      <w:pPr>
        <w:spacing w:after="0" w:line="254" w:lineRule="atLeast"/>
        <w:jc w:val="both"/>
        <w:rPr>
          <w:rFonts w:ascii="Arial" w:eastAsia="Times New Roman" w:hAnsi="Arial" w:cs="Arial"/>
          <w:color w:val="000000"/>
          <w:lang w:eastAsia="es-CO"/>
        </w:rPr>
      </w:pPr>
      <w:bookmarkStart w:id="649" w:name="ver_30201711"/>
      <w:bookmarkStart w:id="650" w:name="ver_30101299"/>
      <w:bookmarkEnd w:id="649"/>
      <w:r w:rsidRPr="002C1480">
        <w:rPr>
          <w:rFonts w:ascii="Arial" w:eastAsia="Times New Roman" w:hAnsi="Arial" w:cs="Arial"/>
          <w:color w:val="000000"/>
          <w:lang w:eastAsia="es-CO"/>
        </w:rPr>
        <w:t>  </w:t>
      </w:r>
    </w:p>
    <w:p w14:paraId="4A40AAFD" w14:textId="58865CA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2.5.5.5.4. Declaración de extinción de dominio sobre bienes destinados provisionalmente. En caso de declararse la extinción de dominio de automotores, motonaves y aeronaves entregados en destinación provisional a una entidad pública, dichos bienes quedarán asignados definitivamente a la entidad que lo ha usufructuado como destinatario provisional, siempre y cuando puedan asignarse los porcentajes señalados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1849 de 2017, para lo cual el Administrador del Frisco expedirá el respectivo acto de asignación definitiva, que servirá de título traslaticio de dominio del bien.  </w:t>
      </w:r>
    </w:p>
    <w:p w14:paraId="2DEC986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9FA8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De existir obligaciones patrimoniales pendientes sobre los bienes asignados, la entidad pública receptora deberá asumir dichas obligaciones.  </w:t>
      </w:r>
    </w:p>
    <w:bookmarkEnd w:id="650"/>
    <w:p w14:paraId="2FBA0153" w14:textId="77777777" w:rsidR="004152BC" w:rsidRDefault="004152BC" w:rsidP="00C32F85">
      <w:pPr>
        <w:spacing w:after="0" w:line="254" w:lineRule="atLeast"/>
        <w:jc w:val="both"/>
        <w:rPr>
          <w:rFonts w:ascii="Arial" w:eastAsia="Times New Roman" w:hAnsi="Arial" w:cs="Arial"/>
          <w:color w:val="000000"/>
          <w:lang w:eastAsia="es-CO"/>
        </w:rPr>
      </w:pPr>
    </w:p>
    <w:p w14:paraId="3DDC9802" w14:textId="2F962FF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2.5.5.5.5. Procedimiento para la destinación provisional. Para la destinación provisional de los bienes a las entidades estatales o personas jurídicas de derecho privado sin ánimo de lucro, el Administrador del Frisco llevará a cabo el siguiente procedimiento: </w:t>
      </w:r>
    </w:p>
    <w:p w14:paraId="52C065D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0F85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Efectuar la divulgación de los bienes que tiene para destinar en su página web. </w:t>
      </w:r>
    </w:p>
    <w:p w14:paraId="008CF91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3DC0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interesados deberán presentar sus solicitudes en sobre cerrado y deberán estar acompañadas de los siguientes documentos: </w:t>
      </w:r>
    </w:p>
    <w:p w14:paraId="4AFF74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3362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Proyecto de utilización del bien para programas u actividades de interés público acordes con el Plan Nacional de Desarrollo y los Planes Seccionales de Desarrollo, y que estén relacionados con el objeto social de la entidad; </w:t>
      </w:r>
    </w:p>
    <w:p w14:paraId="5F5BAF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6C7D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Antecedentes judiciales de todos los miembros de los órganos de dirección y fundadores de las personas jurídicas de derecho privado sin ánimo de lucro. </w:t>
      </w:r>
    </w:p>
    <w:p w14:paraId="6C0897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96CB0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Declaración del representante legal de las personas jurídicas de derecho privado sin ánimo de lucro sobre origen de los recursos y sobre la inexistencia de actividades ilícitas por parte de sus donantes o de investigaciones de tipo penal, garantizando la transparencia de los recursos que recibe la institución. </w:t>
      </w:r>
    </w:p>
    <w:p w14:paraId="53F86D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9118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Dentro de los quince (15) días siguientes a la recepción de las solicitudes, el Administrador del Frisco, mediante resolución motivada, destinará provisionalmente los bienes a quien cumpla con los requisitos establecidos en la Metodología de Administración. </w:t>
      </w:r>
    </w:p>
    <w:p w14:paraId="656DFC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8324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resolución será registrada en la respectiva entidad cuando verse sobre bienes sometidos a registro. </w:t>
      </w:r>
    </w:p>
    <w:p w14:paraId="0D178B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50C8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En caso de que se presenten dos o más solicitudes sobre un mismo bien, y las mismas cumplan con todos los requisitos exigidos para su destinación provisional, dichas solicitudes deberán ser estudiadas por un comité interno que para el efecto cree el Administrador del Frisco. </w:t>
      </w:r>
    </w:p>
    <w:p w14:paraId="1F6B3DC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51" w:name="ver_30101306"/>
      <w:bookmarkEnd w:id="651"/>
    </w:p>
    <w:p w14:paraId="702D3BFA" w14:textId="61AE6A7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2.5.5.5.6. Materialización de la entrega. Para proceder a la entrega de los bienes, el Administrador del Frisco deberá suscribir un acta, en la que se indicará, entre otros aspectos, el inventario del bien, el cual obrará como anexo e indicará el estado de conservación, la situación física y jurídica en que se encuentra al momento de su entrega, dejando un archivo fotográfico y fílmico del bien. </w:t>
      </w:r>
    </w:p>
    <w:p w14:paraId="7C153B28" w14:textId="37875A79" w:rsidR="008F7B30" w:rsidRPr="002C1480" w:rsidRDefault="008F7B30" w:rsidP="004152B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52" w:name="ver_30201712"/>
      <w:bookmarkStart w:id="653" w:name="ver_30101308"/>
      <w:bookmarkEnd w:id="652"/>
    </w:p>
    <w:p w14:paraId="558B68DD" w14:textId="5EA69B96"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2.5.5.5.7. Remoción de la destinación provisional. En virtud al carácter provisional y precario de la destinación, el Administrador del Frisco podrá remover al destinatario provisional en caso de incumplimiento de sus obligaciones. </w:t>
      </w:r>
    </w:p>
    <w:p w14:paraId="38ABBC35"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6042BF86" w14:textId="2F601A9E" w:rsidR="008F7B3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caso de que el destinatario no haga efectiva la orden de entrega de los bienes asignados, el Administrador del Frisco podrá hacer uso de las facultades de policía administrativa que le otorga la ley.  </w:t>
      </w:r>
    </w:p>
    <w:p w14:paraId="14E9DF51" w14:textId="77777777" w:rsidR="004152BC" w:rsidRPr="002C1480" w:rsidRDefault="004152BC" w:rsidP="00C32F85">
      <w:pPr>
        <w:spacing w:after="0" w:line="254" w:lineRule="atLeast"/>
        <w:jc w:val="both"/>
        <w:rPr>
          <w:rFonts w:ascii="Arial" w:eastAsia="Times New Roman" w:hAnsi="Arial" w:cs="Arial"/>
          <w:color w:val="000000"/>
          <w:lang w:eastAsia="es-CO"/>
        </w:rPr>
      </w:pPr>
    </w:p>
    <w:p w14:paraId="7BBA5E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el Administrador del Frisco está habilitado para iniciar las acciones legales tendientes a resarcir los perjuicios que la gestión del destinatario removido pudiera causarle </w:t>
      </w:r>
    </w:p>
    <w:p w14:paraId="6113A544"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49B81A6A" w14:textId="6388A8A5" w:rsidR="008F7B30" w:rsidRPr="004152BC" w:rsidRDefault="004152BC" w:rsidP="004152BC">
      <w:pPr>
        <w:spacing w:after="0" w:line="293" w:lineRule="atLeast"/>
        <w:jc w:val="center"/>
        <w:rPr>
          <w:rFonts w:ascii="Arial" w:eastAsia="Times New Roman" w:hAnsi="Arial" w:cs="Arial"/>
          <w:b/>
          <w:bCs/>
          <w:color w:val="000000"/>
          <w:lang w:eastAsia="es-CO"/>
        </w:rPr>
      </w:pPr>
      <w:bookmarkStart w:id="654" w:name="ver_30101310"/>
      <w:bookmarkEnd w:id="653"/>
      <w:bookmarkEnd w:id="654"/>
      <w:r w:rsidRPr="004152BC">
        <w:rPr>
          <w:rFonts w:ascii="Arial" w:eastAsia="Times New Roman" w:hAnsi="Arial" w:cs="Arial"/>
          <w:b/>
          <w:bCs/>
          <w:color w:val="000000"/>
          <w:lang w:eastAsia="es-CO"/>
        </w:rPr>
        <w:t>CAPÍTULO 6</w:t>
      </w:r>
    </w:p>
    <w:p w14:paraId="36DA1FE3" w14:textId="6F10CCA7" w:rsidR="008F7B30" w:rsidRPr="004152BC" w:rsidRDefault="004152BC" w:rsidP="004152BC">
      <w:pPr>
        <w:spacing w:after="0" w:line="293" w:lineRule="atLeast"/>
        <w:jc w:val="center"/>
        <w:rPr>
          <w:rFonts w:ascii="Arial" w:eastAsia="Times New Roman" w:hAnsi="Arial" w:cs="Arial"/>
          <w:b/>
          <w:bCs/>
          <w:color w:val="000000"/>
          <w:lang w:eastAsia="es-CO"/>
        </w:rPr>
      </w:pPr>
      <w:r w:rsidRPr="004152BC">
        <w:rPr>
          <w:rFonts w:ascii="Arial" w:eastAsia="Times New Roman" w:hAnsi="Arial" w:cs="Arial"/>
          <w:b/>
          <w:bCs/>
          <w:color w:val="000000"/>
          <w:lang w:eastAsia="es-CO"/>
        </w:rPr>
        <w:t>DEPÓSITO PROVISIONAL</w:t>
      </w:r>
    </w:p>
    <w:p w14:paraId="29ABD0D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55" w:name="ver_30101312"/>
      <w:bookmarkEnd w:id="655"/>
    </w:p>
    <w:p w14:paraId="3F783434" w14:textId="7565BBA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2.5.5.6.1. Definición depósito provisional. Es un mecanismo de administración de Bienes del Frisco, en virtud del cual se designa a una persona que reúna las condiciones de idoneidad necesarias para que los administre, cuide, mantenga, custodie y procure que continúen siendo productivos y generadores de empleo. </w:t>
      </w:r>
    </w:p>
    <w:p w14:paraId="0262012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56" w:name="ver_30101323"/>
      <w:bookmarkEnd w:id="656"/>
    </w:p>
    <w:p w14:paraId="04D21F04" w14:textId="4CDECB2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2.5.5.6.2. Designación de los depositarios provisionales. La designación de depositarios provisionales la efectuará el Administrador del Frisco mediante procedimientos de selección establecidos en la Metodología de Administración, quien verificará que las personas que participen dentro del proceso cumplan con los requisitos previstos en el presente título. </w:t>
      </w:r>
    </w:p>
    <w:p w14:paraId="0BFC8F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1F06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el Administrador del Frisco para la designación del depositario provisional tendrá en cuenta la prevalencia del interés general y los principios de la función administrativa, para lo cual deberá verificar las condiciones que considere necesarias respecto del oferente para garantizar que no se contravienen estos principios. </w:t>
      </w:r>
    </w:p>
    <w:p w14:paraId="084EB9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2EE9B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comunicará a las autoridades encargadas de llevar registro de los bienes, su decisión sobre el depositario provisional y las que la modifiquen, ratifiquen, adicionen o revoquen. </w:t>
      </w:r>
    </w:p>
    <w:p w14:paraId="0C0CC40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57" w:name="ver_30101324"/>
      <w:bookmarkEnd w:id="657"/>
    </w:p>
    <w:p w14:paraId="60C883ED" w14:textId="0F28001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2.5.5.6.3. Honorarios de los depositarios provisionales. El Administrador del Frisco fijará en la Metodología de Administración las reglas para determinar los honorarios de los depositarios provisionales teniendo en cuenta el uso, destino y productividad del bien y el mercado, los cuales serán fijados en la respectiva resolución de nombramiento y deducidos del producido de los bienes objeto del depósito provisional, sin que el reconocimiento de los mismos constituya vínculo laboral alguno. </w:t>
      </w:r>
    </w:p>
    <w:p w14:paraId="0779F6F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688D9A" w14:textId="6DE06B04" w:rsidR="008F7B30" w:rsidRPr="002C1480" w:rsidRDefault="002C1480" w:rsidP="00C32F85">
      <w:pPr>
        <w:spacing w:after="0" w:line="254" w:lineRule="atLeast"/>
        <w:jc w:val="both"/>
        <w:rPr>
          <w:rFonts w:ascii="Arial" w:eastAsia="Times New Roman" w:hAnsi="Arial" w:cs="Arial"/>
          <w:color w:val="000000"/>
          <w:lang w:eastAsia="es-CO"/>
        </w:rPr>
      </w:pPr>
      <w:bookmarkStart w:id="658" w:name="ver_30101327"/>
      <w:bookmarkEnd w:id="658"/>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2.5.5.6.4. Registro de depositarios provisionales. Para ser depositario provisional de Bienes del Frisco, las personas interesadas deben estar inscritas previamente en el Registro de Depositarios Provisionales de Bienes del Administrador del Frisco. </w:t>
      </w:r>
    </w:p>
    <w:p w14:paraId="670D05A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9F37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conformar el registro de depositarios provisionales de bienes, el Administrador del Frisco efectuará convocatorias públicas de acuerdo con lo establecido en la Metodología de Administración. </w:t>
      </w:r>
    </w:p>
    <w:p w14:paraId="01C6CA8F" w14:textId="77777777" w:rsidR="00F61AF7" w:rsidRDefault="00F61AF7" w:rsidP="00C32F85">
      <w:pPr>
        <w:spacing w:after="0" w:line="254" w:lineRule="atLeast"/>
        <w:jc w:val="both"/>
        <w:rPr>
          <w:rFonts w:ascii="Arial" w:eastAsia="Times New Roman" w:hAnsi="Arial" w:cs="Arial"/>
          <w:color w:val="000000"/>
          <w:lang w:eastAsia="es-CO"/>
        </w:rPr>
      </w:pPr>
    </w:p>
    <w:p w14:paraId="405C3E34" w14:textId="61BBEED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2.5.5.6.5. Causales de rechazo y de exclusión de los depositarios provisionales. Los interesados en hacer parte del Registro de Depositarios Provisionales de Bienes del Administrador del Frisco serán rechazados y/o excluidos de acuerdo con lo establecido en la Metodología de Administración, que deberá contemplar, entre otras que de conformidad con su experiencia en la administración del tema considere permanentes, las siguientes circunstancias: </w:t>
      </w:r>
    </w:p>
    <w:p w14:paraId="2DCB17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58FA7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Cuando el interesado se halle incurso en alguna de las causales de inhabilidad e incompatibilidad establecidas en la Constitución Política o en la Ley colombiana. </w:t>
      </w:r>
    </w:p>
    <w:p w14:paraId="678D18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F095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Cuando sea presentada por personas jurídicamente incapaces para obligarse y/o que no cumplan todos los requisitos de participación indicados dentro de los términos de la convocatoria. </w:t>
      </w:r>
    </w:p>
    <w:p w14:paraId="6AADBE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7775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Cuando del análisis de la información financiera se concluya la falta de solvencia económica, conforme los indicadores que al efecto establezca el administrador del Frisco en las convocatorias. </w:t>
      </w:r>
    </w:p>
    <w:p w14:paraId="0CF8B22C" w14:textId="77777777" w:rsidR="00F61AF7" w:rsidRDefault="00F61AF7" w:rsidP="00C32F85">
      <w:pPr>
        <w:spacing w:after="0" w:line="254" w:lineRule="atLeast"/>
        <w:jc w:val="both"/>
        <w:rPr>
          <w:rFonts w:ascii="Arial" w:eastAsia="Times New Roman" w:hAnsi="Arial" w:cs="Arial"/>
          <w:color w:val="000000"/>
          <w:lang w:eastAsia="es-CO"/>
        </w:rPr>
      </w:pPr>
      <w:bookmarkStart w:id="659" w:name="ver_30101349"/>
    </w:p>
    <w:p w14:paraId="1CE5593C" w14:textId="1A7EC92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2.5.5.6.6. Obligaciones de los depositarios provisionales. A los depositarios provisionales les serán exigibles las obligaciones contenidas en la Metodología de Administración del Frisco, dentro de los cuales deberán indicarse como mínimo las siguientes.  </w:t>
      </w:r>
    </w:p>
    <w:p w14:paraId="259D02F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8802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Velar porque se mantenga la productividad de los bienes y la actividad económi</w:t>
      </w:r>
      <w:r w:rsidRPr="002C1480">
        <w:rPr>
          <w:rFonts w:ascii="Arial" w:eastAsia="Times New Roman" w:hAnsi="Arial" w:cs="Arial"/>
          <w:color w:val="000000"/>
          <w:lang w:eastAsia="es-CO"/>
        </w:rPr>
        <w:softHyphen/>
        <w:t>ca que les corresponda, siempre que esta sea lícita.  </w:t>
      </w:r>
    </w:p>
    <w:p w14:paraId="63DFF4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942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Adoptar de manera oportuna las medidas correctivas y realizar las gestiones ne</w:t>
      </w:r>
      <w:r w:rsidRPr="002C1480">
        <w:rPr>
          <w:rFonts w:ascii="Arial" w:eastAsia="Times New Roman" w:hAnsi="Arial" w:cs="Arial"/>
          <w:color w:val="000000"/>
          <w:lang w:eastAsia="es-CO"/>
        </w:rPr>
        <w:softHyphen/>
        <w:t>cesarias para garantizar la eficiente administración de los bienes.  </w:t>
      </w:r>
    </w:p>
    <w:p w14:paraId="5B2793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56ABE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Verificar el cumplimiento de las obligaciones relacionadas con la suscripción de los respectivos contratos de arrendamiento.  </w:t>
      </w:r>
    </w:p>
    <w:p w14:paraId="500E7E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0F92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Rendir informes mensuales de gestión, contables, financieros, de uso y estado, ingresos o gastos, según la naturaleza del bien y relacionados con su administra</w:t>
      </w:r>
      <w:r w:rsidRPr="002C1480">
        <w:rPr>
          <w:rFonts w:ascii="Arial" w:eastAsia="Times New Roman" w:hAnsi="Arial" w:cs="Arial"/>
          <w:color w:val="000000"/>
          <w:lang w:eastAsia="es-CO"/>
        </w:rPr>
        <w:softHyphen/>
        <w:t>ción.  </w:t>
      </w:r>
    </w:p>
    <w:p w14:paraId="0B75475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3ECF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Coordinar la entrega inmediata de los bienes objeto de depósito provisional, en el momento, y a la persona que le indique el administrador del Frisco mediante comunicación escrita, en caso de remoción de la calidad de depositario provisio</w:t>
      </w:r>
      <w:r w:rsidRPr="002C1480">
        <w:rPr>
          <w:rFonts w:ascii="Arial" w:eastAsia="Times New Roman" w:hAnsi="Arial" w:cs="Arial"/>
          <w:color w:val="000000"/>
          <w:lang w:eastAsia="es-CO"/>
        </w:rPr>
        <w:softHyphen/>
        <w:t>nal o de orden judicial.  </w:t>
      </w:r>
    </w:p>
    <w:p w14:paraId="5DBC03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D693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Llevar la contabilidad mensual de los recursos consignados y pagos realizados por cada bien, de acuerdo con el formato que para el efecto suministrará el Ad</w:t>
      </w:r>
      <w:r w:rsidRPr="002C1480">
        <w:rPr>
          <w:rFonts w:ascii="Arial" w:eastAsia="Times New Roman" w:hAnsi="Arial" w:cs="Arial"/>
          <w:color w:val="000000"/>
          <w:lang w:eastAsia="es-CO"/>
        </w:rPr>
        <w:softHyphen/>
        <w:t>ministrador del Frisco.  </w:t>
      </w:r>
    </w:p>
    <w:p w14:paraId="12E5BE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C8A5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Presentar la rendición final de cuentas al terminar el depósito provisional.  </w:t>
      </w:r>
    </w:p>
    <w:p w14:paraId="3689FF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24366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Coordinar la inspección de los bienes objeto de depósito, cuando el Administra</w:t>
      </w:r>
      <w:r w:rsidRPr="002C1480">
        <w:rPr>
          <w:rFonts w:ascii="Arial" w:eastAsia="Times New Roman" w:hAnsi="Arial" w:cs="Arial"/>
          <w:color w:val="000000"/>
          <w:lang w:eastAsia="es-CO"/>
        </w:rPr>
        <w:softHyphen/>
        <w:t>dor del Frisco, o la autoridad competente así lo requiera.  </w:t>
      </w:r>
    </w:p>
    <w:p w14:paraId="73489B6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437DE9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Velar porque se realicen las reparaciones locativas, aseo y mantenimiento nece</w:t>
      </w:r>
      <w:r w:rsidRPr="002C1480">
        <w:rPr>
          <w:rFonts w:ascii="Arial" w:eastAsia="Times New Roman" w:hAnsi="Arial" w:cs="Arial"/>
          <w:color w:val="000000"/>
          <w:lang w:eastAsia="es-CO"/>
        </w:rPr>
        <w:softHyphen/>
        <w:t>sarios para la conservación de los bienes, de conformidad a los lineamientos que para el efecto suministrará el Administrador del Frisco.  </w:t>
      </w:r>
    </w:p>
    <w:p w14:paraId="507D3AF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4D37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Reportar la existencia de perturbaciones, ocupaciones o invasiones que a cual</w:t>
      </w:r>
      <w:r w:rsidRPr="002C1480">
        <w:rPr>
          <w:rFonts w:ascii="Arial" w:eastAsia="Times New Roman" w:hAnsi="Arial" w:cs="Arial"/>
          <w:color w:val="000000"/>
          <w:lang w:eastAsia="es-CO"/>
        </w:rPr>
        <w:softHyphen/>
        <w:t>quier título recaigan sobre los bienes al administrador del Frisco, para que, en coordinación con las autoridades policivas, se adopten las medidas pertinentes, e instaurar las acciones que a ello hubiere lugar.  </w:t>
      </w:r>
    </w:p>
    <w:p w14:paraId="0046F0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8270A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Constituir una garantía a favor del Administrador del Frisco que garantice el cumplimiento de sus obligaciones y que ampare el manejo de los dineros recau</w:t>
      </w:r>
      <w:r w:rsidRPr="002C1480">
        <w:rPr>
          <w:rFonts w:ascii="Arial" w:eastAsia="Times New Roman" w:hAnsi="Arial" w:cs="Arial"/>
          <w:color w:val="000000"/>
          <w:lang w:eastAsia="es-CO"/>
        </w:rPr>
        <w:softHyphen/>
        <w:t>dados en desarrollo de su gestión.  </w:t>
      </w:r>
    </w:p>
    <w:p w14:paraId="73293F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7A5D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Presentar dentro de un término no superior a treinta (30) días calendario, poste</w:t>
      </w:r>
      <w:r w:rsidRPr="002C1480">
        <w:rPr>
          <w:rFonts w:ascii="Arial" w:eastAsia="Times New Roman" w:hAnsi="Arial" w:cs="Arial"/>
          <w:color w:val="000000"/>
          <w:lang w:eastAsia="es-CO"/>
        </w:rPr>
        <w:softHyphen/>
        <w:t>riores a su nombramiento, un informe que incorpore el inventario de los bienes objeto de administración, el cual deberá actualizar mensualmente, así como los contratos que considere debe suscribir en desarrollo del objeto social de la em</w:t>
      </w:r>
      <w:r w:rsidRPr="002C1480">
        <w:rPr>
          <w:rFonts w:ascii="Arial" w:eastAsia="Times New Roman" w:hAnsi="Arial" w:cs="Arial"/>
          <w:color w:val="000000"/>
          <w:lang w:eastAsia="es-CO"/>
        </w:rPr>
        <w:softHyphen/>
        <w:t>presa para mantenerla productiva y presentar el proyecto del costo de las inver</w:t>
      </w:r>
      <w:r w:rsidRPr="002C1480">
        <w:rPr>
          <w:rFonts w:ascii="Arial" w:eastAsia="Times New Roman" w:hAnsi="Arial" w:cs="Arial"/>
          <w:color w:val="000000"/>
          <w:lang w:eastAsia="es-CO"/>
        </w:rPr>
        <w:softHyphen/>
        <w:t>siones a fin de lograr la productividad de los bienes.  </w:t>
      </w:r>
    </w:p>
    <w:p w14:paraId="41508E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7E12E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Solicitar autorización al Administrador del Frisco, para la suscripción de contra</w:t>
      </w:r>
      <w:r w:rsidRPr="002C1480">
        <w:rPr>
          <w:rFonts w:ascii="Arial" w:eastAsia="Times New Roman" w:hAnsi="Arial" w:cs="Arial"/>
          <w:color w:val="000000"/>
          <w:lang w:eastAsia="es-CO"/>
        </w:rPr>
        <w:softHyphen/>
        <w:t>tos, acompañando la petición de los documentos que dicha dependencia exija.  </w:t>
      </w:r>
    </w:p>
    <w:p w14:paraId="61A73C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DBD4C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14. Informar y/o denunciar, inmediatamente a su ocurrencia, los hechos y circuns</w:t>
      </w:r>
      <w:r w:rsidRPr="002C1480">
        <w:rPr>
          <w:rFonts w:ascii="Arial" w:eastAsia="Times New Roman" w:hAnsi="Arial" w:cs="Arial"/>
          <w:color w:val="000000"/>
          <w:lang w:eastAsia="es-CO"/>
        </w:rPr>
        <w:softHyphen/>
        <w:t>tancias que afecten el cumplimiento de sus obligaciones.  </w:t>
      </w:r>
    </w:p>
    <w:p w14:paraId="777DF3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EC1F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Permitir al Administrador del Frisco, en todo momento, la revisión y auditoría sobre la administración de los bienes entregados y suministrar toda la informa</w:t>
      </w:r>
      <w:r w:rsidRPr="002C1480">
        <w:rPr>
          <w:rFonts w:ascii="Arial" w:eastAsia="Times New Roman" w:hAnsi="Arial" w:cs="Arial"/>
          <w:color w:val="000000"/>
          <w:lang w:eastAsia="es-CO"/>
        </w:rPr>
        <w:softHyphen/>
        <w:t>ción que le sea requerida.  </w:t>
      </w:r>
    </w:p>
    <w:p w14:paraId="3E91954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177D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En caso de siniestro o pérdida de bienes deberá informar inmediatamente al Ad</w:t>
      </w:r>
      <w:r w:rsidRPr="002C1480">
        <w:rPr>
          <w:rFonts w:ascii="Arial" w:eastAsia="Times New Roman" w:hAnsi="Arial" w:cs="Arial"/>
          <w:color w:val="000000"/>
          <w:lang w:eastAsia="es-CO"/>
        </w:rPr>
        <w:softHyphen/>
        <w:t>ministrador del Frisco, e iniciar los trámites pertinentes ante la aseguradora para hacer efectiva las pólizas correspondientes. De esta gestión deberá mantener in</w:t>
      </w:r>
      <w:r w:rsidRPr="002C1480">
        <w:rPr>
          <w:rFonts w:ascii="Arial" w:eastAsia="Times New Roman" w:hAnsi="Arial" w:cs="Arial"/>
          <w:color w:val="000000"/>
          <w:lang w:eastAsia="es-CO"/>
        </w:rPr>
        <w:softHyphen/>
        <w:t>formado al Administrador del Frisco hasta su culminación.  </w:t>
      </w:r>
    </w:p>
    <w:p w14:paraId="0A24925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1000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17. Residir en el lugar donde se ubican los bienes. En caso contrario, sufragar, de su propio peculio, los gastos que el desplazamiento y manutención para administrar los bienes le ocasionen.  </w:t>
      </w:r>
    </w:p>
    <w:p w14:paraId="58F8E4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73D7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18. Devolver inmediatamente el bien y sus soportes documentales cuando se proce</w:t>
      </w:r>
      <w:r w:rsidRPr="002C1480">
        <w:rPr>
          <w:rFonts w:ascii="Arial" w:eastAsia="Times New Roman" w:hAnsi="Arial" w:cs="Arial"/>
          <w:color w:val="000000"/>
          <w:lang w:eastAsia="es-CO"/>
        </w:rPr>
        <w:softHyphen/>
        <w:t>da a su remoción.  </w:t>
      </w:r>
    </w:p>
    <w:p w14:paraId="7A25F7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9FE8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19. Contar con una cuenta de correo electrónico que deberá poner en conocimiento del Administrador del Frisco, a través de la cual se pueda mantener una comuni</w:t>
      </w:r>
      <w:r w:rsidRPr="002C1480">
        <w:rPr>
          <w:rFonts w:ascii="Arial" w:eastAsia="Times New Roman" w:hAnsi="Arial" w:cs="Arial"/>
          <w:color w:val="000000"/>
          <w:lang w:eastAsia="es-CO"/>
        </w:rPr>
        <w:softHyphen/>
        <w:t>cación activa entre el Administrador del Frisco y el depositario.  </w:t>
      </w:r>
    </w:p>
    <w:p w14:paraId="1AA5B5E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3F6F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20. Llevar registros contables independientes por centros de costo de los bienes asig</w:t>
      </w:r>
      <w:r w:rsidRPr="002C1480">
        <w:rPr>
          <w:rFonts w:ascii="Arial" w:eastAsia="Times New Roman" w:hAnsi="Arial" w:cs="Arial"/>
          <w:color w:val="000000"/>
          <w:lang w:eastAsia="es-CO"/>
        </w:rPr>
        <w:softHyphen/>
        <w:t>nados por el Administrador del FRISCO, tanto los ingresos, egresos, retenciones y desembolsos autorizados por la entidad.  </w:t>
      </w:r>
    </w:p>
    <w:p w14:paraId="36ADF7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EE8E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 Remitir los extractos bancarios en forma mensual dentro de los informes de ges</w:t>
      </w:r>
      <w:r w:rsidRPr="002C1480">
        <w:rPr>
          <w:rFonts w:ascii="Arial" w:eastAsia="Times New Roman" w:hAnsi="Arial" w:cs="Arial"/>
          <w:color w:val="000000"/>
          <w:lang w:eastAsia="es-CO"/>
        </w:rPr>
        <w:softHyphen/>
        <w:t>tión para su análisis por parte del Administrador del FRISCO.  </w:t>
      </w:r>
    </w:p>
    <w:p w14:paraId="3CDF57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5F2788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22. Recibir en las diligencias de incautación o de manos de los depositarios provisio</w:t>
      </w:r>
      <w:r w:rsidRPr="002C1480">
        <w:rPr>
          <w:rFonts w:ascii="Arial" w:eastAsia="Times New Roman" w:hAnsi="Arial" w:cs="Arial"/>
          <w:color w:val="000000"/>
          <w:lang w:eastAsia="es-CO"/>
        </w:rPr>
        <w:softHyphen/>
        <w:t>nales removidos los bienes objeto de depósito, según sea el caso; y entregarlos de manera inmediata en el momento en que le sea requerido por el Administrador del FRISCO.  </w:t>
      </w:r>
    </w:p>
    <w:p w14:paraId="0A9BC2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8654C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23. Permitir al Administrador del FRISCO, en todo momento, la revisión, supervi</w:t>
      </w:r>
      <w:r w:rsidRPr="002C1480">
        <w:rPr>
          <w:rFonts w:ascii="Arial" w:eastAsia="Times New Roman" w:hAnsi="Arial" w:cs="Arial"/>
          <w:color w:val="000000"/>
          <w:lang w:eastAsia="es-CO"/>
        </w:rPr>
        <w:softHyphen/>
        <w:t>sión y seguimiento sobre la administración de los bienes entregados y suminis</w:t>
      </w:r>
      <w:r w:rsidRPr="002C1480">
        <w:rPr>
          <w:rFonts w:ascii="Arial" w:eastAsia="Times New Roman" w:hAnsi="Arial" w:cs="Arial"/>
          <w:color w:val="000000"/>
          <w:lang w:eastAsia="es-CO"/>
        </w:rPr>
        <w:softHyphen/>
        <w:t>trar toda la información que le sea requerida.  </w:t>
      </w:r>
    </w:p>
    <w:p w14:paraId="006F62A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27C2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24. Abstenerse de realizar inversiones a los bienes objeto de depósito, sin autoriza</w:t>
      </w:r>
      <w:r w:rsidRPr="002C1480">
        <w:rPr>
          <w:rFonts w:ascii="Arial" w:eastAsia="Times New Roman" w:hAnsi="Arial" w:cs="Arial"/>
          <w:color w:val="000000"/>
          <w:lang w:eastAsia="es-CO"/>
        </w:rPr>
        <w:softHyphen/>
        <w:t>ción previa y escrita del Administrador del FRISCO.  </w:t>
      </w:r>
    </w:p>
    <w:p w14:paraId="2C6B3B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E4F0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25. Contar con los equipos tecnológicos adecuados que permitan la conexión en red a la plataforma tecnológica de administración de bienes, con el fin de poder pre</w:t>
      </w:r>
      <w:r w:rsidRPr="002C1480">
        <w:rPr>
          <w:rFonts w:ascii="Arial" w:eastAsia="Times New Roman" w:hAnsi="Arial" w:cs="Arial"/>
          <w:color w:val="000000"/>
          <w:lang w:eastAsia="es-CO"/>
        </w:rPr>
        <w:softHyphen/>
        <w:t>sentar informes de gestión y de realizar la debida administración del bien.  </w:t>
      </w:r>
    </w:p>
    <w:p w14:paraId="71E71B5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11EC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26. Cumplir las demás obligaciones que la ley le imponga como depositario pro</w:t>
      </w:r>
      <w:r w:rsidRPr="002C1480">
        <w:rPr>
          <w:rFonts w:ascii="Arial" w:eastAsia="Times New Roman" w:hAnsi="Arial" w:cs="Arial"/>
          <w:color w:val="000000"/>
          <w:lang w:eastAsia="es-CO"/>
        </w:rPr>
        <w:softHyphen/>
        <w:t>visional, tales como las normas sustanciales y procedimentales, que regulan la actividad de los auxiliares judiciales y/o secuestres. </w:t>
      </w:r>
    </w:p>
    <w:p w14:paraId="3805601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60" w:name="ver_30101350"/>
      <w:bookmarkEnd w:id="659"/>
      <w:bookmarkEnd w:id="660"/>
    </w:p>
    <w:p w14:paraId="4143B668" w14:textId="46E6D99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2.5.5.6.7. Responsabilidad de los depositarios. Los depositarios provisionales de Bienes del Frisco, en cumplimiento de sus funciones, se consideran auxiliares judiciales y/o secuestres, y en consecuencia, responden civil, penal, fiscal y disciplinariamente por los actos u omisiones que cometan en ejercicio de su calidad de depositarios provisionales. </w:t>
      </w:r>
    </w:p>
    <w:p w14:paraId="6AF2ECC7" w14:textId="77777777" w:rsidR="00F61AF7" w:rsidRDefault="00F61AF7" w:rsidP="00C32F85">
      <w:pPr>
        <w:spacing w:after="0" w:line="254" w:lineRule="atLeast"/>
        <w:jc w:val="both"/>
        <w:rPr>
          <w:rFonts w:ascii="Arial" w:eastAsia="Times New Roman" w:hAnsi="Arial" w:cs="Arial"/>
          <w:color w:val="000000"/>
          <w:lang w:eastAsia="es-CO"/>
        </w:rPr>
      </w:pPr>
      <w:bookmarkStart w:id="661" w:name="ver_30101351"/>
    </w:p>
    <w:p w14:paraId="725A0174" w14:textId="7695C6A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2.5.5.6.8. Remoción de depositarios. En caso de incumplimiento de las obligaciones del depositario provisional o cuando la debida administración del bien lo amerite, el Administrador del Frisco podrá mediante resolución ordenar la remoción del depositario provisional. Esta decisión será comunicada a las autoridades encargadas de llevar el registro de los bienes. </w:t>
      </w:r>
    </w:p>
    <w:p w14:paraId="01F6BE5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F206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Sin perjuicio de lo anterior, en caso de que el depositario se rehúse a suscribir la cesión del contrato de arrendamiento vigente, se entenderá de facto cedido al Administrador del FRISCO. Copia de la resolución se remitirá al arrendatario con la advertencia de que a partir del momento de su remisión deberá abstenerse de continuar pagando los cánones de arrendamiento o cualquier otra imposición que se derive del contrato de arrendamiento al depositario removido, so pena de constituirse como un arrendatario incumplido.  </w:t>
      </w:r>
    </w:p>
    <w:p w14:paraId="6CEF20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B090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expedida la resolución de remoción, el depositario contará con un término de quince (15) días calendario para efectuar la restitución de los bienes dados en depósito. En caso de que el depositario no haga efectiva la orden de entrega de los bienes dados en depósito, el Administrador del FRISCO podrá hacer uso de las facultades de policía administrativa que le otorga la ley.  </w:t>
      </w:r>
    </w:p>
    <w:p w14:paraId="0CA5F6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EA48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el Administrador del Frisco quedará habilitado para dar inicio a las acciones legales tendientes a resarcir los perjuicios que la gestión del depositario removido pudiera causarle, siendo título ejecutivo la resolución que para tales fines expida el Administrador del Frisco. </w:t>
      </w:r>
    </w:p>
    <w:p w14:paraId="7AC52E4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62" w:name="ver_30101352"/>
      <w:bookmarkEnd w:id="661"/>
      <w:bookmarkEnd w:id="662"/>
    </w:p>
    <w:p w14:paraId="798CFA9C" w14:textId="51EE578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2.5.5.6.9. Reglas especiales para los depositarios o liquidadores de sociedades, acciones, cuotas, partes o derechos de una sociedad o persona jurídica, establecimiento de comercio y en general unidad de explotación económica. Los depositarios provisionales o liquidadores de sociedades, acciones, cuotas, partes o derechos de una sociedad o persona </w:t>
      </w:r>
      <w:r w:rsidR="008F7B30" w:rsidRPr="002C1480">
        <w:rPr>
          <w:rFonts w:ascii="Arial" w:eastAsia="Times New Roman" w:hAnsi="Arial" w:cs="Arial"/>
          <w:color w:val="000000"/>
          <w:lang w:eastAsia="es-CO"/>
        </w:rPr>
        <w:lastRenderedPageBreak/>
        <w:t>jurídica, establecimientos de comercio y en general, unidad de explotación económica, además de tener todos los derechos, atribuciones y facultades, y estar sujeto a todas las obligaciones, deberes y responsabilidades que las leyes señalan para los depositarios judiciales o secuestres, ostenta la calidad de representante legal de la sociedad en los términos del Código de Comercio y lo dispuesto en la Ley 222 de 1995, 1116 de 2006 en lo que resulte pertinente y demás normas que la modifiquen o remplacen. En consecuencia, su nombramiento deberá registrarse en el registro mercantil correspondiente. </w:t>
      </w:r>
    </w:p>
    <w:p w14:paraId="62607672" w14:textId="4B0257A7" w:rsidR="008F7B30" w:rsidRPr="002C1480" w:rsidRDefault="008F7B30" w:rsidP="00F61AF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63" w:name="ver_30101353"/>
      <w:bookmarkEnd w:id="663"/>
    </w:p>
    <w:p w14:paraId="29ACD51F" w14:textId="13AA95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2.5.5.6.10. Actas de posesión y entrega. La persona a quien se le entreguen bienes en depósito provisional o designación provisional deberá manifestar su aceptación a la designación dentro de los diez (10) días calendario siguientes al recibo de la comunicación del acto administrativo de nombramiento y procederá a posesionarse ante el Administrador del Frisco. De no recibirse manifestación al respecto, se entiende como rechazado el nombramiento o designación, y en consecuencia, se procederá a efectuar una nueva designación. </w:t>
      </w:r>
    </w:p>
    <w:p w14:paraId="6678DA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6B20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aceptarse la designación o nombramiento y, una vez posesionado, se procederá a realizar la entrega de los bienes para lo cual se suscribirá un acta en la que se consigne la descripción detallada de los bienes entregados según las características de cada uno. </w:t>
      </w:r>
    </w:p>
    <w:p w14:paraId="0E31275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64" w:name="ver_30101354"/>
      <w:bookmarkEnd w:id="664"/>
    </w:p>
    <w:p w14:paraId="0EBFB3D1" w14:textId="7A1ADF7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2.5.5.6.11. Obligaciones de los depositarios provisionales de semovientes. Los depositarios provisionales de semovientes tendrán las obligaciones que para cada caso defina el Administrador del Frisco en su metodología de Administración, la cual en todo caso, deberá tener en cuenta para su definición lo siguiente: </w:t>
      </w:r>
    </w:p>
    <w:p w14:paraId="6B61FF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99F3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Llevar un libro en el cual registre el movimiento de animales y novedades sobre los mismos, con anotación completa y detallada de nacimientos, muertes y pérdidas si las hubiere, con una breve explicación sobre los hechos. </w:t>
      </w:r>
    </w:p>
    <w:p w14:paraId="120F03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FFAF2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Llevar un libro de compras donde se registren de manera cronológica las compras de medicamentos veterinarios, vacunas, sales y demás insumos necesarios para la actividad, las cuales deberán estar debidamente soportadas con las facturas de compra. </w:t>
      </w:r>
    </w:p>
    <w:p w14:paraId="78E807E3" w14:textId="77777777" w:rsidR="00F61AF7" w:rsidRDefault="00F61AF7" w:rsidP="00C32F85">
      <w:pPr>
        <w:spacing w:after="0" w:line="293" w:lineRule="atLeast"/>
        <w:jc w:val="both"/>
        <w:rPr>
          <w:rFonts w:ascii="Arial" w:eastAsia="Times New Roman" w:hAnsi="Arial" w:cs="Arial"/>
          <w:color w:val="000000"/>
          <w:lang w:eastAsia="es-CO"/>
        </w:rPr>
      </w:pPr>
      <w:bookmarkStart w:id="665" w:name="ver_30101355"/>
      <w:bookmarkEnd w:id="665"/>
    </w:p>
    <w:p w14:paraId="1C35540D" w14:textId="51CE7840" w:rsidR="008F7B30" w:rsidRPr="00F61AF7" w:rsidRDefault="008F7B30" w:rsidP="00F61AF7">
      <w:pPr>
        <w:spacing w:after="0" w:line="293" w:lineRule="atLeast"/>
        <w:jc w:val="center"/>
        <w:rPr>
          <w:rFonts w:ascii="Arial" w:eastAsia="Times New Roman" w:hAnsi="Arial" w:cs="Arial"/>
          <w:b/>
          <w:bCs/>
          <w:color w:val="000000"/>
          <w:lang w:eastAsia="es-CO"/>
        </w:rPr>
      </w:pPr>
      <w:r w:rsidRPr="00F61AF7">
        <w:rPr>
          <w:rFonts w:ascii="Arial" w:eastAsia="Times New Roman" w:hAnsi="Arial" w:cs="Arial"/>
          <w:b/>
          <w:bCs/>
          <w:color w:val="000000"/>
          <w:lang w:eastAsia="es-CO"/>
        </w:rPr>
        <w:t>CAPÍTULO 7</w:t>
      </w:r>
    </w:p>
    <w:p w14:paraId="44E625ED" w14:textId="3907B5CE" w:rsidR="008F7B30" w:rsidRPr="00F61AF7" w:rsidRDefault="00F85B3F" w:rsidP="00F61AF7">
      <w:pPr>
        <w:spacing w:after="0" w:line="293" w:lineRule="atLeast"/>
        <w:jc w:val="center"/>
        <w:rPr>
          <w:rFonts w:ascii="Arial" w:eastAsia="Times New Roman" w:hAnsi="Arial" w:cs="Arial"/>
          <w:b/>
          <w:bCs/>
          <w:color w:val="000000"/>
          <w:lang w:eastAsia="es-CO"/>
        </w:rPr>
      </w:pPr>
      <w:r w:rsidRPr="00F61AF7">
        <w:rPr>
          <w:rFonts w:ascii="Arial" w:eastAsia="Times New Roman" w:hAnsi="Arial" w:cs="Arial"/>
          <w:b/>
          <w:bCs/>
          <w:color w:val="000000"/>
          <w:lang w:eastAsia="es-CO"/>
        </w:rPr>
        <w:t>DESTRUCCIÓN O CHATARRIZACIÓN</w:t>
      </w:r>
    </w:p>
    <w:p w14:paraId="4912C22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66" w:name="ver_30201716"/>
      <w:bookmarkStart w:id="667" w:name="ver_30101357"/>
      <w:bookmarkEnd w:id="666"/>
    </w:p>
    <w:p w14:paraId="6FAF0B09" w14:textId="5D511D5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2.5.5.7.1. Chatarrización, Demolición y Destrucción. Una vez sea aprobada la chatarrización, demolición o destrucción por parte del Comité establecido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93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1849 de 2017, el Administrador del FRISCO expedirá acto administrativo en el que se transfiere la propiedad al FRISCO y se cancelan las medidas cautelares, gravámenes, afectaciones y cualquier otra limitación a la transferencia de dominio que sobre el(los) bien(es) recaigan.  </w:t>
      </w:r>
    </w:p>
    <w:p w14:paraId="2947534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5394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dejará constancia en un archivo fotográfico y fílmico que evidencie las razones por las que se aplicó el mecanismo de administración.  </w:t>
      </w:r>
    </w:p>
    <w:p w14:paraId="117C8E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66B3C0" w14:textId="42E6960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Administrador del FRISCO deberá comunicar el acto administrativo al juez o fiscal, según sea el caso y a las autoridades de registro correspondientes, remitiendo copia del acto administrativo, junto con los documentos relacionados en el parágrafo 1º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690ACC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515F3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1º. Los bienes objeto de chatarrización, demolición o destrucción deberán contar con el estudio técnico, peritaje o avalúo donde conste el registro fotográfico y las condiciones físicas de estos, de igual forma el análisis de costo-beneficio, así como los documentos soporte. </w:t>
      </w:r>
    </w:p>
    <w:p w14:paraId="2FE074E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68" w:name="ver_30201717"/>
      <w:bookmarkStart w:id="669" w:name="ver_30101358"/>
      <w:bookmarkEnd w:id="667"/>
      <w:bookmarkEnd w:id="668"/>
    </w:p>
    <w:p w14:paraId="50F0DF29" w14:textId="34DED28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2.5.5.7.2. Procedencia de la destrucción de sustancias controladas. Si no fuere posible la enajenación, donación y/o exportación de sustancias químicas controladas, el Administrador del FRISCO podrá destruirlas, una vez autorizado por el Comité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93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24 de la Ley 1849 de 2017 y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98 de la Ley 1708 de 2014.  </w:t>
      </w:r>
    </w:p>
    <w:p w14:paraId="43AE18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F4F36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Administrador del FRISCO deberá dejar un archivo fotográfico y fílmico de las sustancias químicas controladas objeto de destrucción que evidencie las razones por las que ordenó la medida.  </w:t>
      </w:r>
    </w:p>
    <w:p w14:paraId="7EB3A2D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70" w:name="ver_30101363"/>
      <w:bookmarkEnd w:id="669"/>
      <w:bookmarkEnd w:id="670"/>
    </w:p>
    <w:p w14:paraId="4C7C084C" w14:textId="19D9D7A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2.5.5.7.3. Chatarrización. Es la destrucción total de todos los elementos y componentes de un automotor, motonave o aeronave y los demás bienes que por naturaleza contengan material ferroso. </w:t>
      </w:r>
    </w:p>
    <w:p w14:paraId="75CE9B02" w14:textId="7BD1D845" w:rsidR="008F7B30" w:rsidRPr="002C1480" w:rsidRDefault="008F7B30" w:rsidP="00F61AF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71" w:name="ver_30101365"/>
      <w:bookmarkEnd w:id="671"/>
    </w:p>
    <w:p w14:paraId="121DA0BA" w14:textId="3A7E49A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2.5.5.7.4. Procedencia de la chatarrización. El Administrador del Frisco mediante acto administrativo motivado, previa autorización del Juez o Fiscal, podrá disponer la chatarrización de aquellos bienes que ingresen al Frisco cuando sea necesario u obligatorio dada su naturaleza, representen un peligro para el medio ambiente, amenacen ruina, su mantenimiento y custodia ocasionen perjuicios o gastos desproporcionados a su valor de administración, de acuerdo con un análisis costo-beneficio. </w:t>
      </w:r>
    </w:p>
    <w:p w14:paraId="15ABC2E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6209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Administrador del Frisco determinará el precio del bien a chatarrizar de acuerdo a los precios que se coticen en el mercado. </w:t>
      </w:r>
    </w:p>
    <w:p w14:paraId="4117AE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7F85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administrador del Frisco ordenará la chatarrización a través de las empresas legalmente constituidas y cuyo objeto social le permita desarrollar la actividad requerida. </w:t>
      </w:r>
    </w:p>
    <w:p w14:paraId="6B4089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EB59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En caso de devolución del bien chatarrizado, el Administrador del Frisco procederá a la devolución del valor obtenido por el producto de la chatarrización, junto con los rendimientos financieros generados, previo descuento de los costos y gastos en que haya incurrido por el mantenimiento del bien y por el proceso de chatarrización. </w:t>
      </w:r>
    </w:p>
    <w:p w14:paraId="50C8B57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E57C5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El Administrador del Frisco deberá dejar un archivo fotográfico y fílmico del bien a chatarrizar donde se deje evidencia sobre las razones por las que se ordenó la chatarrización. </w:t>
      </w:r>
    </w:p>
    <w:p w14:paraId="04DF78E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2E46AF" w14:textId="548926C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2.5.5.7.5. Inversión de recursos producto de la chatarrización. Los dineros producto de la chatarrización se deben manejar conforme lo establecido en el inciso segundo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2.5.5.3.1.11 de la Sección 1 del Capítulo 3 del presente título, sin perjuicio de su contabilización en cuentas separadas de manera que se puedan identificar y diferenciar claramente en todo momento. </w:t>
      </w:r>
    </w:p>
    <w:p w14:paraId="61618E94" w14:textId="77777777" w:rsidR="00F61AF7" w:rsidRDefault="00F61AF7" w:rsidP="00C32F85">
      <w:pPr>
        <w:spacing w:after="0" w:line="254" w:lineRule="atLeast"/>
        <w:jc w:val="both"/>
        <w:rPr>
          <w:rFonts w:ascii="Arial" w:eastAsia="Times New Roman" w:hAnsi="Arial" w:cs="Arial"/>
          <w:color w:val="000000"/>
          <w:lang w:eastAsia="es-CO"/>
        </w:rPr>
      </w:pPr>
    </w:p>
    <w:p w14:paraId="3C3C9607" w14:textId="6124A5C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2.5.5.7.</w:t>
      </w:r>
      <w:r w:rsidR="00CB1C61">
        <w:rPr>
          <w:rFonts w:ascii="Arial" w:eastAsia="Times New Roman" w:hAnsi="Arial" w:cs="Arial"/>
          <w:color w:val="000000"/>
          <w:lang w:eastAsia="es-CO"/>
        </w:rPr>
        <w:t>5</w:t>
      </w:r>
      <w:r w:rsidR="008F7B30" w:rsidRPr="002C1480">
        <w:rPr>
          <w:rFonts w:ascii="Arial" w:eastAsia="Times New Roman" w:hAnsi="Arial" w:cs="Arial"/>
          <w:color w:val="000000"/>
          <w:lang w:eastAsia="es-CO"/>
        </w:rPr>
        <w:t xml:space="preserve">. Inversión de recursos producto de la chatarrización. Los dineros producto de la chatarrización, se deben manejar conforme establece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2.5.5.3.1.11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w:t>
      </w:r>
    </w:p>
    <w:p w14:paraId="4BC4ADBF" w14:textId="77777777" w:rsidR="00F61AF7" w:rsidRDefault="00F61AF7" w:rsidP="00C32F85">
      <w:pPr>
        <w:spacing w:after="0" w:line="293" w:lineRule="atLeast"/>
        <w:jc w:val="both"/>
        <w:rPr>
          <w:rFonts w:ascii="Arial" w:eastAsia="Times New Roman" w:hAnsi="Arial" w:cs="Arial"/>
          <w:color w:val="000000"/>
          <w:lang w:eastAsia="es-CO"/>
        </w:rPr>
      </w:pPr>
      <w:bookmarkStart w:id="672" w:name="ver_30101367"/>
      <w:bookmarkEnd w:id="672"/>
    </w:p>
    <w:p w14:paraId="2EBE5751" w14:textId="658649A3" w:rsidR="008F7B30" w:rsidRPr="00F61AF7" w:rsidRDefault="00F61AF7" w:rsidP="00F61AF7">
      <w:pPr>
        <w:spacing w:after="0" w:line="293" w:lineRule="atLeast"/>
        <w:jc w:val="center"/>
        <w:rPr>
          <w:rFonts w:ascii="Arial" w:eastAsia="Times New Roman" w:hAnsi="Arial" w:cs="Arial"/>
          <w:b/>
          <w:bCs/>
          <w:color w:val="000000"/>
          <w:lang w:eastAsia="es-CO"/>
        </w:rPr>
      </w:pPr>
      <w:r w:rsidRPr="00F61AF7">
        <w:rPr>
          <w:rFonts w:ascii="Arial" w:eastAsia="Times New Roman" w:hAnsi="Arial" w:cs="Arial"/>
          <w:b/>
          <w:bCs/>
          <w:color w:val="000000"/>
          <w:lang w:eastAsia="es-CO"/>
        </w:rPr>
        <w:t>CAPÍTULO 8</w:t>
      </w:r>
    </w:p>
    <w:p w14:paraId="57288ED3" w14:textId="53D3AB99" w:rsidR="008F7B30" w:rsidRPr="00F61AF7" w:rsidRDefault="00F61AF7" w:rsidP="00F61AF7">
      <w:pPr>
        <w:spacing w:after="0" w:line="293" w:lineRule="atLeast"/>
        <w:jc w:val="center"/>
        <w:rPr>
          <w:rFonts w:ascii="Arial" w:eastAsia="Times New Roman" w:hAnsi="Arial" w:cs="Arial"/>
          <w:b/>
          <w:bCs/>
          <w:color w:val="000000"/>
          <w:lang w:eastAsia="es-CO"/>
        </w:rPr>
      </w:pPr>
      <w:r w:rsidRPr="00F61AF7">
        <w:rPr>
          <w:rFonts w:ascii="Arial" w:eastAsia="Times New Roman" w:hAnsi="Arial" w:cs="Arial"/>
          <w:b/>
          <w:bCs/>
          <w:color w:val="000000"/>
          <w:lang w:eastAsia="es-CO"/>
        </w:rPr>
        <w:lastRenderedPageBreak/>
        <w:t>DONACIÓN ENTRE ENTIDADES PÚBLICAS</w:t>
      </w:r>
    </w:p>
    <w:p w14:paraId="6532300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73" w:name="ver_30101368"/>
      <w:bookmarkEnd w:id="673"/>
    </w:p>
    <w:p w14:paraId="5169DB61" w14:textId="422C1BF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2.5.5.8.1. Donación entre entidades públicas. La donación entre entidades públicas procederá siempre y cuando puedan asignarse a los porcentajes señalados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sobre los bienes a los cuales se les haya decretado mediante sentencia judicial debidamente ejecutoriada, la extinción de dominio del 100% del bien a favor del Frisco, de conformidad con las reglas establecidas en el presente capítulo. </w:t>
      </w:r>
    </w:p>
    <w:p w14:paraId="1B8A8AC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74" w:name="ver_30201719"/>
      <w:bookmarkStart w:id="675" w:name="ver_30101369"/>
      <w:bookmarkEnd w:id="674"/>
    </w:p>
    <w:p w14:paraId="2CF9AC89" w14:textId="36D088B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2.5.5.8.2. Criterios para la procedencia de la donación. La entidad pública interesada en la donación del bien solicitado deberá elaborar un proyecto que establezca:  </w:t>
      </w:r>
    </w:p>
    <w:p w14:paraId="015CD3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38CC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La necesidad para la entidad de utilizar este bien para programas y actividades de interés público en desarrollo de su objeto misional.  </w:t>
      </w:r>
    </w:p>
    <w:p w14:paraId="5AFCF2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F2C0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El documento en el que conste que el Proyecto de Donación que se pretende ade</w:t>
      </w:r>
      <w:r w:rsidRPr="002C1480">
        <w:rPr>
          <w:rFonts w:ascii="Arial" w:eastAsia="Times New Roman" w:hAnsi="Arial" w:cs="Arial"/>
          <w:color w:val="000000"/>
          <w:lang w:eastAsia="es-CO"/>
        </w:rPr>
        <w:softHyphen/>
        <w:t>lantar está autorizado por la Asamblea Departamental o el Consejo Municipal, en caso de entidades territoriales, o la autorización del Representante Legal o máximo órgano de administración en el caso de Entidades Públicas.  </w:t>
      </w:r>
    </w:p>
    <w:p w14:paraId="5FD96D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42FDDD" w14:textId="59B7047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 Indicar el porcentaje de destinación contemplado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al cual será imputado.  </w:t>
      </w:r>
    </w:p>
    <w:p w14:paraId="2C11C7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1C66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para determinar la procedencia de la donación establecerá:  </w:t>
      </w:r>
    </w:p>
    <w:p w14:paraId="799B0E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882B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Que el bien no cuente con un alto potencial de venta por parte del Administrador del FRISCO, para lo cual deberá contar con el respectivo concepto técnico de la SAE.  </w:t>
      </w:r>
    </w:p>
    <w:p w14:paraId="1F006A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FC1A9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Que el bien no se encuentre dentro de un acuerdo de comercialización en curso para su enajenación, para lo cual deberá contar con el respectivo concepto co</w:t>
      </w:r>
      <w:r w:rsidRPr="002C1480">
        <w:rPr>
          <w:rFonts w:ascii="Arial" w:eastAsia="Times New Roman" w:hAnsi="Arial" w:cs="Arial"/>
          <w:color w:val="000000"/>
          <w:lang w:eastAsia="es-CO"/>
        </w:rPr>
        <w:softHyphen/>
        <w:t>mercial de la SAE.  </w:t>
      </w:r>
    </w:p>
    <w:p w14:paraId="7B94F9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2C24B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Que el bien no sea objeto de las destinaciones específicas establecidas en las diferentes leyes.  </w:t>
      </w:r>
    </w:p>
    <w:p w14:paraId="41882C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14D6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Que el bien no sea objeto de solicitud en el marco de un convenio de comparti</w:t>
      </w:r>
      <w:r w:rsidRPr="002C1480">
        <w:rPr>
          <w:rFonts w:ascii="Arial" w:eastAsia="Times New Roman" w:hAnsi="Arial" w:cs="Arial"/>
          <w:color w:val="000000"/>
          <w:lang w:eastAsia="es-CO"/>
        </w:rPr>
        <w:softHyphen/>
        <w:t>ción de bienes con un gobierno extranjero.  </w:t>
      </w:r>
    </w:p>
    <w:p w14:paraId="5A853A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12DD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En caso de bienes rurales será procedente, siempre y cuando, las entidades bene</w:t>
      </w:r>
      <w:r w:rsidRPr="002C1480">
        <w:rPr>
          <w:rFonts w:ascii="Arial" w:eastAsia="Times New Roman" w:hAnsi="Arial" w:cs="Arial"/>
          <w:color w:val="000000"/>
          <w:lang w:eastAsia="es-CO"/>
        </w:rPr>
        <w:softHyphen/>
        <w:t>ficiarias de destinaciones específicas previstas en leyes especiales manifiesten su desinterés en la adjudicación. </w:t>
      </w:r>
    </w:p>
    <w:p w14:paraId="2700712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76" w:name="ver_30201720"/>
      <w:bookmarkStart w:id="677" w:name="ver_30101371"/>
      <w:bookmarkEnd w:id="675"/>
      <w:bookmarkEnd w:id="676"/>
    </w:p>
    <w:p w14:paraId="5701A1DC" w14:textId="24836121"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2.5.5.8.3. Procedimiento para la donación. Las Entidades Públicas interesadas deberán presentar el Proyecto de Donación al Administrador del FRISCO a través de su página web o físicamente dentro de los tres primeros meses de la respectiva vigencia para la validación técnica y jurídica del bien solicitado.  </w:t>
      </w:r>
    </w:p>
    <w:p w14:paraId="5F31F6FE" w14:textId="77777777" w:rsidR="00F61AF7" w:rsidRPr="002C1480" w:rsidRDefault="00F61AF7" w:rsidP="00C32F85">
      <w:pPr>
        <w:spacing w:after="0" w:line="254" w:lineRule="atLeast"/>
        <w:jc w:val="both"/>
        <w:rPr>
          <w:rFonts w:ascii="Arial" w:eastAsia="Times New Roman" w:hAnsi="Arial" w:cs="Arial"/>
          <w:color w:val="000000"/>
          <w:lang w:eastAsia="es-CO"/>
        </w:rPr>
      </w:pPr>
    </w:p>
    <w:p w14:paraId="74AB53B4" w14:textId="41A178E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Administrador del FRISCO atenderá los Proyectos de Donación en el orden de llegada y en caso de ser procedente expedirá el respectivo acto administrativo de donación que servirá de título traslaticio de dominio del bien y descontará el valor comercial del bien de los porcentajes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y de conformidad con las reglas establecidas en el Capítulo 11 del presente título, siempre que haya disponibilidad en los respectivos porcentajes conforme el presupuesto proyectado para la respectiva vigencia.  </w:t>
      </w:r>
    </w:p>
    <w:p w14:paraId="6BB717F9" w14:textId="2B9EB7D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1°. Las donaciones a entidades públicas distintas de la Rama Judicial, Fiscalía General de la Nación y Policía Judicial de la Policía Nacional, afectarán el porcentaje del Gobierno nacional consagrado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1849 de 2017,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1955 de 2019 y sus normas reglamentarias. </w:t>
      </w:r>
    </w:p>
    <w:p w14:paraId="51F8BD3F" w14:textId="77777777" w:rsidR="008F7B30" w:rsidRPr="00F61AF7" w:rsidRDefault="008F7B30" w:rsidP="00C32F85">
      <w:pPr>
        <w:spacing w:after="0" w:line="254" w:lineRule="atLeast"/>
        <w:jc w:val="both"/>
        <w:rPr>
          <w:rFonts w:ascii="Arial" w:eastAsia="Times New Roman" w:hAnsi="Arial" w:cs="Arial"/>
          <w:b/>
          <w:bCs/>
          <w:color w:val="000000"/>
          <w:lang w:eastAsia="es-CO"/>
        </w:rPr>
      </w:pPr>
    </w:p>
    <w:p w14:paraId="4E8103AF" w14:textId="0713A93D" w:rsidR="008F7B30" w:rsidRPr="00F61AF7" w:rsidRDefault="00F61AF7" w:rsidP="00F61AF7">
      <w:pPr>
        <w:spacing w:after="0" w:line="293" w:lineRule="atLeast"/>
        <w:jc w:val="center"/>
        <w:rPr>
          <w:rFonts w:ascii="Arial" w:eastAsia="Times New Roman" w:hAnsi="Arial" w:cs="Arial"/>
          <w:b/>
          <w:bCs/>
          <w:color w:val="000000"/>
          <w:lang w:eastAsia="es-CO"/>
        </w:rPr>
      </w:pPr>
      <w:bookmarkStart w:id="678" w:name="ver_30101372"/>
      <w:bookmarkEnd w:id="677"/>
      <w:bookmarkEnd w:id="678"/>
      <w:r w:rsidRPr="00F61AF7">
        <w:rPr>
          <w:rFonts w:ascii="Arial" w:eastAsia="Times New Roman" w:hAnsi="Arial" w:cs="Arial"/>
          <w:b/>
          <w:bCs/>
          <w:color w:val="000000"/>
          <w:lang w:eastAsia="es-CO"/>
        </w:rPr>
        <w:t>CAPÍTULO 9</w:t>
      </w:r>
    </w:p>
    <w:p w14:paraId="46773CB2" w14:textId="1D76C2C9" w:rsidR="008F7B30" w:rsidRPr="00F61AF7" w:rsidRDefault="00F61AF7" w:rsidP="00F61AF7">
      <w:pPr>
        <w:spacing w:after="0" w:line="293" w:lineRule="atLeast"/>
        <w:jc w:val="center"/>
        <w:rPr>
          <w:rFonts w:ascii="Arial" w:eastAsia="Times New Roman" w:hAnsi="Arial" w:cs="Arial"/>
          <w:b/>
          <w:bCs/>
          <w:color w:val="000000"/>
          <w:lang w:eastAsia="es-CO"/>
        </w:rPr>
      </w:pPr>
      <w:r w:rsidRPr="00F61AF7">
        <w:rPr>
          <w:rFonts w:ascii="Arial" w:eastAsia="Times New Roman" w:hAnsi="Arial" w:cs="Arial"/>
          <w:b/>
          <w:bCs/>
          <w:color w:val="000000"/>
          <w:lang w:eastAsia="es-CO"/>
        </w:rPr>
        <w:t>DEVOLUCIÓN DE BIENES AL PROPIETARIO</w:t>
      </w:r>
    </w:p>
    <w:p w14:paraId="75E8096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79" w:name="ver_30101373"/>
      <w:bookmarkEnd w:id="679"/>
    </w:p>
    <w:p w14:paraId="61BE5125" w14:textId="440982D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2.5.5.9.1. Devolución de Bienes. Una vez proferida y comunicada la decisión judicial debidamente ejecutoriada que ordena la devolución de un bien en el proceso de extinción de dominio, el Administrador del Frisco le informará al interesado a la dirección que figure en el expediente del proceso que los bienes están a su disposición. </w:t>
      </w:r>
    </w:p>
    <w:p w14:paraId="5D3BDB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57D6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mediante acto administrativo dispondrá lo necesario para dar cumplimiento a dicha decisión judicial, previa deducción del pago de las mejoras previstas en el presente título, sustentado en los estados financieros. </w:t>
      </w:r>
    </w:p>
    <w:p w14:paraId="30C572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E2F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todos los casos en que el Administrador del Frisco deba devolver o entregar los bienes aprehendidos por decisión judicial, se procederá de conformidad con las siguientes disposiciones: </w:t>
      </w:r>
    </w:p>
    <w:p w14:paraId="182AE7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09DE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bienes se devolverán en el estado en que se encuentren con sus frutos en caso de que existieren, descontando los pagos efectuados por concepto de impuestos, los costos y gastos en que se hayan incurrido por la administración de los bienes. Si se introdujeron mejoras necesarias para el mantenimiento del bien el propietario deberá cancelarlas previamente. </w:t>
      </w:r>
    </w:p>
    <w:p w14:paraId="32A723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15B4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Si la enajenación ya se hubiere efectuado o si el bien se hubiere destruido, se devolverá el valor de la venta más los rendimientos financieros generados. </w:t>
      </w:r>
    </w:p>
    <w:p w14:paraId="48AA7B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4E9AE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Administrador del Frisco deberá publicar en un diario de amplia circulación nacional, el primer sábado de cada mes, y en su página web el listado de las sentencias que ordenan la devolución de bienes a los interesados que le sean comunicadas. </w:t>
      </w:r>
    </w:p>
    <w:p w14:paraId="5789CD2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80" w:name="ver_30101375"/>
      <w:bookmarkEnd w:id="680"/>
    </w:p>
    <w:p w14:paraId="5C907064" w14:textId="75FD8DE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2.5.5.9.2. Entrega física. El Administrador del Frisco efectuará directamente o a través de un delegado la entrega física del bien a favor de quien se ordenó, en el estado en que se encuentre. </w:t>
      </w:r>
    </w:p>
    <w:p w14:paraId="2C3485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F7D2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devolución física de los inmuebles que se encuentren arrendados operará adicionalmente con la cesión del contrato de arrendamiento a favor de la persona indicada por la autoridad judicial competente. Cuando exista proceso judicial respecto de los contratos de arrendamiento, el Administrador del Frisco efectuará la cesión de los derechos litigiosos a favor de la persona indicada por la autoridad judicial. </w:t>
      </w:r>
    </w:p>
    <w:p w14:paraId="0DB100F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81" w:name="ver_30101377"/>
      <w:bookmarkEnd w:id="681"/>
    </w:p>
    <w:p w14:paraId="5A7EBE40" w14:textId="0F1F359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2.5.5.9.3. Devolución de dinero. Cuando la sentencia ordene la devolución de los dineros producto de la enajenación del bien, estos serán devueltos a la persona que indique la decisión junto con los rendimientos financieros generados durante el tiempo que estuvieron a cargo del Administrador del Frisco y previo el descuento de los honorarios, comisiones y cargos que se cobran en el sistema financiero por la administración de recursos, así como los impuestos derivados de la operación de dinero. </w:t>
      </w:r>
    </w:p>
    <w:p w14:paraId="4B5571C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C90E47" w14:textId="390A30A3" w:rsidR="008F7B30" w:rsidRPr="002C1480" w:rsidRDefault="002C1480" w:rsidP="00C32F85">
      <w:pPr>
        <w:spacing w:after="0" w:line="254" w:lineRule="atLeast"/>
        <w:jc w:val="both"/>
        <w:rPr>
          <w:rFonts w:ascii="Arial" w:eastAsia="Times New Roman" w:hAnsi="Arial" w:cs="Arial"/>
          <w:color w:val="000000"/>
          <w:lang w:eastAsia="es-CO"/>
        </w:rPr>
      </w:pPr>
      <w:bookmarkStart w:id="682" w:name="ver_30101378"/>
      <w:bookmarkEnd w:id="682"/>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2.5.5.9.4. Bienes no reclamados. Los bienes respecto de los cuales se ordenó su devolución que no han sido reclamados por el beneficiario de la orden judicial, podrán ser enajenados por el Administrador del Frisco, para lo cual aplicará las normas para la enajenación de Bienes del Frisco establecidas en el presente Capítulo 3 del presente título, previo agotamiento de los requisitos exigibles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109 de la Ley 1708 de 2014. </w:t>
      </w:r>
    </w:p>
    <w:p w14:paraId="13358AF2"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50DA15C0" w14:textId="0574EBB3" w:rsidR="008F7B30" w:rsidRPr="000C2641" w:rsidRDefault="000C2641" w:rsidP="000C2641">
      <w:pPr>
        <w:spacing w:after="0" w:line="293" w:lineRule="atLeast"/>
        <w:jc w:val="center"/>
        <w:rPr>
          <w:rFonts w:ascii="Arial" w:eastAsia="Times New Roman" w:hAnsi="Arial" w:cs="Arial"/>
          <w:b/>
          <w:bCs/>
          <w:color w:val="000000"/>
          <w:lang w:eastAsia="es-CO"/>
        </w:rPr>
      </w:pPr>
      <w:bookmarkStart w:id="683" w:name="ver_30101380"/>
      <w:bookmarkEnd w:id="683"/>
      <w:r w:rsidRPr="000C2641">
        <w:rPr>
          <w:rFonts w:ascii="Arial" w:eastAsia="Times New Roman" w:hAnsi="Arial" w:cs="Arial"/>
          <w:b/>
          <w:bCs/>
          <w:color w:val="000000"/>
          <w:lang w:eastAsia="es-CO"/>
        </w:rPr>
        <w:t>CAPÍTULO 10</w:t>
      </w:r>
    </w:p>
    <w:p w14:paraId="5981563E" w14:textId="445826CC" w:rsidR="008F7B30" w:rsidRPr="000C2641" w:rsidRDefault="000C2641" w:rsidP="000C2641">
      <w:pPr>
        <w:spacing w:after="0" w:line="293" w:lineRule="atLeast"/>
        <w:jc w:val="center"/>
        <w:rPr>
          <w:rFonts w:ascii="Arial" w:eastAsia="Times New Roman" w:hAnsi="Arial" w:cs="Arial"/>
          <w:b/>
          <w:bCs/>
          <w:color w:val="000000"/>
          <w:lang w:eastAsia="es-CO"/>
        </w:rPr>
      </w:pPr>
      <w:r w:rsidRPr="000C2641">
        <w:rPr>
          <w:rFonts w:ascii="Arial" w:eastAsia="Times New Roman" w:hAnsi="Arial" w:cs="Arial"/>
          <w:b/>
          <w:bCs/>
          <w:color w:val="000000"/>
          <w:lang w:eastAsia="es-CO"/>
        </w:rPr>
        <w:t>SOCIEDADES EN LIQUIDACIÓN</w:t>
      </w:r>
    </w:p>
    <w:p w14:paraId="6080C738" w14:textId="77777777" w:rsidR="000C2641" w:rsidRDefault="000C2641" w:rsidP="00C32F85">
      <w:pPr>
        <w:spacing w:after="0" w:line="254" w:lineRule="atLeast"/>
        <w:jc w:val="both"/>
        <w:rPr>
          <w:rFonts w:ascii="Arial" w:eastAsia="Times New Roman" w:hAnsi="Arial" w:cs="Arial"/>
          <w:color w:val="000000"/>
          <w:lang w:eastAsia="es-CO"/>
        </w:rPr>
      </w:pPr>
    </w:p>
    <w:p w14:paraId="19C50127" w14:textId="6888BB2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2.5.5.10.1. Liquidación de sociedades. El liquidador deberá presentar al Administrador del Frisco todos los documentos actualizados exigidos para depositarios provisionales, diligenciar debidamente el formato diseñado por la entidad y que se encuentra en la página web, y estar inscrito en la lista de promotores y liquidadores de la Superintendencia de Sociedades o cumplir con los requisitos establecidos en las Secciones 1 a 5 del Capítulo 11, título 2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único del Sector Comercio, Industria y Turismo, para el nombramiento de promotores y/o liquidadores de la Superintendencia de Sociedades. </w:t>
      </w:r>
    </w:p>
    <w:p w14:paraId="35C9EC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872C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Administrador del Frisco podrá adelantar directamente el proceso de liquidación voluntaria de las sociedades sobre las cuales se declare, mediante sentencia en firme, la extinción de dominio sobre el 100% de sus acciones o cuotas de interés, o se decrete la medida cautelar de toma de posesión de bienes, haberes y negocios de sociedades, establecimientos de comercio o unidades de explotación económica en sede de los procesos de extinción de dominio, en los siguientes casos: </w:t>
      </w:r>
    </w:p>
    <w:p w14:paraId="42CCF3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AB49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Sociedades que nunca han ejercido su objeto social; </w:t>
      </w:r>
    </w:p>
    <w:p w14:paraId="053236F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735B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Sociedades que no cuentan con activos; </w:t>
      </w:r>
    </w:p>
    <w:p w14:paraId="4E9598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09FB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Sociedades en las que no sea posible el reconocimiento de honorarios con los recursos de la sociedad, por resultar excesivamente oneroso para ella; </w:t>
      </w:r>
    </w:p>
    <w:p w14:paraId="05EF9F3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BC0E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Sociedades en las que el nivel de complejidad de su liquidación a juicio del Administrador del Frisco no reviste mayor dificultad; </w:t>
      </w:r>
    </w:p>
    <w:p w14:paraId="4E7D82CF" w14:textId="77777777" w:rsidR="00CB1C61" w:rsidRPr="000C2641" w:rsidRDefault="00CB1C61" w:rsidP="00C32F85">
      <w:pPr>
        <w:spacing w:after="0" w:line="293" w:lineRule="atLeast"/>
        <w:jc w:val="both"/>
        <w:rPr>
          <w:rFonts w:ascii="Arial" w:eastAsia="Times New Roman" w:hAnsi="Arial" w:cs="Arial"/>
          <w:b/>
          <w:bCs/>
          <w:color w:val="000000"/>
          <w:lang w:eastAsia="es-CO"/>
        </w:rPr>
      </w:pPr>
      <w:bookmarkStart w:id="684" w:name="ver_30101385"/>
      <w:bookmarkEnd w:id="684"/>
    </w:p>
    <w:p w14:paraId="18FD916D" w14:textId="1FDF0C40" w:rsidR="008F7B30" w:rsidRPr="000C2641" w:rsidRDefault="000C2641" w:rsidP="000C2641">
      <w:pPr>
        <w:spacing w:after="0" w:line="293" w:lineRule="atLeast"/>
        <w:jc w:val="center"/>
        <w:rPr>
          <w:rFonts w:ascii="Arial" w:eastAsia="Times New Roman" w:hAnsi="Arial" w:cs="Arial"/>
          <w:b/>
          <w:bCs/>
          <w:color w:val="000000"/>
          <w:lang w:eastAsia="es-CO"/>
        </w:rPr>
      </w:pPr>
      <w:r w:rsidRPr="000C2641">
        <w:rPr>
          <w:rFonts w:ascii="Arial" w:eastAsia="Times New Roman" w:hAnsi="Arial" w:cs="Arial"/>
          <w:b/>
          <w:bCs/>
          <w:color w:val="000000"/>
          <w:lang w:eastAsia="es-CO"/>
        </w:rPr>
        <w:t>CAPÍTULO 11</w:t>
      </w:r>
    </w:p>
    <w:p w14:paraId="52C0CAFA" w14:textId="54152C12" w:rsidR="008F7B30" w:rsidRPr="000C2641" w:rsidRDefault="000C2641" w:rsidP="000C2641">
      <w:pPr>
        <w:spacing w:after="0" w:line="293" w:lineRule="atLeast"/>
        <w:jc w:val="center"/>
        <w:rPr>
          <w:rFonts w:ascii="Arial" w:eastAsia="Times New Roman" w:hAnsi="Arial" w:cs="Arial"/>
          <w:b/>
          <w:bCs/>
          <w:color w:val="000000"/>
          <w:lang w:eastAsia="es-CO"/>
        </w:rPr>
      </w:pPr>
      <w:r w:rsidRPr="000C2641">
        <w:rPr>
          <w:rFonts w:ascii="Arial" w:eastAsia="Times New Roman" w:hAnsi="Arial" w:cs="Arial"/>
          <w:b/>
          <w:bCs/>
          <w:color w:val="000000"/>
          <w:lang w:eastAsia="es-CO"/>
        </w:rPr>
        <w:t>DESTINACIÓN DE LOS BIENES DEL FRISCO</w:t>
      </w:r>
    </w:p>
    <w:p w14:paraId="16158F31" w14:textId="77777777" w:rsidR="000C2641" w:rsidRDefault="000C2641" w:rsidP="00C32F85">
      <w:pPr>
        <w:spacing w:after="0" w:line="254" w:lineRule="atLeast"/>
        <w:jc w:val="both"/>
        <w:rPr>
          <w:rFonts w:ascii="Arial" w:eastAsia="Times New Roman" w:hAnsi="Arial" w:cs="Arial"/>
          <w:color w:val="000000"/>
          <w:lang w:eastAsia="es-CO"/>
        </w:rPr>
      </w:pPr>
    </w:p>
    <w:p w14:paraId="10040A8C" w14:textId="45A2EAC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2.5.5.11.1. Pago de los pasivos del Frisco. El Administrador del Frisco propondrá anualmente al Consejo Nacional de Estupefacientes para su aprobación el rubro que se deberá provisionar para el pago gradual y progresivo de los pasivos del Frisco, y este deberá ser incluido en el presupuesto anual del mismo, el cual deberá ser aprobado por el Consejo Nacional de Estupefacientes. </w:t>
      </w:r>
    </w:p>
    <w:p w14:paraId="15C72B89" w14:textId="77777777" w:rsidR="000C2641" w:rsidRDefault="000C2641" w:rsidP="00C32F85">
      <w:pPr>
        <w:spacing w:after="0" w:line="254" w:lineRule="atLeast"/>
        <w:jc w:val="both"/>
        <w:rPr>
          <w:rFonts w:ascii="Arial" w:eastAsia="Times New Roman" w:hAnsi="Arial" w:cs="Arial"/>
          <w:color w:val="000000"/>
          <w:lang w:eastAsia="es-CO"/>
        </w:rPr>
      </w:pPr>
    </w:p>
    <w:p w14:paraId="01D0BFCB" w14:textId="46E3372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2.5.5.11.2. Recursos de funcionamiento del Administrador del Frisco. Para todos los efectos de interpretación y aplicación se entenderá que los recursos que sean indispensables para el funcionamiento de la entidad encargada de la administración de los Bienes del Frisco, a los que hace alusión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comprenden los recursos requeridos para el efectivo cumplimiento de las gestiones, operaciones y gastos propios de la administración de estos bienes, e incorpora la remuneración a la que tiene derecho el Administrador del Frisco por </w:t>
      </w:r>
      <w:r w:rsidR="008F7B30" w:rsidRPr="002C1480">
        <w:rPr>
          <w:rFonts w:ascii="Arial" w:eastAsia="Times New Roman" w:hAnsi="Arial" w:cs="Arial"/>
          <w:color w:val="000000"/>
          <w:lang w:eastAsia="es-CO"/>
        </w:rPr>
        <w:lastRenderedPageBreak/>
        <w:t>el ejercicio de su gestión y su naturaleza jurídica, para lo cual se tendrá como referencia el costo promedio de encargo fiduciario de administración que arroje el mercado. </w:t>
      </w:r>
    </w:p>
    <w:p w14:paraId="405A773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9C09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Respecto de los gastos propios de los bienes del Frisco, se efectuará la facturación correspondiente. </w:t>
      </w:r>
    </w:p>
    <w:p w14:paraId="36DD828A" w14:textId="77777777" w:rsidR="000C2641" w:rsidRPr="002C1480" w:rsidRDefault="000C2641" w:rsidP="00C32F85">
      <w:pPr>
        <w:spacing w:after="0" w:line="240" w:lineRule="auto"/>
        <w:jc w:val="both"/>
        <w:rPr>
          <w:rFonts w:ascii="Arial" w:eastAsia="Times New Roman" w:hAnsi="Arial" w:cs="Arial"/>
          <w:color w:val="000000"/>
          <w:lang w:eastAsia="es-CO"/>
        </w:rPr>
      </w:pPr>
      <w:bookmarkStart w:id="685" w:name="ver_30201721"/>
      <w:bookmarkStart w:id="686" w:name="ver_30101392"/>
      <w:bookmarkEnd w:id="685"/>
    </w:p>
    <w:p w14:paraId="465222DA" w14:textId="66D590F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2.5.5.11.3. Destinaciones previstas en leyes especiales. Los bienes que tengan destinación específica, para programas determinados en leyes especiales, incluyendo aquellas establecidas en la Ley 30 de 1986, en concordancia con lo dispuesto en 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-ley 2897 de 2011 y la Ley 1448 de 2011, sobre los que se declare extinción de dominio, no serán objeto de comercialización y serán asignados por el Administrador del FRISCO a las entidades beneficiarías, para lo cual el Administrador del FRISCO expedirá el respectivo acto de asignación definitiva, que servirá de título traslaticio de dominio del bien.  </w:t>
      </w:r>
    </w:p>
    <w:p w14:paraId="580FDF4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F4CD8D" w14:textId="2DD9B12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Cuando las leyes especiales indiquen que la destinación específica recae sobre recursos líquidos, estos se proyectarán en el presupuesto anual del FRISCO, por parte de su administrador, y una vez aprobado por el Consejo Nacional de Estupefacientes, se girarán al Ministerio de Hacienda y Crédito Público para que, una vez apropiados por este, se distribuyan en los porcentajes citados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1849 de 2017,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1955 de 2019 y sus normas reglamentarias.  </w:t>
      </w:r>
    </w:p>
    <w:p w14:paraId="117E8D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0B8F62" w14:textId="28205A9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Las solicitudes de donación de bienes que realicen las entidades facultadas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deberán efectuarse ante el Administrador del Frisco antes del 30 de marzo de cada año a efectos de la respectiva incorporación en el presupuesto de cada entidad para la vigencia fiscal siguiente. </w:t>
      </w:r>
    </w:p>
    <w:p w14:paraId="6301F97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87" w:name="ver_30201722"/>
      <w:bookmarkStart w:id="688" w:name="ver_30101393"/>
      <w:bookmarkEnd w:id="686"/>
      <w:bookmarkEnd w:id="687"/>
    </w:p>
    <w:p w14:paraId="5DCD5B8B" w14:textId="41BB213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2.5.5.11.4. Destinación definitiva de los bienes y recursos del FRISCO. Los porcentajes establecidos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1849 de 2017, efectuados los descuentos de los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se calcularán sobre los recursos efectivamente ingresados a las cuentas del FRISCO en la vigencia fiscal anterior.  </w:t>
      </w:r>
    </w:p>
    <w:p w14:paraId="2A3DDE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91A4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correspondiente al veinticinco por ciento (25%) de la Rama Judicial, el veinticinco por ciento (25%) de la Fiscalía General de la Nación, el diez por ciento (10%) de la Policía Judicial de la Policía Nacional y el cuarenta por ciento (40%) del Gobierno nacional sobre los bienes con extinción de dominio, los recursos provenientes de la enajenación temprana, los recursos provenientes de la productividad de los bienes administrados y aquellos recursos causados en favor del FRISCO en el curso de procesos judiciales y extrajudiciales serán girados por el Administrador del FRISCO a la Dirección General de Crédito Público y Tesoro Nacional del Ministerio de Hacienda y Crédito Público, anualmente, dentro de los primeros tres (3) meses de la vigencia fiscal siguiente a aquella en la que ingresen a las cuentas del FRISCO, para la respectiva incorporación en los presupuestos de las entidades destinatarias, como recursos adicionales a la cuota de inversión acordada y aprobada por el Departamento Nacional de Planeación y el Ministerio de Hacienda y Crédito Público y a los recursos generados por el Fondo Especial de Bienes en el caso de la Fiscalía General de la Nación.  </w:t>
      </w:r>
    </w:p>
    <w:p w14:paraId="48605A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8A38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Administrador del FRISCO girará directamente a las cuentas del departamento de San Andrés, Providencia y Santa Catalina los recursos que se generen a favor de este, para que los incorpore a su presupuesto y puedan ejecutarse conforme a su destinación.  </w:t>
      </w:r>
    </w:p>
    <w:p w14:paraId="589F03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675F70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Las entidades beneficiarías de los recursos podrán solicitar ante el Administrador del FRISCO la destinación definitiva de bienes muebles e inmuebles con cargo al porcentaje total que le corresponde en cada anualidad con base en el avalúo comercial de los mismos.  </w:t>
      </w:r>
    </w:p>
    <w:p w14:paraId="535BAA3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9E2951" w14:textId="4F752BC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En los casos en que las sociedades y establecimientos de comercio administrados por el FRISCO generen productividad entendida como la utilidad o rendimiento final de su operación, estos recursos deberán seguir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93 de la Ley 1708 de 2014, modificada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1849 de 2017. </w:t>
      </w:r>
    </w:p>
    <w:p w14:paraId="4C7FFCC8" w14:textId="1602A463" w:rsidR="008F7B30" w:rsidRPr="002C1480" w:rsidRDefault="008F7B30" w:rsidP="000C2641">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89" w:name="ver_30102677"/>
      <w:bookmarkEnd w:id="688"/>
      <w:bookmarkEnd w:id="689"/>
    </w:p>
    <w:p w14:paraId="65116C6E" w14:textId="7D59CAE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2.5.5.11.5. Procedimiento para la destinación de bienes y recursos a la Fiscalía General de la Nación y a la Rama Judicial. La destinación de bienes y recursos a la Fiscalía General de la Nación y a la rama Judicial procederá siempre y cuando puedan asignarse a los porcentajes señalados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sobre los bienes a los cuales se les haya decretado mediante sentencia judicial debidamente ejecutoriada la extinción de dominio del 100% del bien a favor del Frisco. </w:t>
      </w:r>
    </w:p>
    <w:p w14:paraId="6879A7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2571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ser procedente la destinación de un bien, se deberá radicar la solicitud ante el Administrador del Frisco, quien deberá descontar el valor comercial del bien del porcentaje asignado a la entidad solicitante. </w:t>
      </w:r>
    </w:p>
    <w:p w14:paraId="605B0F60" w14:textId="5FBAF2D0" w:rsidR="008F7B30" w:rsidRPr="002C1480" w:rsidRDefault="008F7B30" w:rsidP="000C2641">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90" w:name="ver_30201723"/>
      <w:bookmarkStart w:id="691" w:name="ver_30101396"/>
      <w:bookmarkEnd w:id="690"/>
    </w:p>
    <w:p w14:paraId="2069C286" w14:textId="2526D41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2.5.5.11.6. Información sobre los porcentajes de bienes y recursos objeto de destinación. El Administrador del FRISCO presentará, al Consejo Nacional de Estupefacientes a más tardar el 15 de marzo de cada año, la proyección de los ingresos estimados para la siguiente vigencia fiscal, así como la proyección de gastos que contemplará lo siguiente:  </w:t>
      </w:r>
    </w:p>
    <w:p w14:paraId="145850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1C711E" w14:textId="2A36291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El valor correspondiente a los recursos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1849 de 2017,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1955 de 2019 y sus normas reglamentarias, y el porcentaje destinado al pago de los pasivos del FRISCO.  </w:t>
      </w:r>
    </w:p>
    <w:p w14:paraId="2D2C45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628D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presupuesto de gastos de funcionamiento del Administrador del FRISCO.  </w:t>
      </w:r>
    </w:p>
    <w:p w14:paraId="5DE39E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5547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destinaciones específicas establecidas en las normas; y  </w:t>
      </w:r>
    </w:p>
    <w:p w14:paraId="62B39C1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78FD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El porcentaje proyectado para destinar a los programas establecidos en leyes especiales.  </w:t>
      </w:r>
    </w:p>
    <w:p w14:paraId="7FAC52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EF3D9C" w14:textId="3951A45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Calculados los descuentos anteriores, el Administrador del FRISCO presentará al Consejo Nacional de Estupefacientes para su aprobación una proyección de los recursos a destinar a los porcentajes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w:t>
      </w:r>
    </w:p>
    <w:p w14:paraId="75B22FB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92" w:name="ver_30201724"/>
      <w:bookmarkEnd w:id="691"/>
      <w:bookmarkEnd w:id="692"/>
    </w:p>
    <w:p w14:paraId="4FDD6D53" w14:textId="0D8B63A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2.5.5.11.7. Destinación de predios rurales. La asignación definitiva de los predios rurales extintos se realizará por el Administrador del FRISCO, para lo cual expedirá el respectivo acto de asignación definitiva, que servirá de título traslaticio de dominio del bien a favor de las entidades beneficiarias.  </w:t>
      </w:r>
    </w:p>
    <w:p w14:paraId="1702844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93" w:name="ver_30201725"/>
      <w:bookmarkEnd w:id="693"/>
    </w:p>
    <w:p w14:paraId="56993850" w14:textId="61283BC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2.5.5.11.8. Comercialización de bienes rurales destinados por leyes especiales. Cuando las entidades destinatarias de los bienes de que tratan las leyes especiales en materia de destinación de predios rurales manifiesten su desinterés en los predios rurales sobre </w:t>
      </w:r>
      <w:r w:rsidR="008F7B30" w:rsidRPr="002C1480">
        <w:rPr>
          <w:rFonts w:ascii="Arial" w:eastAsia="Times New Roman" w:hAnsi="Arial" w:cs="Arial"/>
          <w:color w:val="000000"/>
          <w:lang w:eastAsia="es-CO"/>
        </w:rPr>
        <w:lastRenderedPageBreak/>
        <w:t>los que se declare la extinción del derecho de dominio, el administrador del FRISCO podrá comercializarlos de acuerdo con sus mecanismos de administración.  </w:t>
      </w:r>
    </w:p>
    <w:p w14:paraId="4F122875" w14:textId="5599CF2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recursos que se obtengan de la comercialización de los predios rurales serán administrados y destinados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91 de la Ley 1708 de 2014,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1849 de 2017, adicionado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1955 de 2019 y sus normas reglamentarias. </w:t>
      </w:r>
    </w:p>
    <w:p w14:paraId="4D6D58A6" w14:textId="7C5450F0" w:rsidR="008F7B30" w:rsidRPr="002C1480" w:rsidRDefault="008F7B30" w:rsidP="00C32F85">
      <w:pPr>
        <w:spacing w:after="0" w:line="254" w:lineRule="atLeast"/>
        <w:jc w:val="both"/>
        <w:rPr>
          <w:rFonts w:ascii="Arial" w:eastAsia="Times New Roman" w:hAnsi="Arial" w:cs="Arial"/>
          <w:color w:val="000000"/>
          <w:lang w:eastAsia="es-CO"/>
        </w:rPr>
      </w:pPr>
    </w:p>
    <w:p w14:paraId="76EEACAC" w14:textId="4C4B6AAA" w:rsidR="008F7B30" w:rsidRPr="000C2641" w:rsidRDefault="000C2641" w:rsidP="000C2641">
      <w:pPr>
        <w:spacing w:after="0" w:line="293" w:lineRule="atLeast"/>
        <w:jc w:val="center"/>
        <w:rPr>
          <w:rFonts w:ascii="Arial" w:eastAsia="Times New Roman" w:hAnsi="Arial" w:cs="Arial"/>
          <w:b/>
          <w:bCs/>
          <w:color w:val="000000"/>
          <w:lang w:eastAsia="es-CO"/>
        </w:rPr>
      </w:pPr>
      <w:bookmarkStart w:id="694" w:name="ver_30201726"/>
      <w:bookmarkEnd w:id="694"/>
      <w:r w:rsidRPr="000C2641">
        <w:rPr>
          <w:rFonts w:ascii="Arial" w:eastAsia="Times New Roman" w:hAnsi="Arial" w:cs="Arial"/>
          <w:b/>
          <w:bCs/>
          <w:color w:val="000000"/>
          <w:lang w:eastAsia="es-CO"/>
        </w:rPr>
        <w:t>CAPÍTULO 12</w:t>
      </w:r>
    </w:p>
    <w:p w14:paraId="3D63308E" w14:textId="51954EDE" w:rsidR="008F7B30" w:rsidRPr="000C2641" w:rsidRDefault="000C2641" w:rsidP="000C2641">
      <w:pPr>
        <w:spacing w:after="0" w:line="293" w:lineRule="atLeast"/>
        <w:jc w:val="center"/>
        <w:rPr>
          <w:rFonts w:ascii="Arial" w:eastAsia="Times New Roman" w:hAnsi="Arial" w:cs="Arial"/>
          <w:b/>
          <w:bCs/>
          <w:color w:val="000000"/>
          <w:lang w:eastAsia="es-CO"/>
        </w:rPr>
      </w:pPr>
      <w:r w:rsidRPr="000C2641">
        <w:rPr>
          <w:rFonts w:ascii="Arial" w:eastAsia="Times New Roman" w:hAnsi="Arial" w:cs="Arial"/>
          <w:b/>
          <w:bCs/>
          <w:color w:val="000000"/>
          <w:lang w:eastAsia="es-CO"/>
        </w:rPr>
        <w:t>JUSTICIA PREMIAL EN BIENES EXTINTOS</w:t>
      </w:r>
    </w:p>
    <w:p w14:paraId="43C29F64"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95" w:name="ver_30201727"/>
      <w:bookmarkEnd w:id="695"/>
    </w:p>
    <w:p w14:paraId="1C69A1DC" w14:textId="469EB96F"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2.5.5.12.1. De las retribuciones otorgadas en el sistema de justicia premial. La retribución a la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está a cargo del Administrador del FRISCO, quien efectuará el pago una vez sea vendido el bien vinculado al trámite de extinción de dominio en el que se ordenó la retribución, o transferirá el bien conforme a lo estipulado en el fallo judicial. En los eventos en que el administrador del FRISCO considere que la decisión judicial no sea clara en cuanto al porcentaje a asignar del bien o del grupo de bienes, podrá solicitar aclaración de la providencia judicial. </w:t>
      </w:r>
    </w:p>
    <w:p w14:paraId="35FEE2F5" w14:textId="77777777" w:rsidR="000C2641" w:rsidRPr="000C2641" w:rsidRDefault="000C2641" w:rsidP="000C2641">
      <w:pPr>
        <w:spacing w:after="0" w:line="293" w:lineRule="atLeast"/>
        <w:jc w:val="center"/>
        <w:rPr>
          <w:rFonts w:ascii="Arial" w:eastAsia="Times New Roman" w:hAnsi="Arial" w:cs="Arial"/>
          <w:b/>
          <w:bCs/>
          <w:color w:val="000000"/>
          <w:lang w:eastAsia="es-CO"/>
        </w:rPr>
      </w:pPr>
      <w:bookmarkStart w:id="696" w:name="ver_30106296"/>
      <w:bookmarkEnd w:id="696"/>
    </w:p>
    <w:p w14:paraId="24EC28F6" w14:textId="398171FE" w:rsidR="008F7B30" w:rsidRPr="000C2641" w:rsidRDefault="008F7B30" w:rsidP="000C2641">
      <w:pPr>
        <w:spacing w:after="0" w:line="293" w:lineRule="atLeast"/>
        <w:jc w:val="center"/>
        <w:rPr>
          <w:rFonts w:ascii="Arial" w:eastAsia="Times New Roman" w:hAnsi="Arial" w:cs="Arial"/>
          <w:b/>
          <w:bCs/>
          <w:color w:val="000000"/>
          <w:lang w:eastAsia="es-CO"/>
        </w:rPr>
      </w:pPr>
      <w:r w:rsidRPr="000C2641">
        <w:rPr>
          <w:rFonts w:ascii="Arial" w:eastAsia="Times New Roman" w:hAnsi="Arial" w:cs="Arial"/>
          <w:b/>
          <w:bCs/>
          <w:color w:val="000000"/>
          <w:lang w:eastAsia="es-CO"/>
        </w:rPr>
        <w:t>TÍTULO 6</w:t>
      </w:r>
    </w:p>
    <w:p w14:paraId="12EC3E9C" w14:textId="77777777" w:rsidR="008F7B30" w:rsidRPr="000C2641" w:rsidRDefault="008F7B30" w:rsidP="000C2641">
      <w:pPr>
        <w:spacing w:after="0" w:line="293" w:lineRule="atLeast"/>
        <w:jc w:val="center"/>
        <w:rPr>
          <w:rFonts w:ascii="Arial" w:eastAsia="Times New Roman" w:hAnsi="Arial" w:cs="Arial"/>
          <w:b/>
          <w:bCs/>
          <w:color w:val="000000"/>
          <w:lang w:eastAsia="es-CO"/>
        </w:rPr>
      </w:pPr>
      <w:r w:rsidRPr="000C2641">
        <w:rPr>
          <w:rFonts w:ascii="Arial" w:eastAsia="Times New Roman" w:hAnsi="Arial" w:cs="Arial"/>
          <w:b/>
          <w:bCs/>
          <w:color w:val="000000"/>
          <w:lang w:eastAsia="es-CO"/>
        </w:rPr>
        <w:t>DEPURACIÓN DE CARTERA DE IMPOSIBLE RECAUDO EN LAS ENTIDADES PÚBLICAS DEL ORDEN NACIONAL</w:t>
      </w:r>
    </w:p>
    <w:p w14:paraId="5B53FF5C"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97" w:name="ver_30106300"/>
      <w:bookmarkEnd w:id="697"/>
    </w:p>
    <w:p w14:paraId="40785E03" w14:textId="7142E63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2.5.6.1. Objeto. 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reglamenta la forma en la que las entidades públicas del orden nacional, podrán depurar la cartera a su favor cuando sea de imposible recaudo, con el propósito de que sus estados financieros revelen en forma fidedigna la realidad económica, financiera y patrimonial.  </w:t>
      </w:r>
    </w:p>
    <w:p w14:paraId="3223433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698" w:name="ver_30106304"/>
      <w:bookmarkEnd w:id="698"/>
    </w:p>
    <w:p w14:paraId="0DD5505F" w14:textId="0A4A543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2.5.6.2. Ámbito de aplicación. 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aplica a las entidades públicas del orden nacional, con excepción de las entidades financieras de carácter estatal, las Empresas Industriales y Comerciales del Estado, las Sociedades de Economía Mixta y las entidades en liquidación.  </w:t>
      </w:r>
    </w:p>
    <w:p w14:paraId="2A4B0A8D" w14:textId="6C64D2D2" w:rsidR="008F7B30" w:rsidRPr="002C1480" w:rsidRDefault="008F7B30" w:rsidP="000C2641">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699" w:name="ver_30106308"/>
      <w:bookmarkEnd w:id="699"/>
    </w:p>
    <w:p w14:paraId="1BE07DF8" w14:textId="475904D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2.5.6.3. Cartera de imposible recaudo y causales para la depuración de car</w:t>
      </w:r>
      <w:r w:rsidR="008F7B30" w:rsidRPr="002C1480">
        <w:rPr>
          <w:rFonts w:ascii="Arial" w:eastAsia="Times New Roman" w:hAnsi="Arial" w:cs="Arial"/>
          <w:color w:val="000000"/>
          <w:lang w:eastAsia="es-CO"/>
        </w:rPr>
        <w:softHyphen/>
        <w:t>tera. No obstante las gestiones efectuadas para el cobro, se considera que existe cartera de imposible recaudo para efectos del presente Título, la cual podrá ser depurada y castigada siempre que se cumpla alguna de las siguientes causales:  </w:t>
      </w:r>
    </w:p>
    <w:p w14:paraId="0E4D56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EF05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Prescripción;  </w:t>
      </w:r>
    </w:p>
    <w:p w14:paraId="37BEC8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28D6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Caducidad de la acción;  </w:t>
      </w:r>
    </w:p>
    <w:p w14:paraId="12BEA6A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0BDEB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Pérdida de ejecutoriedad del acto administrativo que le dio origen;  </w:t>
      </w:r>
    </w:p>
    <w:p w14:paraId="5D6BAC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CA85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Inexistencia probada del deudor o su insolvencia demostrada, que impida ejercer o continuar ejerciendo los derechos de cobro;  </w:t>
      </w:r>
    </w:p>
    <w:p w14:paraId="226C0C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1C9CD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Cuando la relación costo-beneficio al realizar su cobro no resulta eficiente.  </w:t>
      </w:r>
    </w:p>
    <w:p w14:paraId="32BA23FF"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62ABB57E" w14:textId="40E81FF8" w:rsidR="008F7B30" w:rsidRPr="002C1480" w:rsidRDefault="002C1480" w:rsidP="00C32F85">
      <w:pPr>
        <w:spacing w:after="0" w:line="254" w:lineRule="atLeast"/>
        <w:jc w:val="both"/>
        <w:rPr>
          <w:rFonts w:ascii="Arial" w:eastAsia="Times New Roman" w:hAnsi="Arial" w:cs="Arial"/>
          <w:color w:val="000000"/>
          <w:lang w:eastAsia="es-CO"/>
        </w:rPr>
      </w:pPr>
      <w:bookmarkStart w:id="700" w:name="ver_30106311"/>
      <w:bookmarkEnd w:id="700"/>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2.5.6.4. Actuación administrativa. Los representantes legales de las entidades públicas señaladas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2.5.6.2.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declararán mediante acto administrativo el cumplimiento de alguna o algunas de las causales señaladas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con base en un informe detallado de la causal o las causales por las cuales se depura, previa recomendación del Comité de Cartera que exista en la entidad o el que para el efecto se constituya.  </w:t>
      </w:r>
    </w:p>
    <w:p w14:paraId="6FCED1B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1" w:name="ver_30106314"/>
      <w:bookmarkEnd w:id="701"/>
    </w:p>
    <w:p w14:paraId="6C5164A6" w14:textId="5E69F693"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2.5.6.5. Constitución del Comité de Cartera. En el caso que no exista Comité de Cartera, el representante legal de cada entidad señalada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2.5.6.2. del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lo constituirá y reglamentará internamente mediante acto administrativo, el cual estará integrado como mínimo por cinco (5) servidores públicos, quienes tendrán voz y voto, tres de los cuales desempeñarán los siguientes cargos:  </w:t>
      </w:r>
    </w:p>
    <w:p w14:paraId="098F33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BBB28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Secretario General, quien haga sus veces o su delegado, quien lo presidirá;  </w:t>
      </w:r>
    </w:p>
    <w:p w14:paraId="1CBCAA2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D779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Jefe del Área Financiera o quien haga sus veces;  </w:t>
      </w:r>
    </w:p>
    <w:p w14:paraId="4160B2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B0BD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Jefe del área que tenga delegada la función de cobro de cartera;  </w:t>
      </w:r>
    </w:p>
    <w:p w14:paraId="587009F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3C3F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Jefe del área que tenga delegada la función del cobro de cartera en la respectiva entidad, actuará como Secretario del Comité y convocará a las reuniones. En todo caso el Comité siempre estará conformado por un número impar de miembros.  </w:t>
      </w:r>
    </w:p>
    <w:p w14:paraId="6B4F61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5D783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Jefe de la Oficina de Control interno o quien haga sus veces, asistirá a todas las sesiones y participará con voz pero sin voto.  </w:t>
      </w:r>
    </w:p>
    <w:p w14:paraId="372536B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2" w:name="ver_30106319"/>
      <w:bookmarkEnd w:id="702"/>
    </w:p>
    <w:p w14:paraId="29B12356" w14:textId="79BC895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2.5.6.6. Competencia y responsabilidad. La responsabilidad y competencia para realizar la depuración, el castigo de los valores y la exclusión de la gestión de los valores contables de cartera recae en el representante legal de cada entidad, quien para tal fin pro</w:t>
      </w:r>
      <w:r w:rsidR="008F7B30" w:rsidRPr="002C1480">
        <w:rPr>
          <w:rFonts w:ascii="Arial" w:eastAsia="Times New Roman" w:hAnsi="Arial" w:cs="Arial"/>
          <w:color w:val="000000"/>
          <w:lang w:eastAsia="es-CO"/>
        </w:rPr>
        <w:softHyphen/>
        <w:t>ferirá el acto administrativo que corresponda, previa recomendación del Comité de Cartera.  </w:t>
      </w:r>
    </w:p>
    <w:p w14:paraId="364B3BB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3" w:name="ver_30106322"/>
      <w:bookmarkEnd w:id="703"/>
    </w:p>
    <w:p w14:paraId="7F3F38F7" w14:textId="4E2C4CA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2.5.6.7. Funciones del Comité de Cartera. El Comité tendrá las siguientes funciones, adicionales a las que ya posea, en el caso que ya exista en la entidad:  </w:t>
      </w:r>
    </w:p>
    <w:p w14:paraId="377959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61363A" w14:textId="0A2E9CB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Estudiar y evaluar si se cumple alguna o algunas de las causales señaladas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para considerar que una acreencia a favor de la entidad constituye cartera de imposible recaudo, de todo lo cual se dejará constancia en acta;  </w:t>
      </w:r>
    </w:p>
    <w:p w14:paraId="3D6A2A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E6E1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Recomendar al representante legal que se declare mediante acto administrativo una acreencia como cartera de imposible recaudo, el cual será el fundamento para castigar la cartera de la contabilidad y para dar por terminados los procesos de cobro de cartera que se hubieren iniciado;  </w:t>
      </w:r>
    </w:p>
    <w:p w14:paraId="30738C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EB04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demás funciones que le sean asignadas por el Representante Legal de la entidad.  </w:t>
      </w:r>
    </w:p>
    <w:p w14:paraId="7C0599E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4" w:name="ver_30106328"/>
      <w:bookmarkEnd w:id="704"/>
    </w:p>
    <w:p w14:paraId="7DEF450E" w14:textId="738AE61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2.5.6.8. Reuniones, quórum y sesiones. El Comité de Cartera se reunirá cada vez que las circunstancias lo exijan, previa citación del Secretario del Comité.  </w:t>
      </w:r>
    </w:p>
    <w:p w14:paraId="5F3925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54B36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Sesionará con todos sus miembros permanentes mínimos para que exista quórum, y con sus invitados, según corresponda, y las decisiones se adoptarán por mayoría simple.  </w:t>
      </w:r>
    </w:p>
    <w:p w14:paraId="02742249" w14:textId="77777777" w:rsidR="008F7B30" w:rsidRPr="002C1480" w:rsidRDefault="008F7B30" w:rsidP="00C32F85">
      <w:pPr>
        <w:spacing w:after="0" w:line="254" w:lineRule="atLeast"/>
        <w:jc w:val="both"/>
        <w:rPr>
          <w:rFonts w:ascii="Arial" w:eastAsia="Times New Roman" w:hAnsi="Arial" w:cs="Arial"/>
          <w:color w:val="000000"/>
          <w:lang w:eastAsia="es-CO"/>
        </w:rPr>
      </w:pPr>
    </w:p>
    <w:p w14:paraId="54199C3F" w14:textId="461C8C9D" w:rsidR="008F7B30" w:rsidRPr="002C1480" w:rsidRDefault="002C1480" w:rsidP="00C32F85">
      <w:pPr>
        <w:spacing w:after="0" w:line="254" w:lineRule="atLeast"/>
        <w:jc w:val="both"/>
        <w:rPr>
          <w:rFonts w:ascii="Arial" w:eastAsia="Times New Roman" w:hAnsi="Arial" w:cs="Arial"/>
          <w:color w:val="000000"/>
          <w:lang w:eastAsia="es-CO"/>
        </w:rPr>
      </w:pPr>
      <w:bookmarkStart w:id="705" w:name="ver_30106331"/>
      <w:bookmarkEnd w:id="705"/>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2.5.6.9. Actas. Las decisiones de cada sesión del Comité de Cartera quedarán consignadas en Actas suscritas por el Presidente y el Secretario, las cuales servirán de soporte para la suscripción por parte del funcionario competente de los actos, contratos y actuaciones administrativas a que haya lugar.  </w:t>
      </w:r>
    </w:p>
    <w:p w14:paraId="2C4D26B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6" w:name="ver_30106334"/>
      <w:bookmarkEnd w:id="706"/>
    </w:p>
    <w:p w14:paraId="26D2C80B" w14:textId="6113DBA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2.5.6.10. Procedimientos contables. Los procedimientos contables que se requieran para la supresión de los registros contables por cartera de imposible recaudo, que realicen las entidades señaladas en el presente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se harán de conformidad con las normas establecidas por la Contaduría General de la Nación.  </w:t>
      </w:r>
    </w:p>
    <w:p w14:paraId="666DD091" w14:textId="77777777" w:rsidR="0084642D" w:rsidRDefault="0084642D" w:rsidP="00C32F85">
      <w:pPr>
        <w:spacing w:after="0" w:line="293" w:lineRule="atLeast"/>
        <w:jc w:val="both"/>
        <w:rPr>
          <w:rFonts w:ascii="Arial" w:eastAsia="Times New Roman" w:hAnsi="Arial" w:cs="Arial"/>
          <w:color w:val="000000"/>
          <w:lang w:eastAsia="es-CO"/>
        </w:rPr>
      </w:pPr>
      <w:bookmarkStart w:id="707" w:name="ver_30141287"/>
      <w:bookmarkEnd w:id="707"/>
    </w:p>
    <w:p w14:paraId="2AC840DC" w14:textId="77777777" w:rsidR="0084642D" w:rsidRDefault="008F7B30" w:rsidP="0084642D">
      <w:pPr>
        <w:spacing w:after="0" w:line="293" w:lineRule="atLeast"/>
        <w:jc w:val="center"/>
        <w:rPr>
          <w:rFonts w:ascii="Arial" w:eastAsia="Times New Roman" w:hAnsi="Arial" w:cs="Arial"/>
          <w:b/>
          <w:bCs/>
          <w:color w:val="000000"/>
          <w:lang w:eastAsia="es-CO"/>
        </w:rPr>
      </w:pPr>
      <w:r w:rsidRPr="0084642D">
        <w:rPr>
          <w:rFonts w:ascii="Arial" w:eastAsia="Times New Roman" w:hAnsi="Arial" w:cs="Arial"/>
          <w:b/>
          <w:bCs/>
          <w:color w:val="000000"/>
          <w:lang w:eastAsia="es-CO"/>
        </w:rPr>
        <w:t>Título 7</w:t>
      </w:r>
    </w:p>
    <w:p w14:paraId="477F55E0" w14:textId="36490818" w:rsidR="008F7B30" w:rsidRPr="0084642D" w:rsidRDefault="008F7B30" w:rsidP="0084642D">
      <w:pPr>
        <w:spacing w:after="0" w:line="293" w:lineRule="atLeast"/>
        <w:jc w:val="center"/>
        <w:rPr>
          <w:rFonts w:ascii="Arial" w:eastAsia="Times New Roman" w:hAnsi="Arial" w:cs="Arial"/>
          <w:b/>
          <w:bCs/>
          <w:color w:val="000000"/>
          <w:lang w:eastAsia="es-CO"/>
        </w:rPr>
      </w:pPr>
      <w:r w:rsidRPr="0084642D">
        <w:rPr>
          <w:rFonts w:ascii="Arial" w:eastAsia="Times New Roman" w:hAnsi="Arial" w:cs="Arial"/>
          <w:b/>
          <w:bCs/>
          <w:color w:val="000000"/>
          <w:lang w:eastAsia="es-CO"/>
        </w:rPr>
        <w:t xml:space="preserve"> DISTRIBUCIÓN DEL PORCENTAJE DEL FRISCO DESTINADO AL GOBIERNO NACIONAL</w:t>
      </w:r>
    </w:p>
    <w:p w14:paraId="705A96F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8" w:name="ver_30141288"/>
      <w:bookmarkEnd w:id="708"/>
    </w:p>
    <w:p w14:paraId="5E5E2DB6" w14:textId="65A6E3C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2.5.7.1 Objeto. El presente Título tiene como objeto reglamentar la distribución del cuarenta por ciento a favor del Gobierno nacional,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1849 de 2017.  </w:t>
      </w:r>
    </w:p>
    <w:p w14:paraId="5E0C90E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09" w:name="ver_30141289"/>
      <w:bookmarkEnd w:id="709"/>
    </w:p>
    <w:p w14:paraId="2320F74B" w14:textId="6400FFA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2.5.7.2. Distribución y giro de los recursos. El cuarenta (40%), a favor del Gobierno nacional,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91 de la Ley 1708 de 2014, modificado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1849 de 2017, se distribuirá de la siguiente manera:  </w:t>
      </w:r>
    </w:p>
    <w:p w14:paraId="42BBC34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3E41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 cinco por ciento (5%) para la infraestructura penitenciaria y carcelaria que se girará a la Dirección General de Crédito Público y Tesoro Nacional del Ministerio de Hacienda y Crédito Público.  </w:t>
      </w:r>
    </w:p>
    <w:p w14:paraId="475AD7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157DE3" w14:textId="5490EAB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Un quince por ciento (15%) para sufragar los gastos requeridos para la recepción, administración, saneamiento, alistamiento, sostenimiento y disposición de los bienes inventariados por las FARC EP,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-ley 903 de 2017 y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números 1407 y 1535 de 2017 incluyendo los gastos necesarios para la constitución y funcionamiento del Patrimonio Autónomo, así como la remuneración a la que tiene derecho el administrador por el ejercicio de su gestión, de conformidad con su régimen jurídico, teniendo como referencia el costo promedio de un encargo fiduciario de administración que arroje el mercado. Para estos efectos el administrador del Frisco realizará los ajustes presupuestales y contables pertinentes.  </w:t>
      </w:r>
    </w:p>
    <w:p w14:paraId="6A8B199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61DB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 veinte por ciento (20%) será destinado a los programas especiales que el Gobierno determine.  </w:t>
      </w:r>
    </w:p>
    <w:p w14:paraId="463DE4D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7FECE2" w14:textId="77777777" w:rsidR="008F7B30" w:rsidRPr="00744A34" w:rsidRDefault="008F7B30" w:rsidP="00744A34">
      <w:pPr>
        <w:spacing w:after="0" w:line="293" w:lineRule="atLeast"/>
        <w:jc w:val="center"/>
        <w:rPr>
          <w:rFonts w:ascii="Arial" w:eastAsia="Times New Roman" w:hAnsi="Arial" w:cs="Arial"/>
          <w:b/>
          <w:bCs/>
          <w:color w:val="000000"/>
          <w:lang w:eastAsia="es-CO"/>
        </w:rPr>
      </w:pPr>
      <w:bookmarkStart w:id="710" w:name="ver_30057098"/>
      <w:bookmarkEnd w:id="710"/>
      <w:r w:rsidRPr="00744A34">
        <w:rPr>
          <w:rFonts w:ascii="Arial" w:eastAsia="Times New Roman" w:hAnsi="Arial" w:cs="Arial"/>
          <w:b/>
          <w:bCs/>
          <w:color w:val="000000"/>
          <w:lang w:eastAsia="es-CO"/>
        </w:rPr>
        <w:t>PARTE 6</w:t>
      </w:r>
    </w:p>
    <w:p w14:paraId="79AF7476" w14:textId="768A0A5A" w:rsidR="008F7B30"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ASISTENCIA Y FORTALECIMIENTO A ENTIDADES TERRITORIALESY SUS DESCENTRALIZADAS</w:t>
      </w:r>
    </w:p>
    <w:p w14:paraId="28BC0520" w14:textId="77777777" w:rsidR="00744A34" w:rsidRPr="00744A34" w:rsidRDefault="00744A34" w:rsidP="00744A34">
      <w:pPr>
        <w:spacing w:after="0" w:line="293" w:lineRule="atLeast"/>
        <w:jc w:val="center"/>
        <w:rPr>
          <w:rFonts w:ascii="Arial" w:eastAsia="Times New Roman" w:hAnsi="Arial" w:cs="Arial"/>
          <w:b/>
          <w:bCs/>
          <w:color w:val="000000"/>
          <w:lang w:eastAsia="es-CO"/>
        </w:rPr>
      </w:pPr>
    </w:p>
    <w:p w14:paraId="5B13D551" w14:textId="77777777"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TÍTULO 1</w:t>
      </w:r>
    </w:p>
    <w:p w14:paraId="22EB6768" w14:textId="501D5BCA" w:rsidR="008F7B30"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REGLAS FISCALES DE LAS ENTIDADES TERRITORIALES</w:t>
      </w:r>
    </w:p>
    <w:p w14:paraId="115732F2" w14:textId="77777777" w:rsidR="00744A34" w:rsidRPr="00744A34" w:rsidRDefault="00744A34" w:rsidP="00744A34">
      <w:pPr>
        <w:spacing w:after="0" w:line="293" w:lineRule="atLeast"/>
        <w:jc w:val="center"/>
        <w:rPr>
          <w:rFonts w:ascii="Arial" w:eastAsia="Times New Roman" w:hAnsi="Arial" w:cs="Arial"/>
          <w:b/>
          <w:bCs/>
          <w:color w:val="000000"/>
          <w:lang w:eastAsia="es-CO"/>
        </w:rPr>
      </w:pPr>
    </w:p>
    <w:p w14:paraId="3BEAD899" w14:textId="77777777"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CAPÍTULO 1</w:t>
      </w:r>
    </w:p>
    <w:p w14:paraId="3B843AED" w14:textId="77777777" w:rsidR="008F7B30" w:rsidRPr="00744A34" w:rsidRDefault="008F7B30"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DISPOSICIONES GENERALES</w:t>
      </w:r>
    </w:p>
    <w:p w14:paraId="5AD56BA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1" w:name="ver_30057099"/>
      <w:bookmarkEnd w:id="711"/>
    </w:p>
    <w:p w14:paraId="4890433B" w14:textId="7ED0F32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2.6.1.1.1. Cambio de categorización de los departamentos. Cuando un departamento </w:t>
      </w:r>
    </w:p>
    <w:p w14:paraId="61700C8B" w14:textId="39DEA27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durante el primer semestre del año siguiente al que se evaluó para su categorización, demuestre que se han modificado las condiciones que lo obligaron a disminuir de categoría, podrá categorizarse de acuerdo con el inciso final del parágrafo 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 de la Ley 617 de 2000, procediendo de la siguiente manera: </w:t>
      </w:r>
    </w:p>
    <w:p w14:paraId="229E0FB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CE4D9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Tomará en forma discriminada por tipo o clase, los ingresos corrientes de libre destinación efectivamente recaudados en el primer semestre del año en que se realiza la categorización y efectuará frente a cada uno de ellos, debidamente sustentada, la proyección a diciembre treinta y uno (31); </w:t>
      </w:r>
    </w:p>
    <w:p w14:paraId="1983F0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AF2DE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Tomará los gastos de funcionamiento causados en el semestre y los proyectará justificadamente a treinta y uno (31) de diciembre; </w:t>
      </w:r>
    </w:p>
    <w:p w14:paraId="5C7FEB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797F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información señalada en los literales a) y b), junto con los soportes técnicos que la sustenten, deberá remitirse a la Contraloría General de la República a más tardar dentro de la última quincena del mes de agosto, con el fin de que dicha entidad expida la certificación correspondiente para la categorización. </w:t>
      </w:r>
    </w:p>
    <w:p w14:paraId="7A2ED5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C69CD0" w14:textId="1275AD2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 La información a que se refieren los literales a) y b)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 estar suscrita por el Secretario de Hacienda Departamental o quien haga sus veces. </w:t>
      </w:r>
    </w:p>
    <w:p w14:paraId="6B7AC63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13AA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 información enviada extemporáneamente no será tomada en consideración; </w:t>
      </w:r>
    </w:p>
    <w:p w14:paraId="6D75BF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388CB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La Contraloría General de la República podrá solicitar a los Departamentos la información complementaria que requiera. En todo caso, el término máximo para pronunciarse será hasta el último día del mes de septiembre; </w:t>
      </w:r>
    </w:p>
    <w:p w14:paraId="697C2F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35A4E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Si la Contraloría no considera adecuados los indicadores propuestos por el Departamento, éste deberá categorizarse para el próximo año, de acuerdo con los criterios establecidos por la Ley 617 de 2000. </w:t>
      </w:r>
    </w:p>
    <w:p w14:paraId="1104D08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C04F8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los efectos de la Ley 617 de 2000, se entiende por capacidad fiscal de una entidad territorial, la posibilidad real de financiar la totalidad de sus gastos de funcionamiento con sus ingresos corrientes de libre destinación, dejando excedentes que le permitan atender otras obligaciones corrientes acumuladas y financiar al menos parcialmente la inversión pública autónoma. </w:t>
      </w:r>
    </w:p>
    <w:p w14:paraId="2C7E389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2" w:name="ver_30057100"/>
      <w:bookmarkEnd w:id="712"/>
    </w:p>
    <w:p w14:paraId="014E4C15" w14:textId="46962D0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2.6.1.1.2. Clasificación de nuevos municipios. Los municipios que se creen a partir de la vigencia de la Ley 617 de 2000 deberán clasificarse, por primera vez, en categoría sexta. </w:t>
      </w:r>
    </w:p>
    <w:p w14:paraId="08EEFD1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3" w:name="ver_30057101"/>
      <w:bookmarkEnd w:id="713"/>
    </w:p>
    <w:p w14:paraId="536F0DE7" w14:textId="554A620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2.6.1.1.3. Concepto de vigencia anterior. Se entiende como vigencia anterior para efectos de la aplicación de la Ley 617 de 2000, el año fiscal inmediatamente anterior a aquel en que se adopta la categoría. Así mismo, los ajustes a las apropiaciones presupuestales debieron incorporarse a partir del presupuesto de la vigencia del año 2001. </w:t>
      </w:r>
    </w:p>
    <w:p w14:paraId="0B54A67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4" w:name="ver_30057102"/>
      <w:bookmarkEnd w:id="714"/>
    </w:p>
    <w:p w14:paraId="4983594E" w14:textId="57A51F9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2.6.1.1.4. Concepto de compensaciones. Las compensaciones a las que se refiere el literal f) del parágrafo 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de la Ley 617 de 2000, son las relacionadas con la explotación o utilización de los recursos naturales renovables y no renovables. </w:t>
      </w:r>
    </w:p>
    <w:p w14:paraId="653DE68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5" w:name="ver_30057103"/>
      <w:bookmarkEnd w:id="715"/>
    </w:p>
    <w:p w14:paraId="12C2C7A1" w14:textId="3415D9D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2.6.1.1.5. Exclusión para cálculo de ingresos corrientes de libre destinación. Para efectos del cálculo de los ingresos corrientes de libre destinación a que se refiere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3º de la Ley 617 de 2000, no se tendrá en cuenta el porcentaje establecido en 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4692 de 2005 o aquel que lo compile, expedida por la Superintendencia Nacional de Salud. </w:t>
      </w:r>
    </w:p>
    <w:p w14:paraId="2928023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6" w:name="ver_30057104"/>
      <w:bookmarkEnd w:id="716"/>
    </w:p>
    <w:p w14:paraId="7EEA1DF1" w14:textId="0426487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2.6.1.1.6. Suspensión de la destinación específica de las rentas. La suspensión de la destinación de las rentas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 de la Ley 617 de 2000, tendrá como único objeto la aplicación exclusiva al saneamiento fiscal y financiero de las entidades territoriales. </w:t>
      </w:r>
    </w:p>
    <w:p w14:paraId="768BB39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7495D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tales rentas no se computarán dentro de los ingresos de libre destinación ni serán aplicados a un fin distinto del señalado en el inciso anterior. </w:t>
      </w:r>
    </w:p>
    <w:p w14:paraId="5BA472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CA8BB2" w14:textId="110BE09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Se entiende que existen compromisos adquiridos,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12 de la ley 617 de 2000, cuando la renta se encuentra titularizada, o cuando mediante acto administrativo o contrato debidamente perfeccionado se constituya en fuente de financiamiento de una obra o servicio. </w:t>
      </w:r>
    </w:p>
    <w:p w14:paraId="4B5DFF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25C1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Cuando una entidad territorial se encuentre dentro de un programa de Saneamiento Fiscal y Financiero no podrá establecer rentas con destinación específica. </w:t>
      </w:r>
    </w:p>
    <w:p w14:paraId="7FEEF52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7" w:name="ver_30057105"/>
      <w:bookmarkEnd w:id="717"/>
    </w:p>
    <w:p w14:paraId="0D40B07E" w14:textId="708657E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2.6.1.1.7. Déficit fiscal a financiar. Los Alcaldes y Gobernadores deberán evidenciar por medio de acto administrativo o cierre presupuestal el monto y clasificación del déficit de funcionamiento existente a la entrada en vigencia de la Ley 617 de 2000. </w:t>
      </w:r>
    </w:p>
    <w:p w14:paraId="05BF900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05A7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efectos de la Ley 617 de 2000, no se considerarán gastos de funcionamiento los destinados a cubrir el déficit fiscal, el pasivo laboral y el pasivo prestacional, existentes a 31 de Diciembre de 2000, ni las indemnizaciones al personal originadas en Programas de Saneamiento Fiscal y Financiero. </w:t>
      </w:r>
    </w:p>
    <w:p w14:paraId="70EFFC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B1F30C" w14:textId="5F4A285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Tampoco se considerarán gastos de funcionamiento las obligaciones correspondientes al pasivo pensional definido en 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 de la Ley 549 de 1999. </w:t>
      </w:r>
    </w:p>
    <w:p w14:paraId="4DB721BD"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8" w:name="ver_30057106"/>
      <w:bookmarkEnd w:id="718"/>
    </w:p>
    <w:p w14:paraId="05962096" w14:textId="2440C69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2.6.1.1.8. Transferencias para gastos de las Asambleas, Concejos, Contralorías y Personerías. Las transferencias para gastos de las Asambleas, Concejos, Contralorías y Personerías hacen parte de los gastos de funcionamiento del respectivo departamento, distrito y municipio. En todo caso, para los solos efectos de la Ley 617 de 2000, estas transferencias no computarán dentro de los límites de gasto establecidos en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4°, 6° y 53 de la misma. </w:t>
      </w:r>
    </w:p>
    <w:p w14:paraId="6B6CD48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236962" w14:textId="1C201D0E"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gastos de los Concejos en los municipios y distritos, excepto los del Concejo del Distrito Capital,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54 de la Ley 617 de 2000, no podrán ser superiores al total de los honorarios que se causen por el número de sesiones autorizado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20 de la misma, adicionado en los siguientes porcentajes sobre los ingresos corrientes de libre destinación: </w:t>
      </w:r>
    </w:p>
    <w:p w14:paraId="6E8EC3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7"/>
        <w:gridCol w:w="5533"/>
      </w:tblGrid>
      <w:tr w:rsidR="008F7B30" w:rsidRPr="002C1480" w14:paraId="18AE2397" w14:textId="77777777" w:rsidTr="008F7B30">
        <w:trPr>
          <w:trHeight w:val="225"/>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75E053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39DE1A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Porcentajes sobre los ingresos corrientes de libre destinación </w:t>
            </w:r>
          </w:p>
        </w:tc>
      </w:tr>
      <w:tr w:rsidR="008F7B30" w:rsidRPr="002C1480" w14:paraId="55200AED"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6B9815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Especial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447B9C1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r w:rsidR="008F7B30" w:rsidRPr="002C1480" w14:paraId="1B707745"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4950078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Primera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1E3CBEC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r w:rsidR="008F7B30" w:rsidRPr="002C1480" w14:paraId="71D88BBD"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449C5F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Segunda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3E12C9E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r w:rsidR="008F7B30" w:rsidRPr="002C1480" w14:paraId="3069A3AF"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1B75D64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Tercera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12AA757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r w:rsidR="008F7B30" w:rsidRPr="002C1480" w14:paraId="4D96A4D2"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5FB94CA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Cuarta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62BED2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r w:rsidR="008F7B30" w:rsidRPr="002C1480" w14:paraId="08938856"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273DE5C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Quinta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0CA3F24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r w:rsidR="008F7B30" w:rsidRPr="002C1480" w14:paraId="0818EF07" w14:textId="77777777" w:rsidTr="008F7B30">
        <w:trPr>
          <w:trHeight w:val="120"/>
          <w:tblCellSpacing w:w="0" w:type="dxa"/>
          <w:jc w:val="center"/>
        </w:trPr>
        <w:tc>
          <w:tcPr>
            <w:tcW w:w="2115" w:type="dxa"/>
            <w:tcBorders>
              <w:top w:val="outset" w:sz="6" w:space="0" w:color="auto"/>
              <w:left w:val="outset" w:sz="6" w:space="0" w:color="auto"/>
              <w:bottom w:val="outset" w:sz="6" w:space="0" w:color="auto"/>
              <w:right w:val="outset" w:sz="6" w:space="0" w:color="auto"/>
            </w:tcBorders>
            <w:vAlign w:val="center"/>
            <w:hideMark/>
          </w:tcPr>
          <w:p w14:paraId="1EE1F13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Sexta </w:t>
            </w:r>
          </w:p>
        </w:tc>
        <w:tc>
          <w:tcPr>
            <w:tcW w:w="6240" w:type="dxa"/>
            <w:tcBorders>
              <w:top w:val="outset" w:sz="6" w:space="0" w:color="auto"/>
              <w:left w:val="outset" w:sz="6" w:space="0" w:color="auto"/>
              <w:bottom w:val="outset" w:sz="6" w:space="0" w:color="auto"/>
              <w:right w:val="outset" w:sz="6" w:space="0" w:color="auto"/>
            </w:tcBorders>
            <w:vAlign w:val="center"/>
            <w:hideMark/>
          </w:tcPr>
          <w:p w14:paraId="5CF041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w:t>
            </w:r>
          </w:p>
        </w:tc>
      </w:tr>
    </w:tbl>
    <w:p w14:paraId="3F9690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39DC8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concejos municipales ubicados en cualquier categoría en cuyo municipio los ingresos de libre destinación no superen los mil millones de pesos ($1.000.000.000) anuales en la vigencia anterior, podrán destinar como aportes adicionales a los honorarios de los concejales para su funcionamiento en la siguiente vigencia sesenta salarios mínimos legales. </w:t>
      </w:r>
    </w:p>
    <w:p w14:paraId="5CCCDA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DB4C6A" w14:textId="0F9844E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acuerdo con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10 y 11 de la ley 617 de 2000, el porcentaje de los ingresos corrientes anuales de libre destinación para financiar los gastos de las Contralorías para los Municipios y Distritos, excepto en el Distrito Capital, no podrá exceder de: </w:t>
      </w:r>
    </w:p>
    <w:p w14:paraId="2D0F445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6"/>
        <w:gridCol w:w="4374"/>
      </w:tblGrid>
      <w:tr w:rsidR="008F7B30" w:rsidRPr="002C1480" w14:paraId="4142D733" w14:textId="77777777" w:rsidTr="008F7B30">
        <w:trPr>
          <w:trHeight w:val="225"/>
          <w:tblCellSpacing w:w="0" w:type="dxa"/>
          <w:jc w:val="center"/>
        </w:trPr>
        <w:tc>
          <w:tcPr>
            <w:tcW w:w="3825" w:type="dxa"/>
            <w:tcBorders>
              <w:top w:val="outset" w:sz="6" w:space="0" w:color="auto"/>
              <w:left w:val="outset" w:sz="6" w:space="0" w:color="auto"/>
              <w:bottom w:val="outset" w:sz="6" w:space="0" w:color="auto"/>
              <w:right w:val="outset" w:sz="6" w:space="0" w:color="auto"/>
            </w:tcBorders>
            <w:vAlign w:val="center"/>
            <w:hideMark/>
          </w:tcPr>
          <w:p w14:paraId="3DBDA28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w:t>
            </w:r>
          </w:p>
        </w:tc>
        <w:tc>
          <w:tcPr>
            <w:tcW w:w="5535" w:type="dxa"/>
            <w:tcBorders>
              <w:top w:val="outset" w:sz="6" w:space="0" w:color="auto"/>
              <w:left w:val="outset" w:sz="6" w:space="0" w:color="auto"/>
              <w:bottom w:val="outset" w:sz="6" w:space="0" w:color="auto"/>
              <w:right w:val="outset" w:sz="6" w:space="0" w:color="auto"/>
            </w:tcBorders>
            <w:vAlign w:val="center"/>
            <w:hideMark/>
          </w:tcPr>
          <w:p w14:paraId="2F112E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Porcentajes sobre los ingresos corrientes de libre destinación </w:t>
            </w:r>
          </w:p>
        </w:tc>
      </w:tr>
      <w:tr w:rsidR="008F7B30" w:rsidRPr="002C1480" w14:paraId="7DB38FB2" w14:textId="77777777" w:rsidTr="008F7B30">
        <w:trPr>
          <w:trHeight w:val="120"/>
          <w:tblCellSpacing w:w="0" w:type="dxa"/>
          <w:jc w:val="center"/>
        </w:trPr>
        <w:tc>
          <w:tcPr>
            <w:tcW w:w="3825" w:type="dxa"/>
            <w:tcBorders>
              <w:top w:val="outset" w:sz="6" w:space="0" w:color="auto"/>
              <w:left w:val="outset" w:sz="6" w:space="0" w:color="auto"/>
              <w:bottom w:val="outset" w:sz="6" w:space="0" w:color="auto"/>
              <w:right w:val="outset" w:sz="6" w:space="0" w:color="auto"/>
            </w:tcBorders>
            <w:vAlign w:val="center"/>
            <w:hideMark/>
          </w:tcPr>
          <w:p w14:paraId="3C469ED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Especial </w:t>
            </w:r>
          </w:p>
        </w:tc>
        <w:tc>
          <w:tcPr>
            <w:tcW w:w="5535" w:type="dxa"/>
            <w:tcBorders>
              <w:top w:val="outset" w:sz="6" w:space="0" w:color="auto"/>
              <w:left w:val="outset" w:sz="6" w:space="0" w:color="auto"/>
              <w:bottom w:val="outset" w:sz="6" w:space="0" w:color="auto"/>
              <w:right w:val="outset" w:sz="6" w:space="0" w:color="auto"/>
            </w:tcBorders>
            <w:vAlign w:val="center"/>
            <w:hideMark/>
          </w:tcPr>
          <w:p w14:paraId="7C4853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2.8% </w:t>
            </w:r>
          </w:p>
        </w:tc>
      </w:tr>
      <w:tr w:rsidR="008F7B30" w:rsidRPr="002C1480" w14:paraId="20F5C0ED" w14:textId="77777777" w:rsidTr="008F7B30">
        <w:trPr>
          <w:trHeight w:val="120"/>
          <w:tblCellSpacing w:w="0" w:type="dxa"/>
          <w:jc w:val="center"/>
        </w:trPr>
        <w:tc>
          <w:tcPr>
            <w:tcW w:w="3825" w:type="dxa"/>
            <w:tcBorders>
              <w:top w:val="outset" w:sz="6" w:space="0" w:color="auto"/>
              <w:left w:val="outset" w:sz="6" w:space="0" w:color="auto"/>
              <w:bottom w:val="outset" w:sz="6" w:space="0" w:color="auto"/>
              <w:right w:val="outset" w:sz="6" w:space="0" w:color="auto"/>
            </w:tcBorders>
            <w:vAlign w:val="center"/>
            <w:hideMark/>
          </w:tcPr>
          <w:p w14:paraId="6C9C89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Primera </w:t>
            </w:r>
          </w:p>
        </w:tc>
        <w:tc>
          <w:tcPr>
            <w:tcW w:w="5535" w:type="dxa"/>
            <w:tcBorders>
              <w:top w:val="outset" w:sz="6" w:space="0" w:color="auto"/>
              <w:left w:val="outset" w:sz="6" w:space="0" w:color="auto"/>
              <w:bottom w:val="outset" w:sz="6" w:space="0" w:color="auto"/>
              <w:right w:val="outset" w:sz="6" w:space="0" w:color="auto"/>
            </w:tcBorders>
            <w:vAlign w:val="center"/>
            <w:hideMark/>
          </w:tcPr>
          <w:p w14:paraId="4C4F803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2.5% </w:t>
            </w:r>
          </w:p>
        </w:tc>
      </w:tr>
      <w:tr w:rsidR="008F7B30" w:rsidRPr="002C1480" w14:paraId="28BDBD2B" w14:textId="77777777" w:rsidTr="008F7B30">
        <w:trPr>
          <w:trHeight w:val="225"/>
          <w:tblCellSpacing w:w="0" w:type="dxa"/>
          <w:jc w:val="center"/>
        </w:trPr>
        <w:tc>
          <w:tcPr>
            <w:tcW w:w="3825" w:type="dxa"/>
            <w:tcBorders>
              <w:top w:val="outset" w:sz="6" w:space="0" w:color="auto"/>
              <w:left w:val="outset" w:sz="6" w:space="0" w:color="auto"/>
              <w:bottom w:val="outset" w:sz="6" w:space="0" w:color="auto"/>
              <w:right w:val="outset" w:sz="6" w:space="0" w:color="auto"/>
            </w:tcBorders>
            <w:vAlign w:val="center"/>
            <w:hideMark/>
          </w:tcPr>
          <w:p w14:paraId="0EF717D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Segunda (más de 100.000 Habitantes) </w:t>
            </w:r>
          </w:p>
        </w:tc>
        <w:tc>
          <w:tcPr>
            <w:tcW w:w="5535" w:type="dxa"/>
            <w:tcBorders>
              <w:top w:val="outset" w:sz="6" w:space="0" w:color="auto"/>
              <w:left w:val="outset" w:sz="6" w:space="0" w:color="auto"/>
              <w:bottom w:val="outset" w:sz="6" w:space="0" w:color="auto"/>
              <w:right w:val="outset" w:sz="6" w:space="0" w:color="auto"/>
            </w:tcBorders>
            <w:vAlign w:val="center"/>
            <w:hideMark/>
          </w:tcPr>
          <w:p w14:paraId="385B7C5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2.8% </w:t>
            </w:r>
          </w:p>
        </w:tc>
      </w:tr>
    </w:tbl>
    <w:p w14:paraId="120EF0D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3B2A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porcentaje de los ingresos corrientes de libre destinación para financiar los gastos de las Personerías de los Municipios y Distritos no podrá exceder, acorde con las categorías, los porcentajes o límites siguientes. </w:t>
      </w:r>
    </w:p>
    <w:p w14:paraId="12E3C0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38"/>
        <w:gridCol w:w="5102"/>
        <w:gridCol w:w="260"/>
      </w:tblGrid>
      <w:tr w:rsidR="008F7B30" w:rsidRPr="002C1480" w14:paraId="1BC262BD" w14:textId="77777777" w:rsidTr="008F7B30">
        <w:trPr>
          <w:trHeight w:val="225"/>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4667282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w:t>
            </w:r>
          </w:p>
        </w:tc>
        <w:tc>
          <w:tcPr>
            <w:tcW w:w="6375" w:type="dxa"/>
            <w:gridSpan w:val="2"/>
            <w:tcBorders>
              <w:top w:val="outset" w:sz="6" w:space="0" w:color="auto"/>
              <w:left w:val="outset" w:sz="6" w:space="0" w:color="auto"/>
              <w:bottom w:val="outset" w:sz="6" w:space="0" w:color="auto"/>
              <w:right w:val="outset" w:sz="6" w:space="0" w:color="auto"/>
            </w:tcBorders>
            <w:vAlign w:val="center"/>
            <w:hideMark/>
          </w:tcPr>
          <w:p w14:paraId="7E7CFB5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Porcentajes sobre los ingresos corrientes de libre destinación </w:t>
            </w:r>
          </w:p>
        </w:tc>
      </w:tr>
      <w:tr w:rsidR="008F7B30" w:rsidRPr="002C1480" w14:paraId="4D860BE1"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0B52C08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Especial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00AFF88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DDD0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r w:rsidR="008F7B30" w:rsidRPr="002C1480" w14:paraId="19FE2B5C"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2A829B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Primera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6F897D1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9011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r w:rsidR="008F7B30" w:rsidRPr="002C1480" w14:paraId="489677FF"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46D239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Segunda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0A0004A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2.2%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E4CD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r w:rsidR="008F7B30" w:rsidRPr="002C1480" w14:paraId="4636F597"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4F864B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Tercera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6E12F8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350 SMMLV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D81F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r w:rsidR="008F7B30" w:rsidRPr="002C1480" w14:paraId="796E0B2E"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4578896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Cuarta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3C3C35A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280 SMMLV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E3C7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r w:rsidR="008F7B30" w:rsidRPr="002C1480" w14:paraId="2FC59808"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0DAFDD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Quinta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2ED5E4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190 SMMLV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B062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r w:rsidR="008F7B30" w:rsidRPr="002C1480" w14:paraId="09A31838" w14:textId="77777777" w:rsidTr="008F7B30">
        <w:trPr>
          <w:trHeight w:val="120"/>
          <w:tblCellSpacing w:w="0" w:type="dxa"/>
          <w:jc w:val="center"/>
        </w:trPr>
        <w:tc>
          <w:tcPr>
            <w:tcW w:w="2400" w:type="dxa"/>
            <w:tcBorders>
              <w:top w:val="outset" w:sz="6" w:space="0" w:color="auto"/>
              <w:left w:val="outset" w:sz="6" w:space="0" w:color="auto"/>
              <w:bottom w:val="outset" w:sz="6" w:space="0" w:color="auto"/>
              <w:right w:val="outset" w:sz="6" w:space="0" w:color="auto"/>
            </w:tcBorders>
            <w:vAlign w:val="center"/>
            <w:hideMark/>
          </w:tcPr>
          <w:p w14:paraId="4A662BF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Sexta </w:t>
            </w:r>
          </w:p>
        </w:tc>
        <w:tc>
          <w:tcPr>
            <w:tcW w:w="6090" w:type="dxa"/>
            <w:tcBorders>
              <w:top w:val="outset" w:sz="6" w:space="0" w:color="auto"/>
              <w:left w:val="outset" w:sz="6" w:space="0" w:color="auto"/>
              <w:bottom w:val="outset" w:sz="6" w:space="0" w:color="auto"/>
              <w:right w:val="outset" w:sz="6" w:space="0" w:color="auto"/>
            </w:tcBorders>
            <w:vAlign w:val="center"/>
            <w:hideMark/>
          </w:tcPr>
          <w:p w14:paraId="4CB0AF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150 SMMLV </w:t>
            </w:r>
          </w:p>
        </w:tc>
        <w:tc>
          <w:tcPr>
            <w:tcW w:w="0" w:type="auto"/>
            <w:tcBorders>
              <w:top w:val="outset" w:sz="6" w:space="0" w:color="auto"/>
              <w:left w:val="outset" w:sz="6" w:space="0" w:color="auto"/>
              <w:bottom w:val="outset" w:sz="6" w:space="0" w:color="auto"/>
              <w:right w:val="outset" w:sz="6" w:space="0" w:color="auto"/>
            </w:tcBorders>
            <w:vAlign w:val="center"/>
            <w:hideMark/>
          </w:tcPr>
          <w:p w14:paraId="3157A00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c>
      </w:tr>
    </w:tbl>
    <w:p w14:paraId="50E4D0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1F5BCB" w14:textId="3CACC48F" w:rsidR="008F7B30" w:rsidRPr="002C1480" w:rsidRDefault="00717213" w:rsidP="00C32F85">
      <w:pPr>
        <w:spacing w:after="0" w:line="254" w:lineRule="atLeast"/>
        <w:jc w:val="both"/>
        <w:rPr>
          <w:rFonts w:ascii="Arial" w:eastAsia="Times New Roman" w:hAnsi="Arial" w:cs="Arial"/>
          <w:color w:val="000000"/>
          <w:lang w:eastAsia="es-CO"/>
        </w:rPr>
      </w:pPr>
      <w:r>
        <w:rPr>
          <w:rFonts w:ascii="Arial" w:eastAsia="Times New Roman" w:hAnsi="Arial" w:cs="Arial"/>
          <w:color w:val="000000"/>
          <w:lang w:eastAsia="es-CO"/>
        </w:rPr>
        <w:t>ART.</w:t>
      </w:r>
      <w:r w:rsidR="008F7B30" w:rsidRPr="002C1480">
        <w:rPr>
          <w:rFonts w:ascii="Arial" w:eastAsia="Times New Roman" w:hAnsi="Arial" w:cs="Arial"/>
          <w:color w:val="000000"/>
          <w:lang w:eastAsia="es-CO"/>
        </w:rPr>
        <w:t xml:space="preserve">8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192 de 2001, modificado por el </w:t>
      </w:r>
      <w:r>
        <w:rPr>
          <w:rFonts w:ascii="Arial" w:eastAsia="Times New Roman" w:hAnsi="Arial" w:cs="Arial"/>
          <w:color w:val="000000"/>
          <w:lang w:eastAsia="es-CO"/>
        </w:rPr>
        <w:t>ART.</w:t>
      </w:r>
      <w:r w:rsidR="008F7B30" w:rsidRPr="002C1480">
        <w:rPr>
          <w:rFonts w:ascii="Arial" w:eastAsia="Times New Roman" w:hAnsi="Arial" w:cs="Arial"/>
          <w:color w:val="000000"/>
          <w:lang w:eastAsia="es-CO"/>
        </w:rPr>
        <w:t xml:space="preserve">1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735 de 2001) </w:t>
      </w:r>
    </w:p>
    <w:p w14:paraId="4F117BC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19" w:name="ver_30057107"/>
      <w:bookmarkEnd w:id="719"/>
    </w:p>
    <w:p w14:paraId="6CC62CAD" w14:textId="7E9F6AA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2.6.1.1.9. Ingresos de las entidades descentralizadas. Los ingresos de las entidades descentralizadas del nivel territorial, no hacen parte del cálculo de los ingresos de libre destinación para categorizar los Departamentos, Municipios o Distritos. Tampoco harán parte de la base del cálculo para establecer el límite de gastos de Asambleas, Concejos, Contralorías y Personerías. </w:t>
      </w:r>
    </w:p>
    <w:p w14:paraId="2579154B"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20" w:name="ver_30057108"/>
      <w:bookmarkEnd w:id="720"/>
    </w:p>
    <w:p w14:paraId="31329E76" w14:textId="504019E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2.6.1.1.10. Transferencias a las Contralorías. La transferencia de los Departamentos, Municipios o Distritos, sumada a la cuota de fiscalización de las entidades descentralizadas, realizadas a las contralorías, no podrán superar los límites de gasto ni de crecimiento establecidos en la Ley 617 de 2000. </w:t>
      </w:r>
    </w:p>
    <w:p w14:paraId="462ADEC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21" w:name="ver_30057109"/>
      <w:bookmarkEnd w:id="721"/>
    </w:p>
    <w:p w14:paraId="75B09A54" w14:textId="7832DAE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2.6.1.1.11. Programas de Saneamiento Fiscal y Financiero. Se entiende por Programa de Saneamiento Fiscal y Financiero, un programa integral, institucional, financiero y administrativo </w:t>
      </w:r>
      <w:r w:rsidR="008F7B30" w:rsidRPr="002C1480">
        <w:rPr>
          <w:rFonts w:ascii="Arial" w:eastAsia="Times New Roman" w:hAnsi="Arial" w:cs="Arial"/>
          <w:color w:val="000000"/>
          <w:lang w:eastAsia="es-CO"/>
        </w:rPr>
        <w:lastRenderedPageBreak/>
        <w:t>que cubra la entidad territorial y que tenga por objeto restablecer la solidez económica y financiera de la misma mediante la adopción de medidas de reorganización administrativa, racionalización del gasto, reestructuración de la deuda, saneamiento de pasivos y fortalecimiento de los ingresos. </w:t>
      </w:r>
    </w:p>
    <w:p w14:paraId="131D914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5A7DD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flujo financiero de los programas de Saneamiento Fiscal y Financiero, consigna cada una de las rentas e ingresos de la entidad, el monto y el tiempo que ellas están destinadas al programa, y cada uno de los gastos claramente definidos en cuanto a monto, tipo y duración. Este flujo se acompaña de una memoria que presenta detalladamente los elementos técnicos de soporte utilizados en la estimación de los ingresos y de los gastos. </w:t>
      </w:r>
    </w:p>
    <w:p w14:paraId="5A9AC4B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7AC832" w14:textId="0147E80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Para todos los efectos formales, el Programa de Saneamiento Fiscal y Financiero inicia con la expedición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contempla su ejecución, siempre y cuando, previamente hayan sido expedidas las respectivas aprobaciones por parte de la autoridad competente necesarias para su ejecución. En caso contrario, el programa se entenderá iniciado a partir de la fecha de expedición de las autorizaciones respectivas. </w:t>
      </w:r>
    </w:p>
    <w:p w14:paraId="475F2D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554A3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entidades que a la entrada en vigencia de la Ley 617 de 2000 tuvieran suscritos convenios o planes de desempeño de conformidad con la Ley 358 de 1997 o hayan suscrito acuerdos de reestructuración en virtud de la Ley 550 de 1999, se entenderá que se encuentran en Programas de Saneamiento Fiscal y Financiero, siempre y cuando cuenten con concepto favorable del Ministerio de Hacienda y Crédito Público sobre su adecuada ejecución, expedido con posterioridad a la entrada en vigencia de la Ley 617 de 2000. </w:t>
      </w:r>
    </w:p>
    <w:p w14:paraId="480C767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29C1AC" w14:textId="750E3AF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Se entenderá que una entidad territorial requiere de un Programa de Saneamiento Fiscal y Financiero, cuando no pueda cumplir con los límites de gasto establecidos en la Ley 617 de 2000 ni con lo previsto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3° y 52 de la misma, según el caso. </w:t>
      </w:r>
    </w:p>
    <w:p w14:paraId="1B4CFB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514D6D" w14:textId="77777777" w:rsidR="008F7B30" w:rsidRPr="00744A34" w:rsidRDefault="008F7B30" w:rsidP="00744A34">
      <w:pPr>
        <w:spacing w:after="0" w:line="293" w:lineRule="atLeast"/>
        <w:jc w:val="center"/>
        <w:rPr>
          <w:rFonts w:ascii="Arial" w:eastAsia="Times New Roman" w:hAnsi="Arial" w:cs="Arial"/>
          <w:b/>
          <w:bCs/>
          <w:color w:val="000000"/>
          <w:lang w:eastAsia="es-CO"/>
        </w:rPr>
      </w:pPr>
      <w:bookmarkStart w:id="722" w:name="ver_30057110"/>
      <w:bookmarkEnd w:id="722"/>
      <w:r w:rsidRPr="00744A34">
        <w:rPr>
          <w:rFonts w:ascii="Arial" w:eastAsia="Times New Roman" w:hAnsi="Arial" w:cs="Arial"/>
          <w:b/>
          <w:bCs/>
          <w:color w:val="000000"/>
          <w:lang w:eastAsia="es-CO"/>
        </w:rPr>
        <w:t>CAPÍTULO 2</w:t>
      </w:r>
    </w:p>
    <w:p w14:paraId="11143EFE" w14:textId="77777777" w:rsidR="008F7B30" w:rsidRPr="00744A34" w:rsidRDefault="008F7B30" w:rsidP="00F85B3F">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INFORMES SOBRE VIABILIDAD FINANCIERA Y PROGRAMAS</w:t>
      </w:r>
    </w:p>
    <w:p w14:paraId="50C15B6E" w14:textId="7DF06BD5" w:rsidR="008F7B30" w:rsidRDefault="008F7B30" w:rsidP="00F85B3F">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DE SANEAMIENTO FISCAL Y FINANCIERO DE LOS MUNICIPIOS</w:t>
      </w:r>
    </w:p>
    <w:p w14:paraId="0B65D85F" w14:textId="77777777" w:rsidR="00F85B3F" w:rsidRPr="00744A34" w:rsidRDefault="00F85B3F" w:rsidP="00F85B3F">
      <w:pPr>
        <w:spacing w:after="0" w:line="293" w:lineRule="atLeast"/>
        <w:jc w:val="center"/>
        <w:rPr>
          <w:rFonts w:ascii="Arial" w:eastAsia="Times New Roman" w:hAnsi="Arial" w:cs="Arial"/>
          <w:b/>
          <w:bCs/>
          <w:color w:val="000000"/>
          <w:lang w:eastAsia="es-CO"/>
        </w:rPr>
      </w:pPr>
    </w:p>
    <w:p w14:paraId="6033D2D2" w14:textId="07A26314" w:rsidR="008F7B30" w:rsidRPr="002C1480" w:rsidRDefault="002C1480" w:rsidP="00F85B3F">
      <w:pPr>
        <w:spacing w:after="0" w:line="254" w:lineRule="atLeast"/>
        <w:jc w:val="both"/>
        <w:rPr>
          <w:rFonts w:ascii="Arial" w:eastAsia="Times New Roman" w:hAnsi="Arial" w:cs="Arial"/>
          <w:color w:val="000000"/>
          <w:lang w:eastAsia="es-CO"/>
        </w:rPr>
      </w:pPr>
      <w:bookmarkStart w:id="723" w:name="ver_30057111"/>
      <w:bookmarkEnd w:id="723"/>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2.6.1.2.1. Presentación de informes sobre viabilidad financiera de municipios. Las oficinas de planeación departamental o los organismos que hagan sus veces presentarán a los gobernadores y a las asambleas departamentales respectivas un informe donde expongan la situación financiera de los municipios, el cual deberá relacionar aquellas entidades que hayan incumplido los límites de gasto dispuestos por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s 6° y 10 de la Ley 617 de 2000. Tal informe deberá presentarse el primer día de sesiones ordinarias correspondiente al segundo período de cada año. </w:t>
      </w:r>
    </w:p>
    <w:p w14:paraId="429EBBDB" w14:textId="77777777" w:rsidR="00F85B3F" w:rsidRDefault="00F85B3F" w:rsidP="00C32F85">
      <w:pPr>
        <w:spacing w:after="0" w:line="254" w:lineRule="atLeast"/>
        <w:jc w:val="both"/>
        <w:rPr>
          <w:rFonts w:ascii="Arial" w:eastAsia="Times New Roman" w:hAnsi="Arial" w:cs="Arial"/>
          <w:color w:val="000000"/>
          <w:lang w:eastAsia="es-CO"/>
        </w:rPr>
      </w:pPr>
    </w:p>
    <w:p w14:paraId="62806072" w14:textId="48A6D0A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2.6.1.2.2. Verificación del cumplimiento de los límites al gasto. Para la elaboración del informe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las Oficinas de Planeación Departamental o los organismos que hagan sus veces tendrán en cuenta las certificaciones de cumplimiento que expidan los alcaldes municipales respecto a la vigencia inmediatamente anterior a la fecha de presentación de las mismas, las cuales deberán ser comparadas con la información proveniente de la Contaduría General de la Nación. Para tal efecto los alcaldes expedirán la certificación dentro de la semana siguiente al cierre presupuestal. </w:t>
      </w:r>
    </w:p>
    <w:p w14:paraId="7200E40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37FE77" w14:textId="5BF4116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alcaldes acompañarán las certificaciones con información suficiente y necesaria para determinar el cumplimiento de los límites dispuestos por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6° y 10 de la Ley 617 de 2000. </w:t>
      </w:r>
    </w:p>
    <w:p w14:paraId="2325D7C0" w14:textId="0A6FC7A8" w:rsidR="008F7B30" w:rsidRPr="002C1480" w:rsidRDefault="002C1480" w:rsidP="00C32F85">
      <w:pPr>
        <w:spacing w:after="0" w:line="254" w:lineRule="atLeast"/>
        <w:jc w:val="both"/>
        <w:rPr>
          <w:rFonts w:ascii="Arial" w:eastAsia="Times New Roman" w:hAnsi="Arial" w:cs="Arial"/>
          <w:color w:val="000000"/>
          <w:lang w:eastAsia="es-CO"/>
        </w:rPr>
      </w:pPr>
      <w:bookmarkStart w:id="724" w:name="ver_30057113"/>
      <w:bookmarkEnd w:id="724"/>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2.6.1.2.3. Procedimientos establecidos por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19 de la Ley 617 de 2000. Para la verificación de la viabilidad financiera de los municipios se agotarán dos procedimientos sucesivos: </w:t>
      </w:r>
    </w:p>
    <w:p w14:paraId="7DD29B5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9E5A76" w14:textId="017EC61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primer lugar, y de manera obligatoria, los municipios estructurarán, durante una sola vigencia fiscal, un programa de saneamiento fiscal y financiero con el objetivo de cumplir con los límites al gasto establecidos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6° y 10 de la Ley 617 de 2000. La ejecución del programa y el cumplimiento de los límites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2.6.1.2.1. del presente capítulo deberán verificarse en el menor tiempo posible. </w:t>
      </w:r>
    </w:p>
    <w:p w14:paraId="3D010C1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3A13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segundo lugar, y vencido el plazo en que se ha debido ejecutar el programa de saneamiento fiscal y financiero sin que se haya verificado el cumplimiento de los límites mencionados, las asambleas departamentales ordenarán al correspondiente municipio la adopción de un programa de saneamiento con el mismo objetivo y cuya duración no podrá ser superior a dos vigencias fiscales. </w:t>
      </w:r>
    </w:p>
    <w:p w14:paraId="0B18FE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D4EB17" w14:textId="2E239AF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obligación de estructurar y ejecutar los programas de saneamiento a los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involucra y comprende a todas las secciones presupuestales y las correspondientes autoridades municipales. </w:t>
      </w:r>
    </w:p>
    <w:p w14:paraId="7B4BA7D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3CBECE" w14:textId="13926BDB"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25" w:name="ver_30057114"/>
      <w:bookmarkEnd w:id="725"/>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2.6.1.2.4. Programas de saneamiento fiscal y financiero de los municipios. Los programas de saneamiento fiscal y financiero adoptados por los municipios de manera obligatoria, se estructurarán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2.6.1.1.11. del presente título. La verificación del cumplimiento del programa de saneamiento fiscal y financiero corresponde a las oficinas de planeación o a los organismos que hagan sus veces. </w:t>
      </w:r>
    </w:p>
    <w:p w14:paraId="6B70B7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44708C" w14:textId="54559A8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omisión de la entidad territorial en la adopción o ejecución del programa de saneamiento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elimina la verificación del cumplimiento de los límites al gasto establecidos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6° y 10 de la Ley 617 de 2000, como presupuesto para continuar el proceso y la consecuente adopción de los programas de saneamiento de que tratan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siguientes del presente capítulo. </w:t>
      </w:r>
    </w:p>
    <w:p w14:paraId="1E0FC184" w14:textId="6E279BE5" w:rsidR="008F7B30" w:rsidRPr="002C1480" w:rsidRDefault="008F7B30" w:rsidP="00F85B3F">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26" w:name="ver_30057115"/>
      <w:bookmarkEnd w:id="726"/>
    </w:p>
    <w:p w14:paraId="042CB872" w14:textId="3E143FC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2.6.1.2.5. Diseño y orden de adopción de programas de saneamiento fiscal y financiero obligatorios a instancias de las asambleas departamentales. Las asambleas departamentales ordenarán la adopción de programas de saneamiento fiscal y financiero a los municipios que a pesar de haber adoptado un programa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incumplan con los límites de que tratan los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s 6° y 10 de la Ley 617 de 2000. Para tal efecto, la Oficina de Planeación Departamental o el organismo que haga sus veces estructurará los proyectos de programas de saneamiento mediante la fijación de un marco general para cada municipio. Tales proyectos serán presentados y sometidos a consideración de las asambleas departamentales en conjunto con el informe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2.6.1.2.1 del presente capítulo. </w:t>
      </w:r>
    </w:p>
    <w:p w14:paraId="42ACA21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D31A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asambleas departamentales expedirán las correspondientes ordenanzas que establezcan la adopción de los programas de saneamiento fiscal y financiero antes de vencerse el periodo de sesiones dentro del cual les presentaron los proyectos respectivos. </w:t>
      </w:r>
    </w:p>
    <w:p w14:paraId="04A9D22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EF83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presencia del incumplimiento de los límites de gasto, la omisión de las gobernaciones o las asambleas departamentales en el diseño y la orden de adopción de los programas de saneamiento correspondiente, no exime a los municipios del cumplimiento de los </w:t>
      </w:r>
      <w:r w:rsidRPr="002C1480">
        <w:rPr>
          <w:rFonts w:ascii="Arial" w:eastAsia="Times New Roman" w:hAnsi="Arial" w:cs="Arial"/>
          <w:color w:val="000000"/>
          <w:lang w:eastAsia="es-CO"/>
        </w:rPr>
        <w:lastRenderedPageBreak/>
        <w:t>límites durante las dos vigencias en que ha debido estructurarse y ejecutarse el correspondiente programa, como presupuesto para determinar la viabilidad financiera del municipio. </w:t>
      </w:r>
    </w:p>
    <w:p w14:paraId="6C74683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27" w:name="ver_30057116"/>
      <w:bookmarkEnd w:id="727"/>
    </w:p>
    <w:p w14:paraId="48CDDA8B" w14:textId="216EB55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2.6.1.2.6. Adopción de los programas de saneamiento fiscal y financiero ordenados </w:t>
      </w:r>
    </w:p>
    <w:p w14:paraId="1C45EFEC" w14:textId="68BAD29D"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por las asambleas departamentales. Los programas de saneamiento ordenados por las asambleas departamentales deberán ser adoptados por los municipios dentro de los dos meses siguientes a la expedición de las ordenanzas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sin perjuicio de la expedición de los actos administrativos a que haya lugar en cabeza de las autoridades municipales en consideración a las particulares medidas que se hayan establecido en el correspondiente programa de saneamiento. </w:t>
      </w:r>
    </w:p>
    <w:p w14:paraId="4211FA0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B137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omisión de las autoridades locales respecto a la adopción y ejecución del programa ordenado por la asamblea departamental, no elimina la verificación del cumplimiento de los límites al gasto durante las vigencias que haya establecido la corporación administrativa departamental, como presupuesto para continuar el procedimiento y la verificación de la viabilidad financiera de la respectiva entidad territorial. </w:t>
      </w:r>
    </w:p>
    <w:p w14:paraId="7E56292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28" w:name="ver_30057117"/>
      <w:bookmarkEnd w:id="728"/>
    </w:p>
    <w:p w14:paraId="4A75F0EC" w14:textId="199B623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2.6.1.2.7. Acceso a apoyos financieros de la Nación. Las entidades territoriales que se encuentren en situación de incumplimiento de las disposiciones establecidas en la Ley 617 de 2000 podrán acceder a apoyos financieros de la Nación siempre que adopten y cumplan programas de saneamiento fiscal y financiero en los términos del Capítulo 1 del presente Título y las normas que lo modifiquen o adicionen. Lo anterior sin perjuicio de la aplicación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19 de la Ley 617 en los términos desarrollados en el presente capítulo. </w:t>
      </w:r>
    </w:p>
    <w:p w14:paraId="03E1363B" w14:textId="77777777" w:rsidR="00744A34" w:rsidRDefault="00744A34" w:rsidP="00C32F85">
      <w:pPr>
        <w:spacing w:after="0" w:line="293" w:lineRule="atLeast"/>
        <w:jc w:val="both"/>
        <w:rPr>
          <w:rFonts w:ascii="Arial" w:eastAsia="Times New Roman" w:hAnsi="Arial" w:cs="Arial"/>
          <w:color w:val="000000"/>
          <w:lang w:eastAsia="es-CO"/>
        </w:rPr>
      </w:pPr>
      <w:bookmarkStart w:id="729" w:name="ver_30057118"/>
      <w:bookmarkEnd w:id="729"/>
    </w:p>
    <w:p w14:paraId="1B171BDA" w14:textId="29DFA59D"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CAPÍTULO 3</w:t>
      </w:r>
    </w:p>
    <w:p w14:paraId="60944054" w14:textId="77777777" w:rsidR="008F7B30" w:rsidRPr="00744A34" w:rsidRDefault="008F7B30"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CONTABILIDAD PÚBLICA DEPARTAMENTAL</w:t>
      </w:r>
    </w:p>
    <w:p w14:paraId="3274B0F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30" w:name="ver_30057119"/>
      <w:bookmarkEnd w:id="730"/>
    </w:p>
    <w:p w14:paraId="41B563B2" w14:textId="03D0348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2.6.1.3.1. Contabilidad pública departamental. La contabilidad pública departamental está conformada, además de la contabilidad del Sector Central del departamento, por la de las entidades u organismos descentralizados territorialmente o por servicios, que lo integran, y la de cualquier otra entidad que tenga a su cargo el manejo o administración de recursos del departamento y sólo en lo relacionado con estos. </w:t>
      </w:r>
    </w:p>
    <w:p w14:paraId="00F22482" w14:textId="2C2B3A28"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31" w:name="ver_30057120"/>
      <w:bookmarkEnd w:id="731"/>
    </w:p>
    <w:p w14:paraId="646F325E" w14:textId="3D3E986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2.6.1.3.2. Contador general del departamento. Para todos los efectos del presente capítulo, el Contador General del departamento es el servidor público que desempeñe dicho cargo en el sector central del departamento o quien cumpla sus veces, entendiendo como tal, la persona que lleva a cabo el desarrollo de las funciones relacionadas con la contabilidad en el sector central departamental. Dicho servidor cumplirá las funciones relacionadas con los procesos de consolidación, asesoría y asistencia técnica, capacitación y divulgación y demás actividades necesarias para el desarrollo del Sistema Nacional de Contabilidad Pública y control interno contable, en el sector central y descentralizado de las entidades departamentales y municipales. </w:t>
      </w:r>
    </w:p>
    <w:p w14:paraId="558DA920"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32" w:name="ver_30057121"/>
      <w:bookmarkEnd w:id="732"/>
    </w:p>
    <w:p w14:paraId="369E127B" w14:textId="7CCD13D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2.6.1.3.3. Funciones. El Contador General del departamento, además de las funciones propias de su cargo, deberá cumplir en relación con los procesos de consolidación, asesoría y asistencia técnica, capacitación las siguientes: </w:t>
      </w:r>
    </w:p>
    <w:p w14:paraId="6937DB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DBE1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Llevar la Contabilidad del Sector Central del departamento, de acuerdo con las normas de reconocimiento, valuación y revelación vigentes e impartir instrucciones de carácter general a las </w:t>
      </w:r>
      <w:r w:rsidRPr="002C1480">
        <w:rPr>
          <w:rFonts w:ascii="Arial" w:eastAsia="Times New Roman" w:hAnsi="Arial" w:cs="Arial"/>
          <w:color w:val="000000"/>
          <w:lang w:eastAsia="es-CO"/>
        </w:rPr>
        <w:lastRenderedPageBreak/>
        <w:t>entidades u organismos descentralizados territorialmente o por servicios, que lo integran, sobre aspectos relacionados con la contabilidad pública. </w:t>
      </w:r>
    </w:p>
    <w:p w14:paraId="746AED9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2ABF5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Elaborar los estados contables del sector central del departamento y coordinar con las entidades u organismos descentralizados territorialmente o por servicios, que lo integran, los procedimientos tendientes a garantizar el proceso de consolidación que adelanta la Contaduría General de la Nación, atendiendo las normas, criterios, principios, procedimientos y plazos establecidos por esta entidad. </w:t>
      </w:r>
    </w:p>
    <w:p w14:paraId="13FB005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47CE2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Certificar los estados contables del sector central del departamento y presentarlos al Secretario de Hacienda y al Gobernador para su correspondiente refrendación; así mismo, remitirlos a las demás autoridades, junto con otros informes que se requieran, para los fines de su competencia. </w:t>
      </w:r>
    </w:p>
    <w:p w14:paraId="20BBDC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0F6E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Velar por el cumplimiento oportuno de los procedimientos y plazos necesarios para que los servidores públicos del sector central del departamento y los de las entidades u organismos descentralizados territorialmente o por servicios, que lo integran, reporten la información contable necesaria para su consolidación en la Contaduría General de la Nación. </w:t>
      </w:r>
    </w:p>
    <w:p w14:paraId="04FD3E6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4F441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Asesorar sobre el debido registro, consolidación y actualización del inventario general de los bienes del sector central del departamento y de las entidades u organismos descentralizados territorialmente o por servicios, que lo integran, cuando así se requiera. </w:t>
      </w:r>
    </w:p>
    <w:p w14:paraId="35F4F8C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F9E2B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Producir informes sobre la situación financiera económica y social y la actividad del sector central del departamento. </w:t>
      </w:r>
    </w:p>
    <w:p w14:paraId="3A7C265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D845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Orientar a las entidades u organismos descentralizados territorialmente o por servicios, que integran el departamento, acerca del debido cumplimiento de las normas expedidas por el Contador General de la Nación, cuando estas lo requieran o sea necesario. </w:t>
      </w:r>
    </w:p>
    <w:p w14:paraId="4EF4F44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4C351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Propender por la implementación de sistemas de costos, en el sector central del departamento y en las entidades u organismos descentralizados territorialmente o por servicios, que lo integran. </w:t>
      </w:r>
    </w:p>
    <w:p w14:paraId="549E73E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D11AA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Definir los procedimientos y adoptar las medidas pertinentes para obtener de las dependencias departamentales, y de los particulares que administren recursos del departamento, la información necesaria para el cumplimiento de sus funciones. </w:t>
      </w:r>
    </w:p>
    <w:p w14:paraId="39F7E8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9EADE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Apoyar a las entidades u organismos descentralizados territorialmente o por servicios, que integran el departamento, en la organización, diseño, desarrollo y mantenimiento del sistema de información contable, financiera y presupuestal. </w:t>
      </w:r>
    </w:p>
    <w:p w14:paraId="408203A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D3196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Planear, programar y coordinar visitas de asesoría y asistencia técnica con respecto al sistema de información contable, tendientes a lograr la calidad, consistencia y razonabilidad de la información del sector central del departamento y de las entidades u organismos descentralizados territorialmente o por servicios, que lo integran. </w:t>
      </w:r>
    </w:p>
    <w:p w14:paraId="7B814D7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84D2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Diseñar y divulgar métodos, instrumentos y procedimientos que permitan la realización del análisis financiero del sector central del departamento y de las entidades u organismos descentralizados territorialmente o por servicios, que lo integran. </w:t>
      </w:r>
    </w:p>
    <w:p w14:paraId="448D3C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64D07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13. Realizar y divulgar estudios de carácter financiero y contable, que permitan establecer estrategias de control gerencial, de gestión y de resultados, aplicables al sector central del departamento y las entidades u organismos descentralizados territorialmente o por servicios, que lo integran. </w:t>
      </w:r>
    </w:p>
    <w:p w14:paraId="2B9F1B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006A0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14. Coordinar la elaboración técnica de manuales e instructivos tendientes a establecer procedimientos formales para atender el proceso de reconocimiento, cuantificación, análisis y revelación de los bienes, derechos y obligaciones. </w:t>
      </w:r>
    </w:p>
    <w:p w14:paraId="34F0A18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7286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Organizar, mantener y actualizar un sistema de información normativa y procedimental y dirigir el diseño y desarrollo de los flujos de información que lo alimenten, para que sirva de apoyo a la gestión financiera y contable del sector central del departamento y de las entidades u organismos descentralizados territorialmente o por servicios, que lo integran. </w:t>
      </w:r>
    </w:p>
    <w:p w14:paraId="5AA276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A4E0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Apoyar a la Contaduría General de la Nación en los procesos de consolidación, asesoría y asistencia técnica, capacitación, divulgación y demás actividades relacionadas con el cumplimiento de sus funciones orientadas a atender necesidades del sector central del departamento y de las entidades u organismos descentralizados territorialmente o por servicios, que lo integran. </w:t>
      </w:r>
    </w:p>
    <w:p w14:paraId="17EED0E8" w14:textId="77777777" w:rsidR="00744A34" w:rsidRPr="00744A34" w:rsidRDefault="00744A34" w:rsidP="00744A34">
      <w:pPr>
        <w:spacing w:after="0" w:line="293" w:lineRule="atLeast"/>
        <w:jc w:val="center"/>
        <w:rPr>
          <w:rFonts w:ascii="Arial" w:eastAsia="Times New Roman" w:hAnsi="Arial" w:cs="Arial"/>
          <w:b/>
          <w:bCs/>
          <w:color w:val="000000"/>
          <w:lang w:eastAsia="es-CO"/>
        </w:rPr>
      </w:pPr>
      <w:bookmarkStart w:id="733" w:name="ver_30057122"/>
      <w:bookmarkEnd w:id="733"/>
    </w:p>
    <w:p w14:paraId="55DF8FAA" w14:textId="1162D76B"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TÍTULO 2</w:t>
      </w:r>
    </w:p>
    <w:p w14:paraId="7C975FC5" w14:textId="3FD10E20"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REESTRUCTURACIÓN DE PASIVOS DE LAS ENTIDADES TERRITORIALES</w:t>
      </w:r>
    </w:p>
    <w:p w14:paraId="5217C428" w14:textId="77777777" w:rsidR="00744A34" w:rsidRPr="00744A34" w:rsidRDefault="00744A34" w:rsidP="00744A34">
      <w:pPr>
        <w:spacing w:after="0" w:line="293" w:lineRule="atLeast"/>
        <w:jc w:val="center"/>
        <w:rPr>
          <w:rFonts w:ascii="Arial" w:eastAsia="Times New Roman" w:hAnsi="Arial" w:cs="Arial"/>
          <w:b/>
          <w:bCs/>
          <w:color w:val="000000"/>
          <w:lang w:eastAsia="es-CO"/>
        </w:rPr>
      </w:pPr>
    </w:p>
    <w:p w14:paraId="564201CD" w14:textId="77777777"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CAPÍTULO 1</w:t>
      </w:r>
    </w:p>
    <w:p w14:paraId="3D4BEB6A" w14:textId="77777777" w:rsidR="008F7B30" w:rsidRPr="00744A34" w:rsidRDefault="008F7B30"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PROCEDIMIENTO PARA LA REESTRUCTURACIÓN DE PASIVOS DE LAS ENTIDADES TERRITORIALES</w:t>
      </w:r>
    </w:p>
    <w:p w14:paraId="2493287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34" w:name="ver_30057123"/>
      <w:bookmarkEnd w:id="734"/>
    </w:p>
    <w:p w14:paraId="3C84005F" w14:textId="41FDAA2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 Procedimiento para dar trámite a los acuerdos de reestructuración de entidades del nivel territorial. Para tramitar una solicitud o promoción oficiosa de un acuerdo de reestructuración de una entidad del nivel territorial, que esté sometida a inspección y vigilancia estatal, independientemente de que tenga el carácter de empresa industrial y comercial, de economía mixta o cualquier forma de asociación, con personalidad jurídica, cuyo objeto sea el desarrollo de actividades empresariales, se deberá previamente establecer, por parte de la Superintendencia que ejerza dicha supervisión, si la entidad se encuentra incursa en alguna de las causales legales establecidas para la toma de posesión o intervención por parte de la Superintendencia que la vigila, evento en el cual se procederá a dar aplicación a las normas que regulan esta materia. </w:t>
      </w:r>
    </w:p>
    <w:p w14:paraId="2F0F1D9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F01FD2" w14:textId="247D1C10"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Cuando una entidad de las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sea objeto de un acuerdo de reestructuración, el departamento, municipio o distrito titular de más del cincuenta por ciento (50%) del capital de la misma, podrá simultáneamente someterse al proceso de reestructuración previsto en la Ley 550 de 1999. </w:t>
      </w:r>
    </w:p>
    <w:p w14:paraId="08DB1EB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35" w:name="ver_30057124"/>
      <w:bookmarkEnd w:id="735"/>
    </w:p>
    <w:p w14:paraId="5935EC2E" w14:textId="195B699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2.6.2.1.2. Promotores y peritos. La designación de promotores y peritos, en los acuerdos de reestructuración de una entidad territorial o del nivel territorial, se regirá por las normas previstas en el presente capítulo. </w:t>
      </w:r>
    </w:p>
    <w:p w14:paraId="04B286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D1D0D9" w14:textId="613B812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La designación de promotores en los acuerdos de reestructuración, previstos en el Título V de la Ley 550 de 1999, podrá recaer en funcionarios o en quienes estén prestando servicios en el Ministerio de Hacienda y Crédito Público, para tal efecto percibirán la misma remuneración y en las mismas condiciones de su vinculación. En tales eventos no se requerirá la constitución de las garantías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 la Ley 550 de 1999. </w:t>
      </w:r>
    </w:p>
    <w:p w14:paraId="3F45FBA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D357C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 designación de peritos se tendrá en cuenta la misma regla prevista en el inciso anterior, sólo que también se podrán designar a personas naturales que pertenezcan a una entidad pública o privada, especializada en la materia objeto del experticio. </w:t>
      </w:r>
    </w:p>
    <w:p w14:paraId="18DB7D0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57783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honorarios que se puedan generar por la designación de peritos, estarán a cargo de la entidad objeto del acuerdo, para lo cual se tendrá en cuenta la naturaleza del experticio, las calidades del perito, la complejidad del dictamen y demás circunstancias que permitan apreciar la labor encomendada. </w:t>
      </w:r>
    </w:p>
    <w:p w14:paraId="31AAA7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F044D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que el perito designado sea funcionario de una entidad pública, no podrá devengar remuneración adicional a la que perciba en su condición de servidor público. </w:t>
      </w:r>
    </w:p>
    <w:p w14:paraId="0FC6CF8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36" w:name="ver_30057125"/>
      <w:bookmarkEnd w:id="736"/>
    </w:p>
    <w:p w14:paraId="59138D16" w14:textId="7EAD1B1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2.6.2.1.3. Actividad de la entidad territorial durante la negociación del acuerdo. Con base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17 y el numeral 10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58 de la Ley 550 de 1999, el Ministerio de Hacienda y Crédito Público y la entidad territorial o del nivel territorial, a partir de la fecha de iniciación de la negociación, determinarán las operaciones que éstas podrán realizar y salvo autorización previa y escrita del Ministerio, no podrán expedir actos o realizar operaciones que impliquen gasto, en especial los siguientes: </w:t>
      </w:r>
    </w:p>
    <w:p w14:paraId="5E185D2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BBA5E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Actos u operaciones que impliquen modificaciones de las estructuras en el sector central o descentralizado que generen costos adicionales al presupuesto. </w:t>
      </w:r>
    </w:p>
    <w:p w14:paraId="24D8298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BD99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Adelantar procesos contractuales o celebrar cualquier tipo o modalidad de contratación que no tengan asegurada financiación con cargo a los ingresos de libre destinación dentro de la respectiva vigencia. </w:t>
      </w:r>
    </w:p>
    <w:p w14:paraId="6BAEEB7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8C6C4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Modificaciones en el régimen salarial y prestacional de los empleados públicos y/o trabajadores oficiales en su sector central o descentralizado, ni actos de vinculación laboral a su planta de personal. </w:t>
      </w:r>
    </w:p>
    <w:p w14:paraId="1621D7A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5AD39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actos administrativos que creen gastos y/o destinaciones específicas. </w:t>
      </w:r>
    </w:p>
    <w:p w14:paraId="567360D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56883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Modificaciones al presupuesto o presentación de proyectos que comprometan mayores niveles de gasto. </w:t>
      </w:r>
    </w:p>
    <w:p w14:paraId="49B4B91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2C8A2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Operaciones de crédito público de corto y largo plazo, así como de las operaciones de manejo de la deuda, sin perjuicio del cumplimiento de lo establecido sobre el particular en la Ley 358 de 1997 y las normas reglamentarias contenidas en el Capítulo 1, Título 2 de la Parte 2 del presente Libro 2 o de las normas que la modifiquen o complementen. </w:t>
      </w:r>
    </w:p>
    <w:p w14:paraId="08BCF73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65259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Enajenación o compra de activos. </w:t>
      </w:r>
    </w:p>
    <w:p w14:paraId="4760E50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402EF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8. Igualmente no podrá constituir ni ejecutar garantías o cauciones a favor de los acreedores de la entidad que recaigan sobre los bienes de la misma, no podrán efectuarse compensaciones, pagos, </w:t>
      </w:r>
      <w:r w:rsidRPr="002C1480">
        <w:rPr>
          <w:rFonts w:ascii="Arial" w:eastAsia="Times New Roman" w:hAnsi="Arial" w:cs="Arial"/>
          <w:color w:val="000000"/>
          <w:lang w:eastAsia="es-CO"/>
        </w:rPr>
        <w:lastRenderedPageBreak/>
        <w:t>arreglos, conciliaciones o transacciones de ninguna clase de obligaciones a su cargo, ni efectuarse enajenaciones de bienes u operaciones que no correspondan a las necesarias para evitar la parálisis del servicio y puedan afectar derechos fundamentales. </w:t>
      </w:r>
    </w:p>
    <w:p w14:paraId="66E81351" w14:textId="7B8B8DAA" w:rsidR="008F7B30" w:rsidRPr="002C1480" w:rsidRDefault="008F7B30" w:rsidP="00650C1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37" w:name="ver_30057126"/>
      <w:bookmarkEnd w:id="737"/>
    </w:p>
    <w:p w14:paraId="7039FEDD" w14:textId="73EC9A6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2.6.2.1.4. Estado de relación de acreedores, acreencias e inventarios. Para los efectos previstos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20 de la Ley 550 de 1999, el gobernador, alcalde o representante legal de la entidad, entregará al promotor una relación de los acreedores y acreencias, y un estado de inventario elaborado con base en los registros contables y en las normas y procedimientos expedidos por la Contaduría General de la Nación. </w:t>
      </w:r>
    </w:p>
    <w:p w14:paraId="7BF3487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2FD186" w14:textId="4C7FB0F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estado de inventario, cortado a la fecha señalada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20 de la Ley 550 de 1999, comprenderá el informe sobre la situación financiera, económica y social a nivel de subcuentas, el balance general y estado de la actividad financiera, económica y social a nivel de cuentas incluyendo las respectivas notas de carácter específico. </w:t>
      </w:r>
    </w:p>
    <w:p w14:paraId="2885E8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42F7F8" w14:textId="1CC2DF6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Al estado de inventario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 anexarse la siguiente información: </w:t>
      </w:r>
    </w:p>
    <w:p w14:paraId="082FB9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F9314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Relación detallada del efectivo, inversiones, rentas por cobrar, deudores, inventarios, propiedades, planta y equipo, otros activos y derechos contingentes cuya titularidad corresponda a la entidad territorial, incluyendo concepto, descripción y su valor actual o de reposición cuando a ello hubiere lugar. </w:t>
      </w:r>
    </w:p>
    <w:p w14:paraId="57E4C8F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FE60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Relación detallada de las obligaciones financieras, cuentas por pagar, obligaciones laborales y de seguridad social integral, bonos y títulos emitidos, pasivos estimados, otras obligaciones y responsabilidades contingentes que afecten la situación financiera, económica y social de la entidad territorial, indicando en cada caso identificación, nombre del acreedor, concepto y valor. </w:t>
      </w:r>
    </w:p>
    <w:p w14:paraId="7FC823B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0F76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Relación detallada de los compromisos (reservas presupuestales) pendientes a la fecha de corte, donde se especifique identificación y nombre del acreedor, concepto y valor. </w:t>
      </w:r>
    </w:p>
    <w:p w14:paraId="3849B30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65F300" w14:textId="2845B1E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En la relación de los activos a que se refiere el numeral 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deberán indicarse cuáles tienen definida su situación jurídica y puedan ser objeto de comercialización y cuáles tienen algún tipo de restricción de orden legal o contractual. </w:t>
      </w:r>
    </w:p>
    <w:p w14:paraId="2828309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DC4EB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informe, estados y anexos antes mencionados, deberán entregarse debidamente firmados y certificados por el gobernador o alcalde, el jefe del área financiera y el contador con su respectiva tarjeta profesional. Para el caso de las entidades obligadas a tener revisor fiscal deberá adjuntarse el dictamen e informe respectivo. </w:t>
      </w:r>
    </w:p>
    <w:p w14:paraId="26C3CD9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B30C4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La entidad territorial pondrá a disposición del promotor, todos los libros principales o auxiliares y demás documentos que se requieran para verificar la información suministrada. </w:t>
      </w:r>
    </w:p>
    <w:p w14:paraId="6FCDD20C" w14:textId="17CF897A"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38" w:name="ver_30057127"/>
      <w:bookmarkEnd w:id="738"/>
    </w:p>
    <w:p w14:paraId="4600021B" w14:textId="2DC3DB1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2.6.2.1.5. Representación de la Nación. Cuando la Nación sea acreedora de una entidad territorial o del nivel territorial, objeto de un acuerdo de reestructuración, dichas acreencias estarán representadas por el Ministerio de Hacienda y Crédito Público a través de la Dirección General de Crédito Público y del Tesoro Nacional, salvo el caso de las acreencias relativas a impuestos nacionales, evento en el cual la representación la tendrá a través de la Dirección de Impuestos y Aduanas Nacionales. </w:t>
      </w:r>
    </w:p>
    <w:p w14:paraId="095DA77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A978D6" w14:textId="4043C9D2" w:rsidR="008F7B30" w:rsidRPr="00744A34" w:rsidRDefault="00744A34" w:rsidP="00744A34">
      <w:pPr>
        <w:spacing w:line="293" w:lineRule="atLeast"/>
        <w:jc w:val="center"/>
        <w:rPr>
          <w:rFonts w:ascii="Arial" w:eastAsia="Times New Roman" w:hAnsi="Arial" w:cs="Arial"/>
          <w:b/>
          <w:bCs/>
          <w:color w:val="000000"/>
          <w:lang w:eastAsia="es-CO"/>
        </w:rPr>
      </w:pPr>
      <w:bookmarkStart w:id="739" w:name="ver_30057129"/>
      <w:bookmarkEnd w:id="739"/>
      <w:r w:rsidRPr="00744A34">
        <w:rPr>
          <w:rFonts w:ascii="Arial" w:eastAsia="Times New Roman" w:hAnsi="Arial" w:cs="Arial"/>
          <w:b/>
          <w:bCs/>
          <w:color w:val="000000"/>
          <w:lang w:eastAsia="es-CO"/>
        </w:rPr>
        <w:lastRenderedPageBreak/>
        <w:t>SECCIÓN 1. OBLIGACIONES FISCALES</w:t>
      </w:r>
    </w:p>
    <w:p w14:paraId="5E8D9EE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0" w:name="ver_30057128"/>
      <w:bookmarkEnd w:id="740"/>
    </w:p>
    <w:p w14:paraId="7A16ED98" w14:textId="6060831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2.6.2.1.1.1. Determinación de las obligaciones fiscales. Para la determinación de las obligaciones fiscales causadas y pendientes de pago a la iniciación de la negociación del acuerdo, se sumarán los siguientes montos: </w:t>
      </w:r>
    </w:p>
    <w:p w14:paraId="5CA5D7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5A8FAB" w14:textId="0C45F073"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La totalidad de los impuestos y retenciones adeudados, más la actualización a que haya lugar de conformidad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867-1 del Estatuto Tributario; </w:t>
      </w:r>
    </w:p>
    <w:p w14:paraId="6A467FC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A06A94" w14:textId="33B4F7F2"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La totalidad de las sanciones, más la actualización a que haya lugar de conformidad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867-1 del Estatuto Tributario; c) Los intereses de mora causados de conformidad con lo previsto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634 y 635 del Estatuto Tributario, a la fecha de iniciación de la negociación. </w:t>
      </w:r>
    </w:p>
    <w:p w14:paraId="631D673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1" w:name="ver_30057130"/>
      <w:bookmarkEnd w:id="741"/>
    </w:p>
    <w:p w14:paraId="7A0DF622" w14:textId="3F509D5C"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2.6.2.1.1.2. Plazos para el pago de obligaciones fiscales en acuerdos de reestructuración. </w:t>
      </w:r>
    </w:p>
    <w:p w14:paraId="04A8686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B9AFDA" w14:textId="6220DD45"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lo establecido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55 inciso segundo y 56 de la Ley 550 de 1999, los plazos que se estipulen en el acuerdo de reestructuración para el pago de las obligaciones fiscales susceptibles de negociación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52 de la referida ley, podrán ser superiores a los plazos máximos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814 del Estatuto Tributario. </w:t>
      </w:r>
    </w:p>
    <w:p w14:paraId="2D9C0AC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5619D5" w14:textId="15FD479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Sin perjuicio de la causación de intereses y de la actualización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867-1 del Estatuto Tributario, para la realización de pagos de las obligaciones fiscales se podrá acordar período de gracia hasta por un plazo máximo de dos años, que se graduará en atención al monto de la deuda, de la situación de la empresa deudora y de la viabilidad de la misma, siempre que los demás acreedores acuerden un período de gracia igual o superior al de las obligaciones fiscales. </w:t>
      </w:r>
    </w:p>
    <w:p w14:paraId="2030999B" w14:textId="77777777" w:rsidR="00F85B3F" w:rsidRDefault="00F85B3F" w:rsidP="00C32F85">
      <w:pPr>
        <w:spacing w:after="0" w:line="254" w:lineRule="atLeast"/>
        <w:jc w:val="both"/>
        <w:rPr>
          <w:rFonts w:ascii="Arial" w:eastAsia="Times New Roman" w:hAnsi="Arial" w:cs="Arial"/>
          <w:color w:val="000000"/>
          <w:lang w:eastAsia="es-CO"/>
        </w:rPr>
      </w:pPr>
    </w:p>
    <w:p w14:paraId="48EE8EE5" w14:textId="6ED944C8"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2.6.2.1.1.3. Intereses de plazo de las obligaciones fiscales. Los intereses que se causen por el plazo otorgado en el acuerdo de reestructuración para las obligaciones fiscales susceptibles de negociación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52 de la Ley 550 de 1999, se liquidarán a la tasa que se pacte en el acuerdo, observando las siguientes reglas: </w:t>
      </w:r>
    </w:p>
    <w:p w14:paraId="02ECD5D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D53DA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En ningún caso la tasa de interés efectiva de las obligaciones fiscales podrá ser inferior a la tasa de interés efectiva más alta pactada a favor de cualquiera de los otros acreedores; </w:t>
      </w:r>
    </w:p>
    <w:p w14:paraId="59AA01C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127020" w14:textId="2AEFBF54"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La tasa de interés de las obligaciones fiscales que se pacte de acuerdo con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será la siguiente: </w:t>
      </w:r>
    </w:p>
    <w:p w14:paraId="6064771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3A2D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Durante los tres (3) primeros años de plazo, la tasa de interés DTF efectivo anual certificada por el Banco de la República para el mes inmediatamente anterior a aquel en el cual se firme el acuerdo. </w:t>
      </w:r>
    </w:p>
    <w:p w14:paraId="17FD3B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D589F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A partir del cuarto año y hasta el sexto año de plazo, la tasa de interés DTF efectivo anual certificada por el Banco de la República para el último mes del tercer año de plazo, aumentada dicha tasa en un seis por ciento (6%). </w:t>
      </w:r>
    </w:p>
    <w:p w14:paraId="631AB28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3FD12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A partir del séptimo y hasta el noveno año de plazo, la tasa de interés DTF efectivo anual certificada por el Banco de la República para el último mes del sexto año, aumentada dicha tasa en un quince por ciento (15%). </w:t>
      </w:r>
    </w:p>
    <w:p w14:paraId="354816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8933A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A partir del décimo año de plazo, la tasa de interés DTF efectivo anual certificada por el Banco de la República para el último mes del noveno año, aumentada dicha tasa en un treinta por ciento (30%). </w:t>
      </w:r>
    </w:p>
    <w:p w14:paraId="0F8EF7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B9593D" w14:textId="71A836A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1º. Las autoridades fiscales podrán pactar tasas inferiores a las previstas en el literal b)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siempre y cuando: </w:t>
      </w:r>
    </w:p>
    <w:p w14:paraId="33A169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55722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A ningún crédito se le reconozca en el acuerdo una tasa que en términos efectivos sea superior a la prevista para las acreencias fiscales, y </w:t>
      </w:r>
    </w:p>
    <w:p w14:paraId="330924E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DA5B0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La tasa correspondiente a las acreencias fiscales no resulte, en términos efectivos, inferior al IPC correspondiente a los doce meses inmediatamente anteriores a la fecha en la cual se realicen los respectivos pagos. </w:t>
      </w:r>
    </w:p>
    <w:p w14:paraId="53E23D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5B9FC5" w14:textId="00A8AC4A"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2º.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aplica para los nuevos créditos que se otorguen al empresario en reestructuración siempre que dichos créditos impliquen entrega efectiva de nuevos recursos. </w:t>
      </w:r>
    </w:p>
    <w:p w14:paraId="09396873" w14:textId="7861E56F"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42" w:name="ver_30057132"/>
      <w:bookmarkEnd w:id="742"/>
    </w:p>
    <w:p w14:paraId="7A68B214" w14:textId="5A73A59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2.6.2.1.1.4. Intereses en caso de incumplimiento. Cuando en ejecución de un acuerdo de reestructuración se incumpla el pago de alguna de las obligaciones fiscales reestructuradas, respecto de la totalidad de los saldos adeudados de dichas obligaciones se aplicará una tasa de interés equivalente a la más alta entre: </w:t>
      </w:r>
    </w:p>
    <w:p w14:paraId="1D84B33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DBE18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pactada en el acuerdo; </w:t>
      </w:r>
    </w:p>
    <w:p w14:paraId="3C67D9C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196F31" w14:textId="4F3CBD1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La vigente a la fecha del incumplimiento,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635 del Estatuto Tributario; </w:t>
      </w:r>
    </w:p>
    <w:p w14:paraId="25CB9FD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BFCA75" w14:textId="6523A5A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La aplicable según lo dispuesto en el literal c)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2.6.2.1.1.1 de la presente sección. </w:t>
      </w:r>
    </w:p>
    <w:p w14:paraId="4BC6ABB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B58031" w14:textId="0B4F9091"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anterior sin perjuicio de la facultad del acreedor fiscal prevista en el numeral 5º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35 de la Ley 550 de 1999. </w:t>
      </w:r>
    </w:p>
    <w:p w14:paraId="110397F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E8BE9C" w14:textId="20D639AC"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los intereses de mora de las obligaciones fiscales que no son objeto del acuerdo de reestructuración, se aplicará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634 y 635 del Estatuto Tributario. </w:t>
      </w:r>
    </w:p>
    <w:p w14:paraId="05D0C20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3" w:name="ver_30057133"/>
      <w:bookmarkEnd w:id="743"/>
    </w:p>
    <w:p w14:paraId="34B034ED" w14:textId="26499AF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2.6.2.1.1.5. Ventajas previstas en el acuerdo. Las ventajas o compensaciones que lleguen a acordarse a favor de cualquier otro acreedor en función de la recuperación de la empresa y de la mejora de su capacidad de pago, deberán reconocerse igualmente a los acreedores fiscales en forma proporcional por la estipulación de plazos, tasas de interés y períodos de gracia en los términos previstos en esta sección. </w:t>
      </w:r>
    </w:p>
    <w:p w14:paraId="38CBF7E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4" w:name="ver_30057134"/>
      <w:bookmarkEnd w:id="744"/>
    </w:p>
    <w:p w14:paraId="03F27AB1" w14:textId="71EC41FE"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2.6.2.1.1.6. Otorgamiento de garantías. El otorgamiento de garantías para las obligaciones fiscales susceptibles de negociación en los términos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52 de la Ley 550 de 1999, queda sujeto a lo que se establezca de manera general en el respectivo acuerdo, y respecto a ellas no será aplicable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814 del Estatuto Tributario. </w:t>
      </w:r>
    </w:p>
    <w:p w14:paraId="0FE36F52" w14:textId="6219453D" w:rsidR="008F7B30" w:rsidRPr="002C1480" w:rsidRDefault="002C1480" w:rsidP="00C32F85">
      <w:pPr>
        <w:spacing w:after="0" w:line="254" w:lineRule="atLeast"/>
        <w:jc w:val="both"/>
        <w:rPr>
          <w:rFonts w:ascii="Arial" w:eastAsia="Times New Roman" w:hAnsi="Arial" w:cs="Arial"/>
          <w:color w:val="000000"/>
          <w:lang w:eastAsia="es-CO"/>
        </w:rPr>
      </w:pPr>
      <w:bookmarkStart w:id="745" w:name="ver_30057135"/>
      <w:bookmarkEnd w:id="745"/>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2.6.2.1.1.7. Determinación de los derechos de voto de los acreedores. Para efectos de la determinación de votos, las obligaciones fiscales se actualizarán de conformidad con el numeral primero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22 de la Ley 550 de 1999. </w:t>
      </w:r>
    </w:p>
    <w:p w14:paraId="474C6E8D" w14:textId="268F94D6"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46" w:name="ver_30057136"/>
      <w:bookmarkEnd w:id="746"/>
    </w:p>
    <w:p w14:paraId="5A39ED2A" w14:textId="6D4D99B3" w:rsidR="008F7B3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2.6.2.1.1.8. Acuerdo de pago respecto de obligaciones fiscales. Sin perjuicio de las disposiciones especiales de la Ley 550 de 1999 y de lo previsto en esta sección, el acuerdo de reestructuración constituye acuerdo de pago respecto de las obligaciones fiscales reestructuradas. </w:t>
      </w:r>
    </w:p>
    <w:p w14:paraId="550E5E90" w14:textId="77777777" w:rsidR="00744A34" w:rsidRPr="002C1480" w:rsidRDefault="00744A34" w:rsidP="00C32F85">
      <w:pPr>
        <w:spacing w:after="0" w:line="254" w:lineRule="atLeast"/>
        <w:jc w:val="both"/>
        <w:rPr>
          <w:rFonts w:ascii="Arial" w:eastAsia="Times New Roman" w:hAnsi="Arial" w:cs="Arial"/>
          <w:color w:val="000000"/>
          <w:lang w:eastAsia="es-CO"/>
        </w:rPr>
      </w:pPr>
    </w:p>
    <w:p w14:paraId="7B4C4B35" w14:textId="45F944AF"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el inciso anterior, y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52 de la Ley 550 de 1999, las facilidades de pago a que se refieren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siguientes de la presente sección podrán celebrarse sólo respecto de las obligaciones por concepto de retención en la fuente. </w:t>
      </w:r>
    </w:p>
    <w:p w14:paraId="6AF6AD71"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7" w:name="ver_30057137"/>
      <w:bookmarkEnd w:id="747"/>
    </w:p>
    <w:p w14:paraId="1468B393" w14:textId="5A4555F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2.6.2.1.1.9. Autorización para adelantar acuerdos de pago IVA y retenciones en la fuente. Se entenderá que existe urgencia, conveniencia y necesidad, para efectos de la autorización consagrada en el inciso tercero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17 de la Ley 550 de 1999, cuando cualquiera de los sujetos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125 de la Ley 1116 de 2006 que adelante un acuerdo de reestructuración solicite autorización para efectuar pagos o celebrar acuerdos o facilidades de pago, respecto de las sumas que adeude por concepto de Impuesto a las Ventas, IVA, y retenciones en la fuente de cualquiera de los impuestos nacionales, así como los intereses, sanciones o actualizaciones que se deriven exclusivamente de estos conceptos. </w:t>
      </w:r>
    </w:p>
    <w:p w14:paraId="0FBDDB0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897AF6" w14:textId="61CDEFB6"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Igualmente, se entenderá que existe urgencia, conveniencia y necesidad, cualquiera de los sujetos de que trata el inciso anterior solicite autorización para llevar a cabo las compensaciones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815 del Estatuto Tributario, con el fin de efectuar los pagos respecto de las sumas que adeude por concepto de Impuesto a las Ventas, IVA, y retenciones en la fuente de cualquiera de los impuestos nacionales, así como los intereses, sanciones o actualizaciones que se deriven exclusivamente de estos conceptos. </w:t>
      </w:r>
    </w:p>
    <w:p w14:paraId="4AFBD5D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48" w:name="ver_30057138"/>
      <w:bookmarkEnd w:id="748"/>
    </w:p>
    <w:p w14:paraId="3A48BB05" w14:textId="7B175BAB"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2.6.2.1.1.10. Pagos o acuerdos de pagos a la DIAN. El Superintendente competente o el Ministerio de Hacienda y Crédito Público, según el caso, podrán autorizar a cualquiera de los sujetos de que trata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125 de la Ley 1116 de 2006 que adelanten un acuerdo de reestructuración, para efectuar los pagos correspondientes a las sumas señaladas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anterior o celebrar con la Dirección de Impuestos y Aduanas Nacionales acuerdos o facilidades de pago, sobre la totalidad de dichas sumas, de conformidad con el inciso 3º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17 de la Ley 550 de 1999. </w:t>
      </w:r>
    </w:p>
    <w:p w14:paraId="133B794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A92136" w14:textId="7DFF0288"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efectos de la celebración de los acuerdos o facilidades de pago, se aplicarán las disposiciones contenidas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814 y siguientes del Estatuto Tributario. </w:t>
      </w:r>
    </w:p>
    <w:p w14:paraId="1AA7560C" w14:textId="77777777" w:rsidR="00744A34" w:rsidRDefault="00744A34" w:rsidP="00C32F85">
      <w:pPr>
        <w:spacing w:after="0" w:line="293" w:lineRule="atLeast"/>
        <w:jc w:val="both"/>
        <w:rPr>
          <w:rFonts w:ascii="Arial" w:eastAsia="Times New Roman" w:hAnsi="Arial" w:cs="Arial"/>
          <w:color w:val="000000"/>
          <w:lang w:eastAsia="es-CO"/>
        </w:rPr>
      </w:pPr>
      <w:bookmarkStart w:id="749" w:name="ver_30057139"/>
      <w:bookmarkEnd w:id="749"/>
    </w:p>
    <w:p w14:paraId="221E0136" w14:textId="234EA1F1"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TÍTULO 3</w:t>
      </w:r>
    </w:p>
    <w:p w14:paraId="742144B6" w14:textId="77777777"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ESTRATEGIA DE MONITOREO, SEGUIMIENTO Y CONTROL DEL SISTEMA</w:t>
      </w:r>
    </w:p>
    <w:p w14:paraId="3B5600FD" w14:textId="209CC661" w:rsidR="008F7B30"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GENERAL DE PARTICIPACIONES</w:t>
      </w:r>
    </w:p>
    <w:p w14:paraId="39733DAC" w14:textId="77777777" w:rsidR="00744A34" w:rsidRPr="00744A34" w:rsidRDefault="00744A34" w:rsidP="00744A34">
      <w:pPr>
        <w:spacing w:after="0" w:line="293" w:lineRule="atLeast"/>
        <w:jc w:val="center"/>
        <w:rPr>
          <w:rFonts w:ascii="Arial" w:eastAsia="Times New Roman" w:hAnsi="Arial" w:cs="Arial"/>
          <w:b/>
          <w:bCs/>
          <w:color w:val="000000"/>
          <w:lang w:eastAsia="es-CO"/>
        </w:rPr>
      </w:pPr>
    </w:p>
    <w:p w14:paraId="6D70C1F3" w14:textId="77777777"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CAPÍTULO 1</w:t>
      </w:r>
    </w:p>
    <w:p w14:paraId="19CD7187" w14:textId="77777777" w:rsidR="008F7B30" w:rsidRPr="00744A34" w:rsidRDefault="008F7B30"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ACTIVIDADES DE MONITOREO</w:t>
      </w:r>
    </w:p>
    <w:p w14:paraId="79891165"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0" w:name="ver_30057140"/>
      <w:bookmarkEnd w:id="750"/>
    </w:p>
    <w:p w14:paraId="1A6D493A" w14:textId="5373277D"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2.6.3.1.1. Actividades de monitoreo. Las actividades de monitoreo de que trata el numeral 3.1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comprenden la recopilación sistemática de información en los sectores de educación, salud, agua potable y saneamiento básico, y en las actividades de inversión financiadas con recursos de propósito general y asignaciones especiales del Sistema General de Participaciones; su consolidación, análisis y verificación para el cálculo de indicadores específicos y estratégicos de cada sector, que permitan identificar acciones u omisiones por parte de las entidades territoriales que puedan poner en riesgo la adecuada utilización de los recursos del Sistema General de Participaciones y/o el cumplimiento de las metas de calidad, cobertura y continuidad en la prestación de los servicios financiados con cargo a estos recursos. </w:t>
      </w:r>
    </w:p>
    <w:p w14:paraId="0D7EA4F6"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1" w:name="ver_30057141"/>
      <w:bookmarkEnd w:id="751"/>
    </w:p>
    <w:p w14:paraId="4E8B2BF6" w14:textId="5356B75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2.6.3.1.2. Entidades responsables. Las actividades de monitoreo estarán a cargo del ministerio respectivo para los sectores de educación, salud y agua potable y saneamiento básico. En las actividades de inversión financiadas con recursos de propósito general y asignaciones especiales del Sistema General de Participaciones, las actividades de monitoreo estarán a cargo del Departamento Nacional de Planeación. </w:t>
      </w:r>
    </w:p>
    <w:p w14:paraId="4C2257D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913E1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el desarrollo de las actividades de monitoreo en el sector salud, el Ministerio de Salud y Protección Social podrá solicitar informes y coordinar acciones con la Superintendencia Nacional de Salud, sin perjuicio de las competencias de inspección, vigilancia y control asignadas a esta última entidad. </w:t>
      </w:r>
    </w:p>
    <w:p w14:paraId="56447016" w14:textId="7A0C4C79"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52" w:name="ver_30057142"/>
      <w:bookmarkEnd w:id="752"/>
    </w:p>
    <w:p w14:paraId="1A8CE6B1" w14:textId="0AB049B7"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2.6.3.1.3. Coordinación de las actividades de monitoreo. Corresponde al Ministerio de Hacienda y Crédito Público, en desarrollo de lo dispuesto por el numeral 6.2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a través del sistema de información que adopte, consolidar y evaluar de manera integral los resultados de la actividad de monitoreo realizada por el Ministerio de Educación Nacional, el Ministerio de Salud y Protección Social, el Ministerio de Vivienda Ciudad y Territorio y el Departamento Nacional de Planeación. </w:t>
      </w:r>
    </w:p>
    <w:p w14:paraId="2A7AE0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14C38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este efecto, formulará orientaciones al Ministerio de Educación Nacional, el Ministerio de Salud y Protección Social, el Ministerio de Vivienda Ciudad y Territorio y al Departamento Nacional de Planeación acerca de los procedimientos y metodologías empleados para la captura, procesamiento, análisis y remisión de los resultados de las actividades de monitoreo. </w:t>
      </w:r>
    </w:p>
    <w:p w14:paraId="67D4DE9D" w14:textId="035BCB33"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53" w:name="ver_30057143"/>
      <w:bookmarkEnd w:id="753"/>
    </w:p>
    <w:p w14:paraId="6C6D2525" w14:textId="71A11AA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2.6.3.1.4. Periodicidad y reporte. Las actividades de monitoreo se realizarán de manera continua y el reporte al Ministerio de Hacienda y Crédito Público de que trata el numeral 6.2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6°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se efectuará anualmente, antes del 30 de junio de cada año, o excepcionalmente cuando el Ministerio de Educación Nacional, el Ministerio de Salud y Protección Social, el Ministerio de Vivienda Ciudad y Territorio o el Departamento Nacional de Planeación, según el caso, lo consideren necesario para adelantar labores de seguimiento o de adopción de medidas preventivas o correctivas. Este reporte deberá comprender, como mínimo, la siguiente información: </w:t>
      </w:r>
    </w:p>
    <w:p w14:paraId="3236F3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33E6F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Resultado de las actividades de monitoreo de aquellas entidades territoriales en las que, de acuerdo con los criterios de evaluación definidos por el Ministerio de Educación Nacional, el Ministerio de Salud y Protección Social, el Ministerio de Vivienda Ciudad y Territorio o el Departamento Nacional de Planeación, según el caso, atendiendo a lo dispuesto en el presente título, se evidencien acciones u omisiones que puedan poner en riesgo la adecuada utilización de los recursos del Sistema General de Participaciones, señalando el o los eventos de riesgo detectados. </w:t>
      </w:r>
    </w:p>
    <w:p w14:paraId="3F2FCC3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7B984C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Recomendaciones sobre las medidas a adoptar para prevenir o corregir los riesgos identificados. </w:t>
      </w:r>
    </w:p>
    <w:p w14:paraId="0A60CC33" w14:textId="2B0CEC50"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54" w:name="ver_30057144"/>
      <w:bookmarkEnd w:id="754"/>
    </w:p>
    <w:p w14:paraId="3E866F82" w14:textId="682FCB95"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2.6.3.1.5. Recopilación de la información. La recopilación de información requerida para el ejercicio de las actividades de monitoreo en los sectores de educación, salud, agua potable y saneamiento básico y en las actividades de inversión financiadas con recursos de propósito general y asignaciones especiales del Sistema General de Participaciones, se efectuará por parte del Ministerio de Educación Nacional, el Ministerio de Salud y Protección Social, el Ministerio de Vivienda Ciudad y Territorio o el Departamento Nacional de Planeación, según el caso, a través del Formato Único Territorial, FUT, o los instrumentos de recopilación adoptados por el Ministerio de Educación Nacional, el Ministerio de Salud y Protección Social, el Ministerio de Vivienda Ciudad y Territorio o el Departamento Nacional de Planeación, conforme con los parámetros y sistemas de información definidos para este efecto. </w:t>
      </w:r>
    </w:p>
    <w:p w14:paraId="4670A3CB"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488D38"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metodología para la consolidación y análisis de la información recopilada, será establecida por el Ministerio de Educación Nacional, el Ministerio de Salud y de la Protección Social, el Ministerio de Vivienda Ciudad y Territorio o el Departamento Nacional de Planeación, en el ámbito de sus competencias, atendiendo a las particularidades y naturaleza de cada sector o actividad de inversión. </w:t>
      </w:r>
    </w:p>
    <w:p w14:paraId="1EBC679F"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5" w:name="ver_30057145"/>
      <w:bookmarkEnd w:id="755"/>
    </w:p>
    <w:p w14:paraId="3CE002F2" w14:textId="3E2BD3D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2.6.3.1.6. Verificación. El Ministerio de Educación Nacional, el Ministerio de Salud y Protección Social, el Ministerio de Vivienda Ciudad y Territorio o el Departamento Nacional de Planeación, en el ámbito de sus competencias, podrá realizar visitas de campo con el fin de confrontar la información suministrada sobre la ejecución de los recursos del Sistema General de Participaciones, y brindar asistencia técnica para mejorar la consistencia y calidad de la información reportada. </w:t>
      </w:r>
    </w:p>
    <w:p w14:paraId="5F8D7C02"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6" w:name="ver_30057146"/>
      <w:bookmarkEnd w:id="756"/>
    </w:p>
    <w:p w14:paraId="51DB38DC" w14:textId="1BBFB4D1"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2.6.3.1.7. Información complementaria. El Ministerio de Educación Nacional, el Ministerio de Salud y Protección Social, el Ministerio de Vivienda Ciudad y Territorio o el Departamento Nacional de Planeación, en el ámbito de sus competencias, podrán solicitar a las entidades territoriales la información adicional a la descrita en el presente título, para el ejercicio de la actividad de monitoreo y, a su vez, podrán suministrarla al Ministerio de Hacienda y Crédito Público para definir las medidas a las que haya lugar. </w:t>
      </w:r>
    </w:p>
    <w:p w14:paraId="3D83D177"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7" w:name="ver_30057147"/>
      <w:bookmarkEnd w:id="757"/>
    </w:p>
    <w:p w14:paraId="05079914" w14:textId="125EEE60"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2.6.3.1.8. Coordinación con otras entidades. Con el propósito de asegurar que las actividades de monitoreo permitan identificar oportunamente eventos de riesgo en el uso de los recursos del Sistema General de Participaciones de propósito general y asignaciones especiales, el Departamento Nacional de Planeación podrá apoyarse en información suministrada por el Ministerio del Interior, Ministerio de Cultura, Ministerio de Vivienda, Ciudad y Territorio, Ministerio de Agricultura y Desarrollo Rural, Ministerio de Transporte, Ministerio de Educación Nacional, Instituto Colombiano de Bienestar Familiar, Instituto Nacional de Vías, Departamento Administrativo del Deporte, la Recreación, la Actividad física y el Aprovechamiento del Tiempo Libre – Coldeportes - , Departamento Administrativo Nacional de Estadística, Ministerio de Hacienda y Crédito Público, Corporaciones Autónomas Regionales y órganos de control, de acuerdo con las actividades sectoriales asignadas a las entidades territoriales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76 de la Ley 715 de 2001 y el Título IV de la Ley 1176 de 2007. </w:t>
      </w:r>
    </w:p>
    <w:p w14:paraId="0F88356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74D561"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Departamento Nacional de Planeación, si lo considera necesario, podrá suscribir convenios con entidades nacionales y de control para asegurar la remisión de la información que </w:t>
      </w:r>
      <w:r w:rsidRPr="002C1480">
        <w:rPr>
          <w:rFonts w:ascii="Arial" w:eastAsia="Times New Roman" w:hAnsi="Arial" w:cs="Arial"/>
          <w:color w:val="000000"/>
          <w:lang w:eastAsia="es-CO"/>
        </w:rPr>
        <w:lastRenderedPageBreak/>
        <w:t>requiera para el ejercicio de las actividades de monitoreo de los recursos del Sistema General de Participaciones de propósito general y asignaciones especiales. </w:t>
      </w:r>
    </w:p>
    <w:p w14:paraId="72463569"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58" w:name="ver_30057148"/>
      <w:bookmarkEnd w:id="758"/>
    </w:p>
    <w:p w14:paraId="0A7BDFFB" w14:textId="5A196EF2"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2.6.3.1.9. Actividades de los departamentos. En desarrollo de sus competencias legales, los Departamentos podrán brindar acompañamiento a los ministerios sectoriales y al Departamento Nacional de Planeación en el desarrollo de las actividades de monitoreo establecidas en 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respecto de los municipios ubicados en su jurisdicción, mediante la recopilación, procesamiento, análisis, consolidación y remisión de la información a los Ministerios de Educación Nacional y de Salud y Protección Social, el Ministerio de Vivienda Ciudad y Territorio y el Departamento Nacional de Planeación, para su sector o actividad de inversión, en las condiciones por estos señaladas, los cuales podrán efectuar verificaciones sobre la información así reportada. </w:t>
      </w:r>
    </w:p>
    <w:p w14:paraId="0AD6C213" w14:textId="77777777" w:rsidR="00744A34" w:rsidRDefault="00744A34" w:rsidP="00C32F85">
      <w:pPr>
        <w:spacing w:after="0" w:line="293" w:lineRule="atLeast"/>
        <w:jc w:val="both"/>
        <w:rPr>
          <w:rFonts w:ascii="Arial" w:eastAsia="Times New Roman" w:hAnsi="Arial" w:cs="Arial"/>
          <w:color w:val="000000"/>
          <w:lang w:eastAsia="es-CO"/>
        </w:rPr>
      </w:pPr>
      <w:bookmarkStart w:id="759" w:name="ver_30057149"/>
      <w:bookmarkEnd w:id="759"/>
    </w:p>
    <w:p w14:paraId="464D50BF" w14:textId="29D27B73" w:rsidR="008F7B30" w:rsidRPr="00744A34" w:rsidRDefault="008F7B30"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CAPÍTULO 2</w:t>
      </w:r>
    </w:p>
    <w:p w14:paraId="1F1F7AEB" w14:textId="77777777" w:rsidR="008F7B30" w:rsidRPr="00744A34" w:rsidRDefault="008F7B30"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ACTIVIDADES DE SEGUIMIENTO</w:t>
      </w:r>
    </w:p>
    <w:p w14:paraId="15BB5773"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60" w:name="ver_30057150"/>
      <w:bookmarkEnd w:id="760"/>
    </w:p>
    <w:p w14:paraId="4F169498" w14:textId="51C3122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2.6.3.2.1. Actividades de seguimiento. Las actividades de seguimiento de que trata el numeral 3.2 del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3°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se realizarán en los sectores de salud, educación, agua potable y saneamiento básico y las actividades de inversión financiadas con los recursos de propósito general y las asignaciones especiales del Sistema General de Participaciones, por parte del Ministerio de Hacienda y Crédito Público, a través de auditorías realizadas directamente o mediante la contratación de personas naturales o jurídicas, o mediante los procedimientos necesarios que permitan evidenciar los eventos de riesgo. </w:t>
      </w:r>
    </w:p>
    <w:p w14:paraId="4456F2DA"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61" w:name="ver_30057151"/>
      <w:bookmarkEnd w:id="761"/>
    </w:p>
    <w:p w14:paraId="56AF6DD6" w14:textId="3E3F30A4"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2.6.3.2.2. Objeto de las actividades de seguimiento. Las actividades de seguimiento que adelante el Ministerio de Hacienda y Crédito Público, comprenden la evaluación y análisis de los procesos administrativos, institucionales, fiscales, presupuestales, contractuales y sectoriales de las entidades territoriales, las cuales permiten evidenciar y cualificar la existencia de eventos de riesgo que afecten o puedan llegar a afectar la ejecución de los recursos, el cumplimiento de las metas de continuidad, cobertura y calidad en la prestación de servicios. </w:t>
      </w:r>
    </w:p>
    <w:p w14:paraId="51FF6B88"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62" w:name="ver_30057152"/>
      <w:bookmarkEnd w:id="762"/>
    </w:p>
    <w:p w14:paraId="4ECD1E24" w14:textId="59833F7A"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2.6.3.2.3. Ámbito de aplicación de las actividades de auditoría. La auditoría podrá realizarse en forma integral a los procesos y actividades que realizan las entidades territoriales, o sobre proyectos específicos que se estén ejecutando con recursos del Sistema General de Participaciones. Para este efecto, el Ministerio de Hacienda y Crédito Público podrá adelantar diligencias, averiguaciones y/o solicitar información a los operadores de concesiones, administradores de servicios y en general a las personas naturales o jurídicas, públicas o privadas, que ejecutan proyectos o prestan servicios financiados con recursos del Sistema General de Participaciones. </w:t>
      </w:r>
    </w:p>
    <w:p w14:paraId="2361D452" w14:textId="77777777" w:rsidR="008F7B30" w:rsidRPr="00744A34" w:rsidRDefault="008F7B30" w:rsidP="00744A34">
      <w:pPr>
        <w:spacing w:after="0" w:line="293" w:lineRule="atLeast"/>
        <w:jc w:val="center"/>
        <w:rPr>
          <w:rFonts w:ascii="Arial" w:eastAsia="Times New Roman" w:hAnsi="Arial" w:cs="Arial"/>
          <w:b/>
          <w:bCs/>
          <w:color w:val="000000"/>
          <w:lang w:eastAsia="es-CO"/>
        </w:rPr>
      </w:pPr>
      <w:bookmarkStart w:id="763" w:name="ver_30057153"/>
      <w:bookmarkEnd w:id="763"/>
      <w:r w:rsidRPr="00744A34">
        <w:rPr>
          <w:rFonts w:ascii="Arial" w:eastAsia="Times New Roman" w:hAnsi="Arial" w:cs="Arial"/>
          <w:b/>
          <w:bCs/>
          <w:color w:val="000000"/>
          <w:lang w:eastAsia="es-CO"/>
        </w:rPr>
        <w:t>CAPÍTULO 3</w:t>
      </w:r>
    </w:p>
    <w:p w14:paraId="7B1B1C76" w14:textId="77777777" w:rsidR="008F7B30" w:rsidRPr="00744A34" w:rsidRDefault="008F7B30"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EVENTOS DE RIESGO</w:t>
      </w:r>
    </w:p>
    <w:p w14:paraId="5A1FD06E" w14:textId="77777777" w:rsidR="008F7B30" w:rsidRPr="002C1480" w:rsidRDefault="008F7B30" w:rsidP="00C32F85">
      <w:pPr>
        <w:spacing w:after="0" w:line="240" w:lineRule="auto"/>
        <w:jc w:val="both"/>
        <w:rPr>
          <w:rFonts w:ascii="Arial" w:eastAsia="Times New Roman" w:hAnsi="Arial" w:cs="Arial"/>
          <w:color w:val="000000"/>
          <w:lang w:eastAsia="es-CO"/>
        </w:rPr>
      </w:pPr>
      <w:bookmarkStart w:id="764" w:name="ver_30057154"/>
      <w:bookmarkEnd w:id="764"/>
    </w:p>
    <w:p w14:paraId="118BE5A7" w14:textId="49FA1146"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2.6.3.3.1. Acciones a adelantar. Con sujeción a los resultados de las actividades de monitoreo y/o seguimiento y a lo dispuesto en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2.6.3.4.3 de del Capítulo 4 del presente título, y previa confirmación de la existencia de un evento de riesgo, el Ministerio de Hacienda y Crédito Público adoptará cualquiera de las siguientes acciones: </w:t>
      </w:r>
    </w:p>
    <w:p w14:paraId="3EF5FB6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BA800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Adopción de medida preventiva mediante la suscripción del plan de desempeño correspondiente, con sujeción a lo dispuesto en la Sección 1 del Capítulo 4 del presente título o las disposiciones que lo modifiquen o sustituyan. </w:t>
      </w:r>
    </w:p>
    <w:p w14:paraId="76CF4032"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DEB77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Adopción de medidas correctivas de suspensión y/o giro directo de recursos, según el caso, con sujeción a lo dispuesto en la sección 2 del Capítulo 4 del presente título o las disposiciones que lo modifiquen o sustituyan. </w:t>
      </w:r>
    </w:p>
    <w:p w14:paraId="063179C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1A3C9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Solicitud a la Procuraduría General de la Nación de suspensión inmediata, antes de que sea expedido el acto de adjudicación respectivo, de los procesos de selección contractual, en los cuales no se prevea o asegure el cumplimiento de las metas de continuidad, cobertura y calidad en los servicios, o no se adecuen a los trámites contractuales o presupuestales dispuestos por la ley, sin perjuicio de adoptar las medidas preventivas o correctivas a que haya lugar. </w:t>
      </w:r>
    </w:p>
    <w:p w14:paraId="1093FAA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0475B3"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Solicitud a la Superintendencia de Sociedades de la declaratoria de ineficacia de los contratos vigentes celebrados por la entidad territorial, cuya ejecución no asegure la continuidad en la prestación del servicio, ni el cumplimiento de las metas de continuidad, cobertura y calidad, o el adecuado uso de los recursos del Sistema General de Participaciones, sin perjuicio de adoptar las medidas preventivas o correctivas a que haya lugar. </w:t>
      </w:r>
    </w:p>
    <w:p w14:paraId="7E240600"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07341F" w14:textId="76A603E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Presentación al Conpes Social, por parte del Ministerio de Hacienda Y Crédito Público, de los informes de evaluación de las actividades de monitoreo y/o seguimiento y la solicitud de recomendación para la adopción de la medida de asunción temporal de la competencia por parte del Departamento o la Nación, según el caso, con arreglo a lo dispuesto por el numeral 13.3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w:t>
      </w:r>
    </w:p>
    <w:p w14:paraId="7A67687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20A4C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Previa recomendación del Conpes Social, la adopción por parte del Ministerio de Hacienda y Crédito Público, de la medida de asunción temporal de la competencia en cualquiera de los sectores financiados con cargo a los recursos del Sistema General de Participaciones. </w:t>
      </w:r>
    </w:p>
    <w:p w14:paraId="6327A7A2" w14:textId="5C11DBDE" w:rsidR="008F7B30" w:rsidRPr="002C1480" w:rsidRDefault="008F7B3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65" w:name="ver_30057155"/>
      <w:bookmarkEnd w:id="765"/>
    </w:p>
    <w:p w14:paraId="0356DFDA" w14:textId="485FC199" w:rsidR="008F7B30"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2.6.3.3.2. Criterios de calificación de eventos de riesgo. Los criterios de calificación de los eventos de riesgo a que hace referencia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identificables mediante las acciones de monitoreo y/o seguimiento, considerarán los siguientes indicadores: </w:t>
      </w:r>
    </w:p>
    <w:p w14:paraId="36D6542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686C6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Indicadores cuantitativos, los cuales presentan cuatro posibles calificaciones: </w:t>
      </w:r>
    </w:p>
    <w:p w14:paraId="5C14C49A"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C71F77"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Crítico alto </w:t>
      </w:r>
    </w:p>
    <w:p w14:paraId="290ED1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8FA615"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Crítico medio </w:t>
      </w:r>
    </w:p>
    <w:p w14:paraId="79E3363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A4AE5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Crítico bajo </w:t>
      </w:r>
    </w:p>
    <w:p w14:paraId="74C1BDF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A26016"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Aceptable </w:t>
      </w:r>
    </w:p>
    <w:p w14:paraId="3B4D096E"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6F87D9"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Indicadores cualitativos, los cuales presentan dos posibles calificaciones: </w:t>
      </w:r>
    </w:p>
    <w:p w14:paraId="72BB3CDC"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1ACA7F"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Cumple </w:t>
      </w:r>
    </w:p>
    <w:p w14:paraId="62D7264D"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E552B4" w14:textId="77777777" w:rsidR="008F7B30" w:rsidRPr="002C1480" w:rsidRDefault="008F7B3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 cumple </w:t>
      </w:r>
    </w:p>
    <w:p w14:paraId="6228DEB2" w14:textId="54F04F46" w:rsidR="008F7B30" w:rsidRPr="002C1480" w:rsidRDefault="002C1480" w:rsidP="00C32F85">
      <w:pPr>
        <w:spacing w:after="0" w:line="254" w:lineRule="atLeast"/>
        <w:jc w:val="both"/>
        <w:rPr>
          <w:rFonts w:ascii="Arial" w:eastAsia="Times New Roman" w:hAnsi="Arial" w:cs="Arial"/>
          <w:color w:val="000000"/>
          <w:lang w:eastAsia="es-CO"/>
        </w:rPr>
      </w:pPr>
      <w:bookmarkStart w:id="766" w:name="ver_30057156"/>
      <w:bookmarkEnd w:id="766"/>
      <w:r w:rsidRPr="002C1480">
        <w:rPr>
          <w:rFonts w:ascii="Arial" w:eastAsia="Times New Roman" w:hAnsi="Arial" w:cs="Arial"/>
          <w:color w:val="000000"/>
          <w:lang w:eastAsia="es-CO"/>
        </w:rPr>
        <w:lastRenderedPageBreak/>
        <w:t>ARTÍCULO</w:t>
      </w:r>
      <w:r w:rsidR="008F7B30" w:rsidRPr="002C1480">
        <w:rPr>
          <w:rFonts w:ascii="Arial" w:eastAsia="Times New Roman" w:hAnsi="Arial" w:cs="Arial"/>
          <w:color w:val="000000"/>
          <w:lang w:eastAsia="es-CO"/>
        </w:rPr>
        <w:t xml:space="preserve"> 2.6.3.3.3. Condiciones generales para calificación de eventos de riesgo. Las condiciones generales, criterios e indicadores con sujeción a las cuales se calificarán los eventos de riesgo a que alude el </w:t>
      </w:r>
      <w:r w:rsidRPr="002C1480">
        <w:rPr>
          <w:rFonts w:ascii="Arial" w:eastAsia="Times New Roman" w:hAnsi="Arial" w:cs="Arial"/>
          <w:color w:val="000000"/>
          <w:lang w:eastAsia="es-CO"/>
        </w:rPr>
        <w:t>ARTÍCULO</w:t>
      </w:r>
      <w:r w:rsidR="008F7B30" w:rsidRPr="002C1480">
        <w:rPr>
          <w:rFonts w:ascii="Arial" w:eastAsia="Times New Roman" w:hAnsi="Arial" w:cs="Arial"/>
          <w:color w:val="000000"/>
          <w:lang w:eastAsia="es-CO"/>
        </w:rPr>
        <w:t xml:space="preserve"> 9° del </w:t>
      </w:r>
      <w:r w:rsidR="008D6289">
        <w:rPr>
          <w:rFonts w:ascii="Arial" w:eastAsia="Times New Roman" w:hAnsi="Arial" w:cs="Arial"/>
          <w:color w:val="000000"/>
          <w:lang w:eastAsia="es-CO"/>
        </w:rPr>
        <w:t>DECRETO</w:t>
      </w:r>
      <w:r w:rsidR="008F7B30" w:rsidRPr="002C1480">
        <w:rPr>
          <w:rFonts w:ascii="Arial" w:eastAsia="Times New Roman" w:hAnsi="Arial" w:cs="Arial"/>
          <w:color w:val="000000"/>
          <w:lang w:eastAsia="es-CO"/>
        </w:rPr>
        <w:t xml:space="preserve"> 028 de 2008, y bajo los cuales se determinará la procedencia de medidas preventivas o correctivas, podrán ser entre otras, las indicadas a continuación: </w:t>
      </w:r>
    </w:p>
    <w:p w14:paraId="16129E80" w14:textId="3CF0DC9E" w:rsidR="00081A2A" w:rsidRPr="002C1480" w:rsidRDefault="00081A2A" w:rsidP="00C32F85">
      <w:pPr>
        <w:shd w:val="clear" w:color="auto" w:fill="FFFFFF" w:themeFill="background1"/>
        <w:spacing w:after="0" w:line="240" w:lineRule="auto"/>
        <w:jc w:val="both"/>
        <w:rPr>
          <w:rFonts w:ascii="Arial" w:eastAsia="Times New Roman" w:hAnsi="Arial" w:cs="Arial"/>
          <w:lang w:eastAsia="es-CO"/>
        </w:rPr>
      </w:pPr>
    </w:p>
    <w:p w14:paraId="7F4C69A5" w14:textId="30C85F7F" w:rsidR="00B01F66" w:rsidRPr="002C1480" w:rsidRDefault="001B36A4" w:rsidP="00C32F85">
      <w:pPr>
        <w:shd w:val="clear" w:color="auto" w:fill="FFFFFF" w:themeFill="background1"/>
        <w:spacing w:after="0" w:line="240" w:lineRule="auto"/>
        <w:jc w:val="both"/>
        <w:rPr>
          <w:rFonts w:ascii="Arial" w:eastAsia="Times New Roman" w:hAnsi="Arial" w:cs="Arial"/>
          <w:lang w:eastAsia="es-CO"/>
        </w:rPr>
      </w:pPr>
      <w:r>
        <w:rPr>
          <w:noProof/>
          <w:lang w:eastAsia="es-CO"/>
        </w:rPr>
        <w:drawing>
          <wp:inline distT="0" distB="0" distL="0" distR="0" wp14:anchorId="123CF9EF" wp14:editId="7B311093">
            <wp:extent cx="4298950" cy="5534026"/>
            <wp:effectExtent l="0" t="0" r="635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4298950" cy="5534026"/>
                    </a:xfrm>
                    <a:prstGeom prst="rect">
                      <a:avLst/>
                    </a:prstGeom>
                  </pic:spPr>
                </pic:pic>
              </a:graphicData>
            </a:graphic>
          </wp:inline>
        </w:drawing>
      </w:r>
    </w:p>
    <w:p w14:paraId="120468A6" w14:textId="07CA9C92" w:rsidR="005D0387" w:rsidRPr="002C1480" w:rsidRDefault="005D0387"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0732FF18" wp14:editId="041B562D">
            <wp:extent cx="4274820" cy="426339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4274820" cy="4263390"/>
                    </a:xfrm>
                    <a:prstGeom prst="rect">
                      <a:avLst/>
                    </a:prstGeom>
                  </pic:spPr>
                </pic:pic>
              </a:graphicData>
            </a:graphic>
          </wp:inline>
        </w:drawing>
      </w:r>
    </w:p>
    <w:p w14:paraId="02E5355B" w14:textId="2E3C8CE5" w:rsidR="001357A1" w:rsidRPr="002C1480" w:rsidRDefault="001357A1" w:rsidP="00C32F85">
      <w:pPr>
        <w:shd w:val="clear" w:color="auto" w:fill="FFFFFF" w:themeFill="background1"/>
        <w:spacing w:after="0" w:line="240" w:lineRule="auto"/>
        <w:jc w:val="both"/>
        <w:rPr>
          <w:rFonts w:ascii="Arial" w:eastAsia="Times New Roman" w:hAnsi="Arial" w:cs="Arial"/>
          <w:lang w:eastAsia="es-CO"/>
        </w:rPr>
      </w:pPr>
    </w:p>
    <w:p w14:paraId="63F606CE" w14:textId="1F9FA949" w:rsidR="001357A1" w:rsidRPr="002C1480" w:rsidRDefault="001357A1"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6F552B62" wp14:editId="7C38A848">
            <wp:extent cx="4382136" cy="4832984"/>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4382136" cy="4832984"/>
                    </a:xfrm>
                    <a:prstGeom prst="rect">
                      <a:avLst/>
                    </a:prstGeom>
                  </pic:spPr>
                </pic:pic>
              </a:graphicData>
            </a:graphic>
          </wp:inline>
        </w:drawing>
      </w:r>
    </w:p>
    <w:p w14:paraId="4B2E23E5" w14:textId="06DE86DF" w:rsidR="00A15B91" w:rsidRPr="002C1480" w:rsidRDefault="00A15B91"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642573F2" wp14:editId="158CF43A">
            <wp:extent cx="4251325" cy="56286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4251325" cy="5628640"/>
                    </a:xfrm>
                    <a:prstGeom prst="rect">
                      <a:avLst/>
                    </a:prstGeom>
                  </pic:spPr>
                </pic:pic>
              </a:graphicData>
            </a:graphic>
          </wp:inline>
        </w:drawing>
      </w:r>
    </w:p>
    <w:p w14:paraId="21E8D94E" w14:textId="58BCA72C" w:rsidR="006A0010" w:rsidRPr="002C1480" w:rsidRDefault="006A0010"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370BF7AA" wp14:editId="18F78C41">
            <wp:extent cx="4524375" cy="286194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4524375" cy="2861945"/>
                    </a:xfrm>
                    <a:prstGeom prst="rect">
                      <a:avLst/>
                    </a:prstGeom>
                  </pic:spPr>
                </pic:pic>
              </a:graphicData>
            </a:graphic>
          </wp:inline>
        </w:drawing>
      </w:r>
    </w:p>
    <w:p w14:paraId="58661AF3" w14:textId="0775B3D0" w:rsidR="006A0010" w:rsidRPr="002C1480" w:rsidRDefault="006A0010" w:rsidP="00C32F85">
      <w:pPr>
        <w:shd w:val="clear" w:color="auto" w:fill="FFFFFF" w:themeFill="background1"/>
        <w:spacing w:after="0" w:line="240" w:lineRule="auto"/>
        <w:jc w:val="both"/>
        <w:rPr>
          <w:rFonts w:ascii="Arial" w:eastAsia="Times New Roman" w:hAnsi="Arial" w:cs="Arial"/>
          <w:lang w:eastAsia="es-CO"/>
        </w:rPr>
      </w:pPr>
    </w:p>
    <w:p w14:paraId="497FEF8E" w14:textId="7240D753" w:rsidR="006A0010" w:rsidRPr="002C1480" w:rsidRDefault="006A0010" w:rsidP="00C32F85">
      <w:pPr>
        <w:shd w:val="clear" w:color="auto" w:fill="FFFFFF" w:themeFill="background1"/>
        <w:spacing w:after="0" w:line="240" w:lineRule="auto"/>
        <w:jc w:val="both"/>
        <w:rPr>
          <w:rFonts w:ascii="Arial" w:eastAsia="Times New Roman" w:hAnsi="Arial" w:cs="Arial"/>
          <w:lang w:eastAsia="es-CO"/>
        </w:rPr>
      </w:pPr>
      <w:r>
        <w:rPr>
          <w:noProof/>
          <w:lang w:eastAsia="es-CO"/>
        </w:rPr>
        <w:drawing>
          <wp:inline distT="0" distB="0" distL="0" distR="0" wp14:anchorId="26A0C5DD" wp14:editId="7362886B">
            <wp:extent cx="4286250" cy="435800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4">
                      <a:extLst>
                        <a:ext uri="{28A0092B-C50C-407E-A947-70E740481C1C}">
                          <a14:useLocalDpi xmlns:a14="http://schemas.microsoft.com/office/drawing/2010/main" val="0"/>
                        </a:ext>
                      </a:extLst>
                    </a:blip>
                    <a:stretch>
                      <a:fillRect/>
                    </a:stretch>
                  </pic:blipFill>
                  <pic:spPr>
                    <a:xfrm>
                      <a:off x="0" y="0"/>
                      <a:ext cx="4286250" cy="4358005"/>
                    </a:xfrm>
                    <a:prstGeom prst="rect">
                      <a:avLst/>
                    </a:prstGeom>
                  </pic:spPr>
                </pic:pic>
              </a:graphicData>
            </a:graphic>
          </wp:inline>
        </w:drawing>
      </w:r>
    </w:p>
    <w:p w14:paraId="3C917806" w14:textId="12286D63" w:rsidR="006A0010" w:rsidRPr="002C1480" w:rsidRDefault="006A0010" w:rsidP="00C32F85">
      <w:pPr>
        <w:shd w:val="clear" w:color="auto" w:fill="FFFFFF" w:themeFill="background1"/>
        <w:spacing w:after="0" w:line="240" w:lineRule="auto"/>
        <w:jc w:val="both"/>
        <w:rPr>
          <w:rFonts w:ascii="Arial" w:eastAsia="Times New Roman" w:hAnsi="Arial" w:cs="Arial"/>
          <w:lang w:eastAsia="es-CO"/>
        </w:rPr>
      </w:pPr>
    </w:p>
    <w:p w14:paraId="33F93566" w14:textId="5840C217" w:rsidR="004F433C" w:rsidRPr="002C1480" w:rsidRDefault="004F433C"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01B1D3B6" wp14:editId="17FB9BA6">
            <wp:extent cx="4382136" cy="5557522"/>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5">
                      <a:extLst>
                        <a:ext uri="{28A0092B-C50C-407E-A947-70E740481C1C}">
                          <a14:useLocalDpi xmlns:a14="http://schemas.microsoft.com/office/drawing/2010/main" val="0"/>
                        </a:ext>
                      </a:extLst>
                    </a:blip>
                    <a:stretch>
                      <a:fillRect/>
                    </a:stretch>
                  </pic:blipFill>
                  <pic:spPr>
                    <a:xfrm>
                      <a:off x="0" y="0"/>
                      <a:ext cx="4382136" cy="5557522"/>
                    </a:xfrm>
                    <a:prstGeom prst="rect">
                      <a:avLst/>
                    </a:prstGeom>
                  </pic:spPr>
                </pic:pic>
              </a:graphicData>
            </a:graphic>
          </wp:inline>
        </w:drawing>
      </w:r>
    </w:p>
    <w:p w14:paraId="4762CD2A" w14:textId="2C23075F" w:rsidR="003A0184" w:rsidRPr="002C1480" w:rsidRDefault="003A0184"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28E1B9A0" wp14:editId="56C75574">
            <wp:extent cx="4441190" cy="41325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6">
                      <a:extLst>
                        <a:ext uri="{28A0092B-C50C-407E-A947-70E740481C1C}">
                          <a14:useLocalDpi xmlns:a14="http://schemas.microsoft.com/office/drawing/2010/main" val="0"/>
                        </a:ext>
                      </a:extLst>
                    </a:blip>
                    <a:stretch>
                      <a:fillRect/>
                    </a:stretch>
                  </pic:blipFill>
                  <pic:spPr>
                    <a:xfrm>
                      <a:off x="0" y="0"/>
                      <a:ext cx="4441190" cy="4132580"/>
                    </a:xfrm>
                    <a:prstGeom prst="rect">
                      <a:avLst/>
                    </a:prstGeom>
                  </pic:spPr>
                </pic:pic>
              </a:graphicData>
            </a:graphic>
          </wp:inline>
        </w:drawing>
      </w:r>
    </w:p>
    <w:p w14:paraId="56DE8507" w14:textId="348D7C08" w:rsidR="003228FD" w:rsidRPr="002C1480" w:rsidRDefault="003228FD" w:rsidP="00C32F85">
      <w:pPr>
        <w:shd w:val="clear" w:color="auto" w:fill="FFFFFF" w:themeFill="background1"/>
        <w:spacing w:after="0" w:line="240" w:lineRule="auto"/>
        <w:jc w:val="both"/>
        <w:rPr>
          <w:rFonts w:ascii="Arial" w:eastAsia="Times New Roman" w:hAnsi="Arial" w:cs="Arial"/>
          <w:lang w:eastAsia="es-CO"/>
        </w:rPr>
      </w:pPr>
      <w:r>
        <w:rPr>
          <w:noProof/>
          <w:lang w:eastAsia="es-CO"/>
        </w:rPr>
        <w:drawing>
          <wp:inline distT="0" distB="0" distL="0" distR="0" wp14:anchorId="268B9A3C" wp14:editId="76712B6B">
            <wp:extent cx="4417695" cy="398145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7">
                      <a:extLst>
                        <a:ext uri="{28A0092B-C50C-407E-A947-70E740481C1C}">
                          <a14:useLocalDpi xmlns:a14="http://schemas.microsoft.com/office/drawing/2010/main" val="0"/>
                        </a:ext>
                      </a:extLst>
                    </a:blip>
                    <a:stretch>
                      <a:fillRect/>
                    </a:stretch>
                  </pic:blipFill>
                  <pic:spPr>
                    <a:xfrm>
                      <a:off x="0" y="0"/>
                      <a:ext cx="4417695" cy="3981450"/>
                    </a:xfrm>
                    <a:prstGeom prst="rect">
                      <a:avLst/>
                    </a:prstGeom>
                  </pic:spPr>
                </pic:pic>
              </a:graphicData>
            </a:graphic>
          </wp:inline>
        </w:drawing>
      </w:r>
    </w:p>
    <w:p w14:paraId="32DC1D04" w14:textId="50D91E61" w:rsidR="003228FD" w:rsidRPr="002C1480" w:rsidRDefault="003228FD"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0C6F238E" wp14:editId="0A710A36">
            <wp:extent cx="4393565" cy="54864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393565" cy="5486400"/>
                    </a:xfrm>
                    <a:prstGeom prst="rect">
                      <a:avLst/>
                    </a:prstGeom>
                  </pic:spPr>
                </pic:pic>
              </a:graphicData>
            </a:graphic>
          </wp:inline>
        </w:drawing>
      </w:r>
    </w:p>
    <w:p w14:paraId="346F5764" w14:textId="720743A2" w:rsidR="00F20419" w:rsidRPr="002C1480" w:rsidRDefault="00F20419"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10A3E28A" wp14:editId="220E9483">
            <wp:extent cx="4429760" cy="5367656"/>
            <wp:effectExtent l="0" t="0" r="889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9">
                      <a:extLst>
                        <a:ext uri="{28A0092B-C50C-407E-A947-70E740481C1C}">
                          <a14:useLocalDpi xmlns:a14="http://schemas.microsoft.com/office/drawing/2010/main" val="0"/>
                        </a:ext>
                      </a:extLst>
                    </a:blip>
                    <a:stretch>
                      <a:fillRect/>
                    </a:stretch>
                  </pic:blipFill>
                  <pic:spPr>
                    <a:xfrm>
                      <a:off x="0" y="0"/>
                      <a:ext cx="4429760" cy="5367656"/>
                    </a:xfrm>
                    <a:prstGeom prst="rect">
                      <a:avLst/>
                    </a:prstGeom>
                  </pic:spPr>
                </pic:pic>
              </a:graphicData>
            </a:graphic>
          </wp:inline>
        </w:drawing>
      </w:r>
    </w:p>
    <w:p w14:paraId="1BBA8D33" w14:textId="648B9EF9" w:rsidR="00091C46" w:rsidRPr="002C1480" w:rsidRDefault="00091C46" w:rsidP="00C32F85">
      <w:pPr>
        <w:shd w:val="clear" w:color="auto" w:fill="FFFFFF" w:themeFill="background1"/>
        <w:spacing w:after="0" w:line="240" w:lineRule="auto"/>
        <w:jc w:val="both"/>
        <w:rPr>
          <w:rFonts w:ascii="Arial" w:eastAsia="Times New Roman" w:hAnsi="Arial" w:cs="Arial"/>
          <w:lang w:eastAsia="es-CO"/>
        </w:rPr>
      </w:pPr>
      <w:r>
        <w:rPr>
          <w:noProof/>
          <w:lang w:eastAsia="es-CO"/>
        </w:rPr>
        <w:lastRenderedPageBreak/>
        <w:drawing>
          <wp:inline distT="0" distB="0" distL="0" distR="0" wp14:anchorId="567E5406" wp14:editId="50911D46">
            <wp:extent cx="4548505" cy="3918585"/>
            <wp:effectExtent l="0" t="0" r="4445"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0">
                      <a:extLst>
                        <a:ext uri="{28A0092B-C50C-407E-A947-70E740481C1C}">
                          <a14:useLocalDpi xmlns:a14="http://schemas.microsoft.com/office/drawing/2010/main" val="0"/>
                        </a:ext>
                      </a:extLst>
                    </a:blip>
                    <a:stretch>
                      <a:fillRect/>
                    </a:stretch>
                  </pic:blipFill>
                  <pic:spPr>
                    <a:xfrm>
                      <a:off x="0" y="0"/>
                      <a:ext cx="4548505" cy="3918585"/>
                    </a:xfrm>
                    <a:prstGeom prst="rect">
                      <a:avLst/>
                    </a:prstGeom>
                  </pic:spPr>
                </pic:pic>
              </a:graphicData>
            </a:graphic>
          </wp:inline>
        </w:drawing>
      </w:r>
    </w:p>
    <w:p w14:paraId="5B5EB037" w14:textId="5A9B0E30" w:rsidR="00AF0C09" w:rsidRPr="002C1480" w:rsidRDefault="00AF0C09" w:rsidP="00C32F85">
      <w:pPr>
        <w:shd w:val="clear" w:color="auto" w:fill="FFFFFF" w:themeFill="background1"/>
        <w:spacing w:after="0" w:line="240" w:lineRule="auto"/>
        <w:jc w:val="both"/>
        <w:rPr>
          <w:rFonts w:ascii="Arial" w:eastAsia="Times New Roman" w:hAnsi="Arial" w:cs="Arial"/>
          <w:lang w:eastAsia="es-CO"/>
        </w:rPr>
      </w:pPr>
    </w:p>
    <w:p w14:paraId="129C067D" w14:textId="017CA14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En cada evento de riesgo, y con sujeción a la metodología dispuesta para este fin, los inisterios sectoriales o el Departamento Nacional de Planeación, en el ámbito de sus competencias, atendiendo a las características de cada sector o actividad de inversión y asignación especial, son los competentes para definir la metodología, condiciones, ponderación y límites aplicables para cada una de las calificaciones definidas en al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06B19A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8C05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este efecto, el Ministerio de Educación Nacional, el Ministerio de Salud y Protección Social, el Ministerio de Vivienda Ciudad y Territorio o el Departamento Nacional de Planeación, para su sector o actividad de inversión, atendiendo a lo dispuesto en el presente título, definirán y adoptarán las fichas técnicas, contenido de información, formatos y aplicativo requeridos. </w:t>
      </w:r>
    </w:p>
    <w:p w14:paraId="24C5BD2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F6DE5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todo caso, la presencia de dos o más eventos de riesgo podrá generar la adopción de medidas correctivas según la evaluación que se realice. </w:t>
      </w:r>
    </w:p>
    <w:p w14:paraId="6EF55A34" w14:textId="53805075"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67" w:name="ver_30203202"/>
      <w:bookmarkEnd w:id="767"/>
    </w:p>
    <w:p w14:paraId="559260C5" w14:textId="03BE234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2.6.3.3.4. Identificación del riesgo relacionado con el Sisbén. La identificación del riesgo definido en el numeral 9.11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en lo relacionado con el Sistema de Identificación de Potenciales Beneficiarios de Programas Sociales, Sisbén, se realizará mediante listados definidos por el Departamento Nacional de Planeación remitidos antes del 30 de junio de cada año, al Ministerio de Hacienda y Crédito Público, respecto de las entidades territoriales que: a) no dispongan de dicho sistema; b) no lo tengan actualizado, o c) cuyo sistema no esté operando bajo parámetros de calidad. En este evento, el Departamento Nacional de Planeación apoyará al Ministerio de Hacienda y Crédito Público en la realización de auditorías cuando sea necesario. </w:t>
      </w:r>
    </w:p>
    <w:p w14:paraId="3E246A5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68" w:name="ver_30203203"/>
      <w:bookmarkEnd w:id="768"/>
    </w:p>
    <w:p w14:paraId="160F6604" w14:textId="6CE015A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2.6.3.3.5. Cumplimiento de metas. Para efectos de determinar los eventos de riesgo relacionados con el cumplimiento de metas de cobertura, calidad y continuidad en la prestación de los servicios de educación, salud, agua potable y saneamiento básico y en las actividades de inversión financiadas con recursos de propósito general y asignaciones especiales financiadas con cargo a los recursos del Sistema General de Participaciones, los Ministerios de Educación Nacional y de Salud y Protección Social, el Ministerio de Vivienda Ciudad y Territorio y el Departamento Nacional de Planeación, para su sector o actividad de inversión, definirán anualmente, antes del treinta (30) de junio, que se entenderá por metas de cobertura, continuidad y calidad y su respectivo cumplimiento. </w:t>
      </w:r>
    </w:p>
    <w:p w14:paraId="73A39E72" w14:textId="77777777" w:rsidR="00744A34" w:rsidRDefault="00744A34" w:rsidP="00C32F85">
      <w:pPr>
        <w:spacing w:after="0" w:line="293" w:lineRule="atLeast"/>
        <w:jc w:val="both"/>
        <w:rPr>
          <w:rFonts w:ascii="Arial" w:eastAsia="Times New Roman" w:hAnsi="Arial" w:cs="Arial"/>
          <w:color w:val="000000"/>
          <w:lang w:eastAsia="es-CO"/>
        </w:rPr>
      </w:pPr>
      <w:bookmarkStart w:id="769" w:name="ver_30057157"/>
      <w:bookmarkEnd w:id="769"/>
    </w:p>
    <w:p w14:paraId="35FF481D" w14:textId="7C9B79FB" w:rsidR="00AF0C09" w:rsidRPr="00744A34" w:rsidRDefault="00AF0C09"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CAPÍTULO 4</w:t>
      </w:r>
    </w:p>
    <w:p w14:paraId="633A60ED" w14:textId="77777777" w:rsidR="00744A34" w:rsidRDefault="00AF0C09"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 xml:space="preserve">ACTIVIDADES DE CONTROL </w:t>
      </w:r>
    </w:p>
    <w:p w14:paraId="1D7E4399" w14:textId="4731F96B" w:rsidR="00AF0C09" w:rsidRPr="00744A34" w:rsidRDefault="00AF0C09"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ADOPCIÓN DE MEDIDAS PREVENTIVAS O CORRECTIVAS</w:t>
      </w:r>
    </w:p>
    <w:p w14:paraId="0FF40DD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0" w:name="ver_30057158"/>
      <w:bookmarkEnd w:id="770"/>
    </w:p>
    <w:p w14:paraId="20C4A37D" w14:textId="5482634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2.6.3.4.1 Procedimiento para la adopción de medidas. La adopción de las medidas preventivas o correctivas de que trata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se efectuará mediante acto administrativo debidamente motivado, expedido por el Ministerio de Hacienda y Crédito Público, previa consulta al ministerio respectivo o al Departamento Nacional de Planeación en los sectores de salud, educación, agua potable y saneamiento básico, propósito general y asignaciones especiales. </w:t>
      </w:r>
    </w:p>
    <w:p w14:paraId="32C0C1D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D8F6E6" w14:textId="67B5736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adopción de las medidas correctivas se adelantará atendiendo a las disposiciones contenidas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208 del Estatuto Orgánico del Sistema Financiero referentes a inicio de la actuación administrativa; formas de comunicación; formulación de cargos; término de traslado; período probatorio, recursos contra el acto de pruebas. En cuanto a la procedencia para presentar el recurso de reposición en contra del acto administrativo que adopta la medida correctiva se sujetará a lo dispuesto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w:t>
      </w:r>
    </w:p>
    <w:p w14:paraId="4984AC5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1" w:name="ver_30057159"/>
      <w:bookmarkEnd w:id="771"/>
    </w:p>
    <w:p w14:paraId="01D3ACAB" w14:textId="46FF780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 Término para consulta. Una vez efectuada la consulta previa a que se refiere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por parte del Ministerio de Hacienda y Crédito Público al Ministerio de Educación Nacional, el Ministerio de Salud y Protección Social, el Ministerio de Vivienda Ciudad y Territorio o el Departamento Nacional de Planeación, la entidad respectiva dispondrá de un término máximo de diez (10) días hábiles, contado a partir del día siguiente a su radicación, para pronunciarse sobre la medida a adoptar. Si transcurrido este término, el Ministerio de Educación Nacional, el Ministerio de Salud y Protección Social, el Ministerio de Vivienda Ciudad y Territorio o el Departamento Nacional de Planeación no se han pronunciado, el Ministerio de Hacienda y Crédito Público adoptará la correspondiente medida preventiva o correctiva. </w:t>
      </w:r>
    </w:p>
    <w:p w14:paraId="3093DE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D1B84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el contenido de la respuesta dada por el Ministerio de Educación Nacional, el Ministerio de Salud y Protección Social, el Ministerio de Vivienda Ciudad y Territorio o el Departamento Nacional de Planeación a la consulta efectuada, resulta obligatorio para el Ministerio de Hacienda y Crédito Público el que, sin embargo, deberá expresar las razones por las cuales acepta o rechaza la respuesta dada por el ministerio respectivo o el Departamento Nacional de Planeación. </w:t>
      </w:r>
    </w:p>
    <w:p w14:paraId="4BE16F3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2" w:name="ver_30057160"/>
      <w:bookmarkEnd w:id="772"/>
    </w:p>
    <w:p w14:paraId="22743818" w14:textId="44542D4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2.6.3.4.3. Fundamento para la adopción de las medidas. Las medidas preventivas o correctivas a que se refieren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s 11 y 13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podrán adoptarse por parte del Ministerio de Hacienda y Crédito Público, cuando se evidencie un evento de riesgo de los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 del mismo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como resultado de: </w:t>
      </w:r>
    </w:p>
    <w:p w14:paraId="5F98C3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916DC8" w14:textId="772017A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1. Las actividades de monitoreo y/o seguimiento, conforme con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realizadas por el ministerio sectorial, la superintendencia respectiva y el Departamento Nacional de Planeación, el Ministerio de Hacienda y Crédito Público, o conjuntamente por estas entidades, según el sector de que se trate. </w:t>
      </w:r>
    </w:p>
    <w:p w14:paraId="202D48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4075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diagnósticos, informes o evaluaciones adelantados por los ministerios sectoriales, la superintendencia respectiva y el Departamento Nacional de Planeación, que se elaboren en desarrollo de las disposiciones vigentes, o cualquier evidencia de un evento de riesgo suministrado por los órganos de control, reportes de la ciudadanía u otras fuentes de información, de acuerdo con el análisis que se realice, los cuales serán evaluados por el Ministerio de Hacienda y Crédito Público como parte de las actividades de seguimiento a su cargo. </w:t>
      </w:r>
    </w:p>
    <w:p w14:paraId="37E238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A8667B" w14:textId="5801FB8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todo caso, conforme lo prevé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el procedimiento para adoptar directamente las medidas correctivas podrá iniciarse directamente desde el desarrollo de las actividades de monitoreo o seguimiento, cuando se evidencien situaciones que presenten inminente riesgo para la utilización de los recursos o la prestación del servicio. </w:t>
      </w:r>
    </w:p>
    <w:p w14:paraId="358D756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3" w:name="ver_30057161"/>
      <w:bookmarkEnd w:id="773"/>
    </w:p>
    <w:p w14:paraId="0EDD2006" w14:textId="48502F3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2.6.3.4.4. Continuidad de medidas. Las medidas de seguimiento y control adoptadas por el Ministerio de Educación Nacional, el Ministerio de Salud y Protección Social, el Ministerio de Vivienda Ciudad y Territorio o la Superintendencia Nacional de Salud, de acuerdo con lo dispuesto por las Leyes 715 de 2001 y 1122 de 2007, continuarán aplicándose en la medida en que los informes sectoriales determinen su cumplimiento por parte de la respectiva entidad territorial. En caso contrario, la reformulación o adopción de nuevas medidas, se rige por lo dispuesto en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sin perjuicio de las competencias de inspección, vigilancia, y control a cargo de la Superintendencia Nacional de Salud. </w:t>
      </w:r>
    </w:p>
    <w:p w14:paraId="6DA3F23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4" w:name="ver_30057162"/>
      <w:bookmarkEnd w:id="774"/>
    </w:p>
    <w:p w14:paraId="458F9639" w14:textId="03C86EE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2.6.3.4.5. Apoyo en el desarrollo de medidas. El Ministerio de Hacienda y Crédito Público podrá determinar las actividades en las cuales los Departamentos podrán brindar apoyo en el desarrollo de las medidas preventivas y correctivas a que se refiere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y su colaboración en la superación de los eventos de riesgo que dieron lugar a la adopción de las correspondientes medidas en los municipios de su jurisdicción. </w:t>
      </w:r>
    </w:p>
    <w:p w14:paraId="3082E0C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F4E9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igual manera, los Departamentos podrán solicitar al Ministerio de Hacienda y Crédito Público la adopción de medidas preventivas y/o correctivas cuando, en ejercicio de sus competencias, evidencien eventos de riesgo que afecten la prestación de los servicios de educación, salud, agua potable y saneamiento básico y los de propósito general o una inadecuada utilización de los recursos del Sistema General de Participaciones, en los municipios y/o distritos de su jurisdicción. Para este efecto, el Ministerio de Hacienda y Crédito Público consultará al Ministerio de Educación Nacional, el Ministerio de Salud y Protección Social, el Ministerio de Vivienda Ciudad y Territorio o el Departamento Nacional de Planeación, acerca de la solicitud presentada por el Departamento. </w:t>
      </w:r>
    </w:p>
    <w:p w14:paraId="3179A2D1" w14:textId="77777777" w:rsidR="006C792B" w:rsidRDefault="006C792B" w:rsidP="00744A34">
      <w:pPr>
        <w:spacing w:line="293" w:lineRule="atLeast"/>
        <w:jc w:val="center"/>
        <w:rPr>
          <w:rFonts w:ascii="Arial" w:eastAsia="Times New Roman" w:hAnsi="Arial" w:cs="Arial"/>
          <w:b/>
          <w:bCs/>
          <w:color w:val="000000"/>
          <w:lang w:eastAsia="es-CO"/>
        </w:rPr>
      </w:pPr>
      <w:bookmarkStart w:id="775" w:name="ver_30057163"/>
      <w:bookmarkEnd w:id="775"/>
    </w:p>
    <w:p w14:paraId="7CC16623" w14:textId="784CB2F0" w:rsidR="00AF0C09" w:rsidRPr="00744A34" w:rsidRDefault="006C792B" w:rsidP="00744A34">
      <w:pPr>
        <w:spacing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SECCIÓN 1. MEDIDAS PREVENTIVAS</w:t>
      </w:r>
    </w:p>
    <w:p w14:paraId="22783AD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6" w:name="ver_30057164"/>
      <w:bookmarkEnd w:id="776"/>
    </w:p>
    <w:p w14:paraId="7976E45B" w14:textId="293BB80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2.6.3.4.1.1. Contenido del plan de desempeño. Cuando se adopte la medida preventiva de plan de desempeño, el Ministerio de Hacienda y Crédito Público, solicitará mediante comunicación escrita, a la entidad territorial elaborar y presentar un plan de desempeño tendiente a superar los eventos de riesgo detectados. Este plan de desempeño se elaborará conforme a los </w:t>
      </w:r>
      <w:r w:rsidR="00AF0C09" w:rsidRPr="002C1480">
        <w:rPr>
          <w:rFonts w:ascii="Arial" w:eastAsia="Times New Roman" w:hAnsi="Arial" w:cs="Arial"/>
          <w:color w:val="000000"/>
          <w:lang w:eastAsia="es-CO"/>
        </w:rPr>
        <w:lastRenderedPageBreak/>
        <w:t xml:space="preserve">términos dispuestos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11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y deberá contener, como mínimo, los siguientes aspectos: </w:t>
      </w:r>
    </w:p>
    <w:p w14:paraId="612380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04A742" w14:textId="2439AAF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Resumen del diagnóstico sectorial resultado de las actividades de monitoreo, seguimiento y/o de los diagnósticos a que se refiere el numeral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2.6.3.4.3 del presente capítulo, que evidencie los eventos de riesgo que ameritan la adopción de la medida preventiva. </w:t>
      </w:r>
    </w:p>
    <w:p w14:paraId="0F9147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7B44A1" w14:textId="4D35D86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medidas de carácter administrativo, institucional, fiscal, presupuestal, contractual y sectorial, y demás actividades tendientes a superar los eventos de riesgo detectados, o cumplir las metas de continuidad, cobertura y calidad, las cuales deben ser adoptadas conforme con los lineamientos señalados por el Ministerio de Hacienda y Crédito Público, (</w:t>
      </w:r>
      <w:r w:rsidR="00717213">
        <w:rPr>
          <w:rFonts w:ascii="Arial" w:eastAsia="Times New Roman" w:hAnsi="Arial" w:cs="Arial"/>
          <w:color w:val="000000"/>
          <w:lang w:eastAsia="es-CO"/>
        </w:rPr>
        <w:t>ART.</w:t>
      </w:r>
      <w:r w:rsidRPr="002C1480">
        <w:rPr>
          <w:rFonts w:ascii="Arial" w:eastAsia="Times New Roman" w:hAnsi="Arial" w:cs="Arial"/>
          <w:color w:val="000000"/>
          <w:lang w:eastAsia="es-CO"/>
        </w:rPr>
        <w:t xml:space="preserve"> 1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2911 de 2008) previa consulta al ministerio sectorial respectivo o al Departamento Nacional de Planeación, en el acto administrativo que adopta la medida. </w:t>
      </w:r>
    </w:p>
    <w:p w14:paraId="3B04BC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B4664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plazos, términos, responsables y recursos financieros, técnicos y humanos requeridos que dispondrá la entidad territorial para la ejecución del plan de desempeño. </w:t>
      </w:r>
    </w:p>
    <w:p w14:paraId="06C3F69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D838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autorizaciones otorgadas por la corporación de elección popular respectiva, cuando así lo establezca la ley. </w:t>
      </w:r>
    </w:p>
    <w:p w14:paraId="500610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B5627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Para la adopción de esta medida, el Ministerio de Hacienda y Crédito Público consultará con el ministerio sectorial respectivo o con el Departamento Nacional de Planeación. </w:t>
      </w:r>
    </w:p>
    <w:p w14:paraId="308F2B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725D11" w14:textId="3A3B93B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el caso del sector salud, cuando la entidad territorial tenga vigente un convenio de cumplimiento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1122 de 2007, y se adopte sobre ella la medida de plan de desempeño de que trata el presente capítulo, los aspectos incluidos en el convenio de cumplimiento, así como sus metas y compromisos, harán parte del plan de desempeño, en lo pertinente. </w:t>
      </w:r>
    </w:p>
    <w:p w14:paraId="6503D96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7" w:name="ver_30057165"/>
      <w:bookmarkEnd w:id="777"/>
    </w:p>
    <w:p w14:paraId="5FB9052F" w14:textId="53E7BA6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2.6.3.4.1.2. Revisión y aprobación del plan de desempeño. Una vez presentado el correspondiente plan de desempeño por parte del representante legal de la entidad territorial, el Ministerio de Hacienda y Crédito Público, en coordinación con el ministerio sectorial o el Departamento Nacional de Planeación, determinará los ajustes a introducir al contenido del mismo, las medidas de seguimiento a su ejecución, los indicadores y criterios de evaluación acerca de su cumplimiento, y los términos, oportunidad y contenido de la información que la entidad territorial ha de entregar para estos efectos y que formarán parte integral del plan de desempeño. </w:t>
      </w:r>
    </w:p>
    <w:p w14:paraId="5808CD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AFDBB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presentado el respectivo plan de desempeño y efectuadas las correcciones a que haya lugar, el Ministerio de Hacienda y Crédito Público, previa consulta al ministerio sectorial respectivo o al Departamento Nacional de Planeación, aprobará el plan y notificará a la entidad territorial para su ejecución. </w:t>
      </w:r>
    </w:p>
    <w:p w14:paraId="2305EDC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8" w:name="ver_30057166"/>
      <w:bookmarkEnd w:id="778"/>
    </w:p>
    <w:p w14:paraId="357EF8BB" w14:textId="6D8E44D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2.6.3.4.1.3. Coordinador del plan de desempeño. El Ministerio de Hacienda y Crédito Público determinará y tendrá a su cargo la designación y financiación del coordinador del plan de desempeño quien verificará que la entidad territorial cumpla con las medidas y actividades previstas en el plan de desempeño y formulará los informes y recomendaciones correspondientes. </w:t>
      </w:r>
    </w:p>
    <w:p w14:paraId="6318DBD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B608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ningún caso el coordinador es responsable por la adopción, ejecución o cumplimiento de las medidas o actividades adoptadas por la entidad territorial en el plan de desempeño. La entidad territorial, a través de su representante legal y demás funcionarios responsables, deberá brindar la </w:t>
      </w:r>
      <w:r w:rsidRPr="002C1480">
        <w:rPr>
          <w:rFonts w:ascii="Arial" w:eastAsia="Times New Roman" w:hAnsi="Arial" w:cs="Arial"/>
          <w:color w:val="000000"/>
          <w:lang w:eastAsia="es-CO"/>
        </w:rPr>
        <w:lastRenderedPageBreak/>
        <w:t>asistencia, apoyo técnico y entrega de información que requiera el coordinador para el ejercicio de sus funciones. </w:t>
      </w:r>
    </w:p>
    <w:p w14:paraId="56CD74B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79" w:name="ver_30057167"/>
      <w:bookmarkEnd w:id="779"/>
    </w:p>
    <w:p w14:paraId="2303435C" w14:textId="26EC5C0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2.6.3.4.1.4. Evaluación del plan de desempeño. Teniendo en cuenta los informes de seguimiento a la ejecución del plan de desempeño elaborados por el coordinador del plan, el Ministerio de Hacienda y Crédito Público, previa consulta al ministerio sectorial respectivo o al Departamento Nacional de Planeación, determinará la procedencia de: </w:t>
      </w:r>
    </w:p>
    <w:p w14:paraId="4F3BE0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287A1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levantamiento de la medida preventiva. </w:t>
      </w:r>
    </w:p>
    <w:p w14:paraId="76E175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6FA1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Su reformulación y/o extensión, o </w:t>
      </w:r>
    </w:p>
    <w:p w14:paraId="4F9DB3A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0199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imposición de medidas correctivas por incumplimiento del plan de desempeño. </w:t>
      </w:r>
    </w:p>
    <w:p w14:paraId="08765E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015B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Para la evaluación del respectivo plan de desempeño, el Ministerio de Hacienda y Crédito Público consultará con el ministerio sectorial respectivo o con el Departamento Nacional de Planeación, según el caso. </w:t>
      </w:r>
    </w:p>
    <w:p w14:paraId="0F1C4E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059E13" w14:textId="437EAAF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En el caso de las entidades territoriales que cuenten simultáneamente con convenios de cumplimiento en aplicación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1122 de 2007 y planes de desempeño en desarrollo del presente título, la evaluación sobre los aspectos coincidentes será realizada por el Ministerio de Salud y Protección Social y remitida al Ministerio de Hacienda y Crédito Público, la cual se complementará con la evaluación que sobre los demás temas realice el coordinador del plan de desempeño. </w:t>
      </w:r>
    </w:p>
    <w:p w14:paraId="6D7012B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8AF0FC" w14:textId="47FD9CB9" w:rsidR="00AF0C09" w:rsidRPr="006C792B" w:rsidRDefault="006C792B" w:rsidP="006C792B">
      <w:pPr>
        <w:spacing w:after="0" w:line="293" w:lineRule="atLeast"/>
        <w:jc w:val="center"/>
        <w:rPr>
          <w:rFonts w:ascii="Arial" w:eastAsia="Times New Roman" w:hAnsi="Arial" w:cs="Arial"/>
          <w:b/>
          <w:bCs/>
          <w:color w:val="000000"/>
          <w:lang w:eastAsia="es-CO"/>
        </w:rPr>
      </w:pPr>
      <w:bookmarkStart w:id="780" w:name="ver_30057168"/>
      <w:bookmarkEnd w:id="780"/>
      <w:r w:rsidRPr="006C792B">
        <w:rPr>
          <w:rFonts w:ascii="Arial" w:eastAsia="Times New Roman" w:hAnsi="Arial" w:cs="Arial"/>
          <w:b/>
          <w:bCs/>
          <w:color w:val="000000"/>
          <w:lang w:eastAsia="es-CO"/>
        </w:rPr>
        <w:t>SECCIÓN 2. MEDIDAS CORRECTIVAS</w:t>
      </w:r>
    </w:p>
    <w:p w14:paraId="104BF327" w14:textId="77777777" w:rsidR="00AF0C09" w:rsidRPr="002C1480" w:rsidRDefault="00AF0C09" w:rsidP="00744A34">
      <w:pPr>
        <w:spacing w:after="0" w:line="240" w:lineRule="auto"/>
        <w:jc w:val="both"/>
        <w:rPr>
          <w:rFonts w:ascii="Arial" w:eastAsia="Times New Roman" w:hAnsi="Arial" w:cs="Arial"/>
          <w:color w:val="000000"/>
          <w:lang w:eastAsia="es-CO"/>
        </w:rPr>
      </w:pPr>
      <w:bookmarkStart w:id="781" w:name="ver_30103595"/>
      <w:bookmarkStart w:id="782" w:name="ver_30103588"/>
      <w:bookmarkEnd w:id="781"/>
    </w:p>
    <w:p w14:paraId="4CBBDF88" w14:textId="3C764507" w:rsidR="00AF0C09" w:rsidRPr="002C1480" w:rsidRDefault="002C1480"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2.6.3.4.2.1.Adopción de medidas correctivas. La medida correctiva, por su naturaleza cautelar, se podrá adoptar de manera simultánea a la iniciación y comunicación del procedimiento respectivo. La medida se surtirá mediante la publicación del acto administrativo en la página web del Ministerio de Hacienda y Crédito Público, y se entenderá surtida en la fecha de publicación.  </w:t>
      </w:r>
    </w:p>
    <w:p w14:paraId="0BCA17A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83" w:name="ver_30057170"/>
      <w:bookmarkEnd w:id="782"/>
      <w:bookmarkEnd w:id="783"/>
    </w:p>
    <w:p w14:paraId="62FAC4EC" w14:textId="75FF8B7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2.6.3.4.2.2. Adopción de las medidas suspensión de giros y giro directo. En el evento de que el Ministerio de Hacienda y Crédito Público adopte las medidas correctivas de suspensión de giros o de giro directo de recursos a que se refieren los numerales 13.1 y 13.2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se determinarán en el correspondiente acto administrativo, el evento o eventos de riesgo encontrados, la evidencia que amerita la adopción de la correspondiente medida, el término durante el cual estará vigente, las acciones a emprender por parte de la entidad territorial, y las condiciones administrativas y financieras con sujeción a las cuales se adopta y en las que se procederá al levantamiento de la respectiva medida correctiva. </w:t>
      </w:r>
    </w:p>
    <w:p w14:paraId="49618EB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ACDB6C" w14:textId="28895D3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En el caso del sector salud la medida de giro directo a que se refiere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se adoptará previa consulta con el Ministerio de Salud y Protección Social, y se aplicará respecto de los componentes de salud pública y de prestación de servicios de salud a la población pobre no asegurada y las actividades no cubiertas por subsidios a la demanda. </w:t>
      </w:r>
    </w:p>
    <w:p w14:paraId="086A890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171C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Ministerio de Hacienda y Crédito Público podrá adoptar de manera simultánea, las medidas correctivas de suspensión de giros y de giro directo de los recursos, en orden a asegurar la continuidad, cobertura y calidad en la prestación de los servicios y la adecuada ejecución de los </w:t>
      </w:r>
      <w:r w:rsidRPr="002C1480">
        <w:rPr>
          <w:rFonts w:ascii="Arial" w:eastAsia="Times New Roman" w:hAnsi="Arial" w:cs="Arial"/>
          <w:color w:val="000000"/>
          <w:lang w:eastAsia="es-CO"/>
        </w:rPr>
        <w:lastRenderedPageBreak/>
        <w:t>recursos del Sistema General de Participaciones dispuestos para su financiación, conforme a la motivación contenida en el acto administrativo que adopte las medidas. </w:t>
      </w:r>
    </w:p>
    <w:p w14:paraId="47582A8D" w14:textId="6035BA1B"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84" w:name="ver_30057171"/>
      <w:bookmarkEnd w:id="784"/>
    </w:p>
    <w:p w14:paraId="1C6532CD" w14:textId="7CF564F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2.6.3.4.2.3. Suspensión de giros. La medida de suspensión de giros será adoptada por el Ministerio de Hacienda y Crédito Público, según el caso, cuando su imposición no afecte la continuidad en la prestación del servicio, la prestación de servicios a la comunidad o ponga en riesgo la vida de los usuarios del Sistema General de Seguridad Social en Salud. La adopción de la medida se hará previa consulta con el ministerio sectorial. </w:t>
      </w:r>
    </w:p>
    <w:p w14:paraId="1D006555" w14:textId="3CCA1FF3"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85" w:name="ver_30057172"/>
      <w:bookmarkEnd w:id="785"/>
    </w:p>
    <w:p w14:paraId="333C1ECF" w14:textId="2819878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2.6.3.4.2.4. Coordinación ejercicio de medidas sector agua potable y saneamiento básico. Conforme con lo señalado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el Ministerio de Hacienda y Crédito Público adoptará las medidas preventivas o correctivas de suspensión de giros o giro directo, con sujeción a lo dispuesto en el presente capítulo, articulando su ejercicio con la Superintendencia de Servicios Públicos Domiciliarios. </w:t>
      </w:r>
    </w:p>
    <w:p w14:paraId="2247537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86" w:name="ver_30057173"/>
      <w:bookmarkEnd w:id="786"/>
    </w:p>
    <w:p w14:paraId="255A8C99" w14:textId="4A8D6FB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2.6.3.4.2.5. Giro directo. Cuando se trate de la participación de educación; salud, en los componentes de salud pública y prestación de servicios de salud a la población pobre no asegurada y las actividades no cubiertas por subsidios a la demanda; propósito general o de asignaciones especiales, el acto administrativo expedido por el Ministerio de Hacienda y Crédito Público que adopte la medida correctiva de giro directo, informará al ministerio correspondiente, el momento a partir del cual se efectuará el giro de los recursos del Sistema General de Participaciones a la fiducia pública constituida para el efecto por la entidad territorial. Con el giro de los recursos a la fiducia pública, estos se entienden transferidos a la entidad territorial. </w:t>
      </w:r>
    </w:p>
    <w:p w14:paraId="1DD0872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DE88A9" w14:textId="174E381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Sin perjuicio de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en atención a lo señalado por el numeral 13.2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en el caso del sector de agua potable y saneamiento básico, la medida de giro directo podrá aplicarse a través de los esquemas fiduciarios autorizados por la ley para el manejo de los recursos del Sistema General de Participaciones en ese sector. Sin embargo, cuando la medida se aplique respecto de dos o más sectores, el respectivo giro directo podrá efectuarse a través de la fiducia contratada para el efecto o el mecanismo preexistente en estos sectores, conforme lo determine el Ministerio de Hacienda y Crédito Público. </w:t>
      </w:r>
    </w:p>
    <w:p w14:paraId="6A0D03D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87" w:name="ver_30057174"/>
      <w:bookmarkEnd w:id="787"/>
    </w:p>
    <w:p w14:paraId="1058E822" w14:textId="05B4E09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2.6.3.4.2.6. Proceso integral. En la medida de giro directo, la entidad territorial es la encargada de realizar los compromisos y efectuar la respectiva ordenación del gasto. La entidad fiduciaria hará el proceso integral de verificación y aprobación de las cuentas ordenadas por la entidad territorial, para concluir el proceso con su pago. El Ministerio de Hacienda y Crédito Público expedirá concepto antes de dicho pago. Dicho concepto se referirá al cumplimiento del proceso descrito en este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y al giro de los respectivos recursos a la fiducia pública. </w:t>
      </w:r>
    </w:p>
    <w:p w14:paraId="3A606416" w14:textId="7A8F470F"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88" w:name="ver_30057175"/>
      <w:bookmarkEnd w:id="788"/>
    </w:p>
    <w:p w14:paraId="1EEC82FA" w14:textId="42FFB91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2.6.3.4.2.7. Suministro de información para giro directo. Para efectos de lo dispuesto en el presente capítulo, el representante legal de la entidad territorial, así como el secretario de hacienda o quien haga sus veces para el sector, están en el deber legal de certificar y suministrar mensualmente o con la periodicidad requerida, a la entidad fiduciaria contratada para el efecto la información necesaria para el giro de los recursos, en el formato que determine la misma. Este formato contendrá como mínimo, información relativa al monto de recursos que se gira, identificación del beneficiario o beneficiarios de los recursos, tipo y número de su cuenta, la institución financiera en la cual se encuentra abierta, el concepto y soporte legal o contractual del giro de recursos, según el sector de que se trate. </w:t>
      </w:r>
    </w:p>
    <w:p w14:paraId="7269624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EBEC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Si la entidad territorial no suministra la información requerida o lo hace de manera extemporánea y por ende no se efectúan los pagos o se presentan demoras en los mismos, procederán las acciones legales previstas en el ordenamiento vigente en contra del representante legal de la entidad, y la entidad territorial será responsable por los reconocimientos pecuniarios, moratorios o indexatorios que se deriven de esta situación. En el evento de que la entidad territorial no suministre la información, los recursos permanecerán en la entidad fiduciaria, hasta tanto la entidad territorial suministre la información. </w:t>
      </w:r>
    </w:p>
    <w:p w14:paraId="7A8977A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89" w:name="ver_30057176"/>
      <w:bookmarkEnd w:id="789"/>
    </w:p>
    <w:p w14:paraId="06C0E119" w14:textId="3D762DA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2.6.3.4.2.8. Verificación de información. La entidad fiduciaria contratada para el efecto, verificará la oportunidad, integridad y calidad de la información requerida para la aplicación de la medida de giro directo. En los casos en que se detecte suministro extemporáneo o inexacto, o cualquier otra irregularidad se le informará por escrito al representante legal de la entidad territorial de las observaciones sobre la información reportada. Si transcurridos cinco (5) días hábiles, contados a partir de la fecha del recibo de la referida comunicación la entidad territorial no ha radicado la respuesta en la entidad fiduciaria, o la respuesta es incompleta o insatisfactoria, se deberá informar de tal situación a la Procuraduría General de la Nación. </w:t>
      </w:r>
    </w:p>
    <w:p w14:paraId="4AA77BD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90" w:name="ver_30057177"/>
      <w:bookmarkEnd w:id="790"/>
    </w:p>
    <w:p w14:paraId="164689F3" w14:textId="1F88C7A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2.6.3.4.2.9. Informe de giro efectuado. Una vez realizado los pagos, la entidad fiduciaria deberá informar dentro de los cinco (5) días calendario siguientes, a la entidad territorial, el monto de recursos girado, el beneficiario, el número y tipo de cuenta, la institución financiera y el concepto girado, para los efectos correspondientes. Igualmente informará de estos pagos al Ministerio de Hacienda y Crédito Público. </w:t>
      </w:r>
    </w:p>
    <w:p w14:paraId="2B26F4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7F19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Cualquier error en el pago, que obedezca a deficiencias en la información que la entidad territorial debe suministrar y certificar, dará lugar a adelantar las acciones legales correspondientes. </w:t>
      </w:r>
    </w:p>
    <w:p w14:paraId="76F41B7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CFB1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no tendrá responsabilidad alguna respecto de los pagos efectuados por la fiducia con base en la información reportada por la entidad territorial. </w:t>
      </w:r>
    </w:p>
    <w:p w14:paraId="73D677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BE6E62" w14:textId="483A6AA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Conforme con el numeral 13.2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cuando se trate del giro directo de recursos, la entidad territorial efectuará la respectiva ejecución presupuestal sin situación de fondos. </w:t>
      </w:r>
    </w:p>
    <w:p w14:paraId="19B0F43D" w14:textId="748EFFF2"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91" w:name="ver_30057178"/>
      <w:bookmarkEnd w:id="791"/>
    </w:p>
    <w:p w14:paraId="34967964" w14:textId="59F81B5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2.6.3.4.2.10. Constitución subsidiaria de la fiducia. En el evento en que la entidad territorial respecto de la cual se adopta la medida correctiva de giro directo de recursos, no constituya la fiducia pública a que hace referencia el numeral 13.2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el Ministerio de Hacienda y Crédito Público, en orden a garantizar la continuidad en la prestación de los servicios a cargo de la entidad territorial, evitar su paralización y/o prevenir perjuicios a terceros, podrá constituir la respectiva fiducia pública. Lo anterior, sin perjuicio de la responsabilidad legal que recae sobre el representante legal de la entidad territorial por su omisión de constituir la fiducia citada. </w:t>
      </w:r>
    </w:p>
    <w:p w14:paraId="61F496B3" w14:textId="1A99790C"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92" w:name="ver_30057179"/>
      <w:bookmarkEnd w:id="792"/>
    </w:p>
    <w:p w14:paraId="7F4647B6" w14:textId="471B177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2.6.3.4.2.11. Procedimiento para el pago de la fiducia. Para el cumplimiento de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en relación con el pago de los derechos ocasionados por la constitución y funcionamiento de la fiducia pública de que trata el numeral 13.2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y una vez la entidad fiduciaria presente la correspondiente cuenta de cobro, el Ministerio de Hacienda y Crédito Público realizará el giro de los respectivos recursos con cargo al porcentaje que le corresponde a la entidad territorial por concepto de la asignación especial prevista para el Fonpet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 de la Ley 715 de 2001. Para este efecto, el Ministerio de Hacienda y Crédito Público o quien administre los recursos, efectuará los descuentos </w:t>
      </w:r>
      <w:r w:rsidR="00AF0C09" w:rsidRPr="002C1480">
        <w:rPr>
          <w:rFonts w:ascii="Arial" w:eastAsia="Times New Roman" w:hAnsi="Arial" w:cs="Arial"/>
          <w:color w:val="000000"/>
          <w:lang w:eastAsia="es-CO"/>
        </w:rPr>
        <w:lastRenderedPageBreak/>
        <w:t>de los recursos con cargo al porcentaje disponible en el Fonpet para la entidad territorial respecto de la cual se ha adoptado la medida correctiva. </w:t>
      </w:r>
    </w:p>
    <w:p w14:paraId="463A06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195B2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o quien administra los recursos girará a favor de la respectiva entidad fiduciaria, previa presentación de las correspondientes cuentas de cobro, los recursos por concepto de constitución y funcionamiento de la fiducia. </w:t>
      </w:r>
    </w:p>
    <w:p w14:paraId="1EC79BB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93" w:name="ver_30057180"/>
      <w:bookmarkEnd w:id="793"/>
    </w:p>
    <w:p w14:paraId="6AAD6AC2" w14:textId="016A8AB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2.6.3.4.2.12. Levantamiento de las medidas de suspensión de giro y/o giro directo. El levantamiento de las medidas de suspensión de giro y/o giro directo se hará mediante acto administrativo debidamente motivado, suscrito por Ministerio de Hacienda y Crédito Público, una vez se superen los eventos que motivaron la adopción de la medida. </w:t>
      </w:r>
    </w:p>
    <w:p w14:paraId="19E585E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4F625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tomar la decisión de levantamiento de las medidas de suspensión de giro y/o giro directo el Ministerio de Hacienda y Crédito Público, consultará con el ministerio sectorial respectivo o con el Departamento Nacional de Planeación, según el caso. </w:t>
      </w:r>
    </w:p>
    <w:p w14:paraId="468EF70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94" w:name="ver_30057181"/>
      <w:bookmarkEnd w:id="794"/>
    </w:p>
    <w:p w14:paraId="75A8E585" w14:textId="40504C8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2.6.3.4.2.13. Asunción temporal de competencia por la Nación. De manera excepcional, y cuando los departamentos no tengan la capacidad suficiente para asumir la competencia temporal respecto a los servicios a cargo de los municipios sujetos de la medida, corresponderá a la Nación la asunción de dicha competencia. Para estos efectos la determinación de la insuficiencia corresponderá al ministerio respectivo. </w:t>
      </w:r>
    </w:p>
    <w:p w14:paraId="2F57C3DA" w14:textId="7BA4289E"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95" w:name="ver_30057182"/>
      <w:bookmarkEnd w:id="795"/>
    </w:p>
    <w:p w14:paraId="55015C09" w14:textId="4C0C52B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2.6.3.4.2.14. Fundamento para la adopción de la medida de asunción temporal de la competencia. La determinación de la medida correctiva de asunción temporal de competencia la adoptará, cualquiera que sea el sector, el Ministerio de Hacienda y Crédito Público, previa recomendación del Conpes Social conforme lo prevé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14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en cualquiera de los siguientes eventos: </w:t>
      </w:r>
    </w:p>
    <w:p w14:paraId="303496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8F74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no adopción del plan de desempeño, complementario a las medidas correctivas de giro directo o suspensión de giro, en los plazos definidos o la no incorporación de los ajustes requeridos. </w:t>
      </w:r>
    </w:p>
    <w:p w14:paraId="56860F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18110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Cuando el Ministerio de Hacienda y Crédito Público establezca el incumplimiento de los planes de desempeño complementarios a la medidas correctivas de giro directo o suspensión de giro, adoptados por la entidad territorial, teniendo en cuenta los informes de seguimiento a la ejecución del plan de desempeño elaborados por el coordinador del plan. </w:t>
      </w:r>
    </w:p>
    <w:p w14:paraId="6652C5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6955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De manera directa cuando se evidencien situaciones que presenten inminente riesgo en la utilización de los recursos o en la prestación del servicio. </w:t>
      </w:r>
    </w:p>
    <w:p w14:paraId="01293D7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96" w:name="ver_30057183"/>
      <w:bookmarkEnd w:id="796"/>
    </w:p>
    <w:p w14:paraId="26284445" w14:textId="6CAAEFE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2.6.3.4.2.15. Procedimiento para la adopción de la medida de asunción temporal de la competencia. Para la adopción de la medida de asunción temporal de la competencia, el Ministerio de Hacienda y Crédito Público, presentará a consideración del Conpes Social el respectivo informe, en el cual se identifiquen, como mínimo, los siguientes aspectos: </w:t>
      </w:r>
    </w:p>
    <w:p w14:paraId="71CFC17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3DD2A0" w14:textId="79A7791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Resumen del resultado de las actividades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2.6.3.4.3 del presente capítulo, que evidencie los eventos de riesgo que ameritan la adopción de la medida. </w:t>
      </w:r>
    </w:p>
    <w:p w14:paraId="40C625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869240" w14:textId="0847C89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La determinación de la entidad estatal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encargada de asumir la competencia para asegurar la prestación del servicio y el término </w:t>
      </w:r>
      <w:r w:rsidRPr="002C1480">
        <w:rPr>
          <w:rFonts w:ascii="Arial" w:eastAsia="Times New Roman" w:hAnsi="Arial" w:cs="Arial"/>
          <w:color w:val="000000"/>
          <w:lang w:eastAsia="es-CO"/>
        </w:rPr>
        <w:lastRenderedPageBreak/>
        <w:t>durante el cual estará vigente la medida. Cuando la medida de Asunción temporal de la competencia deba ser ejecutada por una entidad del orden nacional, la entidad estatal responsable será la sectorialmente encargada de formular la política en relación con el servicio que se asume. </w:t>
      </w:r>
    </w:p>
    <w:p w14:paraId="21A550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0F3C7C" w14:textId="603C46D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La determinación de las facultades de que dispondrá la entidad estatal encargada de asumir la competencia para asegurar la prestación del servicio, conforme a lo dispuesto por los numerales 13.3.1, 13.3.2 y 13.3.3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w:t>
      </w:r>
    </w:p>
    <w:p w14:paraId="09903B0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35A7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condiciones generales con sujeción a las cuales la entidad territorial respecto de la cual se adopta la medida de asunción temporal de la competencia, podrá reasumir la competencia para asegurar la prestación del respectivo servicio y los indicadores de seguimiento y evaluación para verificar el cumplimento de estas medidas. </w:t>
      </w:r>
    </w:p>
    <w:p w14:paraId="19EA45A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97" w:name="ver_30057184"/>
      <w:bookmarkEnd w:id="797"/>
    </w:p>
    <w:p w14:paraId="4B7E1CDC" w14:textId="6DCA11A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2.6.3.4.2.16. Recomendación Conpes Social. Con sujeción a la información suministrada por el Ministerio de Hacienda y Crédito Público, el Conpes Social recomendará: </w:t>
      </w:r>
    </w:p>
    <w:p w14:paraId="402608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3140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adopción o no de la medida de asunción temporal de competencia en la respectiva entidad territorial. </w:t>
      </w:r>
    </w:p>
    <w:p w14:paraId="127A63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4F369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ejecución de actividades tendientes a superar los eventos de riesgo detectados, con sus respectivos indicadores de evaluación y seguimiento. </w:t>
      </w:r>
    </w:p>
    <w:p w14:paraId="05EF49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F207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medidas de mejoramiento institucional y de gestión orientadas a asegurar la prestación del respectivo servicio que permitan a la entidad territorial reasumir la competencia. </w:t>
      </w:r>
    </w:p>
    <w:p w14:paraId="2B1A174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FCD0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actividades de seguimiento durante el periodo de adopción y ejecución de la medida correctiva que deberá realizar el Ministerio de Hacienda y Crédito Público. </w:t>
      </w:r>
    </w:p>
    <w:p w14:paraId="677D5DCE" w14:textId="06FC9813"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798" w:name="ver_30057185"/>
      <w:bookmarkEnd w:id="798"/>
    </w:p>
    <w:p w14:paraId="4F849AED" w14:textId="6F21F7C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2.6.3.4.2.17. Aplicación de la medida de asunción temporal de competencia. La medida correctiva de asunción temporal de competencia se efectuará, una vez se expida la respectiva recomendación del Conpes Social, mediante acto administrativo debidamente motivado, suscrito por el Ministerio de Hacienda y Crédito Público, conforme al procedimiento dispuesto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208 del Estatuto Orgánico del Sistema Financiero, atendiendo a lo dispuesto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2.6.3.4.1 de este capítulo. </w:t>
      </w:r>
    </w:p>
    <w:p w14:paraId="3E1F805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799" w:name="ver_30057186"/>
      <w:bookmarkEnd w:id="799"/>
    </w:p>
    <w:p w14:paraId="598A4B49" w14:textId="1792032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2.6.3.4.2.18. Atribuciones y medidas financieras, presupuestales y contables. El desarrollo de las atribuciones y el ejercicio de medidas financieras, presupuestales y contables que se adopten en la asunción temporal de competencias se regirán, por las siguientes disposiciones: </w:t>
      </w:r>
    </w:p>
    <w:p w14:paraId="297721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523631" w14:textId="406B190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Programación presupuestal: En aplicación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352 de la Constitución Política, la programación presupuestal a que hace referencia el numeral 13.3.1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comprende las etapas presupuestales anteriores a la aprobación del presupuesto, es decir, la elaboración y presentación del presupuesto. Sin perjuicio de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16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028 de 2008 referido al ajuste de competencias, las asambleas departamentales y los concejos municipales serán las encargadas de aprobar el correspondiente presupuesto en presencia de la medida de asunción temporal de competencia. </w:t>
      </w:r>
    </w:p>
    <w:p w14:paraId="1EF5D6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39CC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Sin perjuicio de la expedición del presupuesto por parte del gobernador o el alcalde según el caso, cuando las corporaciones administrativas territoriales no expidan el presupuesto general de la </w:t>
      </w:r>
      <w:r w:rsidRPr="002C1480">
        <w:rPr>
          <w:rFonts w:ascii="Arial" w:eastAsia="Times New Roman" w:hAnsi="Arial" w:cs="Arial"/>
          <w:color w:val="000000"/>
          <w:lang w:eastAsia="es-CO"/>
        </w:rPr>
        <w:lastRenderedPageBreak/>
        <w:t>entidad correspondiente, el presupuesto que regirá para el sector o sectores objeto de la medida será el presentado por el competente temporal. </w:t>
      </w:r>
    </w:p>
    <w:p w14:paraId="3C578A5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63DCDE" w14:textId="73104C8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Ejecución del presupuesto y ordenación del gasto. En aplicación del numeral 13.3.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Ley 28 de 2008 corresponde a la Nación o al departamento, según el caso, la ejecución y la ordenación del gasto del presupuesto de la entidad sujeto de la medida para lo cual podrá modificar, adicionar, aplazar, reducir o hacer traslados al presupuesto, en general ejecutar los mecanismos de modificación al presupuesto. </w:t>
      </w:r>
    </w:p>
    <w:p w14:paraId="631CE4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6E31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Nación o el departamento, según el caso, llevará contabilidad separada de los recursos que se administren con motivo de la ejecución de la medida. </w:t>
      </w:r>
    </w:p>
    <w:p w14:paraId="152F2C72" w14:textId="1891DEBF"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00" w:name="ver_30057187"/>
      <w:bookmarkEnd w:id="800"/>
    </w:p>
    <w:p w14:paraId="4DC8CFAE" w14:textId="1AA762B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2.6.3.4.2.19. Alcance de las medidas adoptadas en el marco de la asunción temporal de competencia. Las atribuciones en materia de programación presupuestal, ordenación del gasto, competencia contractual y nominación del personal, lo mismo que la adopción de las medidas administrativas institucionales, presupuestales, financieras, contables y contractuales a las que hacen referencia los numerales 13.3.1 y 13.3.2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28 de 2008, comprende los recursos del Sistema General de Participaciones que de conformidad con las disposiciones legales vigentes corresponden a la entidad territorial respecto de la cual se adopta la medida correctiva. </w:t>
      </w:r>
    </w:p>
    <w:p w14:paraId="2BD41D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8B0826" w14:textId="10E59C6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aplicación de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350, 351, 353 y 366 de la Constitución Política, los recursos que se asignen por la entidad sujeta a la medida correctiva y los provenientes de otras fuentes que complementen la financiación del servicio, presupuestados en la vigencia en que se adopta la medida para garantizar la continuidad, cobertura y calidad del servicio objeto de medida, no podrán disminuirse de una vigencia fiscal a otra. </w:t>
      </w:r>
    </w:p>
    <w:p w14:paraId="07C451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6DED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garantizar las coberturas, la calidad y la continuidad existentes al momento de aplicar la medida, la entidad territorial objeto de la medida correctiva podrá poner a disposición de la Nación o del departamento, según el caso, los recursos necesarios para financiar los conceptos de gasto que venían siendo atendidos con recursos diferentes a los del Sistema General de Participaciones en cada uno de los sectores. </w:t>
      </w:r>
    </w:p>
    <w:p w14:paraId="414F4E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8798C1" w14:textId="0E35A5E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efectos de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 las entidades territoriales sobre las cuales se haya adoptado la medida correctiva de asunción temporal de competencia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28 de 2008, en el sector de educación, no se les aplicará el cruce de cuentas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37 de la Ley 1151 de 2007, mientras subsista la medida. </w:t>
      </w:r>
    </w:p>
    <w:p w14:paraId="4722893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01" w:name="ver_30057188"/>
      <w:bookmarkEnd w:id="801"/>
    </w:p>
    <w:p w14:paraId="12F7C8FF" w14:textId="1AB6B08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2.6.3.4.2.20. Asunción del pasivo. La asunción temporal de la competencia por parte de la Nación o el departamento, según el caso, no implica solidaridad alguna respecto a las obligaciones a cargo de la entidad sobre la que recae la medida correctiva, existentes o causadas con anterioridad o con posterioridad a la adopción de la medida, y generadas en el correspondiente sector o servicio. El pasivo originado en el servicio o sector se mantendrá a cargo de la entidad territorial sujeta de la medida, el cual deberá ser financiado con cargo a sus recursos propios o a los apropiados con destinación específica para el servicio o sector según el caso, pero, atendiendo las particulares normas que gobiernen este aspecto. </w:t>
      </w:r>
    </w:p>
    <w:p w14:paraId="3F0F1B68" w14:textId="77777777" w:rsidR="006C792B" w:rsidRDefault="006C792B" w:rsidP="00C32F85">
      <w:pPr>
        <w:spacing w:after="0" w:line="254" w:lineRule="atLeast"/>
        <w:jc w:val="both"/>
        <w:rPr>
          <w:rFonts w:ascii="Arial" w:eastAsia="Times New Roman" w:hAnsi="Arial" w:cs="Arial"/>
          <w:color w:val="000000"/>
          <w:lang w:eastAsia="es-CO"/>
        </w:rPr>
      </w:pPr>
    </w:p>
    <w:p w14:paraId="3E52CF38" w14:textId="6357EC3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2.6.3.4.2.21. Administración de plantas de personal. La atribución nominadora de personal dentro del sector o servicio objeto de medida, será ejercida por la Nación o el departamento, según el caso, a través de la persona que aquella o este designe. </w:t>
      </w:r>
    </w:p>
    <w:p w14:paraId="09E464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F11F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nominación y administración de la planta comprenderá la facultad de expedir los correspondientes actos administrativos generales y particulares relacionados con todas las situaciones administrativas derivadas de la relación laboral, legal y reglamentaria, tales como nombramientos, traslados, comisiones, permisos, licencias, vacaciones, retiros, encargos, ascensos, reintegros y las demás señaladas en la ley. En todo caso y dependiendo del tipo de atribución o competencia nominadora que se ejerza, el personal sobre el cual recaigan las medidas pertenecerá o continuará perteneciendo a la planta de cargos de la entidad territorial respecto de la cual se haya asumido de forma temporal la competencia. </w:t>
      </w:r>
    </w:p>
    <w:p w14:paraId="525636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6C37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Ascensos, reintegros y las demás señaladas en la ley. En todo caso y dependiendo del tipo de atribución o competencia nominadora que se ejerza, el personal sobre el cual recaigan las medidas pertenecerá o continuará perteneciendo a la planta de cargos de la entidad territorial respecto de la cual se haya asumido de forma temporal la competencia. </w:t>
      </w:r>
    </w:p>
    <w:p w14:paraId="629071B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6716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caso de que la entidad sujeta a la medida correctiva cuente con planta de personal financiada con recursos propios complementando la prestación de los servicios, dicha planta será administrada a través de la entidad que asuma temporalmente la competencia y su pago será garantizado por la entidad territorial a la cual pertenece. </w:t>
      </w:r>
    </w:p>
    <w:p w14:paraId="5B38E72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02" w:name="ver_30057190"/>
      <w:bookmarkEnd w:id="802"/>
    </w:p>
    <w:p w14:paraId="31088448" w14:textId="03C1EBC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2.6.3.4.2.22. Facultades y deberes del administrador designado. Sin perjuicio del ejercicio de las demás competencias y facultades propias del jefe del organismo intervenido para la administración del servicio público objeto de la medida de asunción temporal, y para la guarda y administración de los archivos, bases de datos, activos líquidos, inversiones y demás bienes muebles e inmuebles de la entidad territorial que correspondan al sector o servicio sujeto a la medida cautelar, el administrador que la Nación o el departamento, según el caso, designe para ejecutar la medida de asunción temporal de competencias, tendrá los siguientes deberes y facultades: </w:t>
      </w:r>
    </w:p>
    <w:p w14:paraId="2EC792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3BCD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Ejecutar las actividades relacionadas con la planificación o planeación del sector o servicio; </w:t>
      </w:r>
    </w:p>
    <w:p w14:paraId="464879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72AB8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Suscribir los contratos que sean requeridos para garantizar el cumplimiento de las metas de continuidad, cobertura y calidad de los servicios intervenidos; </w:t>
      </w:r>
    </w:p>
    <w:p w14:paraId="7B2C88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864A7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Efectuar la administración del personal responsable de la administración y/o prestación del sector o servicio; </w:t>
      </w:r>
    </w:p>
    <w:p w14:paraId="18E3C4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E3D9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Actuar bajo el marco de la ley para preservar y defender los intereses y recursos públicos inherentes a la prestación del servicio intervenido, de la entidad territorial y de la Nación; </w:t>
      </w:r>
    </w:p>
    <w:p w14:paraId="6415E3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C694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Presentar los informes que se le requieran, los definidos por las normas vigentes, los de cierre de vigencia y al separarse del cargo; para el efecto, deberá continuar con la contabilidad que le corresponda en libros debidamente registrados, si no se cuenta con la contabilidad al día, proveer su reconstrucción y actualización permanente. </w:t>
      </w:r>
    </w:p>
    <w:p w14:paraId="7B4A1F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9DDE32" w14:textId="5A60CE93"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1°. Las facultades propias del jefe del organismo intervenido se refieren, en el caso de las entidades territoriales, a las contenidas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305 y 315 de la Constitución Política. </w:t>
      </w:r>
    </w:p>
    <w:p w14:paraId="5523A65E" w14:textId="77777777" w:rsidR="006C792B" w:rsidRDefault="006C792B" w:rsidP="00C32F85">
      <w:pPr>
        <w:spacing w:after="0" w:line="254" w:lineRule="atLeast"/>
        <w:jc w:val="both"/>
        <w:rPr>
          <w:rFonts w:ascii="Arial" w:eastAsia="Times New Roman" w:hAnsi="Arial" w:cs="Arial"/>
          <w:color w:val="000000"/>
          <w:lang w:eastAsia="es-CO"/>
        </w:rPr>
      </w:pPr>
    </w:p>
    <w:p w14:paraId="504EB421" w14:textId="4954CC0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2.6.3.4.2.23. Representación judicial y extrajudicial. En el evento de asunción temporal de la competencia, la representación judicial y extrajudicial por actuaciones u omisiones generadas en desarrollo de la aplicación de la medida correctiva, estará a cargo de la entidad que asuma temporalmente la competencia. Esta representación se ejercerá ordinaria y exclusivamente en relación con situaciones jurídicas originadas durante la ejecución de la medida de asunción temporal de la competencia. </w:t>
      </w:r>
    </w:p>
    <w:p w14:paraId="76612A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B9D2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Excepcionalmente a juicio de la Nación o del departamento, según el caso, y con el objetivo de eliminar los eventos de riesgo o de asegurar la continuidad, cobertura y calidad del servicio o sector y la correcta ejecución de los recursos dispuestos para su financiación, podrá coadyuvar en la defensa judicial y extrajudicial con motivo de situaciones generadas con anterioridad a la entrada en vigencia de la medida correctiva, estén o no judicializadas para tal momento. </w:t>
      </w:r>
    </w:p>
    <w:p w14:paraId="4BE23F8E" w14:textId="43D24C99"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03" w:name="ver_30057192"/>
      <w:bookmarkEnd w:id="803"/>
    </w:p>
    <w:p w14:paraId="41AD0147" w14:textId="27AD072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2.6.3.4.2.24. Rendición de cuentas. Cuando la Nación o el departamento asuma el ejercicio de la medida de asunción temporal de la competencia, deberá registrar la totalidad de transacciones celebradas con cargo a los recursos que administra y presentar informes a las autoridades competentes y a la entidad territorial respecto de la cual se adopta la medida correctiva, para que esta consolide y genere de manera integral los reportes a cargo de la entidad. </w:t>
      </w:r>
    </w:p>
    <w:p w14:paraId="41197157" w14:textId="66CD8C10"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04" w:name="ver_30057193"/>
      <w:bookmarkEnd w:id="804"/>
    </w:p>
    <w:p w14:paraId="081DDF97" w14:textId="2A20082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2.6.3.4.2.25. Levantamiento de la medida de asunción temporal de competencia. La medida de asunción temporal de competencia se levantará por vencimiento del término a que se refiere el parágrafo del numeral 13.3.3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13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028 de 2008. De igual manera, podrá levantarse por solicitud del ministerio sectorial respectivo, el Departamento Nacional de Planeación o de la entidad territorial afectada con la medida o la que asumió la competencia, para lo cual el Ministerio de Hacienda y Crédito Público adelantará la respectiva evaluación. </w:t>
      </w:r>
    </w:p>
    <w:p w14:paraId="7D175FA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BD3B3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levantamiento de la medida se hará mediante acto administrativo debidamente motivado, suscrito por el Ministerio de Hacienda y Crédito Público, una vez se superen los eventos que motivaron la adopción de la medida. </w:t>
      </w:r>
    </w:p>
    <w:p w14:paraId="09650078" w14:textId="77777777" w:rsidR="006C792B" w:rsidRDefault="006C792B" w:rsidP="00744A34">
      <w:pPr>
        <w:spacing w:after="0" w:line="254" w:lineRule="atLeast"/>
        <w:jc w:val="center"/>
        <w:rPr>
          <w:rFonts w:ascii="Arial" w:eastAsia="Times New Roman" w:hAnsi="Arial" w:cs="Arial"/>
          <w:b/>
          <w:bCs/>
          <w:color w:val="000000"/>
          <w:lang w:eastAsia="es-CO"/>
        </w:rPr>
      </w:pPr>
      <w:bookmarkStart w:id="805" w:name="ver_30057194"/>
      <w:bookmarkEnd w:id="805"/>
    </w:p>
    <w:p w14:paraId="28838D84" w14:textId="7429F9E7" w:rsidR="00AF0C09" w:rsidRPr="00744A34" w:rsidRDefault="00AF0C09" w:rsidP="00744A34">
      <w:pPr>
        <w:spacing w:after="0" w:line="254"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TÍTULO 4</w:t>
      </w:r>
    </w:p>
    <w:p w14:paraId="59D8C835" w14:textId="77777777" w:rsidR="00AF0C09" w:rsidRPr="00744A34" w:rsidRDefault="00AF0C09"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FORMULARIO ÚNICO TERRITORIAL - FUT</w:t>
      </w:r>
    </w:p>
    <w:p w14:paraId="5ADEA06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06" w:name="ver_30103621"/>
      <w:bookmarkStart w:id="807" w:name="ver_30103620"/>
      <w:bookmarkEnd w:id="806"/>
    </w:p>
    <w:p w14:paraId="29BB675B" w14:textId="6CCF8B5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2.6.4.1.</w:t>
      </w:r>
      <w:r w:rsidR="001D5EFA">
        <w:rPr>
          <w:rFonts w:ascii="Arial" w:eastAsia="Times New Roman" w:hAnsi="Arial" w:cs="Arial"/>
          <w:color w:val="000000"/>
          <w:lang w:eastAsia="es-CO"/>
        </w:rPr>
        <w:t xml:space="preserve"> </w:t>
      </w:r>
      <w:r w:rsidR="00AF0C09" w:rsidRPr="002C1480">
        <w:rPr>
          <w:rFonts w:ascii="Arial" w:eastAsia="Times New Roman" w:hAnsi="Arial" w:cs="Arial"/>
          <w:color w:val="000000"/>
          <w:lang w:eastAsia="es-CO"/>
        </w:rPr>
        <w:t>Formulario Único Territorial (FUT). Adóptese un Formulario Único Territorial (FUT), de reporte de información, mediante el cual se recolecte la información oficial básica que sea requerida por las entidades del Gobierno nacional para efectos del monitoreo, seguimiento, evaluación y control.  </w:t>
      </w:r>
    </w:p>
    <w:p w14:paraId="1578D7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FB300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FUT buscará la disminución del número, la simplificación y el mejoramiento de la calidad de los reportes de datos oficiales básicos que deban presentar las entidades obligadas a informar. Para el efecto, el FUT contribuirá a la automatización de procesos y, para su operación y funcionamiento, se apoyará en las tecnologías de la información y las comunicaciones.  </w:t>
      </w:r>
    </w:p>
    <w:p w14:paraId="5A6E7FF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3017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Ninguna entidad del Gobierno nacional podrá, por su propia cuenta, solicitar a las entidades obligadas a reportar al FUT la información que estas ya estén reportando a través de él.  </w:t>
      </w:r>
    </w:p>
    <w:p w14:paraId="3C024B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F095C0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Se entenderá como información oficial básica, aquella de naturaleza presupuestal, de ingresos y gastos, organizacional, financiera, económica, geográfica, social y ambiental que sea requerida por alguna o varias entidades del orden nacional.  </w:t>
      </w:r>
    </w:p>
    <w:p w14:paraId="651D2C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40F2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información de ejecución presupuestal de ingresos y gastos reportada a través del FUT, deberá ser consistente y coherente con la información contable reconocida y revelada en los términos definidos en el Régimen de Contabilidad Pública. </w:t>
      </w:r>
    </w:p>
    <w:p w14:paraId="72AEFF3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08" w:name="ver_30103623"/>
      <w:bookmarkStart w:id="809" w:name="ver_30103622"/>
      <w:bookmarkEnd w:id="807"/>
      <w:bookmarkEnd w:id="808"/>
    </w:p>
    <w:p w14:paraId="3E813AB1" w14:textId="205A851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2.6.4.2</w:t>
      </w:r>
      <w:r w:rsidR="001D5EFA">
        <w:rPr>
          <w:rFonts w:ascii="Arial" w:eastAsia="Times New Roman" w:hAnsi="Arial" w:cs="Arial"/>
          <w:color w:val="000000"/>
          <w:lang w:eastAsia="es-CO"/>
        </w:rPr>
        <w:t xml:space="preserve">. </w:t>
      </w:r>
      <w:r w:rsidR="00AF0C09" w:rsidRPr="002C1480">
        <w:rPr>
          <w:rFonts w:ascii="Arial" w:eastAsia="Times New Roman" w:hAnsi="Arial" w:cs="Arial"/>
          <w:color w:val="000000"/>
          <w:lang w:eastAsia="es-CO"/>
        </w:rPr>
        <w:t xml:space="preserve">Ámbito de aplicación del FUT. El FUT será de obligatorio diligenciamiento y presentación por parte del sector central de los Departamentos, Distritos, Municipios, de sus respectivos establecimientos públicos, de las entidades asimiladas a estos, y de los Territorios y Resguardos Indígenas certificados y/o Asociaciones de estos últimos, a los que se refiere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1953 de 2014 o la norma que lo modifique, adicione o sustituya.  </w:t>
      </w:r>
    </w:p>
    <w:p w14:paraId="7EB579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F6D4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Gobernaciones y Alcaldías deberán consolidar y reportar al FUT la información básica territorial correspondiente únicamente a la administración central y a sus unidades ejecutoras, a las asambleas y concejos, a las personerías y, a los órganos de control fiscal. Los establecimientos públicos de cada entidad territorial o las entidades asimiladas a estos enviarán por aparte sus reportes de información oficial básica territorial, incluidas aquellas operaciones de recaudo de ingresos tributarios y no tributarios de propiedad de las administraciones centrales que se deleguen en ellos. También los representantes de los Territorios y Resguardos Indígenas certificados, y de las Asociaciones de estos últimos, deberán consolidar y reportar en el FUT sus datos oficiales básicos.  </w:t>
      </w:r>
    </w:p>
    <w:p w14:paraId="2246A0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9609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transitorio. Mientras se ponen a su disposición las utilidades de captura de datos a través de las cuales deban reportar los establecimientos públicos adscritos a las entidades territoriales, o las entidades asimiladas a estos, la información básica territorial que presenten las Gobernaciones y las Alcaldías contendrá el reporte de todos los sectores de su competencia aunque se atiendan a través de tales establecimientos públicos. </w:t>
      </w:r>
    </w:p>
    <w:p w14:paraId="33164E1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10" w:name="ver_30103625"/>
      <w:bookmarkStart w:id="811" w:name="ver_30103624"/>
      <w:bookmarkEnd w:id="809"/>
      <w:bookmarkEnd w:id="810"/>
    </w:p>
    <w:p w14:paraId="79BD84F0" w14:textId="51C5009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2.6.4.3.Presentación de informes a través del FUT. Las entidades incluidas en el ámbito de aplicación de este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presentarán a través del FUT su información consolidada con corte trimestral de acuerdo con las siguientes fechas:  </w:t>
      </w:r>
    </w:p>
    <w:p w14:paraId="76A1F62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0"/>
        <w:gridCol w:w="3540"/>
      </w:tblGrid>
      <w:tr w:rsidR="00AF0C09" w:rsidRPr="002C1480" w14:paraId="23DF5B84" w14:textId="77777777" w:rsidTr="00AF0C09">
        <w:trPr>
          <w:trHeight w:val="105"/>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14:paraId="3E6E1A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Fecha de corte: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20F9A2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Fecha límite de presentación </w:t>
            </w:r>
          </w:p>
        </w:tc>
      </w:tr>
      <w:tr w:rsidR="00AF0C09" w:rsidRPr="002C1480" w14:paraId="568B7587" w14:textId="77777777" w:rsidTr="00AF0C09">
        <w:trPr>
          <w:trHeight w:val="105"/>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14:paraId="4AC696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 de marzo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3F8B1A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30 de abril  </w:t>
            </w:r>
          </w:p>
        </w:tc>
      </w:tr>
      <w:tr w:rsidR="00AF0C09" w:rsidRPr="002C1480" w14:paraId="3A4D3BAF" w14:textId="77777777" w:rsidTr="00AF0C09">
        <w:trPr>
          <w:trHeight w:val="105"/>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14:paraId="3F28A0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30 de junio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14A5DE4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 de julio  </w:t>
            </w:r>
          </w:p>
        </w:tc>
      </w:tr>
      <w:tr w:rsidR="00AF0C09" w:rsidRPr="002C1480" w14:paraId="56BC0EDA" w14:textId="77777777" w:rsidTr="00AF0C09">
        <w:trPr>
          <w:trHeight w:val="105"/>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14:paraId="3FF786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30 de septiembre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15DCE7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 de octubre  </w:t>
            </w:r>
          </w:p>
        </w:tc>
      </w:tr>
      <w:tr w:rsidR="00AF0C09" w:rsidRPr="002C1480" w14:paraId="7A7E14A5" w14:textId="77777777" w:rsidTr="00AF0C09">
        <w:trPr>
          <w:trHeight w:val="105"/>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14:paraId="0792A1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31 de diciembre  </w:t>
            </w:r>
          </w:p>
        </w:tc>
        <w:tc>
          <w:tcPr>
            <w:tcW w:w="3540" w:type="dxa"/>
            <w:tcBorders>
              <w:top w:val="outset" w:sz="6" w:space="0" w:color="auto"/>
              <w:left w:val="outset" w:sz="6" w:space="0" w:color="auto"/>
              <w:bottom w:val="outset" w:sz="6" w:space="0" w:color="auto"/>
              <w:right w:val="outset" w:sz="6" w:space="0" w:color="auto"/>
            </w:tcBorders>
            <w:vAlign w:val="center"/>
            <w:hideMark/>
          </w:tcPr>
          <w:p w14:paraId="1F46CE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de febrero del año siguiente  </w:t>
            </w:r>
          </w:p>
        </w:tc>
      </w:tr>
    </w:tbl>
    <w:p w14:paraId="51EAEC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6D02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A solicitud del DANE, por razones de comparabilidad internacional y para efectos del cálculo de las estadísticas de Producto Interno Bruto (PIB) y de Indicador de Inversión en Obras Civiles (IIOC), se conformará una muestra con no más del 15% de las entidades obligadas a reportar al FUT. Para el cierre del 31 de diciembre de cada año, la fecha de reporte de estas entidades será el 31 de enero del año siguiente para las categorías de ingresos, gastos de funcionamiento, gastos de inversión, servicio de la deuda, reservas, cuentas por pagar, ingresos y gastos del Sistema General de Regalías. De todas maneras y para efectos de la distribución del </w:t>
      </w:r>
      <w:r w:rsidRPr="002C1480">
        <w:rPr>
          <w:rFonts w:ascii="Arial" w:eastAsia="Times New Roman" w:hAnsi="Arial" w:cs="Arial"/>
          <w:color w:val="000000"/>
          <w:lang w:eastAsia="es-CO"/>
        </w:rPr>
        <w:lastRenderedPageBreak/>
        <w:t>SGP, esas entidades podrán hacer correcciones a sus reportes oportunos hasta el 15 de febrero de cada año.  </w:t>
      </w:r>
    </w:p>
    <w:p w14:paraId="3D052F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F2B32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fecha límite de presentación de los informes con corte a diciembre 31 de 2016 para los municipios de categorías Cuarta, Quinta y Sexta y sus establecimientos públicos será el 1° de marzo de 2017.  </w:t>
      </w:r>
    </w:p>
    <w:p w14:paraId="1BCF66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A8014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Únicamente con fines de ampliación de la cobertura estadística pero sin que ello produzca otros efectos y en todo caso cuando se trate de información diferente a aquella requerida para el cálculo del Producto Interno Bruto (PIB), las entidades territoriales, sus establecimientos públicos, las entidades asimilados a estos, y los Territorios y Resguardos Indígenas certificados o Asociaciones de estos últimos, podrán reportar su información de manera extemporánea conforme a la resolución que emita la entidad que ejerza la Secretaría Técnica de la Comisión Intersectorial del FUT. </w:t>
      </w:r>
    </w:p>
    <w:p w14:paraId="738C500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12" w:name="ver_30103627"/>
      <w:bookmarkStart w:id="813" w:name="ver_30103626"/>
      <w:bookmarkEnd w:id="811"/>
      <w:bookmarkEnd w:id="812"/>
    </w:p>
    <w:p w14:paraId="68E5F7EC" w14:textId="1D3BF06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2.6.4.4.Funcionarios responsables de los informes que deben presentarse a través del FUT. El cumplimiento de las obligaciones relacionadas con la presentación y certificación de la información del Formulario Único Territorial será de responsabilidad del Gobernador, o el Alcalde, o el Director, o Representante Legal del establecimiento público o de la entidad asimilada a este, o los representantes legales de los Territorios y Resguardos Indígenas certificados o Asociaciones de estos últimos, según el caso.  </w:t>
      </w:r>
    </w:p>
    <w:p w14:paraId="596516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1E8500" w14:textId="56A759F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representantes legales de las entidades incluidas en el ámbito de aplicación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deberán adoptar formalmente las medidas y procedimientos pertinentes para que las Asambleas, los Concejos, las Personerías, las Contralorías y demás unidades ejecutoras, incluidas las Secretarías de Educación y Salud y las unidades de servicios públicos que hagan parte de las administraciones centrales municipales, concilien con las dependencias responsables de reportar al FUT la información necesaria para su diligenciamiento. En los Departamentos, Distritos y Municipios, los Gobernadores y Alcaldes ordenarán el reporte de sus establecimientos públicos, y el Jefe de Control Interno, o quien haga sus veces en cada entidad obligada a reportar, verificará de forma semestral la adopción y cumplimiento de los procedimientos y de las obligaciones de cada jefe de dependencia respecto del reporte al FUT y elaborará un informe de evaluación y recomendaciones para la mejora.  </w:t>
      </w:r>
    </w:p>
    <w:p w14:paraId="563E157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14" w:name="ver_30103629"/>
      <w:bookmarkStart w:id="815" w:name="ver_30103628"/>
      <w:bookmarkEnd w:id="813"/>
      <w:bookmarkEnd w:id="814"/>
    </w:p>
    <w:p w14:paraId="26C98A09" w14:textId="16659BF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2.6.4.5.Control de cumplimiento de los reportes del FUT. El incumplimiento en el reporte de la información de que trata el presente Título generará las sanciones disciplinarias a que haya lugar. Para tal efecto, el FUT informará a la Procuraduría General de la Nación el listado de las entidades obligadas a reportar que incumplieron, con el fin de que se inicie el respectivo proceso disciplinario”. </w:t>
      </w:r>
    </w:p>
    <w:p w14:paraId="6F6AE0FD" w14:textId="77777777" w:rsidR="00AF0C09" w:rsidRPr="002C1480" w:rsidRDefault="00AF0C09" w:rsidP="00C32F85">
      <w:pPr>
        <w:spacing w:after="0" w:line="254" w:lineRule="atLeast"/>
        <w:jc w:val="both"/>
        <w:rPr>
          <w:rFonts w:ascii="Arial" w:eastAsia="Times New Roman" w:hAnsi="Arial" w:cs="Arial"/>
          <w:color w:val="000000"/>
          <w:lang w:eastAsia="es-CO"/>
        </w:rPr>
      </w:pPr>
      <w:bookmarkStart w:id="816" w:name="ver_30203204"/>
      <w:bookmarkStart w:id="817" w:name="ver_30103634"/>
      <w:bookmarkEnd w:id="815"/>
      <w:bookmarkEnd w:id="816"/>
    </w:p>
    <w:p w14:paraId="4558DF14" w14:textId="77777777" w:rsidR="00AF0C09" w:rsidRPr="00744A34" w:rsidRDefault="00AF0C09" w:rsidP="00744A34">
      <w:pPr>
        <w:spacing w:after="0" w:line="293" w:lineRule="atLeast"/>
        <w:jc w:val="center"/>
        <w:rPr>
          <w:rFonts w:ascii="Arial" w:eastAsia="Times New Roman" w:hAnsi="Arial" w:cs="Arial"/>
          <w:b/>
          <w:bCs/>
          <w:color w:val="000000"/>
          <w:lang w:eastAsia="es-CO"/>
        </w:rPr>
      </w:pPr>
      <w:bookmarkStart w:id="818" w:name="ver_30057201"/>
      <w:bookmarkEnd w:id="817"/>
      <w:bookmarkEnd w:id="818"/>
      <w:r w:rsidRPr="00744A34">
        <w:rPr>
          <w:rFonts w:ascii="Arial" w:eastAsia="Times New Roman" w:hAnsi="Arial" w:cs="Arial"/>
          <w:b/>
          <w:bCs/>
          <w:color w:val="000000"/>
          <w:lang w:eastAsia="es-CO"/>
        </w:rPr>
        <w:t>TÍTULO 5</w:t>
      </w:r>
    </w:p>
    <w:p w14:paraId="7D72EBB0" w14:textId="77777777" w:rsidR="00AF0C09" w:rsidRPr="00744A34" w:rsidRDefault="00AF0C09" w:rsidP="00744A34">
      <w:pPr>
        <w:spacing w:after="0" w:line="293" w:lineRule="atLeast"/>
        <w:jc w:val="center"/>
        <w:rPr>
          <w:rFonts w:ascii="Arial" w:eastAsia="Times New Roman" w:hAnsi="Arial" w:cs="Arial"/>
          <w:b/>
          <w:bCs/>
          <w:color w:val="000000"/>
          <w:lang w:eastAsia="es-CO"/>
        </w:rPr>
      </w:pPr>
      <w:r w:rsidRPr="00744A34">
        <w:rPr>
          <w:rFonts w:ascii="Arial" w:eastAsia="Times New Roman" w:hAnsi="Arial" w:cs="Arial"/>
          <w:b/>
          <w:bCs/>
          <w:color w:val="000000"/>
          <w:lang w:eastAsia="es-CO"/>
        </w:rPr>
        <w:t>PROGRAMAS DE SANEAMIENTO FISCAL Y FINANCIERO DE LAS EMPRESAS SOCIALES DEL ESTADO</w:t>
      </w:r>
    </w:p>
    <w:p w14:paraId="61A88A0B" w14:textId="77777777" w:rsidR="00AF0C09" w:rsidRPr="002C1480" w:rsidRDefault="00AF0C09" w:rsidP="00C32F85">
      <w:pPr>
        <w:spacing w:after="0" w:line="254" w:lineRule="atLeast"/>
        <w:jc w:val="both"/>
        <w:rPr>
          <w:rFonts w:ascii="Arial" w:eastAsia="Times New Roman" w:hAnsi="Arial" w:cs="Arial"/>
          <w:color w:val="000000"/>
          <w:lang w:eastAsia="es-CO"/>
        </w:rPr>
      </w:pPr>
      <w:bookmarkStart w:id="819" w:name="ver_30209650"/>
      <w:bookmarkStart w:id="820" w:name="ver_30057202"/>
      <w:bookmarkEnd w:id="819"/>
      <w:r w:rsidRPr="002C1480">
        <w:rPr>
          <w:rFonts w:ascii="Arial" w:eastAsia="Times New Roman" w:hAnsi="Arial" w:cs="Arial"/>
          <w:color w:val="000000"/>
          <w:lang w:eastAsia="es-CO"/>
        </w:rPr>
        <w:t>  </w:t>
      </w:r>
    </w:p>
    <w:p w14:paraId="19C4AE6D" w14:textId="2942E05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 Objeto. El presente título tiene por objeto reglamentar los parámetros de elaboración, presentación, adopción, viabilidad, ejecución, manejo y administración de los recursos, monitoreo, seguimiento y evaluación de los Programas de Saneamiento Fiscal y Financiero, que en cumplimiento de lo dispuesto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8° de la Ley 1966 de 2019 deben adoptar las Empresas Sociales del Estado del nivel territorial, categorizadas en riesgo medio o alto. </w:t>
      </w:r>
    </w:p>
    <w:p w14:paraId="35A0C9EB" w14:textId="77777777" w:rsidR="00AF0C09" w:rsidRPr="002C1480" w:rsidRDefault="00AF0C09" w:rsidP="00C32F85">
      <w:pPr>
        <w:spacing w:after="0" w:line="254" w:lineRule="atLeast"/>
        <w:jc w:val="both"/>
        <w:rPr>
          <w:rFonts w:ascii="Arial" w:eastAsia="Times New Roman" w:hAnsi="Arial" w:cs="Arial"/>
          <w:color w:val="000000"/>
          <w:lang w:eastAsia="es-CO"/>
        </w:rPr>
      </w:pPr>
      <w:bookmarkStart w:id="821" w:name="ver_30209651"/>
      <w:bookmarkStart w:id="822" w:name="ver_30057203"/>
      <w:bookmarkEnd w:id="820"/>
      <w:bookmarkEnd w:id="821"/>
      <w:r w:rsidRPr="002C1480">
        <w:rPr>
          <w:rFonts w:ascii="Arial" w:eastAsia="Times New Roman" w:hAnsi="Arial" w:cs="Arial"/>
          <w:color w:val="000000"/>
          <w:lang w:eastAsia="es-CO"/>
        </w:rPr>
        <w:lastRenderedPageBreak/>
        <w:t>  </w:t>
      </w:r>
    </w:p>
    <w:p w14:paraId="746F03ED" w14:textId="501B94E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2.6.5.2. Elaboración del programa de saneamiento fiscal y financiero. Los Gerentes de las Empresas Sociales del Estado categorizadas en riesgo medio o alto elaborarán y presentarán a su respectiva Junta Directiva la propuesta de los Programas de Saneamiento Fiscal y Financiero en coordinación con las Direcciones Departamentales y Distritales de Salud, teniendo en cuenta los parámetros generales de contenidos, seguimiento y evaluación establecidos en el presente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y en la Guía Metodológica que para el efecto dispongan los Ministerios de Hacienda y Crédito Público y Salud y Protección Social. </w:t>
      </w:r>
    </w:p>
    <w:p w14:paraId="1058083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23" w:name="ver_30209652"/>
      <w:bookmarkStart w:id="824" w:name="ver_30057204"/>
      <w:bookmarkEnd w:id="822"/>
      <w:bookmarkEnd w:id="823"/>
    </w:p>
    <w:p w14:paraId="1C409C92" w14:textId="3894252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2.6.5.3. Presentación del Programa de Saneamiento Fiscal y Financiero ante el Ministerio de Hacienda y Crédito Público. La propuesta de Programa de Saneamiento Fiscal y Financiero elaborada por los Gerentes de las Empresas Sociales del Estado y aprobada por las Juntas Directivas deberá ser presentada para su viabilidad ante el Ministerio de Hacienda y Crédito Público por parte del Gobernador o Alcalde Distrital, en el caso de las Empresas Sociales del Estado de nivel departamental o distrital, respectivamente. Para las Empresas Sociales del Estado del nivel municipal, la presentación se realizará por parte del Gobernador, previa coordinación con el Alcalde municipal.  </w:t>
      </w:r>
    </w:p>
    <w:p w14:paraId="75C35E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09C606" w14:textId="2909551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todos los efectos, incluido lo dispuesto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 de la Ley 1966 de 2019, se entiende presentada la propuesta de Programa de Saneamiento Fiscal y Financiero ante el Ministerio de Hacienda y Crédito Público cuando la misma sea radicada por parte del Gobernador o Alcalde Distrital a través de la “Sede Electrónica” disponible en la página web del Ministerio de Hacienda y Crédito Público, de conformidad con los plazos, términos y condiciones establecidos por el Ministerio de Hacienda y Crédito Público.  </w:t>
      </w:r>
    </w:p>
    <w:p w14:paraId="08FEB2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247EF4" w14:textId="7BCE43C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Ministerio de Hacienda y Crédito Público emitirá un mensaje de datos al remitente acusando el recibo de la comunicación entrante indicando la fecha y hora de la misma y el número de radicado asignado, el cual constituye prueba tanto de la presentación efectuada por el respectivo departamento o distrito, como de su recepción por el Ministerio de Hacienda y Crédito Público, de conformidad con lo dispuesto por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61 y 62 de la Ley 1437 de 2011. </w:t>
      </w:r>
    </w:p>
    <w:p w14:paraId="1A0B80C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25" w:name="ver_30209653"/>
      <w:bookmarkStart w:id="826" w:name="ver_30057205"/>
      <w:bookmarkEnd w:id="824"/>
      <w:bookmarkEnd w:id="825"/>
    </w:p>
    <w:p w14:paraId="4658FDA2" w14:textId="518B191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2.6.5.4. Plazos para la elaboración, presentación y adopción del Programa de Saneamiento Fiscal y Financiero. Los plazos para la elaboración, presentación y adopción de las propuestas de Programas de Saneamiento Fiscal y Financiero de las Empresas Sociales del Estado categorizadas en riesgo medio o alto serán definidos y comunicados mediante oficio, al respectivo Gobernador o Alcalde Distrital por el Ministerio de Hacienda y Crédito Público.  </w:t>
      </w:r>
    </w:p>
    <w:p w14:paraId="1B6486E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27" w:name="ver_30209654"/>
      <w:bookmarkStart w:id="828" w:name="ver_30057206"/>
      <w:bookmarkEnd w:id="826"/>
      <w:bookmarkEnd w:id="827"/>
    </w:p>
    <w:p w14:paraId="7A97A76D" w14:textId="66CF282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2.6.5.5. Criterios de viabilidad del Programa de Saneamiento Fiscal y Financiero. Para emitir la viabilidad de un Programa de Saneamiento Fiscal y Financiero, el Ministerio de Hacienda y Crédito Público tendrá en consideración los siguientes criterios generales, los cuales se expresarán en el respectivo concepto de viabilidad:  </w:t>
      </w:r>
    </w:p>
    <w:p w14:paraId="26FEEF3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2B08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elaboración y presentación del Programa de Saneamiento Fiscal y Financiero dentro de los plazos definidos y comunicados por el Ministerio de Hacienda y Crédito Público.  </w:t>
      </w:r>
    </w:p>
    <w:p w14:paraId="16F352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B1C7F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adecuación del Programa de Saneamiento Fiscal y Financiero a los parámetros generales de contenidos de elaboración determinados, para su diseño en la Guía Metodológica definida por los Ministerios de Hacienda y Crédito Público y Salud y Protección Social.  </w:t>
      </w:r>
    </w:p>
    <w:p w14:paraId="3250BD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7CD3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La consistencia de las medidas propuestas en el Programa de Saneamiento Fiscal y Financiero frente al restablecimiento de la solidez económica y financiera y al fortalecimiento institucional de la Empresa Social del Estado, con el propósito de garantizar la continuidad en la prestación del servicio público de salud.  </w:t>
      </w:r>
    </w:p>
    <w:p w14:paraId="75D547F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36C44C" w14:textId="5FC1CBA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La coherencia del Programa de Saneamiento Fiscal y Financiero y la articulación de la Empresa Social del Estado con el Programa Territorial de Reorganización, Rediseño y Modernización de Redes de Empresas Sociales del Estado (ESE), definido por la Dirección Departamental o Distrital de Salud y viabilizado por el Ministerio de Salud y Protección Social conforme lo dispuesto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156 de la Ley 1450 de 2011.  </w:t>
      </w:r>
    </w:p>
    <w:p w14:paraId="5A154A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E89CEB" w14:textId="440925D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Los compromisos de apoyo a la ejecución del Programa de Saneamiento Fiscal y Financiero, por parte de los Gobernadores, Alcaldes, Secretarios de Despacho, Asambleas Departamentales o Concejos Municipales, determinados, cuantificados y ponderados en el tiempo, con el correspondiente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resolución, ordenanza, acuerdo o acto administrativo que garantice el aporte de recursos.  </w:t>
      </w:r>
    </w:p>
    <w:p w14:paraId="5FD8EB5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CA42B4" w14:textId="68FC204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6. La identificación y valoración del pasivo a cargo de la Empresa Social del Estado y un análisis de la incorporación de ese pasivo en el Marco Fiscal de Mediano Plazo del Departamento, Distrito o Municipio como contingencia. Este análisis debe identificar el impacto de tal eventualidad en las finanzas de la entidad territorial y en el resultado de los indicadores de las normas de disciplina fiscal territorial, en el marco de lo dispuesto por el literal h) y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 de la Ley 819 de 2003 adicionados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52 de la Ley 1955 de 2019.  </w:t>
      </w:r>
    </w:p>
    <w:p w14:paraId="2D6DA6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A484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Certificado o documento a través del cual la Junta Directiva y el Gerente de la Empresa Social del Estado se comprometen a celebrar un contrato de encargo fiduciario de administración y pagos, una vez el Programa de Saneamiento Fiscal y Financiero sea viabilizado por el Ministerio de Hacienda y Crédito Público y adoptado por la Junta Directiva. </w:t>
      </w:r>
    </w:p>
    <w:p w14:paraId="05D71AD6" w14:textId="77777777" w:rsidR="00744A34" w:rsidRDefault="00744A34" w:rsidP="00C32F85">
      <w:pPr>
        <w:spacing w:after="0" w:line="254" w:lineRule="atLeast"/>
        <w:jc w:val="both"/>
        <w:rPr>
          <w:rFonts w:ascii="Arial" w:eastAsia="Times New Roman" w:hAnsi="Arial" w:cs="Arial"/>
          <w:color w:val="000000"/>
          <w:lang w:eastAsia="es-CO"/>
        </w:rPr>
      </w:pPr>
      <w:bookmarkStart w:id="829" w:name="ver_30057207"/>
      <w:bookmarkEnd w:id="828"/>
    </w:p>
    <w:p w14:paraId="1C5DB2B2" w14:textId="25493DD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2.6.5.6. Viabilidad del Programa de Saneamiento Fiscal y Financiero. Cuando la propuesta de Programa de Saneamiento Fiscal y Financiero presentada cumpla con los criterios establecidos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el Ministerio de Hacienda y Crédito Público emitirá pronunciamiento sobre su viabilidad. En el evento en que dicho Ministerio formule observaciones a la propuesta de Programa presentada, el Gerente de la Empresa Social del Estado a través del respectivo Gobernador o Alcalde Distrital, deberá efectuar los correspondientes ajustes y presentar nuevamente la propuesta de programa en aras de obtener su viabilidad.  </w:t>
      </w:r>
    </w:p>
    <w:p w14:paraId="519D203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EAD29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plazos para efectuar los ajustes y presentar nuevamente la propuesta de Programa de Saneamiento Fiscal y Financiero serán definidos y comunicados mediante Oficio, al respectivo Gobernador o Alcalde Distrital por el Ministerio de Hacienda y Crédito Público.  </w:t>
      </w:r>
    </w:p>
    <w:p w14:paraId="329E1C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C6FA1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viabilizada la propuesta de Programa de Saneamiento Fiscal y Financiero por parte del Ministerio de Hacienda y Crédito Público, la Junta Directiva de la correspondiente Empresa Social del Estado deberá proceder con su adopción. </w:t>
      </w:r>
    </w:p>
    <w:p w14:paraId="3E85F3D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30" w:name="ver_30209656"/>
      <w:bookmarkStart w:id="831" w:name="ver_30057208"/>
      <w:bookmarkEnd w:id="829"/>
      <w:bookmarkEnd w:id="830"/>
    </w:p>
    <w:p w14:paraId="33E7F73D" w14:textId="7D886F4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2.6.5.7 No viabilidad de los Programas de Saneamiento Fiscal y Financiero. En los casos en que no se elabore, no se presente o no se adopte la propuesta de Programa de Saneamiento Fiscal y Financiero por parte del Gerente de la Empresa Social del Estado, del Gobernador o Alcalde Distrital y de la Junta Directiva de la misma, respectivamente, en los plazos y condiciones definidos por el Ministerio de Hacienda y Crédito Público, este último informará </w:t>
      </w:r>
      <w:r w:rsidR="00AF0C09" w:rsidRPr="002C1480">
        <w:rPr>
          <w:rFonts w:ascii="Arial" w:eastAsia="Times New Roman" w:hAnsi="Arial" w:cs="Arial"/>
          <w:color w:val="000000"/>
          <w:lang w:eastAsia="es-CO"/>
        </w:rPr>
        <w:lastRenderedPageBreak/>
        <w:t>debidamente a la Superintendencia Nacional de Salud y a los Organismos de Control para lo de sus competencias.  </w:t>
      </w:r>
    </w:p>
    <w:p w14:paraId="6504B63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CFAB7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los casos en que no se realice la incorporación de los ajustes a la propuesta de Programa de Saneamiento Fiscal y Financiero por parte del Gerente de la Empresa Social del Estado, y no se presenten los mismos por parte del Gobernador o Alcalde Distrital, en los plazos y condiciones definidos y comunicados por el Ministerio de Hacienda y Crédito Público, este último informará debidamente a la Superintendencia Nacional de Salud y a los Organismos de Control para lo de sus competencias.  </w:t>
      </w:r>
    </w:p>
    <w:p w14:paraId="39F17FE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C5411A" w14:textId="7B0E183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Cuando la propuesta de Programa de Saneamiento Fiscal y Financiero no cumpla con los criterios de viabilidad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2.6.5.5, el Ministerio de Hacienda y Crédito Público emitirá pronunciamiento sobre su no viabilidad; por lo cual efectuará la devolución del mismo al Gobernador o Alcalde Distrital para que adelante las acciones conducentes a garantizar la continuidad, la calidad y la oportunidad en la prestación del servicio público de salud en el marco del Programa de Reorganización, Rediseño y Modernización de las Redes de las Empresas Sociales del Estado.  </w:t>
      </w:r>
    </w:p>
    <w:p w14:paraId="2A5F42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875A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Las Empresas Sociales del Estado categorizadas en riesgo medio o alto cuyo Programa Territorial de Reorganización, Rediseño y Modernización de Redes establezca su liquidación o fusión, no se encuentran facultadas para presentar una propuesta de Programa de Saneamiento Fiscal y Financiero ante el Ministerio de Hacienda y Crédito Público. En este evento, el Gobernador o Alcalde Distrital deberá adelantar las acciones que establezca el documento de red, o presentar la correspondiente actualización de este ante el Ministerio de Salud y Protección Social.  </w:t>
      </w:r>
    </w:p>
    <w:p w14:paraId="1AAEA84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7B87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Empresas Sociales del Estado categorizadas en riego medio o alto incursas en la presente situación, podrán presentar para viabilidad una propuesta de Programa de Saneamiento Fiscal y Financiero ante el Ministerio de Hacienda y Crédito Público, siempre y cuando el Programa Territorial de Reorganización, Rediseño y Modernización de Redes de ESE actualizado establezca su funcionamiento dentro de la red y sea viabilizado por el Ministerio de Salud y Protección Social. </w:t>
      </w:r>
    </w:p>
    <w:p w14:paraId="4804FBB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32" w:name="ver_30209657"/>
      <w:bookmarkStart w:id="833" w:name="ver_30057209"/>
      <w:bookmarkEnd w:id="831"/>
      <w:bookmarkEnd w:id="832"/>
    </w:p>
    <w:p w14:paraId="0238942A" w14:textId="0CD2B53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2.6.5.8. Ejecución de los recursos del Programa de Saneamiento Fiscal y Financiero. Los recursos destinados al Programa de Saneamiento Fiscal y Financiero se ejecutarán a partir de: i) la celebración y legalización del contrato de encargo fiduciario de administración y pagos; y ii) modificación del presupuesto de conformidad con el escenario financiero del programa; previa viabilización del mismo por parte del Ministerio de Hacienda y Crédito Público y su adopción por la Junta Directiva de la Empresa Social del Estado.  </w:t>
      </w:r>
    </w:p>
    <w:p w14:paraId="4F98C11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343A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Cuando la Nación o las entidades territoriales en el marco de sus competencias asignen recursos a las Empresas Sociales del Estado con Programa de Saneamiento Fiscal y Financiero viabilizado por el Ministerio de Hacienda y Crédito Público y adoptado por la Junta Directiva de la misma, la ejecución de los mismos deberá guardar coherencia y consistencia con las metas de saneamiento y sostenibilidad financiera, y de fortalecimiento institucional del programa, por ende, harán parte integral del mismo.  </w:t>
      </w:r>
    </w:p>
    <w:p w14:paraId="18C13BE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237D1C" w14:textId="5A0CD58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Los recursos de excedentes de cuentas maestras del régimen subsidiado, en el marco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1608 de 2013, así como los recursos de excedentes de rentas cedidas y del Sistema General de Participaciones de Oferta, según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4° y 21 de la Ley 1797 de 2016 respectivamente, que sean destinados por las entidades territoriales </w:t>
      </w:r>
      <w:r w:rsidRPr="002C1480">
        <w:rPr>
          <w:rFonts w:ascii="Arial" w:eastAsia="Times New Roman" w:hAnsi="Arial" w:cs="Arial"/>
          <w:color w:val="000000"/>
          <w:lang w:eastAsia="es-CO"/>
        </w:rPr>
        <w:lastRenderedPageBreak/>
        <w:t>para apoyar los Programas de Saneamiento Fiscal y Financiero viabilizados por el Ministerio de Hacienda y Crédito Público, deberán ser girados por estas a la cuenta bancaria que disponga la respectiva Empresa Social del Estado, quien de forma inmediata procederá a efectuar la transferencia de los citados recursos al encargo fiduciario de administración y pagos que esta haya constituido en el marco de dicho programa.  </w:t>
      </w:r>
    </w:p>
    <w:p w14:paraId="7551D767" w14:textId="20070523" w:rsidR="00AF0C09" w:rsidRPr="002C1480" w:rsidRDefault="00AF0C09" w:rsidP="00744A3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34" w:name="ver_30209658"/>
      <w:bookmarkStart w:id="835" w:name="ver_30057210"/>
      <w:bookmarkEnd w:id="833"/>
      <w:bookmarkEnd w:id="834"/>
    </w:p>
    <w:p w14:paraId="5FC18BBE" w14:textId="1982090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2.6.5.9. Monitoreo, seguimiento y evaluación de los Programas de Saneamiento Fiscal y Financiero. El monitoreo de los Programas de Saneamiento Fiscal y Financiero viabilizados estará a cargo de la respectiva Empresa Social del Estado; el seguimiento estará a cargo del correspondiente Departamento o Distrito, y la evaluación estará a cargo del Ministerio de Hacienda y Crédito Público. El monitoreo, seguimiento y evaluación se ejercerá sobre el cumplimiento de las medidas y metas previstas en relación con la recuperación, el restablecimiento de la solidez económica y financiera y el fortalecimiento institucional de la Empresa Social del Estado, sin perjuicio del control fiscal que ejercen los órganos de control.  </w:t>
      </w:r>
    </w:p>
    <w:p w14:paraId="1F1AE5A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E8BA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este efecto, el Gobernador o Alcalde Distrital deberá remitir informes de seguimiento tanto a nivel individual como consolidado de los Programas de Saneamiento Fiscal y Financiero viabilizados de cada una de las Empresas Sociales del Estado de su jurisdicción, en los formatos y con la periodicidad que defina el Ministerio de Hacienda y Crédito Público; en los cuales reportará, como mínimo, los avances, el grado de cumplimiento y las recomendaciones en relación con los programas.  </w:t>
      </w:r>
    </w:p>
    <w:p w14:paraId="2C53AF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81B2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Con base en los resultados de la evaluación anual de los Programas de Saneamiento Fiscal y Financiero, el Ministerio de Hacienda y Crédito Público elaborará y publicará en su página web un escalafón de desempeño de las Empresas Sociales del Estado y de compromiso de las entidades territoriales frente a las medidas propuestas en los programas.  </w:t>
      </w:r>
    </w:p>
    <w:p w14:paraId="07A7A88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F989E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desarrollo de las disposiciones legales vigentes, el Ministerio de Salud y Protección Social, como órgano rector del sector salud, verificará periódicamente la articulación de las Empresas Sociales del Estado que ejecutan Programas de Saneamiento Fiscal y Financiero viabilizados, con la operación y sostenibilidad de la red de prestación de servicios y la continuidad de la prestación de servicios de salud. </w:t>
      </w:r>
    </w:p>
    <w:p w14:paraId="0CFE5ACC" w14:textId="58870F31" w:rsidR="00AF0C09" w:rsidRPr="002C1480" w:rsidRDefault="002C1480" w:rsidP="00C32F85">
      <w:pPr>
        <w:spacing w:after="0" w:line="254" w:lineRule="atLeast"/>
        <w:jc w:val="both"/>
        <w:rPr>
          <w:rFonts w:ascii="Arial" w:eastAsia="Times New Roman" w:hAnsi="Arial" w:cs="Arial"/>
          <w:color w:val="000000"/>
          <w:lang w:eastAsia="es-CO"/>
        </w:rPr>
      </w:pPr>
      <w:bookmarkStart w:id="836" w:name="ver_30209659"/>
      <w:bookmarkStart w:id="837" w:name="ver_30057211"/>
      <w:bookmarkEnd w:id="835"/>
      <w:bookmarkEnd w:id="836"/>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2.6.5.10. Recursos para el Programa de Saneamiento Fiscal y Financiero. Para el financiamiento del Programa de Saneamiento Fiscal y Financiero, se podrán destinar recursos de las siguientes fuentes:  </w:t>
      </w:r>
    </w:p>
    <w:p w14:paraId="14EDF0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3D52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Recursos de las Instituciones Prestadoras de Servicios de Salud Públicas.  </w:t>
      </w:r>
    </w:p>
    <w:p w14:paraId="569E75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0E0F49" w14:textId="5D34B2D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Recursos por recuperación de cartera provenientes del saneamiento definitivo de las cuentas de servicios y tecnologías en salud no financiadas por la UPC del régimen subsidiado prestados hasta el 31 de diciembre de 2019, en el marco de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238 de la Ley 1955 de 2019.  </w:t>
      </w:r>
    </w:p>
    <w:p w14:paraId="6E6D12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7CCD4A" w14:textId="0F5B9F0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Saldos de las cuentas maestras del Régimen Subsidiado, en los términos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1608 de 2013 o la norma que lo modifique, adicione o sustituya.  </w:t>
      </w:r>
    </w:p>
    <w:p w14:paraId="73DC87F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59FBA1" w14:textId="4FFE700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Recursos excedentes de las rentas cedidas 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 de la Ley 1797 de 2016, o la norma que la modifique, adicione o sustituya.  </w:t>
      </w:r>
    </w:p>
    <w:p w14:paraId="0D17401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Recursos que destinen las entidades territoriales.  </w:t>
      </w:r>
    </w:p>
    <w:p w14:paraId="500325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D3A27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6. Los recursos que por norma se destinen al Saneamiento Fiscal y Financiero de las Empresas Sociales del Estado.  </w:t>
      </w:r>
    </w:p>
    <w:p w14:paraId="090C51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A9E8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saldos, remanentes, rendimientos y los recursos no distribuidos del Fondo de Garantías para el Sector Salud, Fonsaet se utilizarán como fuente hasta el agotamiento de los recursos que financian dicho fondo.  </w:t>
      </w:r>
    </w:p>
    <w:p w14:paraId="694F32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58C350" w14:textId="51B1E90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 la Ley 1966 de 2019, los recursos dispuestos por las Leyes 1438 de 2011, 1608 de 2013 y 1797 de 2016, o la norma que las modifique, adicione o sustituya, deberán destinarse prioritariamente a la financiación de los Programas de Saneamiento Fiscal y Financiero de las Empresas Sociales del Estado de nivel I. </w:t>
      </w:r>
    </w:p>
    <w:p w14:paraId="077C5272" w14:textId="77777777" w:rsidR="0063420B" w:rsidRDefault="0063420B" w:rsidP="00C32F85">
      <w:pPr>
        <w:spacing w:after="0" w:line="254" w:lineRule="atLeast"/>
        <w:jc w:val="both"/>
        <w:rPr>
          <w:rFonts w:ascii="Arial" w:eastAsia="Times New Roman" w:hAnsi="Arial" w:cs="Arial"/>
          <w:color w:val="000000"/>
          <w:lang w:eastAsia="es-CO"/>
        </w:rPr>
      </w:pPr>
      <w:bookmarkStart w:id="838" w:name="ver_30057212"/>
      <w:bookmarkEnd w:id="837"/>
    </w:p>
    <w:p w14:paraId="4C8BC573" w14:textId="71DB5C9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2.6.5.11. Categorización del riesgo. La categorización del riesgo de las Empresas Sociales del Estado del nivel territorial que realice anualmente el Ministerio de Salud y Protección Social, tendrá en cuenta el concepto del Ministerio de Hacienda y Crédito Público sobre el cumplimiento de los Programas de Saneamiento Fiscal y Financiero; en todo caso las Empresas Sociales del Estado cuyos Programas de Saneamiento Fiscal y Financiero se encuentren en proceso de viabilidad o debidamente viabilizados por el Ministerio de Hacienda y Crédito Público, no serán objeto de categorización del riesgo por parte del Ministerio de Salud y Protección Social, hasta tanto el Programa se encuentre culminado. </w:t>
      </w:r>
    </w:p>
    <w:p w14:paraId="250F7AB9" w14:textId="77777777" w:rsidR="00AF0C09" w:rsidRPr="002C1480" w:rsidRDefault="00AF0C09" w:rsidP="00C32F85">
      <w:pPr>
        <w:spacing w:after="0" w:line="254" w:lineRule="atLeast"/>
        <w:jc w:val="both"/>
        <w:rPr>
          <w:rFonts w:ascii="Arial" w:eastAsia="Times New Roman" w:hAnsi="Arial" w:cs="Arial"/>
          <w:color w:val="000000"/>
          <w:lang w:eastAsia="es-CO"/>
        </w:rPr>
      </w:pPr>
      <w:bookmarkStart w:id="839" w:name="ver_30209661"/>
      <w:bookmarkStart w:id="840" w:name="ver_30057213"/>
      <w:bookmarkEnd w:id="838"/>
      <w:bookmarkEnd w:id="839"/>
      <w:r w:rsidRPr="002C1480">
        <w:rPr>
          <w:rFonts w:ascii="Arial" w:eastAsia="Times New Roman" w:hAnsi="Arial" w:cs="Arial"/>
          <w:color w:val="000000"/>
          <w:lang w:eastAsia="es-CO"/>
        </w:rPr>
        <w:t>  </w:t>
      </w:r>
    </w:p>
    <w:p w14:paraId="5DE3D922" w14:textId="4B78727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2.6.5.12. Decisiones de la junta directiva. Las decisiones en materia fiscal y financiera, que deba tomar la Junta Directiva de las Empresas Sociales del Estado del nivel territorial, que se encuentren ejecutando un Programa de Saneamiento Fiscal y Financiero, requerirán el voto favorable y expreso del presidente de la Junta Directiva, o su respectivo delegado, según el caso.  </w:t>
      </w:r>
    </w:p>
    <w:p w14:paraId="2828BCB5" w14:textId="77777777" w:rsidR="0063420B" w:rsidRDefault="0063420B" w:rsidP="00C32F85">
      <w:pPr>
        <w:spacing w:after="0" w:line="254" w:lineRule="atLeast"/>
        <w:jc w:val="both"/>
        <w:rPr>
          <w:rFonts w:ascii="Arial" w:eastAsia="Times New Roman" w:hAnsi="Arial" w:cs="Arial"/>
          <w:color w:val="000000"/>
          <w:lang w:eastAsia="es-CO"/>
        </w:rPr>
      </w:pPr>
      <w:bookmarkStart w:id="841" w:name="ver_30057214"/>
      <w:bookmarkEnd w:id="840"/>
    </w:p>
    <w:p w14:paraId="3B530D1E" w14:textId="0A95995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2.6.5.13. Programación de presupuesto. Para efectos de lo dispuesto en el presente título, el presupuesto de las Empresas Sociales del Estado se deberá elaborar con base en el escenario financiero aprobado en el Programa de Saneamiento Fiscal y Financiero, por lo cual las empresas deberán modificar el presupuesto de la vigencia en la cual se viabilice y adopte el mismo.  </w:t>
      </w:r>
    </w:p>
    <w:p w14:paraId="7C2B0A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4EBD1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anterior, sin perjuicio, de los ajustes que procedan al presupuesto de acuerdo con el recaudo real evidenciado en la vigencia que se ejecuta el presupuesto y reconocimiento del deudor de la cartera, siempre que haya fecha cierta de pago y se encuentren aceptados por parte de las Entidades Responsables de Pago (ERP).  </w:t>
      </w:r>
    </w:p>
    <w:p w14:paraId="59B95F4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8999B6" w14:textId="4DE4C7F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Será responsabilidad del Consejo de Política Fiscal territorial o quien haga sus veces, aprobar el presupuesto de las Empresas Sociales del Estado y sus respectivas modificaciones en los términos, plazos y condiciones establecidos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BDC74D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42" w:name="ver_30209663"/>
      <w:bookmarkStart w:id="843" w:name="ver_30057215"/>
      <w:bookmarkEnd w:id="841"/>
      <w:bookmarkEnd w:id="842"/>
    </w:p>
    <w:p w14:paraId="137B33A0" w14:textId="6565B9F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2.6.5.14. Incumplimiento del Programa de Saneamiento Fiscal y Financiero. En virtud del parágrafo 4°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77 de la Ley 1955 de 2019, el Ministerio de Hacienda y Crédito Público remitirá a la Superintendencia Nacional de Salud, la información de las Empresas Sociales del Estado que, de acuerdo con las evaluaciones realizadas por el Ministerio incumplan el Programa de Saneamiento Fiscal y Financiero, para que la Superintendencia Nacional de Salud adelante las actuaciones a que haya lugar, en el marco de sus competencias.  </w:t>
      </w:r>
    </w:p>
    <w:p w14:paraId="78783A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6CBF46" w14:textId="0F42035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Empresas Sociales del Estado que de acuerdo con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sean remitidas a la Superintendencia Nacional de Salud, no podrán volver a presentar un Programa de </w:t>
      </w:r>
      <w:r w:rsidRPr="002C1480">
        <w:rPr>
          <w:rFonts w:ascii="Arial" w:eastAsia="Times New Roman" w:hAnsi="Arial" w:cs="Arial"/>
          <w:color w:val="000000"/>
          <w:lang w:eastAsia="es-CO"/>
        </w:rPr>
        <w:lastRenderedPageBreak/>
        <w:t>Saneamiento Fiscal y Financiero ante el Ministerio de Hacienda y Crédito Público; situación que será informada al Ministerio de Salud y Protección Social para efectos de la no aplicación de la metodología de categorización del riesgo de estas, hasta tanto la Superintendencia Nacional de Salud en ejercicio de sus competencias, realice la respectiva intervención de la Empresa Social del Estado y emita pronunciamiento en relación con la culminación satisfactoria de la misma. </w:t>
      </w:r>
    </w:p>
    <w:p w14:paraId="2A0D066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44" w:name="ver_30209664"/>
      <w:bookmarkStart w:id="845" w:name="ver_30057216"/>
      <w:bookmarkEnd w:id="843"/>
      <w:bookmarkEnd w:id="844"/>
    </w:p>
    <w:p w14:paraId="50BA93B3" w14:textId="1926EDE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2.6.5.15. Manejo y administración de los recursos de la empresa social del estado categorizada en riesgo medio o alto que deban adoptar Programas de Saneamiento Fiscal y Financiero. Las Empresas Sociales del Estado categorizadas en riesgo medio o alto que deban adoptar un Programa de Saneamiento Fiscal y Financiero en los términos establecidos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8° de la Ley 1966 de 2019, deberán administrar sus recursos, incluidos los destinados a la financiación del Programa a través de un contrato de encargo fiduciario de administración y pagos. Los plazos y condiciones para la celebración y ejecución del contrato de encargo fiduciario de administración y pagos serán establecidos por el Ministerio de Hacienda y Crédito Público.  </w:t>
      </w:r>
    </w:p>
    <w:p w14:paraId="20C1196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F8B3C0" w14:textId="0313C61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Empresas Sociales del Estado categorizadas en riesgo medio o alto con Programa de Saneamiento Fiscal y Financiero viabilizado o que se encuentren en proceso de viabilidad a la fecha de entrada en vigencia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deberán en los plazos y condiciones que establezca el Ministerio de Hacienda y Crédito Público, disponer del manejo y administración de sus recursos incluidos los destinados a la financiación del Programa a través de un contrato de encargo fiduciario de administración y pagos.  </w:t>
      </w:r>
    </w:p>
    <w:p w14:paraId="4E704CE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46" w:name="ver_30209665"/>
      <w:bookmarkStart w:id="847" w:name="ver_30057217"/>
      <w:bookmarkEnd w:id="845"/>
      <w:bookmarkEnd w:id="846"/>
    </w:p>
    <w:p w14:paraId="45440015" w14:textId="2F6B377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2.6.5.16. Modificación de los Programas de Saneamiento Fiscal y Financiero. Los Programas de Saneamiento Fiscal y Financiero podrán ser modificados de conformidad con los plazos y condiciones que establezca para el efecto el Ministerio de Hacienda y Crédito Público. </w:t>
      </w:r>
    </w:p>
    <w:p w14:paraId="6AB8068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48" w:name="ver_30209666"/>
      <w:bookmarkEnd w:id="847"/>
      <w:bookmarkEnd w:id="848"/>
    </w:p>
    <w:p w14:paraId="30DEFD5A" w14:textId="405D512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2.6.5.17. Empresas Sociales del Estado en intervención forzosa administrativa para administrar o en acuerdo de reestructuración de pasivos. Las Empresas Sociales del Estado categorizadas por parte del Ministerio de Salud y Protección Social en riesgo medio o alto que se encuentran en intervención forzosa administrativa para administrar o en Acuerdo de Reestructuración de Pasivos ante la Superintendencia Nacional de Salud, no se encuentran habilitadas para presentar Programas de Saneamiento Fiscal y Financiero ante el Ministerio de Hacienda y Crédito Público.  </w:t>
      </w:r>
    </w:p>
    <w:p w14:paraId="75AA21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DF0FC9" w14:textId="526DDEF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Respecto de las Empresas Sociales del Estado que a la fecha de expedición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encuentren ejecutando un Programa de Saneamiento Fiscal y Financiero o en proceso de viabilidad del mismo ante el Ministerio de Hacienda y Crédito Público y se encuentren en intervención forzosa administrativa para administrar o en Acuerdo de Reestructuración de Pasivos, se dará por finalizado el Programa ante el Ministerio y deberá continuar el respectivo proceso ante la Superintendencia Nacional de Salud.  </w:t>
      </w:r>
    </w:p>
    <w:p w14:paraId="7A6D5DE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B900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Ministerio de Hacienda y Crédito Público cesará sus competencias frente a los Programas de Saneamiento Fiscal y Financiero viabilizados y en ejecución de las Empresas Sociales del Estado que simultáneamente inicien la promoción de un Acuerdo de Reestructuración de Pasivos o una medida intervención forzosa administrativa para administrar ante la Superintendencia Nacional de Salud.  </w:t>
      </w:r>
    </w:p>
    <w:p w14:paraId="645AB8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75F1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Las Empresas Sociales del Estado incursas en la situación del parágrafo primero y segundo, no podrán volver a presentar un Programa de Saneamiento Fiscal y Financiero ante el Ministerio de Hacienda y Crédito Público.  </w:t>
      </w:r>
    </w:p>
    <w:p w14:paraId="52B266A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119C3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Las anteriores situaciones serán informadas al Ministerio de Salud y Protección Social para efectos de la no aplicación de la metodología de categorización del riesgo de estas, hasta tanto la Superintendencia Nacional de Salud en ejercicio de sus competencias, emita pronunciamiento en relación con la culminación del Acuerdo de Reestructuración de Pasivos y la medida de intervención forzosa administrativa para administrar. </w:t>
      </w:r>
    </w:p>
    <w:p w14:paraId="2FDA438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49" w:name="ver_30209667"/>
      <w:bookmarkEnd w:id="849"/>
    </w:p>
    <w:p w14:paraId="635DCE69" w14:textId="70897DB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2.6.5.18. Empresas Sociales del Estado en medida de vigilancia especial ante la Superintendencia Nacional de Salud. Las Empresas Sociales del Estado categorizadas en riesgo medio o alto, que se encuentren en Medida de Vigilancia Especial ante la Superintendencia Nacional de Salud, no se encuentran habilitadas para presentar Programa de Saneamiento Fiscal y Financiero ante el Ministerio de Hacienda y Crédito Público hasta tanto, la Superintendencia Nacional de Salud certifique que la medida de vigilancia se dio por culminada.  </w:t>
      </w:r>
    </w:p>
    <w:p w14:paraId="7F739A6E" w14:textId="04032C3C"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50" w:name="ver_30209668"/>
      <w:bookmarkEnd w:id="850"/>
    </w:p>
    <w:p w14:paraId="10F87B34" w14:textId="46FBD51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2.6.5.19. Transición. Las Empresas Sociales del Estado categorizadas en riesgo medio o alto que se encuentren con Programa de Saneamiento Fiscal y Financiero viabilizado por el Ministerio de Hacienda y Crédito Público a la entrada de vigencia del presente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se les aplicarán las condiciones establecidas en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s 2.6.5.8 y siguientes de este. Las Empresas Sociales del Estado categorizadas en riesgo medio o alto que se encuentren en proceso de viabilidad del Programa de Saneamiento Fiscal y Financiero a la entrada de vigencia del presente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se les aplicarán los plazos y condiciones establecidos en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2.6.5.4 y siguientes del mismo. </w:t>
      </w:r>
    </w:p>
    <w:p w14:paraId="27795567" w14:textId="77777777" w:rsidR="0063420B" w:rsidRDefault="0063420B" w:rsidP="00C32F85">
      <w:pPr>
        <w:spacing w:after="0" w:line="293" w:lineRule="atLeast"/>
        <w:jc w:val="both"/>
        <w:rPr>
          <w:rFonts w:ascii="Arial" w:eastAsia="Times New Roman" w:hAnsi="Arial" w:cs="Arial"/>
          <w:color w:val="000000"/>
          <w:lang w:eastAsia="es-CO"/>
        </w:rPr>
      </w:pPr>
      <w:bookmarkStart w:id="851" w:name="ver_30057218"/>
      <w:bookmarkEnd w:id="851"/>
    </w:p>
    <w:p w14:paraId="31DB1F98" w14:textId="55AEA193"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TÍTULO 6</w:t>
      </w:r>
    </w:p>
    <w:p w14:paraId="3E57D765"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PRESUPUESTO ENTIDADES TERRITORIALES</w:t>
      </w:r>
    </w:p>
    <w:p w14:paraId="4AEF1AF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52" w:name="ver_30057220"/>
      <w:bookmarkEnd w:id="852"/>
    </w:p>
    <w:p w14:paraId="51EAC821" w14:textId="1998ED1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2.6.6.1. Inembargabilidad recursos del Sistema General de Participaciones. Los recursos del Sistema General de Participaciones, por su destinación social constitucional, no pueden ser objeto de embargo. En los términos establecidos en la Ley 715 de 2001, los recursos del Sistema General de Participaciones no harán unidad de Caja con los demás recursos del presupuesto y su administración deberá realizarse en cuentas separadas de los recursos de la entidad y por sectores. </w:t>
      </w:r>
    </w:p>
    <w:p w14:paraId="5ACCA3AE" w14:textId="7D198AF5"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53" w:name="ver_30057221"/>
      <w:bookmarkEnd w:id="853"/>
    </w:p>
    <w:p w14:paraId="77B03B80" w14:textId="7EA5D9F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 Obligatoriedad tramite de desembargo. Los recursos que se manejan en cuentas maestras separadas para el recaudo y gasto y demás cuentas en los que se encuentren depositados los recursos de transferencias que hace la Nación a las Entidades Territoriales, y las cuentas de las Entidades Territoriales en que manejan recursos de destinación social constitucional, son inembargables en los términos establecidos en el Estatuto Orgánico de Presupuesto, en la Ley 715 de 2001 y las demás disposiciones que regulan la materia. </w:t>
      </w:r>
    </w:p>
    <w:p w14:paraId="3EE78F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88EB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que se llegare a efectuar un embargo de los recursos del Sistema General de Participaciones el servidor público, que reciba una orden de embargo sobre los recursos incorporados en el Presupuesto General de la Nación, incluidas las transferencias que hace la Nación a las Entidades Territoriales por concepto de participación para educación, participación para salud y para participación para propósito general, está obligado a efectuar los trámites, dentro de los tres días siguientes a su recibo, para solicitar su desembargo. </w:t>
      </w:r>
    </w:p>
    <w:p w14:paraId="1311E53B" w14:textId="49371A05"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54" w:name="ver_30057222"/>
      <w:bookmarkEnd w:id="854"/>
    </w:p>
    <w:p w14:paraId="3093D550" w14:textId="456E811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2.6.6.3. Constancia de inembargabilidad de recursos. El servidor público una vez recibida la orden de embargo sobre los recursos de transferencias que hace la Nación a las </w:t>
      </w:r>
      <w:r w:rsidR="00AF0C09" w:rsidRPr="002C1480">
        <w:rPr>
          <w:rFonts w:ascii="Arial" w:eastAsia="Times New Roman" w:hAnsi="Arial" w:cs="Arial"/>
          <w:color w:val="000000"/>
          <w:lang w:eastAsia="es-CO"/>
        </w:rPr>
        <w:lastRenderedPageBreak/>
        <w:t>Entidades Territoriales, solicitará a la Dirección General del Presupuesto Público Nacional del Ministerio de Hacienda y Crédito Público, la constancia sobre la naturaleza de estos recursos; la constancia de inembargables de los recursos, será solicitada a más tardar dentro de los tres (3) días siguientes a su recibo. </w:t>
      </w:r>
    </w:p>
    <w:p w14:paraId="4A28A902" w14:textId="0E8657BF"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55" w:name="ver_30057223"/>
      <w:bookmarkEnd w:id="855"/>
    </w:p>
    <w:p w14:paraId="14E8A0FF" w14:textId="17E2C09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2.6.6.4. Plazo de expedición constancia de inembargabilidad. La Dirección General del Presupuesto Público Nacional del Ministerio de Hacienda y Crédito Público, expedirá la constancia dentro de los tres (3) días siguientes al recibo de la solicitud. </w:t>
      </w:r>
    </w:p>
    <w:p w14:paraId="7CA6329B" w14:textId="249C6F7F"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56" w:name="ver_30057224"/>
      <w:bookmarkEnd w:id="856"/>
    </w:p>
    <w:p w14:paraId="0EF06590" w14:textId="3BE8DB4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2.6.6.5. Requisitos de la solicitud de constancia de inembargabilidad. La solicitud de constancia de inembargabilidad debe indicar el tipo de proceso, las partes involucradas, el despacho judicial que profirió las medidas cautelares y el origen de los recursos que fueron embargados. </w:t>
      </w:r>
    </w:p>
    <w:p w14:paraId="07D156E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57" w:name="ver_30057225"/>
      <w:bookmarkEnd w:id="857"/>
    </w:p>
    <w:p w14:paraId="04FF2A05" w14:textId="255A5C7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2.6.6.6. Trámite de la constancia de inembargabilidad de cuentas maestras o cuentas de las entidades territoriales que administran recursos del sistema general de participaciones. La constancia de inembargabilidad de las cuentas maestras separadas, o de las cuentas de las Entidades Territoriales en las cuales éstas manejen recursos de destinación social constitucional, las solicitará el servidor público, en los casos en que la autoridad judicial lo requiera, ante la entidad responsable del giro de los recursos objeto de la medida cautelar en los términos del inciso final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38 de la Ley 1110 de 2006. </w:t>
      </w:r>
    </w:p>
    <w:p w14:paraId="39A389AA" w14:textId="77777777" w:rsidR="0063420B" w:rsidRDefault="0063420B" w:rsidP="00C32F85">
      <w:pPr>
        <w:spacing w:after="0" w:line="293" w:lineRule="atLeast"/>
        <w:jc w:val="both"/>
        <w:rPr>
          <w:rFonts w:ascii="Arial" w:eastAsia="Times New Roman" w:hAnsi="Arial" w:cs="Arial"/>
          <w:color w:val="000000"/>
          <w:lang w:eastAsia="es-CO"/>
        </w:rPr>
      </w:pPr>
      <w:bookmarkStart w:id="858" w:name="ver_30057226"/>
      <w:bookmarkEnd w:id="858"/>
    </w:p>
    <w:p w14:paraId="151D0E3C" w14:textId="206E1189"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1</w:t>
      </w:r>
    </w:p>
    <w:p w14:paraId="16B7C0E8"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VIGENCIAS FUTURAS EXCEPCIONALES PARA ENTIDADES</w:t>
      </w:r>
    </w:p>
    <w:p w14:paraId="22704519"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TERRITORIALES</w:t>
      </w:r>
    </w:p>
    <w:p w14:paraId="4817882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59" w:name="ver_30057227"/>
      <w:bookmarkEnd w:id="859"/>
    </w:p>
    <w:p w14:paraId="49CE2EBB" w14:textId="2F013FD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2.6.6.1.1. Declaración de importancia estratégica. De conformidad con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 de la Ley 1483 de 2011, los proyectos de inversión que requieran autorización de vigencias futuras, y excedan el período de gobierno, deberán ser declarados previamente de importancia estratégica, por parte de los Consejos de Gobierno de las entidades territoriales y cumplir los siguientes requisitos: </w:t>
      </w:r>
    </w:p>
    <w:p w14:paraId="05E3A6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76A1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Que dentro de la parte General Estratégica del Plan de Desarrollo vigente de la entidad territorial se haga referencia expresa a la importancia y el impacto que tiene para la entidad territorial el desarrollo del proyecto que se inicia en ese período y trasciende la vigencia del periodo de gobierno; </w:t>
      </w:r>
    </w:p>
    <w:p w14:paraId="272890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4DB5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Que consecuente con el literal anterior, dentro del Plan de Inversiones del Plan de Desarrollo vigente se encuentre incorporado el proyecto para el cual se solicita la vigencia futura que supera el período de Gobierno; </w:t>
      </w:r>
    </w:p>
    <w:p w14:paraId="723FDA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B34D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Que dentro del Marco Fiscal de Mediano Plazo de la entidad territorial se tenga incorporado el impacto, en términos de costos y efectos fiscales, del desarrollo del proyecto para los diez años de vigencia del Marco Fiscal. </w:t>
      </w:r>
    </w:p>
    <w:p w14:paraId="77AEEB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7E126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Que el proyecto se encuentre viabilizado dentro del Banco de Programas y Proyectos de la entidad territorial; </w:t>
      </w:r>
    </w:p>
    <w:p w14:paraId="5B939C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F17493" w14:textId="50B299F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e) Sin perjuicio de los estudios técnicos que deben tener todos los proyectos, los proyectos de infraestructura, energía y comunicaciones el estudio técnico deben incluir la definición de obras prioritarias e ingeniería de detalle, aprobado por la oficina de planeación de la entidad territorial o quien haga sus veces. Para el caso de proyectos de Asociación Público Privada, se cumplirá con los estudios requeridos en la Ley 1508 de 2012 y sus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reglamentarios. </w:t>
      </w:r>
    </w:p>
    <w:p w14:paraId="33760C77" w14:textId="6C426256" w:rsidR="00AF0C09" w:rsidRPr="002C1480" w:rsidRDefault="00AF0C09" w:rsidP="006C79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60" w:name="ver_30057228"/>
      <w:bookmarkEnd w:id="860"/>
    </w:p>
    <w:p w14:paraId="52C8F4D1" w14:textId="56000F5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2.6.6.1.2. Contenido de los estudios técnicos. En todos los casos los estudios técnicos que acompañen a los proyectos de inversión que superan el período de gobierno, deberán contener como mínimo, además de la definición del impacto territorial del proyecto, que permita evidenciar la importancia estratégica del mismo lo siguiente: </w:t>
      </w:r>
    </w:p>
    <w:p w14:paraId="0264C9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97AE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Identificación del Proyecto; </w:t>
      </w:r>
    </w:p>
    <w:p w14:paraId="290D76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90D0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Descripción detallada del proyecto; </w:t>
      </w:r>
    </w:p>
    <w:p w14:paraId="42A745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2BCB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Fases y costos de ejecución de cada fase del proyecto; </w:t>
      </w:r>
    </w:p>
    <w:p w14:paraId="792D33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2F97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Impacto del proyecto en el desarrollo territorial; </w:t>
      </w:r>
    </w:p>
    <w:p w14:paraId="7AC36F9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9DF7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Valoración técnica, económica, financiera, jurídica ambiental y social del proyecto; </w:t>
      </w:r>
    </w:p>
    <w:p w14:paraId="6533D50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7F7EC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Diagnóstico del problema o situación a resolver a través del proyecto; </w:t>
      </w:r>
    </w:p>
    <w:p w14:paraId="063046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0CA58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Identificación de la población afectada y necesidad de efectuar consultas previas; </w:t>
      </w:r>
    </w:p>
    <w:p w14:paraId="513681B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1AE4E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Análisis del impacto social, ambiental y económico; </w:t>
      </w:r>
    </w:p>
    <w:p w14:paraId="29CC5E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4643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Identificación de posibles riesgos y amenazas que puedan afectar la ejecución del proyecto. </w:t>
      </w:r>
    </w:p>
    <w:p w14:paraId="5A682A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40DAAA" w14:textId="0944F9B5" w:rsidR="00AF0C09" w:rsidRPr="0063420B" w:rsidRDefault="0063420B" w:rsidP="0063420B">
      <w:pPr>
        <w:spacing w:after="0" w:line="293" w:lineRule="atLeast"/>
        <w:jc w:val="center"/>
        <w:rPr>
          <w:rFonts w:ascii="Arial" w:eastAsia="Times New Roman" w:hAnsi="Arial" w:cs="Arial"/>
          <w:b/>
          <w:bCs/>
          <w:color w:val="000000"/>
          <w:lang w:eastAsia="es-CO"/>
        </w:rPr>
      </w:pPr>
      <w:bookmarkStart w:id="861" w:name="ver_30102954"/>
      <w:bookmarkEnd w:id="861"/>
      <w:r w:rsidRPr="0063420B">
        <w:rPr>
          <w:rFonts w:ascii="Arial" w:eastAsia="Times New Roman" w:hAnsi="Arial" w:cs="Arial"/>
          <w:b/>
          <w:bCs/>
          <w:color w:val="000000"/>
          <w:lang w:eastAsia="es-CO"/>
        </w:rPr>
        <w:t>CAPÍTULO 2</w:t>
      </w:r>
    </w:p>
    <w:p w14:paraId="7811940E" w14:textId="5C5D2B49" w:rsidR="00AF0C09" w:rsidRPr="0063420B" w:rsidRDefault="0063420B"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MANEJO PRESUPUESTAL DE LOS FONDOS DE DESARROLLO LOCAL DE LOS DISTRITOS ESPECIALES</w:t>
      </w:r>
    </w:p>
    <w:p w14:paraId="58753BF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2" w:name="ver_30102956"/>
      <w:bookmarkEnd w:id="862"/>
    </w:p>
    <w:p w14:paraId="248AB698" w14:textId="2B38C10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 Ámbito de aplicación. Las disposiciones contenidas en el presente Capítulo, son aplicables a todos los Distritos Especiales creados y que se creen, a excepción del Distrito Capital de Bogotá. </w:t>
      </w:r>
    </w:p>
    <w:p w14:paraId="47D8195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3" w:name="ver_30102957"/>
      <w:bookmarkEnd w:id="863"/>
    </w:p>
    <w:p w14:paraId="4851FB06" w14:textId="678E9B9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2.6.6.2.2. Régimen presupuestal de los Fondos de Desarrollo Local. A los Fondos de Desarrollo Local les serán aplicables las reglas del Sistema Presupuestal de la Ley 1617 de 2013, las contenidas en el presente capítulo y en lo no regulado en este, les serán aplicadas las reglas dispuestas en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115 de 1996 o las normas que lo modifiquen o deroguen, en lo que resulten pertinentes. </w:t>
      </w:r>
    </w:p>
    <w:p w14:paraId="158E519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4" w:name="ver_30102959"/>
      <w:bookmarkEnd w:id="864"/>
    </w:p>
    <w:p w14:paraId="0FDC482D" w14:textId="44C85DD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2.6.6.2.3. Exclusión del presupuesto distrital. Dentro de los presupuestos distritales no están comprendidos los presupuestos de los Fondos de Desarrollo Local.  </w:t>
      </w:r>
    </w:p>
    <w:p w14:paraId="5486FC6D" w14:textId="526055B7"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65" w:name="ver_30102960"/>
      <w:bookmarkEnd w:id="865"/>
    </w:p>
    <w:p w14:paraId="598EC0FB" w14:textId="57C5604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2.6.6.2.4. Ingresos corrientes para asignación de recursos a las localidades. Para efectos de lo dispuesto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64 de la Ley 1617 de 2013, se entiende por ingresos corrientes, los ingresos tributarios y no tributarios definidos de conformidad con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 del Estatuto Orgánico de Presupuesto, excluidas las rentas de destinación específica.  </w:t>
      </w:r>
    </w:p>
    <w:p w14:paraId="548E3F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03203B8" w14:textId="5616374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el concepto de rentas específicas al que hace referencia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incluyen:  </w:t>
      </w:r>
    </w:p>
    <w:p w14:paraId="49C593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C3A6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destinadas por la Constitución Política, la ley o Acuerdo Distrital a un fin determinado.  </w:t>
      </w:r>
    </w:p>
    <w:p w14:paraId="5BDAD28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CAB56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rentas que estén garantizando contractualmente, el pago de obligaciones originadas en contratos.  </w:t>
      </w:r>
    </w:p>
    <w:p w14:paraId="1F9DBA5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0141A5" w14:textId="4C357E5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Las que en virtud de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y en el marco de acuerdos de restructuración de pasivos o programas de saneamiento fiscal y financiero, hayan sido dispuestas para la financiación del correspondiente acuerdo o programa.  </w:t>
      </w:r>
    </w:p>
    <w:p w14:paraId="283FFB5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9AB6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ingresos con destino a financiar los gastos de funcionamiento de concejos, personerías y contralorías distritales.  </w:t>
      </w:r>
    </w:p>
    <w:p w14:paraId="7F59A15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904B0C" w14:textId="649B3C1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dar cumplimiento al porcentaje de asignación de gasto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64 de la Ley 1617 de 2013, los Distritos Especiales podrán, dentro de tal porcentaje, computar las inversiones físicas que con recursos corrientes de libre destinación realicen en las localidades, siempre y cuando con ello no se afecte el funcionamiento de estas. </w:t>
      </w:r>
    </w:p>
    <w:p w14:paraId="412EEC7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6" w:name="ver_30102962"/>
      <w:bookmarkEnd w:id="866"/>
    </w:p>
    <w:p w14:paraId="40329A80" w14:textId="2D5E079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2.6.6.2.5. Asignación de recursos a las localidades. En el presupuesto de gastos del Distrito Especial se incorporará la transferencia para las localidades de manera agregada, y una vez esta sea aprobada por el Concejo Distrital en el acuerdo de presupuesto, el Secretario  </w:t>
      </w:r>
    </w:p>
    <w:p w14:paraId="705DF15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00BC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Distrital, o quien haga sus veces, distribuirá y comunicará la transferencia correspondiente a cada uno de los Fondos de Desarrollo Local, con base en los índices de distribución que anualmente se establezcan.  </w:t>
      </w:r>
    </w:p>
    <w:p w14:paraId="3A57B3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8C3EB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apropiaciones incorporadas en el presupuesto de gastos del Distrito Especial, por concepto de esta asignación a las localidades, no computarán para el cálculo de los límites de que trata la Ley 617 de 2000.  </w:t>
      </w:r>
    </w:p>
    <w:p w14:paraId="0C4E903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FFDF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Hasta tanto el legislador asigne competencias en materia de salud a las localidades distritales, los ingresos por rifas y juegos que se organicen en tales localidades, serán administrados y ejecutados por la alcaldía distrital, previa suscripción del convenio respectivo.  </w:t>
      </w:r>
    </w:p>
    <w:p w14:paraId="3F21C6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DA0696" w14:textId="1B963C3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Atendiendo los criterios establecidos en el inciso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64 de la Ley 1617 de 2013, el Concejo Distrital podrá disminuir las participaciones anuales que les corresponden a las localidades, siempre y cuando las mismas no sean inferiores al porcentaje mínimo del diez por ciento (10%) establecido en la Ley 1617 de 2013.  </w:t>
      </w:r>
    </w:p>
    <w:p w14:paraId="003B65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B9B9F5" w14:textId="14A1DBB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falta de asignación a las localidades de la totalidad de los ingresos correspondientes al porcentaje mínimo o al mayor porcentaje establecido por el Distrito Especial para dicha vigencia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64 de la Ley 1617 de 2013, no significa la desaparición de la obligación de transferir dichas sumas a cargo del correspondiente Distrito Especial y por tal motivo, el saldo se deberá asignar en la siguiente vigencia fiscal. </w:t>
      </w:r>
    </w:p>
    <w:p w14:paraId="4D9FFE4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7" w:name="ver_30102963"/>
      <w:bookmarkEnd w:id="867"/>
    </w:p>
    <w:p w14:paraId="0DEB44F6" w14:textId="2090F73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2.6.6.2.6. Principios presupuestales de los fondos de desarrollo local. El sistema presupuestal de los Fondos de Desarrollo Local se fundará en los principios de transparencia, </w:t>
      </w:r>
      <w:r w:rsidR="00AF0C09" w:rsidRPr="002C1480">
        <w:rPr>
          <w:rFonts w:ascii="Arial" w:eastAsia="Times New Roman" w:hAnsi="Arial" w:cs="Arial"/>
          <w:color w:val="000000"/>
          <w:lang w:eastAsia="es-CO"/>
        </w:rPr>
        <w:lastRenderedPageBreak/>
        <w:t>legalidad y planificación y, los demás que, contenidos en el Estatuto Orgánico de Presupuesto, rigen el sistema presupuestal. </w:t>
      </w:r>
    </w:p>
    <w:p w14:paraId="17A45BB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8" w:name="ver_30102965"/>
      <w:bookmarkEnd w:id="868"/>
    </w:p>
    <w:p w14:paraId="176042D8" w14:textId="46AB990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2.6.6.2.7. Presupuesto de los fondos de desarrollo local. De acuerdo con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71 de la Ley 1617 de 2013, el presupuesto anual de los Fondos de Desarrollo Local se compone de las siguientes partes:  </w:t>
      </w:r>
    </w:p>
    <w:p w14:paraId="62F122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C54DA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Presupuesto de Rentas e Ingresos. Comprende la disponibilidad inicial, los ingresos corrientes, las transferencias y los recursos de capital que se espera recaudar en la vigencia.  </w:t>
      </w:r>
    </w:p>
    <w:p w14:paraId="474118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67D45C" w14:textId="307ADDB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El Presupuesto de Gastos. Comprende los gastos de funcionamiento y los gastos de inversión. Dentro de los gastos de funcionamiento se podrán incorporar solamente las apropiaciones necesarias para cubrir la remuneración por la asistencia de los ediles a las sesiones plenarias y de comisiones permanentes en el período de sesiones ordinarias y extraordinarias, las destinadas al pago de los aportes a seguridad social en salud, pensión y riesgos laborales de los ediles, y las necesarias para la dotación y equipo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67 de la Ley 1617 de 2013. Los gastos causados con cargo a los presupuestos de los Fondos de Desarrollo Local que no se paguen en la vigencia respectiva deberán incluirse en el presupuesto del año siguiente como obligaciones por pagar.  </w:t>
      </w:r>
    </w:p>
    <w:p w14:paraId="554AA7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0266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Disponibilidad final. Corresponde a la diferencia existente entre el presupuesto de ingresos y el presupuesto de gastos.  </w:t>
      </w:r>
    </w:p>
    <w:p w14:paraId="7331C1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D4281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Fondos de Desarrollo Local no podrán realizar operaciones de crédito público y, por lo tanto, dentro de su presupuesto de rentas e ingresos, no podrán incorporar recursos del crédito y, dentro de su presupuesto de gastos, no podrán incorporar servicio de la deuda. </w:t>
      </w:r>
    </w:p>
    <w:p w14:paraId="5B2DF7D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69" w:name="ver_30102967"/>
      <w:bookmarkEnd w:id="869"/>
    </w:p>
    <w:p w14:paraId="0D899008" w14:textId="79CD756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2.6.6.2.8. Clasificación del presupuesto de gastos de inversión. El proyecto de presupuesto de Gastos de Inversión se presentará a la Junta Administradora Local clasificado en programas y subprogramas. </w:t>
      </w:r>
    </w:p>
    <w:p w14:paraId="0C16977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0" w:name="ver_30102968"/>
      <w:bookmarkEnd w:id="870"/>
    </w:p>
    <w:p w14:paraId="59BE0746" w14:textId="159783D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2.6.6.2.9. Aprobación del presupuesto de ingresos y gastos de los Fondos de Desarrollo Local. De conformidad con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74 de la Ley 1617 de 2013, el Alcalde Local presentará el presupuesto de ingresos y gastos de la localidad para aprobación de la Junta Administradora Local dentro de los tres (3) primeros días del inicio del período de sesiones ordinarias de enero de cada vigencia.  </w:t>
      </w:r>
    </w:p>
    <w:p w14:paraId="6A29EE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A06E4E" w14:textId="2AC2B42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Junta Administradora Local deberá darle trámite, y aprobación a más tardar el último día de sesiones de este período. En caso de tener observaciones al proyecto, las formulará al respectivo Alcalde Local, quien deberá atenderlas en un término no superior a tres (3) días hábiles. De no haber aprobación del presupuesto por parte de la Junta Administradora Local dentro de este período de sesiones, el Alcalde Local lo expedirá mediante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55FE770C" w14:textId="77777777" w:rsidR="0063420B" w:rsidRDefault="0063420B" w:rsidP="00C32F85">
      <w:pPr>
        <w:spacing w:after="0" w:line="254" w:lineRule="atLeast"/>
        <w:jc w:val="both"/>
        <w:rPr>
          <w:rFonts w:ascii="Arial" w:eastAsia="Times New Roman" w:hAnsi="Arial" w:cs="Arial"/>
          <w:color w:val="000000"/>
          <w:lang w:eastAsia="es-CO"/>
        </w:rPr>
      </w:pPr>
    </w:p>
    <w:p w14:paraId="1269C964" w14:textId="1A269A6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2.6.6.2.10. Ejecución del Presupuesto de los Fondos de Desarrollo Local. Al Alcalde Local le corresponderá la ordenación del gasto incorporado en el presupuesto de la localidad respectiva.  </w:t>
      </w:r>
    </w:p>
    <w:p w14:paraId="7F5FC1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9F1D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apropiaciones son autorizaciones máximas de gasto que tienen como fin ser comprometidas durante la vigencia fiscal respectiva. Después del 31 de diciembre de cada año las autorizaciones </w:t>
      </w:r>
      <w:r w:rsidRPr="002C1480">
        <w:rPr>
          <w:rFonts w:ascii="Arial" w:eastAsia="Times New Roman" w:hAnsi="Arial" w:cs="Arial"/>
          <w:color w:val="000000"/>
          <w:lang w:eastAsia="es-CO"/>
        </w:rPr>
        <w:lastRenderedPageBreak/>
        <w:t>expiran y en consecuencia no podrán adicionarse, transferirse, contracreditarse, ni comprometerse.  </w:t>
      </w:r>
    </w:p>
    <w:p w14:paraId="4E49FB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4466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Todos los actos administrativos y contratos que afecten las apropiaciones presupuestales, deberán contar con los certificados de disponibilidad previos que garanticen la existencia de apropiación suficiente para atender estos gastos.  </w:t>
      </w:r>
    </w:p>
    <w:p w14:paraId="662F70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F5AC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estos compromisos deberán contar con registro presupuestal para que los recursos no sean desviados a ningún otro fin. En este registro se deberá indicar claramente el valor y el plazo de las prestaciones a las que haya lugar. Esta operación es un requisito de existencia y perfeccionamiento de tales actos administrativos.  </w:t>
      </w:r>
    </w:p>
    <w:p w14:paraId="1FE942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B30C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se podrán tramitar o legalizar actos administrativos u obligaciones que afecten el presupuesto de gastos cuando no reúnan los requisitos legales o se configuren como hechos cumplidos. </w:t>
      </w:r>
    </w:p>
    <w:p w14:paraId="102BD7D1" w14:textId="77777777" w:rsidR="0063420B" w:rsidRDefault="0063420B" w:rsidP="00C32F85">
      <w:pPr>
        <w:spacing w:after="0" w:line="254" w:lineRule="atLeast"/>
        <w:jc w:val="both"/>
        <w:rPr>
          <w:rFonts w:ascii="Arial" w:eastAsia="Times New Roman" w:hAnsi="Arial" w:cs="Arial"/>
          <w:color w:val="000000"/>
          <w:lang w:eastAsia="es-CO"/>
        </w:rPr>
      </w:pPr>
    </w:p>
    <w:p w14:paraId="71FC821E" w14:textId="09F17BE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2.6.6.2.11. Reducción del presupuesto de las localidades. En cualquier mes del año fiscal, el Alcalde Distrital, previo concepto del Consejo de Gobierno, podrá, mediante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reducir o aplazar total o parcialmente las apropiaciones presupuestales inicialmente aprobadas para cubrir las asignaciones con destino a las localidades con cargo a los ingresos corrientes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2.6.6.2.4 del presente capítulo, en caso de ocurrir uno de los siguientes eventos: </w:t>
      </w:r>
    </w:p>
    <w:p w14:paraId="7F18BC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17657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Que el Secretario de Hacienda Distrital estimare que el recaudo de los ingresos corrientes sobre los cuales se calcularon las asignaciones para las localidades, sea inferior al proyectado y aprobado por el Concejo Distrital en el Acuerdo Distrital de Presupuesto. </w:t>
      </w:r>
    </w:p>
    <w:p w14:paraId="639C76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7CBD7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no fueren aprobados por el Concejo Distrital nuevos ingresos corrientes que servirían de fuente de financiación para las asignaciones o que los aprobados fueren insuficientes para atenderlas. </w:t>
      </w:r>
    </w:p>
    <w:p w14:paraId="407E3C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D392AC" w14:textId="1328499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uno y otro caso, de los ingresos corrientes ajustados deberán realizarse las asignaciones con destino a las localidades con base en el diez por ciento (10%) mínimo o en el mayor porcentaje establecido por el respectivo Distrito Especial,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64 de la Ley 1617 de 2013. </w:t>
      </w:r>
    </w:p>
    <w:p w14:paraId="60AEAE4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615C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efectuada la reducción de las apropiaciones con destino a las localidades, el Secretario de Hacienda informará de tal situación a los Alcaldes Locales, quienes procederán a afectar, inmediatamente y a través de aplazamiento, el presupuesto del Fondo de Desarrollo Local. Lo anterior, sin perjuicio de que los Alcaldes Locales convoquen inmediatamente a la Junta Administradora Local para la presentación del proyecto de acuerdo de reducción del presupuesto. </w:t>
      </w:r>
    </w:p>
    <w:p w14:paraId="70A1580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1" w:name="ver_30102981"/>
      <w:bookmarkEnd w:id="871"/>
    </w:p>
    <w:p w14:paraId="78BA71E2" w14:textId="09151B6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2.6.6.2.12. Vigencias futuras ordinarias para localidades. En las localidades, las Juntas Administradoras Locales, a iniciativa del Alcalde Local, solo podrán autorizar vigencias futuras ordinarias para gastos de inversión, cuando el objeto del compromiso se lleve a cabo en cada una de ellas y siempre y cuando se cumplan las siguientes condiciones:  </w:t>
      </w:r>
    </w:p>
    <w:p w14:paraId="23AFE29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95701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Que el proyecto para el cual se solicitan las vigencias futuras esté contenido dentro del Plan General de Desarrollo Económico, Social y de Obras Públicas;  </w:t>
      </w:r>
    </w:p>
    <w:p w14:paraId="58F9C7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6DD6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2. Que como mínimo, de las vigencias futuras que se soliciten, se cuente con una apropiación del quince por ciento (15%) en la vigencia fiscal en la que estas sean autorizadas y;  </w:t>
      </w:r>
    </w:p>
    <w:p w14:paraId="6DCA84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549A7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Que se cuente con el concepto previo y favorable de las Secretarías Distritales de Hacienda y Planeación.  </w:t>
      </w:r>
    </w:p>
    <w:p w14:paraId="01B59F7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B37DD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autorización impartida por las Juntas Administradoras Locales para comprometer presupuesto con cargo a vigencias futuras en ningún caso podrá superar el respectivo período de gobierno. </w:t>
      </w:r>
    </w:p>
    <w:p w14:paraId="5BE22E1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2" w:name="ver_30102983"/>
      <w:bookmarkEnd w:id="872"/>
    </w:p>
    <w:p w14:paraId="0F0EBEC3" w14:textId="0F283E3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2.6.6.2.13. Distribución de ingresos corrientes entre localidades. Dentro de los índices que las entidades distritales deben construir para efectos de la asignación de recursos entre las localidades, se podrá tener en consideración aquel referido a la participación porcentual de la población de cada una de ellas dentro del total de la población del correspondiente Distrito Especial.  </w:t>
      </w:r>
    </w:p>
    <w:p w14:paraId="54A32671" w14:textId="77777777" w:rsidR="0063420B" w:rsidRDefault="0063420B" w:rsidP="00C32F85">
      <w:pPr>
        <w:spacing w:after="0" w:line="254" w:lineRule="atLeast"/>
        <w:jc w:val="both"/>
        <w:rPr>
          <w:rFonts w:ascii="Arial" w:eastAsia="Times New Roman" w:hAnsi="Arial" w:cs="Arial"/>
          <w:color w:val="000000"/>
          <w:lang w:eastAsia="es-CO"/>
        </w:rPr>
      </w:pPr>
    </w:p>
    <w:p w14:paraId="7C567D7E" w14:textId="616401B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2.6.6.2.14. Cálculo de ingresos corrientes de libre destinación para efectos de la Ley 617 de 2000. Para efectos del cálculo de los ingresos corrientes de libre destinación de los Distritos Especiales no se deberá descontar el diez por ciento (10%) de los ingresos corrientes que en virtud de la Ley 1617 de 2013 y del presente capítulo se dispongan como asignaciones a las localidades. </w:t>
      </w:r>
    </w:p>
    <w:p w14:paraId="3B2253B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3" w:name="ver_30102986"/>
      <w:bookmarkEnd w:id="873"/>
    </w:p>
    <w:p w14:paraId="2EF1A51D" w14:textId="7C33B95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2.6.6.2.15. Aplicación de las disposiciones financieras de los Fondos de Desarrollo Local para los Distritos Especiales que se creen. Las disposiciones financieras de los Fondos de Desarrollo Local en los Distritos que se creen, aplicarán a partir del presupuesto de la vigencia fiscal siguiente a aquella en la cual se dividió el territorio en localidades”. </w:t>
      </w:r>
    </w:p>
    <w:p w14:paraId="04118E39" w14:textId="77777777" w:rsidR="0063420B" w:rsidRDefault="0063420B" w:rsidP="00C32F85">
      <w:pPr>
        <w:spacing w:after="0" w:line="293" w:lineRule="atLeast"/>
        <w:jc w:val="both"/>
        <w:rPr>
          <w:rFonts w:ascii="Arial" w:eastAsia="Times New Roman" w:hAnsi="Arial" w:cs="Arial"/>
          <w:color w:val="000000"/>
          <w:lang w:eastAsia="es-CO"/>
        </w:rPr>
      </w:pPr>
      <w:bookmarkStart w:id="874" w:name="ver_30057229"/>
      <w:bookmarkEnd w:id="874"/>
    </w:p>
    <w:p w14:paraId="2C625069" w14:textId="770E8BAE"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TÍTULO 7</w:t>
      </w:r>
    </w:p>
    <w:p w14:paraId="52B3A2B0"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FINDETER</w:t>
      </w:r>
    </w:p>
    <w:p w14:paraId="50750BE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5" w:name="ver_30057230"/>
      <w:bookmarkEnd w:id="875"/>
    </w:p>
    <w:p w14:paraId="3556B88C" w14:textId="17461CE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2.6.7.1. Depuración y saneamiento de saldos contables. La responsabilidad y gestión administrativa relacionada con la depuración y saneamiento de la información contable de los recursos provenientes del Presupuesto General de la Nación asignados al Sistema Nacional de Cofinanciación, así como la cartera del extinto Insfopal, indistintamente de la naturaleza pública de la entidad que los manejó o administró, estarán a cargo de la Junta Directiva de la Financiera de Desarrollo Territorial S.A., FINDETER. </w:t>
      </w:r>
    </w:p>
    <w:p w14:paraId="37462F6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95F710" w14:textId="77777777" w:rsidR="00AF0C09" w:rsidRPr="0063420B" w:rsidRDefault="00AF0C09" w:rsidP="0063420B">
      <w:pPr>
        <w:spacing w:after="0" w:line="293" w:lineRule="atLeast"/>
        <w:jc w:val="center"/>
        <w:rPr>
          <w:rFonts w:ascii="Arial" w:eastAsia="Times New Roman" w:hAnsi="Arial" w:cs="Arial"/>
          <w:b/>
          <w:bCs/>
          <w:color w:val="000000"/>
          <w:lang w:eastAsia="es-CO"/>
        </w:rPr>
      </w:pPr>
      <w:bookmarkStart w:id="876" w:name="ver_30057231"/>
      <w:bookmarkEnd w:id="876"/>
      <w:r w:rsidRPr="0063420B">
        <w:rPr>
          <w:rFonts w:ascii="Arial" w:eastAsia="Times New Roman" w:hAnsi="Arial" w:cs="Arial"/>
          <w:b/>
          <w:bCs/>
          <w:color w:val="000000"/>
          <w:lang w:eastAsia="es-CO"/>
        </w:rPr>
        <w:t>CAPÍTULO 1</w:t>
      </w:r>
    </w:p>
    <w:p w14:paraId="0633D677"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DISPOSICIONES GENERALES APLICABLES A LAS OPERACIONES</w:t>
      </w:r>
    </w:p>
    <w:p w14:paraId="0DB748CF"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DE REDESCUENTO</w:t>
      </w:r>
    </w:p>
    <w:p w14:paraId="4B70DBC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7" w:name="ver_30057232"/>
      <w:bookmarkEnd w:id="877"/>
    </w:p>
    <w:p w14:paraId="43AD46ED" w14:textId="0138FF9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2.6.7.1.1. Financiación y Asesoría. La financiación y la asesoría en lo referente a diseño, ejecución y administración de proyectos o programas de inversión contenidos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 de la Ley 57 de 1989 y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268 del Estatuto Orgánico del Sistema Financiero que tiene como función a su cargo FINDETER, se enmarcan estrictamente en la estructuración financiera del crédito, acorde con su objeto social. </w:t>
      </w:r>
    </w:p>
    <w:p w14:paraId="5A7A0465" w14:textId="7FDAC634"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78" w:name="ver_30057233"/>
      <w:bookmarkEnd w:id="878"/>
    </w:p>
    <w:p w14:paraId="16077ED8" w14:textId="3904777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2.6.7.1.2. Función Técnica de asesoría, apoyo y supervisión. La función técnica de asesoría, apoyo y supervisión de los usuarios del crédito a cargo de los intermediarios financieros, a que se refiere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se entenderá </w:t>
      </w:r>
      <w:r w:rsidR="00AF0C09" w:rsidRPr="002C1480">
        <w:rPr>
          <w:rFonts w:ascii="Arial" w:eastAsia="Times New Roman" w:hAnsi="Arial" w:cs="Arial"/>
          <w:color w:val="000000"/>
          <w:lang w:eastAsia="es-CO"/>
        </w:rPr>
        <w:lastRenderedPageBreak/>
        <w:t>estrictamente encaminada a asegurar que tanto los sectores como los beneficiarios de los créditos sean elegibles para FINDETER y dentro del marco de la actividad de financiación. </w:t>
      </w:r>
    </w:p>
    <w:p w14:paraId="3899EA6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C150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el apoyo que FINDETER debe dar a dichos intermediarios, será igualmente de carácter financiero, atendiendo su naturaleza jurídica, el cual desarrollará a través de capacitaciones a los Intermediarios Financieros respecto de los sectores y beneficiarios elegibles de los redescuentos de la Financiera. </w:t>
      </w:r>
    </w:p>
    <w:p w14:paraId="2A4484F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AE95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Dada su naturaleza financiera, no corresponde a los Intermediarios Financieros, ni a FINDETER la asesoría técnica, administración, control o supervisión de los proyectos que sean objeto de financiación en la operación de redescuento. </w:t>
      </w:r>
    </w:p>
    <w:p w14:paraId="00F864E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79" w:name="ver_30057234"/>
      <w:bookmarkEnd w:id="879"/>
    </w:p>
    <w:p w14:paraId="5442BD57" w14:textId="36A05AF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2.6.7.1.3. Responsabilidad de Supervisión. La Entidad que viabilice los proyectos de financiación con tasa compensada de FINDETER, será la responsable de la supervisión de los mismos. </w:t>
      </w:r>
    </w:p>
    <w:p w14:paraId="7E76E6D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80" w:name="ver_30057235"/>
      <w:bookmarkEnd w:id="880"/>
    </w:p>
    <w:p w14:paraId="3281CCA6" w14:textId="313DC11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2.6.7.1.4. Autorización a la Junta Directiva de la Financiera de Desarrollo Territorial S.A. FINDETER. La Junta Directiva de la Financiera de Desarrollo Territorial SA FINDETER, señalará la tasa de redescuento mínima en las líneas de redescuento con tasa compensada en los casos que esta adquiera un valor negativo. </w:t>
      </w:r>
    </w:p>
    <w:p w14:paraId="25C8596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81" w:name="ver_30057236"/>
      <w:bookmarkEnd w:id="881"/>
    </w:p>
    <w:p w14:paraId="121B24E8" w14:textId="20CBE5F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2.6.7.1.5. Aclaración respecto de las operaciones de redescuento consolidadas durante la vigencia de </w:t>
      </w:r>
      <w:r w:rsidR="00731A76">
        <w:rPr>
          <w:rFonts w:ascii="Arial" w:eastAsia="Times New Roman" w:hAnsi="Arial" w:cs="Arial"/>
          <w:color w:val="000000"/>
          <w:lang w:eastAsia="es-CO"/>
        </w:rPr>
        <w:t>DECRETOS</w:t>
      </w:r>
      <w:r w:rsidR="00AF0C09" w:rsidRPr="002C1480">
        <w:rPr>
          <w:rFonts w:ascii="Arial" w:eastAsia="Times New Roman" w:hAnsi="Arial" w:cs="Arial"/>
          <w:color w:val="000000"/>
          <w:lang w:eastAsia="es-CO"/>
        </w:rPr>
        <w:t xml:space="preserve"> no compilados. Los </w:t>
      </w:r>
      <w:r w:rsidR="00731A76">
        <w:rPr>
          <w:rFonts w:ascii="Arial" w:eastAsia="Times New Roman" w:hAnsi="Arial" w:cs="Arial"/>
          <w:color w:val="000000"/>
          <w:lang w:eastAsia="es-CO"/>
        </w:rPr>
        <w:t>DECRETOS</w:t>
      </w:r>
      <w:r w:rsidR="00AF0C09" w:rsidRPr="002C1480">
        <w:rPr>
          <w:rFonts w:ascii="Arial" w:eastAsia="Times New Roman" w:hAnsi="Arial" w:cs="Arial"/>
          <w:color w:val="000000"/>
          <w:lang w:eastAsia="es-CO"/>
        </w:rPr>
        <w:t xml:space="preserve"> compilados en este título sobre líneas de redescuento con tasa compensada corresponden únicamente a aquellas líneas que a la fecha de expedición del presente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Único Reglamentario aún es posible acceder para nuevos beneficiarios. </w:t>
      </w:r>
    </w:p>
    <w:p w14:paraId="366393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14D638" w14:textId="050AD62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operaciones de redescuento con tasa compensada que se encuentren vigentes a la fecha de expedición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cuyos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que las autorizaron no se compilan, continuarán regulándose hasta su culminación y según corresponde, de acuerdo con los considerandos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w:t>
      </w:r>
    </w:p>
    <w:p w14:paraId="27748DBF" w14:textId="77777777" w:rsidR="0063420B" w:rsidRDefault="0063420B" w:rsidP="00C32F85">
      <w:pPr>
        <w:spacing w:after="0" w:line="293" w:lineRule="atLeast"/>
        <w:jc w:val="both"/>
        <w:rPr>
          <w:rFonts w:ascii="Arial" w:eastAsia="Times New Roman" w:hAnsi="Arial" w:cs="Arial"/>
          <w:color w:val="000000"/>
          <w:lang w:eastAsia="es-CO"/>
        </w:rPr>
      </w:pPr>
      <w:bookmarkStart w:id="882" w:name="ver_30057237"/>
      <w:bookmarkEnd w:id="882"/>
    </w:p>
    <w:p w14:paraId="34E896FB" w14:textId="06F2B0C8"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2</w:t>
      </w:r>
    </w:p>
    <w:p w14:paraId="59F4F240"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LÍNEA DE REDESCUENTO CON TASA COMPENSADA DEL SECTOR</w:t>
      </w:r>
    </w:p>
    <w:p w14:paraId="24FE5DA3"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INFRAESTRUCTURA EN GENERAL</w:t>
      </w:r>
    </w:p>
    <w:p w14:paraId="4D5B0EA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83" w:name="ver_30057238"/>
      <w:bookmarkEnd w:id="883"/>
    </w:p>
    <w:p w14:paraId="394D1D37" w14:textId="6BCD974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2.6.7.2.1. Objeto. La Financiera de Desarrollo Territorial S.A. – FINDETER, de conformidad con lo establecido en el parágrafo del literal b)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y en relación con las actividades de que tratan los literales a) y I) del numeral 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268 del mencionado Estatuto, podrá ofrecer una línea de redescuento con tasa compensada destinada al Financiamiento de todas las inversiones relacionadas con la infraestructura para el desarrollo sostenible de las Regiones, en los sectores energético, transporte, desarrollo urbano, construcción y vivienda, salud, educación, medio ambiente y desarrollo sostenible, tecnologías de la información y la comunicación –TIC, y deporte, recreación y cultura. </w:t>
      </w:r>
    </w:p>
    <w:p w14:paraId="45F2101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84" w:name="ver_30057239"/>
      <w:bookmarkEnd w:id="884"/>
    </w:p>
    <w:p w14:paraId="726122BE" w14:textId="796ED75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2.6.7.2.2. Beneficiarios. Serán beneficiarios de la línea de redescuento con tasa compensada las Entidades Territoriales, las entidades públicas y entidades descentralizadas del orden nacional y territorial, así como las entidades de derecho privado. </w:t>
      </w:r>
    </w:p>
    <w:p w14:paraId="137EB6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F32FB29" w14:textId="78907D5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de esta línea se destinarán a financiar todas las inversiones relacionadas con el estudio y diseño, construcción, rehabilitación, mantenimiento, mejoramiento, ampliación, interventoría, equipos y bienes requeridos para el desarrollo de la operación de los sectores elegibles, dotación, operación y mantenimiento en todos los sectores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01ED08DF" w14:textId="38A31831"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85" w:name="ver_30189295"/>
      <w:bookmarkStart w:id="886" w:name="ver_30128272"/>
      <w:bookmarkStart w:id="887" w:name="ver_30128273"/>
      <w:bookmarkStart w:id="888" w:name="ver_30169269"/>
      <w:bookmarkEnd w:id="885"/>
    </w:p>
    <w:p w14:paraId="7D79F447" w14:textId="13A27DF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2.6.7.2.3. Plazo y monto. La aprobación de las operaciones de redescuento de que trata el presente Capítulo, se podrá otorgar hasta el treinta y uno (31) de diciembre de 2022 y hasta por un monto total de tres billones quinientos cuarenta y siete mil quinientos millones de pesos ($3.547.500.000.000) de pesos moneda legal colombiana, con plazos de amortización de hasta doce (12) años, y hasta con dos (2) años de gracia a capital. </w:t>
      </w:r>
    </w:p>
    <w:p w14:paraId="05806EB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89" w:name="ver_30057241"/>
      <w:bookmarkEnd w:id="886"/>
      <w:bookmarkEnd w:id="887"/>
      <w:bookmarkEnd w:id="888"/>
      <w:bookmarkEnd w:id="889"/>
    </w:p>
    <w:p w14:paraId="2B241B34" w14:textId="434518F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2.6.7.2.4. Tasa de redescuento. La Financiera de Desarrollo Territorial S.A. -FINDETER ofrecerá a los intermediarios financieros, una tasa de redescuento del DTF menos tres puntos por ciento, trimestre anticipado (DTF -3.0% T.A.) o IPC menos uno por ciento, efectivo anual (IPC - 1.0% E.A.) o IBR menos dos punto ochenta por ciento, mes vencido (IBR -2.80% M.V.), con un plazo de amortización de hasta doce (12) años, y hasta dos (2) años de gracia a capital. </w:t>
      </w:r>
    </w:p>
    <w:p w14:paraId="233460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6B9F96" w14:textId="6A258FA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tasa de interés final será hasta del DTF más un punto por ciento trimestre anticipado (DTF+ 1.0% T.A.) con un plazo de amortización de hasta doce (12) años, y hasta dos (2) años de gracia a capital, o hasta el IPC más tres puntos por ciento efectivo anual, (IPC + 3.0% E.A.) con un plazo de amortización de hasta doce (12) años, y hasta dos (2) años de gracia a capital, o hasta IBR más uno punto dos por ciento, mes vencido, (IBR + 1.2% M.V) con un plazo de amortización de hasta doce (12) años, y hasta dos (2) años de gracia a capital (</w:t>
      </w:r>
      <w:r w:rsidR="00717213">
        <w:rPr>
          <w:rFonts w:ascii="Arial" w:eastAsia="Times New Roman" w:hAnsi="Arial" w:cs="Arial"/>
          <w:color w:val="000000"/>
          <w:lang w:eastAsia="es-CO"/>
        </w:rPr>
        <w:t>ART.</w:t>
      </w:r>
      <w:r w:rsidRPr="002C1480">
        <w:rPr>
          <w:rFonts w:ascii="Arial" w:eastAsia="Times New Roman" w:hAnsi="Arial" w:cs="Arial"/>
          <w:color w:val="000000"/>
          <w:lang w:eastAsia="es-CO"/>
        </w:rPr>
        <w:t xml:space="preserve">4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2048 de 2014) </w:t>
      </w:r>
    </w:p>
    <w:p w14:paraId="5EBAB28C" w14:textId="1BBF6CF2"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890" w:name="ver_30057242"/>
      <w:bookmarkEnd w:id="890"/>
    </w:p>
    <w:p w14:paraId="3B608046" w14:textId="63F9674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2.6.7.2.5. Recursos de redescuento. Con fundamento en lo establecido en el parágrafo del literal b)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el Gobierno Nacional a través del Ministerio de Hacienda y Crédito Público, destinará anualmente en el Presupuesto General de la Nación, los recursos necesarios para subsidiar a la Financiera de Desarrollo Territorial S.A. FINDETER, la diferencia entre la tasa de captación promedio de FINDETER más los costos en que ésta incurra durante la vigencia de los redescuentos otorgados, en desarrollo de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2.6.7.2.1. del presente capítulo y la tasa de redescuento mencionada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2.6.7.2.4. del presente capítulo. </w:t>
      </w:r>
    </w:p>
    <w:p w14:paraId="0025C7F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75DE1F" w14:textId="79043DA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1º. La metodología para determinar la tasa de captación promedio de la Financiera de Desarrollo Territorial S.A. FINDETER, para efectos de la presente línea de redescuento, así como los costos mencionados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serán los aprobados por el Consejo Superior de Política Fiscal, CONFIS, en el Acta No. 298 del 20 de diciembre de 2006. </w:t>
      </w:r>
    </w:p>
    <w:p w14:paraId="78D7215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277CF8" w14:textId="1D9C584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2º. Para efecto de lo establecido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Financiera de Desarrollo Territorial S.A. FINDETER, presentará a la Dirección General de Presupuesto Público Nacional del Ministerio de Hacienda y Crédito Público, durante la programación y preparación del proyecto anual del Presupuesto General de la Nación, la información relacionada con el valor de la diferencia entre la tasa de captación promedio de la Financiera de Desarrollo Territorial S.A. FINDETER, más los costos en que ésta incurra durante la vigencia de los redescuentos otorgados, con el fin de incluir las partidas necesarias en el mencionado proyecto. </w:t>
      </w:r>
    </w:p>
    <w:p w14:paraId="25FC05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63457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91" w:name="ver_30128276"/>
      <w:bookmarkStart w:id="892" w:name="ver_30128275"/>
      <w:bookmarkEnd w:id="891"/>
    </w:p>
    <w:p w14:paraId="0B6DBE4E" w14:textId="19C34886"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2.6.7.2.6. Viabilidad y seguimiento. La viabilidad técnica y financiera de los proyectos estará a cargo del Ministerio o Entidad correspondiente, o de los Órganos Colegiados de Administración y Decisión (OCAD), cuando el servicio de la deuda de los créditos se realice con cargo a los recursos del Sistema General de Regalías (SGR).  </w:t>
      </w:r>
    </w:p>
    <w:p w14:paraId="73C1F087" w14:textId="77777777" w:rsidR="0063420B" w:rsidRPr="002C1480" w:rsidRDefault="0063420B" w:rsidP="00C32F85">
      <w:pPr>
        <w:spacing w:after="0" w:line="254" w:lineRule="atLeast"/>
        <w:jc w:val="both"/>
        <w:rPr>
          <w:rFonts w:ascii="Arial" w:eastAsia="Times New Roman" w:hAnsi="Arial" w:cs="Arial"/>
          <w:color w:val="000000"/>
          <w:lang w:eastAsia="es-CO"/>
        </w:rPr>
      </w:pPr>
    </w:p>
    <w:p w14:paraId="0C2A6D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o la entidad que otorgue la viabilidad del proyecto establecerá los mecanismos que permitan realizar el seguimiento de los recursos asignados a los proyectos financiados con la línea de redescuento con tasa compensada, así como al cumplimiento de las condiciones de la misma, y efectuar el control y seguimiento de sus beneficiarios.  </w:t>
      </w:r>
    </w:p>
    <w:p w14:paraId="52B41C0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A40B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viabilidad de los proyectos que se presenten para intervenir la malla vial urbana principal o secundaria, estará a cargo del Ministerio de Vivienda, Ciudad y Territorio, salvo los proyectos que hagan parte de los Sistemas Integrados de Transporte Masivo (SITM), Sistemas Estratégicos de Transporte Público (SETP) y Sistemas Integrados de Transporte Público (SITP), cuya viabilización estará a cargo del Ministerio de Transporte.  </w:t>
      </w:r>
    </w:p>
    <w:p w14:paraId="4A6AD6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AFC338" w14:textId="5FB24E1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Los Órganos Colegiados de Administración y Decisión (OCAD), serán los responsables de evaluar, viabilizar y aprobar los proyectos de inversión, y autorizar el pago del servicio de la deuda con cargo a los recursos del Sistema General de Regalías (SGR), conforme lo disponen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6° y 40 de la Ley 1530 de 2012 </w:t>
      </w:r>
    </w:p>
    <w:p w14:paraId="4566767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93" w:name="ver_30189296"/>
      <w:bookmarkStart w:id="894" w:name="ver_30128277"/>
      <w:bookmarkStart w:id="895" w:name="ver_30128278"/>
      <w:bookmarkStart w:id="896" w:name="ver_30169270"/>
      <w:bookmarkEnd w:id="892"/>
      <w:bookmarkEnd w:id="893"/>
    </w:p>
    <w:p w14:paraId="06DB8030" w14:textId="632EFF5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2.6.7.2.7. Transitorio para solicitudes tramitadas conforme con los </w:t>
      </w:r>
      <w:r w:rsidR="00731A76">
        <w:rPr>
          <w:rFonts w:ascii="Arial" w:eastAsia="Times New Roman" w:hAnsi="Arial" w:cs="Arial"/>
          <w:color w:val="000000"/>
          <w:lang w:eastAsia="es-CO"/>
        </w:rPr>
        <w:t>DECRETOS</w:t>
      </w:r>
      <w:r w:rsidR="00AF0C09" w:rsidRPr="002C1480">
        <w:rPr>
          <w:rFonts w:ascii="Arial" w:eastAsia="Times New Roman" w:hAnsi="Arial" w:cs="Arial"/>
          <w:color w:val="000000"/>
          <w:lang w:eastAsia="es-CO"/>
        </w:rPr>
        <w:t xml:space="preserve"> 4808 de 2010, 2762 de 2012, 2048 de 2014, 1460 de 2017, 1020 de 2018 y 1980 de 2018, compilados en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1068 de 2015 Único Reglamentario del Sector Hacienda y Crédito Público en el Capítulo 2 Título 7 Parte 6 Libro 2. Las viabilidades que hayan sido otorgadas por los Ministerios, así como los saldos pendientes por desembolsar de las operaciones de crédito aprobadas desde el primero (1°) de mayo de 2015 y hasta el treinta y uno (31) de diciembre de 2022, se financiarán con cargo a esta línea.  </w:t>
      </w:r>
    </w:p>
    <w:p w14:paraId="2DD1537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7B74D0" w14:textId="41E77BE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solicitudes para acceder a la línea de redescuento establecida en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4808 de 2010, 2762 de 2012, 2048 de 2014, 1460 de 2017, 1020 de 2018 y 1980 de 2018, compilados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2015 Único Reglamentario del Sector Hacienda y Crédito Público en el Capítulo 2 Título 7 Parte 6 Libro 2 que se hayan radicado y se encuentren en trámite de evaluación por el respectivo Ministerio antes de la entrada en vigencia del presente Capítulo, seguirán rigiéndose y culminarán de conformidad con la normatividad vigente al momento de su presentación </w:t>
      </w:r>
    </w:p>
    <w:p w14:paraId="348A1B4D" w14:textId="5507C1A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46251A" w14:textId="77777777" w:rsidR="00AF0C09" w:rsidRPr="0063420B" w:rsidRDefault="00AF0C09" w:rsidP="0063420B">
      <w:pPr>
        <w:spacing w:after="0" w:line="293" w:lineRule="atLeast"/>
        <w:jc w:val="center"/>
        <w:rPr>
          <w:rFonts w:ascii="Arial" w:eastAsia="Times New Roman" w:hAnsi="Arial" w:cs="Arial"/>
          <w:b/>
          <w:bCs/>
          <w:color w:val="000000"/>
          <w:lang w:eastAsia="es-CO"/>
        </w:rPr>
      </w:pPr>
      <w:bookmarkStart w:id="897" w:name="ver_30057245"/>
      <w:bookmarkEnd w:id="894"/>
      <w:bookmarkEnd w:id="895"/>
      <w:bookmarkEnd w:id="896"/>
      <w:bookmarkEnd w:id="897"/>
      <w:r w:rsidRPr="0063420B">
        <w:rPr>
          <w:rFonts w:ascii="Arial" w:eastAsia="Times New Roman" w:hAnsi="Arial" w:cs="Arial"/>
          <w:b/>
          <w:bCs/>
          <w:color w:val="000000"/>
          <w:lang w:eastAsia="es-CO"/>
        </w:rPr>
        <w:t>CAPÍTULO 3</w:t>
      </w:r>
    </w:p>
    <w:p w14:paraId="6B0A1EE6"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LÍNEA DE REDESCUENTO CON TASA COMPENSADA PARA REDES</w:t>
      </w:r>
    </w:p>
    <w:p w14:paraId="7E505031"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PÚBLICAS E INFRAESTRUCTURA PARA LA PRESTACIÓN</w:t>
      </w:r>
    </w:p>
    <w:p w14:paraId="6A2164B4"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DEL SERVICIO DE SALUD</w:t>
      </w:r>
    </w:p>
    <w:p w14:paraId="1E2145C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98" w:name="ver_30057246"/>
      <w:bookmarkEnd w:id="898"/>
    </w:p>
    <w:p w14:paraId="7D7F9F56" w14:textId="0809149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2.6.7.3.1. Línea de redescuento con tasa compensada. De conformidad con lo establecido en el parágrafo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autorícese a la Financiera de Desarrollo Territorial SA FINDETER, a crear una línea de redescuento con tasa compensada para las Instituciones Públicas Prestadoras de Servicios de Salud, las Fundaciones Sin Ánimo de Lucro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68 de la Ley 1438 de 2011 y las Entidades Territoriales, destinada a: </w:t>
      </w:r>
    </w:p>
    <w:p w14:paraId="2410AC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B9EA8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Adquisición, construcción, remodelación, ampliación, dotación de infraestructura para prestación de servicios de salud; </w:t>
      </w:r>
    </w:p>
    <w:p w14:paraId="2D68314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37A6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Actualización tecnológica (reposición, compra y dotación de equipos para prestación de servicios); </w:t>
      </w:r>
    </w:p>
    <w:p w14:paraId="1EF55C3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E00A3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Reorganización, rediseño y modernización de las redes públicas prestadoras de servicios de salud. </w:t>
      </w:r>
    </w:p>
    <w:p w14:paraId="3EF5B8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C5269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entidades antes referidas que accedan a estos créditos, deberán dar cumplimiento a las normas de endeudamiento que le sean propias. </w:t>
      </w:r>
    </w:p>
    <w:p w14:paraId="7979D46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899" w:name="ver_30057247"/>
      <w:bookmarkEnd w:id="899"/>
    </w:p>
    <w:p w14:paraId="51D5D080" w14:textId="4DEB872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2.6.7.3.2. Vigencia y monto de las operaciones de redescuento. Las operaciones de redescuento enunciadas en el presente capítulo, se podrán otorgar únicamente hasta el 31 de diciembre de 2018, hasta por un monto total de DOSCIENTOS MIL MILLONES DE PESOS MONEDA CORRIENTE ($ 200.000.000.000). </w:t>
      </w:r>
    </w:p>
    <w:p w14:paraId="0A558011" w14:textId="5B0186C8" w:rsidR="00AF0C09" w:rsidRPr="002C1480" w:rsidRDefault="00AF0C09" w:rsidP="006C79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00" w:name="ver_30057248"/>
      <w:bookmarkEnd w:id="900"/>
    </w:p>
    <w:p w14:paraId="0D1ED29D" w14:textId="43B33E0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2.6.7.3.3. Tasa de interés. La tasa de interés final de la línea de redescuento con tasa compensada de que tratan los ítems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2.6.7.3.1 del presente capítulo, será hasta del D.T.F. más dos puntos por ciento trimestre anticipado (DTF + 2.0% T.A.), con plazos hasta de doce (12) años y hasta con dos (2) años de gracia. </w:t>
      </w:r>
    </w:p>
    <w:p w14:paraId="32E58F23" w14:textId="36F75F3B"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01" w:name="ver_30057249"/>
      <w:bookmarkEnd w:id="901"/>
    </w:p>
    <w:p w14:paraId="2BB0F9B9" w14:textId="357BBD1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2.6.7.3.4. Tasa de redescuento. La Financiera de Desarrollo Territorial S.A. FINDETER, ofrecerá a los intermediarios financieros una tasa de redescuento del DTF menos dos puntos por ciento trimestre anticipado (DTF -2.0% T.A.) para todos los plazos. </w:t>
      </w:r>
    </w:p>
    <w:p w14:paraId="1EC0D51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02" w:name="ver_30057250"/>
      <w:bookmarkEnd w:id="902"/>
    </w:p>
    <w:p w14:paraId="66BCA5CE" w14:textId="58D6C76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2.6.7.3.5. Recursos para el redescuento. Con fundamento en lo establecido en el parágrafo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el Gobierno Nacional, a través del Ministerio de Hacienda y Crédito Público, destinará anualmente en el Presupuesto General de la Nación, los recursos necesarios para subsidiar a la Financiera de Desarrollo Territorial S.A. FINDETER, la diferencia entre la tasa de captación promedio de FINDETER más los costos en que ésta incurra durante la vigencia de los redescuentos otorgados, en desarrollo de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2.6.7.3.1 del presente capítulo. </w:t>
      </w:r>
    </w:p>
    <w:p w14:paraId="6E31BBB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FBE45B" w14:textId="1392741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 metodología para determinar la tasa de captación promedio de la Financiera de Desarrollo Territorial S.A., FINDETER, para efectos de la presente línea de redescuento, así como los costos mencionados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serán los aprobados por el Consejo Superior de Política Fiscal, CONFIS, en el Acta 298 del 20 de diciembre de 2006. </w:t>
      </w:r>
    </w:p>
    <w:p w14:paraId="4E742E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2614B7" w14:textId="0FA553A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efecto de lo establecido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Financiera de Desarrollo Territorial S.A. FINDETER presentará a la Dirección General del Presupuesto Público Nacional del Ministerio de Hacienda y Crédito Público, durante la programación y preparación del proyecto anual de Presupuesto General de la Nación, la información relacionada con el valor de la diferencia entre la tasa de captación promedio de la Financiera de Desarrollo Territorial S.A. FINDETER, más los costos en que ésta incurra durante la vigencia de los redescuentos otorgados, con el fin de incluir las partidas necesarias en el mencionado proyecto. </w:t>
      </w:r>
    </w:p>
    <w:p w14:paraId="3093E6B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03" w:name="ver_30057251"/>
      <w:bookmarkEnd w:id="903"/>
    </w:p>
    <w:p w14:paraId="35079FFA" w14:textId="6B47413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2.6.7.3.6. Transferencia de recursos. Durante el mes de enero de cada año y a lo largo de la vigencia de las operaciones de redescuento, el Ministerio de Hacienda y Crédito Público, cuando sea necesario, transferirá a la Financiera de Desarrollo Territorial SA FINDETER, el valor </w:t>
      </w:r>
      <w:r w:rsidR="00AF0C09" w:rsidRPr="002C1480">
        <w:rPr>
          <w:rFonts w:ascii="Arial" w:eastAsia="Times New Roman" w:hAnsi="Arial" w:cs="Arial"/>
          <w:color w:val="000000"/>
          <w:lang w:eastAsia="es-CO"/>
        </w:rPr>
        <w:lastRenderedPageBreak/>
        <w:t xml:space="preserve">requerido para compensar la tasa, sin superar el valor apropiado en el presupuesto para la respectiva vigencia fiscal, a fin de dar cumplimiento a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2.6.7.3.5 del presente capítulo, sujeto al Programa Anualizado de Caja. </w:t>
      </w:r>
    </w:p>
    <w:p w14:paraId="1100F85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04" w:name="ver_30057252"/>
      <w:bookmarkEnd w:id="904"/>
    </w:p>
    <w:p w14:paraId="6D434C09" w14:textId="5CD1B0E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2.6.7.3.7. Respaldo de las Entidades Territoriales. Las Entidades Territoriales con sujeción a las normas presupuestales, podrán respaldar las deudas correspondientes a las operaciones de redescuento, suscritas por las Instituciones Prestadoras de Servicios de Salud Públicas, adscritas a la correspondiente entidad. </w:t>
      </w:r>
    </w:p>
    <w:p w14:paraId="0311AA0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05" w:name="ver_30057253"/>
      <w:bookmarkEnd w:id="905"/>
    </w:p>
    <w:p w14:paraId="57B46BD7" w14:textId="1735306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2.6.7.3.8. Beneficiarias de la línea de redescuento con tasa compensada. Serán beneficiarias de la línea de redescuento con tasa compensada regulada a través del presente capítulo, las siguientes: </w:t>
      </w:r>
    </w:p>
    <w:p w14:paraId="3F99F1C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3"/>
        <w:gridCol w:w="3290"/>
        <w:gridCol w:w="3467"/>
      </w:tblGrid>
      <w:tr w:rsidR="00AF0C09" w:rsidRPr="002C1480" w14:paraId="01A0D195" w14:textId="77777777" w:rsidTr="00AF0C09">
        <w:trPr>
          <w:trHeight w:val="120"/>
          <w:tblCellSpacing w:w="0" w:type="dxa"/>
          <w:jc w:val="center"/>
        </w:trPr>
        <w:tc>
          <w:tcPr>
            <w:tcW w:w="810" w:type="dxa"/>
            <w:tcBorders>
              <w:top w:val="outset" w:sz="6" w:space="0" w:color="auto"/>
              <w:left w:val="outset" w:sz="6" w:space="0" w:color="auto"/>
              <w:bottom w:val="outset" w:sz="6" w:space="0" w:color="auto"/>
              <w:right w:val="outset" w:sz="6" w:space="0" w:color="auto"/>
            </w:tcBorders>
            <w:vAlign w:val="center"/>
            <w:hideMark/>
          </w:tcPr>
          <w:p w14:paraId="0FDCFB2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Ítem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2B9C69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Concepto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2A9A6E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Beneficiarias  </w:t>
            </w:r>
          </w:p>
        </w:tc>
      </w:tr>
      <w:tr w:rsidR="00AF0C09" w:rsidRPr="002C1480" w14:paraId="74CCF7EF" w14:textId="77777777" w:rsidTr="00AF0C09">
        <w:trPr>
          <w:trHeight w:val="525"/>
          <w:tblCellSpacing w:w="0" w:type="dxa"/>
          <w:jc w:val="center"/>
        </w:trPr>
        <w:tc>
          <w:tcPr>
            <w:tcW w:w="810" w:type="dxa"/>
            <w:tcBorders>
              <w:top w:val="outset" w:sz="6" w:space="0" w:color="auto"/>
              <w:left w:val="outset" w:sz="6" w:space="0" w:color="auto"/>
              <w:bottom w:val="outset" w:sz="6" w:space="0" w:color="auto"/>
              <w:right w:val="outset" w:sz="6" w:space="0" w:color="auto"/>
            </w:tcBorders>
            <w:vAlign w:val="center"/>
            <w:hideMark/>
          </w:tcPr>
          <w:p w14:paraId="1194E34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17E0ADD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Adquisición, construcción, remodelación, ampliación y dotación de infraestructura para prestación de servicios de salud.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217A8855" w14:textId="6645CD5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Instituciones Prestadoras de Servicios de Salud Públicas, las Fundaciones sin Ánimo de Lucro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68 de la Ley 1438 de 2011 y las Entidades Territoriales. </w:t>
            </w:r>
          </w:p>
        </w:tc>
      </w:tr>
      <w:tr w:rsidR="00AF0C09" w:rsidRPr="002C1480" w14:paraId="48763CD7" w14:textId="77777777" w:rsidTr="00AF0C09">
        <w:trPr>
          <w:trHeight w:val="525"/>
          <w:tblCellSpacing w:w="0" w:type="dxa"/>
          <w:jc w:val="center"/>
        </w:trPr>
        <w:tc>
          <w:tcPr>
            <w:tcW w:w="810" w:type="dxa"/>
            <w:tcBorders>
              <w:top w:val="outset" w:sz="6" w:space="0" w:color="auto"/>
              <w:left w:val="outset" w:sz="6" w:space="0" w:color="auto"/>
              <w:bottom w:val="outset" w:sz="6" w:space="0" w:color="auto"/>
              <w:right w:val="outset" w:sz="6" w:space="0" w:color="auto"/>
            </w:tcBorders>
            <w:vAlign w:val="center"/>
            <w:hideMark/>
          </w:tcPr>
          <w:p w14:paraId="7650863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0A39F4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Actualización tecnológica (reposición, compra y dotación de equipos para prestación de servicios de salud).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6C5D0ADA" w14:textId="14164AD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Instituciones Prestadoras de Servicios de Salud Públicas, las Fundaciones sin Ánimo de Lucro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68 de la Ley 1438 de 2011 y las Entidades Territoriales. </w:t>
            </w:r>
          </w:p>
        </w:tc>
      </w:tr>
      <w:tr w:rsidR="00AF0C09" w:rsidRPr="002C1480" w14:paraId="1F91FC93" w14:textId="77777777" w:rsidTr="00AF0C09">
        <w:trPr>
          <w:trHeight w:val="615"/>
          <w:tblCellSpacing w:w="0" w:type="dxa"/>
          <w:jc w:val="center"/>
        </w:trPr>
        <w:tc>
          <w:tcPr>
            <w:tcW w:w="810" w:type="dxa"/>
            <w:tcBorders>
              <w:top w:val="outset" w:sz="6" w:space="0" w:color="auto"/>
              <w:left w:val="outset" w:sz="6" w:space="0" w:color="auto"/>
              <w:bottom w:val="outset" w:sz="6" w:space="0" w:color="auto"/>
              <w:right w:val="outset" w:sz="6" w:space="0" w:color="auto"/>
            </w:tcBorders>
            <w:vAlign w:val="center"/>
            <w:hideMark/>
          </w:tcPr>
          <w:p w14:paraId="7B08D0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w:t>
            </w:r>
          </w:p>
        </w:tc>
        <w:tc>
          <w:tcPr>
            <w:tcW w:w="3975" w:type="dxa"/>
            <w:tcBorders>
              <w:top w:val="outset" w:sz="6" w:space="0" w:color="auto"/>
              <w:left w:val="outset" w:sz="6" w:space="0" w:color="auto"/>
              <w:bottom w:val="outset" w:sz="6" w:space="0" w:color="auto"/>
              <w:right w:val="outset" w:sz="6" w:space="0" w:color="auto"/>
            </w:tcBorders>
            <w:vAlign w:val="center"/>
            <w:hideMark/>
          </w:tcPr>
          <w:p w14:paraId="1C31F5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Reorganización, rediseño y modernización de las redes públicas prestadoras de servicios de salud. (Los proyectos a financiar deberán estar enmarcados en la metodología que defina el Ministerio de Salud y Protección Social). </w:t>
            </w:r>
          </w:p>
        </w:tc>
        <w:tc>
          <w:tcPr>
            <w:tcW w:w="4260" w:type="dxa"/>
            <w:tcBorders>
              <w:top w:val="outset" w:sz="6" w:space="0" w:color="auto"/>
              <w:left w:val="outset" w:sz="6" w:space="0" w:color="auto"/>
              <w:bottom w:val="outset" w:sz="6" w:space="0" w:color="auto"/>
              <w:right w:val="outset" w:sz="6" w:space="0" w:color="auto"/>
            </w:tcBorders>
            <w:vAlign w:val="center"/>
            <w:hideMark/>
          </w:tcPr>
          <w:p w14:paraId="43B205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Territoriales y las Instituciones Prestadoras de Servicios de Salud Públicas que se involucren en programas de reorganización, rediseño y modernización en la prestación de servicios de salud del Gobierno Nacional. </w:t>
            </w:r>
          </w:p>
        </w:tc>
      </w:tr>
    </w:tbl>
    <w:p w14:paraId="3E9344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BCBB4B" w14:textId="6DE126C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Respecto de las solicitudes de otorgamiento de línea de crédito con tasa compensada que se regula a través del presente capítulo, el Ministerio de Salud y Protección Social emitirá concepto técnico que deberá contener la especificidad sobre el requerimiento de los recursos para garantizar la prestación de servicios de salud, además de las especificaciones establecidas para cada caso en los ítems de la tabla que hace parte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D69E7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EEFFEA" w14:textId="4EC8FCA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Ministerio de Salud y Protección Social remitirá su concepto técnico favorable junto con los documentos soportes que estime pertinentes, a la Dirección de Regulación Económica de la Seguridad Social del Ministerio de Hacienda y Crédito Público para que ésta a su vez, emita el concepto del caso dentro de los quince (15) días hábiles posteriores a la recepción de la referida documentación. En todo caso, los proyectos sujetos de financiación definidos en los ítems 1 y 2 de la tabla que hace parte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requerirán del estudio de factibilidad económica de la inversión, a partir del portafolio de servicios, la demanda de servicios de salud, el diseño de red, la sostenibilidad de la inversión y el efecto sobre el equilibrio operacional de las </w:t>
      </w:r>
      <w:r w:rsidRPr="002C1480">
        <w:rPr>
          <w:rFonts w:ascii="Arial" w:eastAsia="Times New Roman" w:hAnsi="Arial" w:cs="Arial"/>
          <w:color w:val="000000"/>
          <w:lang w:eastAsia="es-CO"/>
        </w:rPr>
        <w:lastRenderedPageBreak/>
        <w:t>Instituciones Prestadoras de Servicios de Salud Públicas. Así mismo, los proyectos deberán hacer parte del plan bienal de inversiones de salud de la entidad territorial cuando ello sea del caso. </w:t>
      </w:r>
    </w:p>
    <w:p w14:paraId="24423F9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06" w:name="ver_30057254"/>
      <w:bookmarkEnd w:id="906"/>
    </w:p>
    <w:p w14:paraId="1C8E292C" w14:textId="3952759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2.6.7.3.9. Seguimiento al cumplimiento de condiciones. El Ministerio de Salud y Protección Social, realizará el seguimiento al cumplimiento de las condiciones establecidas en el presente capítulo. </w:t>
      </w:r>
    </w:p>
    <w:p w14:paraId="1186FD71" w14:textId="77777777" w:rsidR="0063420B" w:rsidRDefault="0063420B" w:rsidP="00C32F85">
      <w:pPr>
        <w:spacing w:after="0" w:line="293" w:lineRule="atLeast"/>
        <w:jc w:val="both"/>
        <w:rPr>
          <w:rFonts w:ascii="Arial" w:eastAsia="Times New Roman" w:hAnsi="Arial" w:cs="Arial"/>
          <w:color w:val="000000"/>
          <w:lang w:eastAsia="es-CO"/>
        </w:rPr>
      </w:pPr>
      <w:bookmarkStart w:id="907" w:name="ver_30057255"/>
      <w:bookmarkEnd w:id="907"/>
    </w:p>
    <w:p w14:paraId="27E681F0" w14:textId="59B861A6"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4</w:t>
      </w:r>
    </w:p>
    <w:p w14:paraId="5113AD5A"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LÍNEAS DE REDESCUENTO CON TASA COMPENSADA PARA PROGRAMAS</w:t>
      </w:r>
    </w:p>
    <w:p w14:paraId="7AEE3560"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Y PROYECTOS EN EL SECTOR DE AGUA Y SANEAMIENTO BÁSICO</w:t>
      </w:r>
    </w:p>
    <w:p w14:paraId="1F82A25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08" w:name="ver_30057256"/>
      <w:bookmarkEnd w:id="908"/>
    </w:p>
    <w:p w14:paraId="719B47E9" w14:textId="29F3C0D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2.6.7.4.1. Objeto. La Financiera de Desarrollo Territorial S.A. --FINDETER, de conformidad con lo establecido en el parágrafo del literal b)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y en relación con las actividades de qué tratan los literales a) y I) del numeral 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268 del mencionado Estatuto, podrá ofrecer una línea de redescuento con tasa compensada destinada al Financiamiento de todas las inversiones relacionadas con el sector de Agua y Saneamiento Básico, o aquellos nuevos planes, programas o políticas que se implementen por el Gobierno Nacional en el Sector de Agua y Saneamiento Básico, así como para la sustitución de la deuda contraída por los municipios categoría 6 con el Patrimonio Autónomo --Grupo Financiero de Infraestructura Ltda., administrado por Alianza Fiduciaria, cuyo monto por Ente Territorial no supere los diez mil millones de pesos ($10.000’000.000) moneda legal colombiana. </w:t>
      </w:r>
    </w:p>
    <w:p w14:paraId="3E12B55B" w14:textId="44B66655" w:rsidR="00AF0C09" w:rsidRPr="002C1480" w:rsidRDefault="00AF0C09" w:rsidP="006C79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09" w:name="ver_30057257"/>
      <w:bookmarkEnd w:id="909"/>
    </w:p>
    <w:p w14:paraId="6EC43C52" w14:textId="230BF94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2.6.7.4.2. Beneficiarios. Serán beneficiarios de la línea de redescuento con tasa compensada los Departamentos, Distritos, Municipios, Entidades Descentralizadas del Orden Territorial, Corporaciones Autónomas Regionales, o el fideicomiso que se constituya para sustituir la deuda contraída por los Municipios, y los demás aportantes que destinen recursos para el desarrollo y ejecución de la preinversión y/o inversión requerida por dichos planes, así como las Empresas prestadoras de los servicios de Acueducto, Alcantarillado y Aseo. </w:t>
      </w:r>
    </w:p>
    <w:p w14:paraId="57B06CC7" w14:textId="1320A001" w:rsidR="00AF0C09" w:rsidRPr="002C1480" w:rsidRDefault="00AF0C09" w:rsidP="006C79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10" w:name="ver_30057258"/>
      <w:bookmarkEnd w:id="910"/>
    </w:p>
    <w:p w14:paraId="264A007C" w14:textId="6958709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2.6.7.4.3. Destinación de recursos. Los recursos de esta línea se destinarán a financiar todas las inversiones relacionadas con estudios y diseños, construcción, reconstrucción, reparación, interventoría, mejoramiento, ampliación y equipamiento en el sector de Agua y Saneamiento Básico, así como aquellos nuevos planes, programas o políticas que se implementen por el Gobierno Nacional en el Sector de Agua y Saneamiento Básico. </w:t>
      </w:r>
    </w:p>
    <w:p w14:paraId="6EE1262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1" w:name="ver_30180735"/>
      <w:bookmarkStart w:id="912" w:name="ver_30057259"/>
      <w:bookmarkEnd w:id="911"/>
    </w:p>
    <w:p w14:paraId="4E81F93E" w14:textId="6229244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2.6.7.4.4. Monto y plazo Las operaciones de redescuento de que trata el presente capítulo se podrán otorgar hasta el 31 de diciembre de 2018 y hasta por un monto total de ochocientos cincuenta mil millones de pesos ($850.000.000.000) moneda legal colombiana. Para todas las inversiones en el sector de agua y saneamiento básico el plazo de amortización será de hasta diez (10) años, y hasta con dos (2) años de gracia a capital. </w:t>
      </w:r>
    </w:p>
    <w:p w14:paraId="6B438D3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8DAB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operaciones de redescuento de que trata el presente Capítulo se podrán otorgar hasta el treinta y uno (31) de julio de 2022.  </w:t>
      </w:r>
    </w:p>
    <w:p w14:paraId="6AF59D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AC21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recursos para la sustitución de la deuda contraída por los municipios categoría 6 con el Patrimonio Autónomo - Grupo Financiero de Infraestructura Ltda., administrado por Alianza Fiduciaria, cuyo monto por Ente Territorial no supere los diez mil millones de pesos </w:t>
      </w:r>
      <w:r w:rsidRPr="002C1480">
        <w:rPr>
          <w:rFonts w:ascii="Arial" w:eastAsia="Times New Roman" w:hAnsi="Arial" w:cs="Arial"/>
          <w:color w:val="000000"/>
          <w:lang w:eastAsia="es-CO"/>
        </w:rPr>
        <w:lastRenderedPageBreak/>
        <w:t>($10.000.000.000) moneda legal colombiana, tendrán un plazo de amortización de hasta quince (15) años, y hasta tres (3) años de gracia a capital. </w:t>
      </w:r>
    </w:p>
    <w:p w14:paraId="0039E93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3" w:name="ver_30057260"/>
      <w:bookmarkEnd w:id="912"/>
      <w:bookmarkEnd w:id="913"/>
    </w:p>
    <w:p w14:paraId="48B43965" w14:textId="118EDDB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2.6.7.4.5. Tasa de redescuento. La Financiera de Desarrollo Territorial S.A. - FINDETER ofrecerá a los intermediarios financieros, una tasa de redescuento del DTF menos un punto por ciento, trimestre anticipado (DTF -1.0% T.A.), o IPC más cero punto cinco por ciento, efectivo anual (IPC + 0.5% E.A.) o IBR menos 0.9 por ciento, mes vencido (IBR -0.9% M.V.). La tasa de interés final será hasta del DTF más tres puntos por ciento trimestre anticipado (DTF+3.0% T.A.) o hasta IPC más cuatro punto cinco puntos por ciento efectivo anual, (lPC + 4.5% E.A.) o hasta el IBR más tres punto uno por ciento, mes vencido (IBR + 3.1 % M.V.) </w:t>
      </w:r>
    </w:p>
    <w:p w14:paraId="57995F3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4" w:name="ver_30057261"/>
      <w:bookmarkEnd w:id="914"/>
    </w:p>
    <w:p w14:paraId="31E6C1EF" w14:textId="23FC83E0"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2.6.7.4.6. Recursos de redescuento. Con fundamento en lo establecido en el parágrafo del literal b)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el Gobierno Nacional a través del Ministerio de Hacienda y Crédito Público, destinará anualmente en el Presupuesto General de la Nación, los recursos necesarios para subsidiar a la Financiera de Desarrollo Territorial S.A. -FINDETER, la diferencia entre la tasa de captación promedio de FINDETER más los costos en que ésta incurra durante la vigencia de los redescuentos otorgados, en desarrollo de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2.6.7.4.1 del presente capítulo y la tasa de redescuento mencionada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2.6.7.4.5 del presente capítulo. </w:t>
      </w:r>
    </w:p>
    <w:p w14:paraId="295BFCD2" w14:textId="77777777" w:rsidR="0063420B" w:rsidRPr="002C1480" w:rsidRDefault="0063420B" w:rsidP="00C32F85">
      <w:pPr>
        <w:spacing w:after="0" w:line="254" w:lineRule="atLeast"/>
        <w:jc w:val="both"/>
        <w:rPr>
          <w:rFonts w:ascii="Arial" w:eastAsia="Times New Roman" w:hAnsi="Arial" w:cs="Arial"/>
          <w:color w:val="000000"/>
          <w:lang w:eastAsia="es-CO"/>
        </w:rPr>
      </w:pPr>
    </w:p>
    <w:p w14:paraId="7CAAB873" w14:textId="581E76F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Primero. La metodología para determinar la tasa de captación promedio de la Financiera de Desarrollo Territorial S.A. -FINDETER, para efectos de la presente línea de redescuento, así como los costos mencionados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serán los aprobados por el Consejo Superior de Política Fiscal, CONFIS, en el Acta No. 298 del 20 de diciembre de 2006. </w:t>
      </w:r>
    </w:p>
    <w:p w14:paraId="3C7310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53DB9F" w14:textId="349390A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Segundo. Para efecto de lo establecido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Financiera de Desarrollo Territorial S.A. -FINDETER, presentará a la Dirección General de Presupuesto Público Nacional del Ministerio de Hacienda y Crédito Público, durante la programación y preparación del proyecto anual del Presupuesto General de la Nación, la información relacionada con el valor de la diferencia entre la tasa de captación promedio de la Financiera de Desarrollo Territorial S.A. -FINDETER, más los costos en que ésta incurra durante la vigencia de los redescuentos otorgados, con el fin de incluir las partidas necesarias en el mencionado proyecto. </w:t>
      </w:r>
    </w:p>
    <w:p w14:paraId="2BD8E79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5" w:name="ver_30057262"/>
      <w:bookmarkEnd w:id="915"/>
    </w:p>
    <w:p w14:paraId="3B391FDD" w14:textId="23A55B7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2.6.7.4.7. Transferencia de recursos. Durante el mes de enero de cada año y a lo largo de la vigencia de las operaciones de redescuento, el Ministerio de Hacienda y Crédito Público, cuando sea necesario, transferirá a la Financiera de Desarrollo Territorial S.A. -FINDETER, el valor requerido para compensar la tasa sin superar el valor apropiado en el presupuesto para la respectiva vigencia fiscal, a fin de dar cumplimiento a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2.6.7.4.6. anterior, sujeto al Programa Anualizado de Caja. </w:t>
      </w:r>
    </w:p>
    <w:p w14:paraId="7DA14B1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6" w:name="ver_30057263"/>
      <w:bookmarkEnd w:id="916"/>
    </w:p>
    <w:p w14:paraId="2FCADF1E" w14:textId="759213F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2.6.7.4.8. Viabilidad y seguimiento. El otorgamiento de la viabilidad técnica y financiera de los proyectos estará a cargo del Ministerio de Vivienda, Ciudad y Territorio. </w:t>
      </w:r>
    </w:p>
    <w:p w14:paraId="14DE3E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FFE6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Vivienda, Ciudad y Territorio establecerá los mecanismos que permitan realizar el seguimiento de los recursos asignados a los proyectos financiados con la línea de redescuento con tasa compensada, así como al cumplimiento de las condiciones de la misma, y efectuar el control y seguimiento de sus beneficiarios. </w:t>
      </w:r>
    </w:p>
    <w:p w14:paraId="703C509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EB9DFF" w14:textId="52B5D09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Las operaciones de redescuento destinadas a sustituir los Bonos Ordinarios Patrimonio Autónomo Grupo Financiero de Infraestructura 2008-1 y 2010 no estarán sometidas al otorgamiento de la viabilidad establecida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1679AC09" w14:textId="77777777" w:rsidR="0063420B" w:rsidRDefault="0063420B" w:rsidP="00C32F85">
      <w:pPr>
        <w:spacing w:after="0" w:line="293" w:lineRule="atLeast"/>
        <w:jc w:val="both"/>
        <w:rPr>
          <w:rFonts w:ascii="Arial" w:eastAsia="Times New Roman" w:hAnsi="Arial" w:cs="Arial"/>
          <w:color w:val="000000"/>
          <w:lang w:eastAsia="es-CO"/>
        </w:rPr>
      </w:pPr>
      <w:bookmarkStart w:id="917" w:name="ver_30057264"/>
      <w:bookmarkEnd w:id="917"/>
    </w:p>
    <w:p w14:paraId="412B50B0" w14:textId="0092B014"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5</w:t>
      </w:r>
    </w:p>
    <w:p w14:paraId="35C3491A"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LÍNEAS DE REDESCUENTO CON TASA COMPENSADA PARA PROYECTOS</w:t>
      </w:r>
    </w:p>
    <w:p w14:paraId="1FD84A22"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DE VIP Y VIS</w:t>
      </w:r>
    </w:p>
    <w:p w14:paraId="47A0AC1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8" w:name="ver_30057265"/>
      <w:bookmarkEnd w:id="918"/>
    </w:p>
    <w:p w14:paraId="79F752A9" w14:textId="47CB1B8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2.6.7.5.1. Objeto. De conformidad con lo establecido en el parágrafo del literal b) del numeral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270 del Estatuto Orgánico del Sistema Financiero, la Financiera de Desarrollo Territorial S.A. FINDETER, implementará líneas de redescuento en pesos con tasa compensada destinadas a la financiación de proyectos de Vivienda de Interés Prioritario -VIP- y Viviendas de Interés Social -VIS-, previa reglamentación por parte de su Junta Directiva. </w:t>
      </w:r>
    </w:p>
    <w:p w14:paraId="2C84EB0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19" w:name="ver_30057266"/>
      <w:bookmarkEnd w:id="919"/>
    </w:p>
    <w:p w14:paraId="02396335" w14:textId="28FA902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2.6.7.5.2. Disponibilidad de recursos. Para la creación de las líneas de redescuento con tasa compensada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2.6.7.5.1 del presente capítulo, los recursos equivalentes al monto del subsidio requerido, provendrán de entidades territoriales, de entidades públicas del orden descentralizado territorial y de entidades privadas. </w:t>
      </w:r>
    </w:p>
    <w:p w14:paraId="6E9F9EC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9C014D" w14:textId="1F372A2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Primero. De acuerdo con su naturaleza jurídica, las entidades señaladas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deberán previamente a la suscripción de los convenios interadministrativos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2.6.7.5.3 del presente capítulo, incluir en sus presupuestos las partidas equivalentes al monto del subsidio o garantizar el aporte de los recursos necesarios para compensar la tasa. </w:t>
      </w:r>
    </w:p>
    <w:p w14:paraId="07EAEE3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C1AE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Segundo. Estos recursos serán destinados a cubrir la diferencia entre la tasa de redescuento compensada que se defina y la tasa de redescuento sin subsidio, vigente a la fecha de desembolso de cada uno de los créditos, aplicada al sector de vivienda para el mismo plazo de amortización y gracia. </w:t>
      </w:r>
    </w:p>
    <w:p w14:paraId="40998A5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20" w:name="ver_30057267"/>
      <w:bookmarkEnd w:id="920"/>
    </w:p>
    <w:p w14:paraId="5D5C6E3D" w14:textId="3E825EC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2.6.7.5.3. Condiciones Financieras. Para los efectos previstos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2.6.7.5.1 del presente capítulo, FINDETER acordará con las entidades señaladas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2.6.7.5.2 del presente capítulo, mediante la suscripción de un convenio interadministrativo, las condiciones específicas de la respectiva línea de redescuento con tasa compensada, en especial: los beneficiarios de la misma, el plazo y período de gracia de la línea, el monto que aportará la entidad constituyente de la línea por concepto de la compensación de tasa, el valor total de la línea, la tasa de redescuento para los intermediarios financieros, la tasa de interés para el usuario final, la entidad que emitirá la viabilidad técnica y financiera de los proyectos, el acceso a la línea y demás condiciones de la operación y requisitos necesarios para su implementación. </w:t>
      </w:r>
    </w:p>
    <w:p w14:paraId="3DFDFD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E246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conformidad con el Reglamento para Operaciones de Redescuento de FINDETER los créditos para la financiación de proyectos de Vivienda de Interés Prioritario -VIP- y Viviendas de Interés Social -VIS-, con acceso a la línea de redescuento con tasa compensada que mediante el presente capítulo se regula, se denominarán en pesos, con tasa de interés fija o variable, expresada en DTF, IPC o IBR; el plazo podrá ser hasta de quince (15) años, incluidos hasta tres (3) años de periodo de gracia a capital. </w:t>
      </w:r>
    </w:p>
    <w:p w14:paraId="5458EFFF" w14:textId="10CE8423" w:rsidR="0063420B"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21" w:name="ver_30057268"/>
      <w:bookmarkEnd w:id="921"/>
    </w:p>
    <w:p w14:paraId="0BDA4E5A" w14:textId="54C994A9"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6</w:t>
      </w:r>
    </w:p>
    <w:p w14:paraId="50FC78AF"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OPERACIONES DE REDESCUENTO PARA OPERADORES DE VEHÍCULOS</w:t>
      </w:r>
    </w:p>
    <w:p w14:paraId="00AEAEF0"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lastRenderedPageBreak/>
        <w:t>DE TRANSPORTE</w:t>
      </w:r>
    </w:p>
    <w:p w14:paraId="4879ED1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22" w:name="ver_30057269"/>
      <w:bookmarkEnd w:id="922"/>
    </w:p>
    <w:p w14:paraId="0889D5F7" w14:textId="17429C2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2.6.7.6.1. Operaciones de redescuento para operadores de vehículos de transporte. Autorízase a la Financiera de Desarrollo Territorial S.A., (Findeter), para celebrar operaciones de redescuento a través de los intermediarios autorizados, en los términos que señale la Junta Directiva, cuyos beneficiarios sean cualquiera de los operadores de transporte definidos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10 de la Ley 336 de 1996 o los propietarios de los equipos vinculados a dichos operadores en los términos de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s 20, 21 y 22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173 de 2001 compilado en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Único Reglamentario de Transporte para los fines que se señalan a continuación: </w:t>
      </w:r>
    </w:p>
    <w:p w14:paraId="2AE229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653C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Financiación de adquisición de vehículos de servicio de transporte terrestre automotor de carga. </w:t>
      </w:r>
    </w:p>
    <w:p w14:paraId="63DA10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A51B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Reestructuración de créditos otorgados para la adquisición de vehículos de transporte terrestre automotor de carga, con recursos de redescuento de la Financiera de Desarrollo Territorial S.A., (Findeter). </w:t>
      </w:r>
    </w:p>
    <w:p w14:paraId="3C2B69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8C2F4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Sustitución de obligaciones correspondientes a créditos otorgados para la adquisición de vehículos de transporte terrestre automotor de carga, adquiridos con entidades </w:t>
      </w:r>
    </w:p>
    <w:p w14:paraId="2CA2DC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F7B952" w14:textId="77777777" w:rsidR="00AF0C09" w:rsidRPr="0063420B" w:rsidRDefault="00AF0C09" w:rsidP="0063420B">
      <w:pPr>
        <w:spacing w:after="0" w:line="293" w:lineRule="atLeast"/>
        <w:jc w:val="center"/>
        <w:rPr>
          <w:rFonts w:ascii="Arial" w:eastAsia="Times New Roman" w:hAnsi="Arial" w:cs="Arial"/>
          <w:b/>
          <w:bCs/>
          <w:color w:val="000000"/>
          <w:lang w:eastAsia="es-CO"/>
        </w:rPr>
      </w:pPr>
      <w:bookmarkStart w:id="923" w:name="ver_30057270"/>
      <w:bookmarkEnd w:id="923"/>
      <w:r w:rsidRPr="0063420B">
        <w:rPr>
          <w:rFonts w:ascii="Arial" w:eastAsia="Times New Roman" w:hAnsi="Arial" w:cs="Arial"/>
          <w:b/>
          <w:bCs/>
          <w:color w:val="000000"/>
          <w:lang w:eastAsia="es-CO"/>
        </w:rPr>
        <w:t>PARTE 7</w:t>
      </w:r>
    </w:p>
    <w:p w14:paraId="008D8A03" w14:textId="72FBEEA3" w:rsidR="00AF0C09"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MONOPOLIO RENTÍSTICO DE JUEGOS DE SUERTE Y AZAR</w:t>
      </w:r>
    </w:p>
    <w:p w14:paraId="45FEDDB9" w14:textId="77777777" w:rsidR="0063420B" w:rsidRPr="0063420B" w:rsidRDefault="0063420B" w:rsidP="0063420B">
      <w:pPr>
        <w:spacing w:after="0" w:line="293" w:lineRule="atLeast"/>
        <w:jc w:val="center"/>
        <w:rPr>
          <w:rFonts w:ascii="Arial" w:eastAsia="Times New Roman" w:hAnsi="Arial" w:cs="Arial"/>
          <w:b/>
          <w:bCs/>
          <w:color w:val="000000"/>
          <w:lang w:eastAsia="es-CO"/>
        </w:rPr>
      </w:pPr>
    </w:p>
    <w:p w14:paraId="50F43515"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TÍTULO 1</w:t>
      </w:r>
    </w:p>
    <w:p w14:paraId="43A555F9" w14:textId="5D8CDB72" w:rsidR="00AF0C09"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JUEGO DE LOTERÍA TRADICIONAL O DE BILLETES</w:t>
      </w:r>
    </w:p>
    <w:p w14:paraId="7FCB8B10" w14:textId="77777777" w:rsidR="0063420B" w:rsidRPr="0063420B" w:rsidRDefault="0063420B" w:rsidP="0063420B">
      <w:pPr>
        <w:spacing w:after="0" w:line="293" w:lineRule="atLeast"/>
        <w:jc w:val="center"/>
        <w:rPr>
          <w:rFonts w:ascii="Arial" w:eastAsia="Times New Roman" w:hAnsi="Arial" w:cs="Arial"/>
          <w:b/>
          <w:bCs/>
          <w:color w:val="000000"/>
          <w:lang w:eastAsia="es-CO"/>
        </w:rPr>
      </w:pPr>
    </w:p>
    <w:p w14:paraId="38E0139D"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1</w:t>
      </w:r>
    </w:p>
    <w:p w14:paraId="075D45EE"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DISPOSICIONES GENERALES</w:t>
      </w:r>
    </w:p>
    <w:p w14:paraId="2050716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24" w:name="ver_30057271"/>
      <w:bookmarkEnd w:id="924"/>
    </w:p>
    <w:p w14:paraId="491B9A97" w14:textId="3A7417A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2.7.1.1.1. Objeto. El presente título tiene por objeto reglamentar la explotación, organización, administración, operación, control y fiscalización del juego de lotería radicional de billetes de que trata el Capítulo III de la Ley 643 de 2001, modificada por la Ley 1393 de 2010. </w:t>
      </w:r>
    </w:p>
    <w:p w14:paraId="0599891C" w14:textId="1F58ED6A"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25" w:name="ver_30057272"/>
      <w:bookmarkEnd w:id="925"/>
    </w:p>
    <w:p w14:paraId="6E2DA2C7" w14:textId="610ECDA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2.7.1.1.2. Ámbito de aplicación. Las disposiciones contenidas en el presente título se aplican a todas las Entidades Territoriales, a las Empresas Industriales y Comerciales del Estado de cualquier orden, Sociedades de Capital Público Departamental (SCPD), la Cruz Roja Colombiana, a las asociaciones y a las demás personas, cualquiera fuere su naturaleza jurídica, que de conformidad con lo dispuesto en la Ley 643 de 2001, y las normas que la modifiquen, sustituyan o adicionen, exploten, organicen, administren, operen, controlen, fiscalicen, regulen y vigilen el juego de lotería tradicional o de billetes. </w:t>
      </w:r>
    </w:p>
    <w:p w14:paraId="67CAA1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A4A8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totalidad de las rentas y recursos obtenidos por la Lotería de la Cruz Roja Colombiana, en la explotación del juego de lotería estarán destinadas exclusivamente a los servicios de salud que se atiendan por esa entidad. </w:t>
      </w:r>
    </w:p>
    <w:p w14:paraId="5B23B7B6" w14:textId="244C7EB2"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26" w:name="ver_30057273"/>
      <w:bookmarkEnd w:id="926"/>
    </w:p>
    <w:p w14:paraId="044B999D" w14:textId="31D77FD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2.7.1.1.3. Definiciones. Para efectos del presente título se adoptan las siguientes definiciones: </w:t>
      </w:r>
    </w:p>
    <w:p w14:paraId="6350BD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6FA63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Billete: Es el documento al portador indiviso o fraccionado, preimpreso o expedido por una máquina o terminal electrónica conectada en línea y en tiempo real con el sistema de gestión del juego, singularizado con una combinación numérica o con otros caracteres a la vista, emitido por la entidad administradora u operadora de la lotería, que constituye prueba del contrato de juego entre el tenedor del mismo y la entidad operadora de la lotería, permitiéndole a este participar en un único sorteo. </w:t>
      </w:r>
    </w:p>
    <w:p w14:paraId="754806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373F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billetes de lotería deben ser singularizados, usando números consecutivos o caracteres, en una o más series, de tal manera que se contemplen todas las combinaciones que se pueden obtener con el instrumento de sorteo. </w:t>
      </w:r>
    </w:p>
    <w:p w14:paraId="4D7BA19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F2974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billetes del juego de lotería se podrán vender por medio de canales de comercialización electrónicos siempre y cuando se garantice su tenencia bajo el control del apostador y se disponga de un medio de pago legalmente ofrecido a los clientes del sistema financiero o de la telefonía celular, con arreglo a las disposiciones sobre uso de mensajes de datos, comercio electrónico y firmas digitales que rijan en Colombia. </w:t>
      </w:r>
    </w:p>
    <w:p w14:paraId="67A1BF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4718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Emisión: Es el conjunto de billetes indivisos o fraccionados que de acuerdo al plan de premios se emiten y ponen en circulación para participar en cada sorteo. La emisión contendrá la totalidad de las combinaciones de números o de caracteres que se utilicen para numerar los billetes, en forma consecutiva o en series. La totalidad de las combinaciones que componen la emisión debe ser puesta a disposición del público por cualquier medio. </w:t>
      </w:r>
    </w:p>
    <w:p w14:paraId="197DED1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FE692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Ingresos brutos: Es el valor total de los billetes y fracciones vendidos en cada sorteo. </w:t>
      </w:r>
    </w:p>
    <w:p w14:paraId="5113A03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F5D1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calculan multiplicando la cantidad de billetes o fracciones vendidos por el precio de venta al público. </w:t>
      </w:r>
    </w:p>
    <w:p w14:paraId="098014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B175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Margen de contribución: Es la diferencia entre el precio de venta de un billete o fracción y la sumatoria de los costos fijos, que para los efectos del presente título son: la comisión reconocida a la red de distribución, los premios y sus reservas, el impuesto a foráneas y el 12% de los ingresos que se paga como renta del monopolio. </w:t>
      </w:r>
    </w:p>
    <w:p w14:paraId="5FFADE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3ACB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Precio de venta al público: Es el valor señalado en el billete que el comprador paga por adquirir un billete o fracción. El precio del billete se indicará en el plan de premios de la lotería y será único en todo el territorio nacional. </w:t>
      </w:r>
    </w:p>
    <w:p w14:paraId="08AA76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A260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Punto de equilibrio: Es el volumen de ventas en pesos y en unidades que produce una contribución marginal suficiente para pagar los gastos de administración y funcionamiento y los excedentes mínimos; en su cálculo no se incluyen los descuentos a la red de distribución, el impuesto a foráneas, la renta del monopolio, los premios en poder del público ni la provisión para constituir las reservas técnicas. </w:t>
      </w:r>
    </w:p>
    <w:p w14:paraId="066C7E3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321C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Valor de la emisión: Es el resultado de multiplicar el número de billetes o fracciones que componen la emisión por su precio de venta al público. </w:t>
      </w:r>
    </w:p>
    <w:p w14:paraId="1C87E0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AD3A69" w14:textId="7F5AA2C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8. Valor nominal de los billetes o fracciones: Para efectos de lo previsto en el inciso primero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 la Ley 643 de 2001, se entiende por valor nominal del billete o fracción, el valor sobre el cual se liquida el impuesto de loterías foráneas. En ningún caso, dicho valor podrá ser inferior al 75% del precio de venta al público. </w:t>
      </w:r>
    </w:p>
    <w:p w14:paraId="47A6966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5CE3BE9C" w14:textId="70C9D7B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9. Valor nominal de los premios: El valor nominal del premio a que se refiere el inciso segundo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 la Ley 643 de 2001, como base para liquidar el impuesto a ganadores, equivale a la suma de dinero ofrecida al público como importe de aquel, según lo establecido en el respectivo plan de premios. </w:t>
      </w:r>
    </w:p>
    <w:p w14:paraId="281449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51C3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Valor Neto del Premio: Es el valor que efectivamente recibe el apostador y resulta de deducir del valor nominal del premio los impuestos y retenciones establecidos por ley. </w:t>
      </w:r>
    </w:p>
    <w:p w14:paraId="2D75CB8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27" w:name="ver_30057274"/>
      <w:bookmarkEnd w:id="927"/>
    </w:p>
    <w:p w14:paraId="1B0EFC27" w14:textId="7734E29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2.7.1.1.4. Sorteos promocionales. Las empresas operadoras del juego de lotería tradicional que pretendan realizar juegos de suerte y azar promocionales se consideran dentro de las excepciones previstas en el inciso tercero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5° de la Ley 643 de 2001, y en tal calidad deberán solicitar y obtener de la Empresa Industrial y Comercial del Estado Administradora del Monopolio Rentístico de los Juegos de Suerte y Azar (Coljuegos) o de la respectiva Sociedad de Capital Público Departamental (SCPD), según el ámbito de operación de que se trate, concepto mediante el cual se establezca dicha circunstancia, para lo cual deberá acreditar los requisitos establecidos para el efecto. </w:t>
      </w:r>
    </w:p>
    <w:p w14:paraId="28EC17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4B470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valor de los premios pagados en los sorteos promocionales de las empresas operadoras del juego de lotería, no podrán ser computados como parte del retorno al público. </w:t>
      </w:r>
    </w:p>
    <w:p w14:paraId="56EFB0C0" w14:textId="1A536F5D" w:rsidR="00AF0C09" w:rsidRPr="002C1480" w:rsidRDefault="00AF0C09" w:rsidP="00C32F85">
      <w:pPr>
        <w:spacing w:after="0" w:line="254" w:lineRule="atLeast"/>
        <w:jc w:val="both"/>
        <w:rPr>
          <w:rFonts w:ascii="Arial" w:eastAsia="Times New Roman" w:hAnsi="Arial" w:cs="Arial"/>
          <w:color w:val="000000"/>
          <w:lang w:eastAsia="es-CO"/>
        </w:rPr>
      </w:pPr>
    </w:p>
    <w:p w14:paraId="4E409462" w14:textId="77777777" w:rsidR="0063420B" w:rsidRDefault="0063420B" w:rsidP="00C32F85">
      <w:pPr>
        <w:spacing w:after="0" w:line="293" w:lineRule="atLeast"/>
        <w:jc w:val="both"/>
        <w:rPr>
          <w:rFonts w:ascii="Arial" w:eastAsia="Times New Roman" w:hAnsi="Arial" w:cs="Arial"/>
          <w:color w:val="000000"/>
          <w:lang w:eastAsia="es-CO"/>
        </w:rPr>
      </w:pPr>
      <w:bookmarkStart w:id="928" w:name="ver_30057275"/>
      <w:bookmarkEnd w:id="928"/>
    </w:p>
    <w:p w14:paraId="445CA937" w14:textId="3198CEC1"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2</w:t>
      </w:r>
    </w:p>
    <w:p w14:paraId="31D4794D"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CONDICIONES QUE DEBEN CUMPLIR LOS OPERADORES</w:t>
      </w:r>
    </w:p>
    <w:p w14:paraId="3F3E3C0A"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Y PLAN DE PREMIOS</w:t>
      </w:r>
    </w:p>
    <w:p w14:paraId="519226E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29" w:name="ver_30057276"/>
      <w:bookmarkEnd w:id="929"/>
    </w:p>
    <w:p w14:paraId="48BF29CD" w14:textId="044742E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 Costos y gastos de administración y operación. Los gastos de administración y operación permitidos a los operadores directos del juego de lotería tradicional o de billetes, a que se refiere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 de la Ley 643 de 2001, serán como máximo el 15% de los ingresos brutos de cada juego. </w:t>
      </w:r>
    </w:p>
    <w:p w14:paraId="68B372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48917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cálculo de los gastos de administración y operación máximos del juego de lotería tradicional, no se incluirán los siguientes conceptos: </w:t>
      </w:r>
    </w:p>
    <w:p w14:paraId="460279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F243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descuento en ventas que se realice a cualquier título a la red de distribución, el cual en ningún caso podrá superar el 25% de los ingresos brutos. </w:t>
      </w:r>
    </w:p>
    <w:p w14:paraId="54276C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887B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premios otorgados a los apostadores, incluyendo la provisión para las reservas técnicas. </w:t>
      </w:r>
    </w:p>
    <w:p w14:paraId="19FDA5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CE1F95" w14:textId="341B417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La renta del monopolio constituida según lo prescrito en los literales a) y c)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 de la Ley 643 de 2001. </w:t>
      </w:r>
    </w:p>
    <w:p w14:paraId="289E71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832A36" w14:textId="2EB9FFC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 El impuesto a foráneas definido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 la Ley 643 de 2001. </w:t>
      </w:r>
    </w:p>
    <w:p w14:paraId="7FF74E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82F2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la determinación de los gastos máximos de administración y operación, para efectos de la calificación de gestión y eficiencia, no se tendrá en cuenta el valor de los gastos correspondientes a pago de mesadas y cuotas partes, ni los ingresos percibidos por la empresa por concepto de cuotas partes pensionales. </w:t>
      </w:r>
    </w:p>
    <w:p w14:paraId="33AC69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5BCD79" w14:textId="17AA94D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2. En todo caso la reducción de los costos y gastos de administración y operación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 reflejarse integralmente en los excedentes de las empresas. </w:t>
      </w:r>
    </w:p>
    <w:p w14:paraId="1B96B5E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30" w:name="ver_30057277"/>
      <w:bookmarkEnd w:id="930"/>
    </w:p>
    <w:p w14:paraId="7FCD9D3B" w14:textId="3CDDD4A2"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2.7.1.2.2. Excedentes mínimos de las empresas operadoras de loterías, en la operación directa del juego. Los excedentes mínimos obtenidos por las empresas operadoras del juego de lotería tradicional, cuando la operación sea directa, se calcularán de acuerdo con la siguiente fórmula: </w:t>
      </w:r>
    </w:p>
    <w:p w14:paraId="25332059" w14:textId="77777777" w:rsidR="0063420B" w:rsidRPr="002C1480" w:rsidRDefault="0063420B" w:rsidP="00C32F85">
      <w:pPr>
        <w:spacing w:after="0" w:line="254" w:lineRule="atLeast"/>
        <w:jc w:val="both"/>
        <w:rPr>
          <w:rFonts w:ascii="Arial" w:eastAsia="Times New Roman" w:hAnsi="Arial" w:cs="Arial"/>
          <w:color w:val="000000"/>
          <w:lang w:eastAsia="es-CO"/>
        </w:rPr>
      </w:pPr>
    </w:p>
    <w:p w14:paraId="0E15EE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EXM = IB - (DES + PPP + RM+ IF + GMA) </w:t>
      </w:r>
    </w:p>
    <w:p w14:paraId="7A7406A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2FE72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Dónde: </w:t>
      </w:r>
    </w:p>
    <w:p w14:paraId="58C446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E282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EXM = Excedentes mínimos obtenidos en ejercicio de la operación por la entidad operadora en el periodo, y su valor debe ser cuando menos el 0.5%. </w:t>
      </w:r>
    </w:p>
    <w:p w14:paraId="18A56D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6568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IB = Valor de los ingresos brutos del juego de lotería obtenidos en el período de análisis. </w:t>
      </w:r>
    </w:p>
    <w:p w14:paraId="566A34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5CF1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DES = Valor del descuento en ventas reconocido a la red de distribución en el período de análisis. </w:t>
      </w:r>
    </w:p>
    <w:p w14:paraId="5FABAB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F0818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PPP = Premios en poder del público, incluyendo la provisión para reservas técnicas en el período de análisis. </w:t>
      </w:r>
    </w:p>
    <w:p w14:paraId="40A6531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CD750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RM = Renta del monopolio, equivalente al 12% de los ingresos brutos generada en el período de análisis. </w:t>
      </w:r>
    </w:p>
    <w:p w14:paraId="300FCD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4BDC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IF = Impuesto a loterías foráneas generado en el período de análisis. </w:t>
      </w:r>
    </w:p>
    <w:p w14:paraId="1E43DBC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53D4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GMA = Los gastos de administración y operación máximos permitidos de la entidad operadora en un periodo. Para el cálculo de los excedentes mínimos, el valor de este rubro no podrá ser superior al 15% de los ingresos brutos del juego. </w:t>
      </w:r>
    </w:p>
    <w:p w14:paraId="271ACF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9CDC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valores requeridos para determinar los excedentes mínimos de operación de las loterías serán tomados de los estados financieros correspondientes al período de análisis, incluyendo tanto los sorteos ordinarios como los extraordinarios. </w:t>
      </w:r>
    </w:p>
    <w:p w14:paraId="7EB8D3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9094A3" w14:textId="74A2054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Los ingresos, costos y gastos que se generen por la operación de juegos de suerte y azar mediante la asociación de entidades públicas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95 de la Ley 489 de 1998 y que por ello no requiera la creación de personas jurídicas, se incorporarán en la contabilidad de cada una de las asociadas, de acuerdo con las normas generales de contabilidad que resulten aplicables. </w:t>
      </w:r>
    </w:p>
    <w:p w14:paraId="46F0054B" w14:textId="5E316514"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31" w:name="ver_30105960"/>
      <w:bookmarkStart w:id="932" w:name="ver_30105959"/>
      <w:bookmarkEnd w:id="931"/>
    </w:p>
    <w:p w14:paraId="0107EE29" w14:textId="57DB145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2.7.1.2.3. Contabilidad de otros juegos o negocios. Las empresas del juego de lotería tradicional o de billetes que administren u operen otros juegos, o que obtengan ingresos en negocios distintos a la operación del juego de lotería tradicional o de billetes, deberán preparar un estado de resultados para cada negocio. Para el efecto, en el estado de resultados se reconocerán por separado los ingresos, gastos y costos propios de cada negocio y se asignarán los gastos generales de administración y operación, entre los negocios, de acuerdo con los diferentes métodos de costeo, técnicamente reconocidos y debidamente soportados </w:t>
      </w:r>
    </w:p>
    <w:p w14:paraId="6F89593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33" w:name="ver_30057279"/>
      <w:bookmarkEnd w:id="932"/>
      <w:bookmarkEnd w:id="933"/>
    </w:p>
    <w:p w14:paraId="0330E742" w14:textId="3DF3214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2.7.1.2.4. Relación entre emisión y ventas de billetería. Para efectos de lo dispuesto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17 de la Ley 643 de 2001, entiéndase por “relación entre emisión y ventas”, el cociente expresado en porcentaje que resulte de dividir el valor total de los billetes adquiridos por el público entre el valor total de billetes emitidos para participar en un sorteo, en un grupo de sorteos consecutivos o en un período de tiempo. </w:t>
      </w:r>
    </w:p>
    <w:p w14:paraId="062472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51C8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relación entre emisión y ventas, se calculará mediante la siguiente fórmula: </w:t>
      </w:r>
    </w:p>
    <w:p w14:paraId="7DD5EB27" w14:textId="29DA99E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AB449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Donde, </w:t>
      </w:r>
    </w:p>
    <w:p w14:paraId="4F71F2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70D61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REV = Relación entre emisión y ventas en un sorteo o un grupo de sorteos o en un período de tiempo. </w:t>
      </w:r>
    </w:p>
    <w:p w14:paraId="40D216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A41D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 = Valor de los billetes vendidos en un sorteo o un grupo de sorteos. </w:t>
      </w:r>
    </w:p>
    <w:p w14:paraId="7108D2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8DFE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 Valor de los billetes emitidos en un sorteo o un grupo de sorteos o en un período de tiempo. </w:t>
      </w:r>
    </w:p>
    <w:p w14:paraId="346DAB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6B28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empresas que operen el juego de lotería tradicional o de billetes mantendrán una relación entre la emisión y las ventas que le permitan operar en punto de equilibrio. </w:t>
      </w:r>
    </w:p>
    <w:p w14:paraId="1FF6F3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DC35C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Cuándo la relación ventas emisión de una entidad operadora del juego de lotería tradicional o de billetes, no le permita operar en punto de equilibrio, se considerará que la entidad deberá someterse a un plan de desempeño, en el cual debe acreditar su viabilidad financiera e institucional. </w:t>
      </w:r>
    </w:p>
    <w:p w14:paraId="45EE5B72" w14:textId="60BE9524"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34" w:name="ver_30105962"/>
      <w:bookmarkStart w:id="935" w:name="ver_30105961"/>
      <w:bookmarkEnd w:id="934"/>
    </w:p>
    <w:p w14:paraId="6436F449" w14:textId="577F94C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2.7.1.2.5. Reservas técnicas para pago de premios. Las empresas operadoras del juego de lotería tradicional observarán el régimen de reservas técnicas para garantizar el pago de premios que determine el Consejo Nacional de Juegos de Suerte y Azar. Estas reservas se crearán con cargo a la diferencia entre el 40% de las ventas brutas y el valor de los premios en poder del público de cada sorteo.  </w:t>
      </w:r>
    </w:p>
    <w:p w14:paraId="2B4686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A227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reservas técnicas para garantizar el pago de premios serán representadas en depósitos que garanticen su liquidez, seguridad y rentabilidad, de conformidad con las normas que regulan el manejo y la protección de los recursos en efectivo de las entidades públicas.  </w:t>
      </w:r>
    </w:p>
    <w:p w14:paraId="26D04FE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9624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liquidación, causación y depósito de las reservas técnicas, se efectuará teniendo en cuenta lo señalado por el Consejo Nacional de Juegos de Suerte y Azar.  </w:t>
      </w:r>
    </w:p>
    <w:p w14:paraId="3B0A50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C3D80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incumplimiento del régimen de liquidación, causación y depósito efectivo de reservas técnicas para garantizar el pago de premios del juego de lotería tradicional tendrá como consecuencia la suspensión inmediata de los sorteos. En ningún caso, las entidades operadoras del juego de lotería tradicional podrán efectuar sus sorteos, cuando el valor de las reservas técnicas depositadas tenga un valor inferior al valor del premio mayor ofrecido.  </w:t>
      </w:r>
    </w:p>
    <w:p w14:paraId="154440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7D20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Las empresas operadoras del juego de lotería tradicional o de billetes que pretendan cambiar su plan de premios deberán acreditar ante el Consejo Nacional de Juegos de Suerte y Azar, que desde la adopción del plan de premios que tienen en ejecución, han constituido, causado y depositado las reservas técnicas de conformidad con las normas establecidas por el mismo Consejo. Cualquier manejo de las reservas técnicas por fuera de las normas del régimen propio </w:t>
      </w:r>
      <w:r w:rsidRPr="002C1480">
        <w:rPr>
          <w:rFonts w:ascii="Arial" w:eastAsia="Times New Roman" w:hAnsi="Arial" w:cs="Arial"/>
          <w:color w:val="000000"/>
          <w:lang w:eastAsia="es-CO"/>
        </w:rPr>
        <w:lastRenderedPageBreak/>
        <w:t>dará lugar a remitir el asunto a las autoridades correspondientes para que procedan a determinar la responsabilidad administrativa, fiscal, disciplinaria y penal a que hubiere lugar. </w:t>
      </w:r>
    </w:p>
    <w:p w14:paraId="056B031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36" w:name="ver_30105964"/>
      <w:bookmarkStart w:id="937" w:name="ver_30105963"/>
      <w:bookmarkEnd w:id="935"/>
      <w:bookmarkEnd w:id="936"/>
    </w:p>
    <w:p w14:paraId="7562A847" w14:textId="61A50759"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2.7.1.2.6. Formulación de los planes de premios. Los planes de premios para los sorteos ordinarios y extraordinarios de los operadores del juego de lotería tradicional o de billetes, serán aprobados por el órgano máximo de dirección del administrador de la lotería, según lo previsto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18 de la Ley 643 de 2001, atendiendo las necesidades del mercado y la capacidad financiera de la empresa, condiciones que se establecerán por medio de los correspondientes estudios técnicos de administración de riesgos, financieros y de mercados. Cuando el juego se opere a través de terceros la aprobación del plan de premios corresponderá al administrador del juego.  </w:t>
      </w:r>
    </w:p>
    <w:p w14:paraId="1317D45A" w14:textId="77777777" w:rsidR="0063420B" w:rsidRPr="002C1480" w:rsidRDefault="0063420B" w:rsidP="00C32F85">
      <w:pPr>
        <w:spacing w:after="0" w:line="254" w:lineRule="atLeast"/>
        <w:jc w:val="both"/>
        <w:rPr>
          <w:rFonts w:ascii="Arial" w:eastAsia="Times New Roman" w:hAnsi="Arial" w:cs="Arial"/>
          <w:color w:val="000000"/>
          <w:lang w:eastAsia="es-CO"/>
        </w:rPr>
      </w:pPr>
    </w:p>
    <w:p w14:paraId="64DE8F98" w14:textId="2AA7BB6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partir de la entrada en vigencia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valor del plan de premios no podrá ser inferior al 38% del valor de la emisión. Dicho valor se incrementará un punto porcentual anualmente hasta alcanzar el 40% de la emisión, de conformidad con la siguiente graduación:  </w:t>
      </w:r>
    </w:p>
    <w:p w14:paraId="4937B8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750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30"/>
        <w:gridCol w:w="7620"/>
      </w:tblGrid>
      <w:tr w:rsidR="00AF0C09" w:rsidRPr="002C1480" w14:paraId="28937A1C" w14:textId="77777777" w:rsidTr="00AF0C09">
        <w:trPr>
          <w:trHeight w:val="300"/>
          <w:tblCellSpacing w:w="0" w:type="dxa"/>
          <w:jc w:val="center"/>
        </w:trPr>
        <w:tc>
          <w:tcPr>
            <w:tcW w:w="1200" w:type="dxa"/>
            <w:tcBorders>
              <w:top w:val="outset" w:sz="6" w:space="0" w:color="auto"/>
              <w:left w:val="outset" w:sz="6" w:space="0" w:color="auto"/>
              <w:bottom w:val="outset" w:sz="6" w:space="0" w:color="auto"/>
              <w:right w:val="outset" w:sz="6" w:space="0" w:color="auto"/>
            </w:tcBorders>
            <w:noWrap/>
            <w:vAlign w:val="center"/>
            <w:hideMark/>
          </w:tcPr>
          <w:p w14:paraId="79A716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Año </w:t>
            </w:r>
          </w:p>
        </w:tc>
        <w:tc>
          <w:tcPr>
            <w:tcW w:w="7590" w:type="dxa"/>
            <w:tcBorders>
              <w:top w:val="outset" w:sz="6" w:space="0" w:color="auto"/>
              <w:left w:val="outset" w:sz="6" w:space="0" w:color="auto"/>
              <w:bottom w:val="outset" w:sz="6" w:space="0" w:color="auto"/>
              <w:right w:val="outset" w:sz="6" w:space="0" w:color="auto"/>
            </w:tcBorders>
            <w:noWrap/>
            <w:vAlign w:val="center"/>
            <w:hideMark/>
          </w:tcPr>
          <w:p w14:paraId="1A1812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Valor del plan de premios expresado como porcentaje del valor de la emisión </w:t>
            </w:r>
          </w:p>
        </w:tc>
      </w:tr>
      <w:tr w:rsidR="00AF0C09" w:rsidRPr="002C1480" w14:paraId="10DF48AC" w14:textId="77777777" w:rsidTr="00AF0C09">
        <w:trPr>
          <w:trHeight w:val="300"/>
          <w:tblCellSpacing w:w="0" w:type="dxa"/>
          <w:jc w:val="center"/>
        </w:trPr>
        <w:tc>
          <w:tcPr>
            <w:tcW w:w="1200" w:type="dxa"/>
            <w:tcBorders>
              <w:top w:val="outset" w:sz="6" w:space="0" w:color="auto"/>
              <w:left w:val="outset" w:sz="6" w:space="0" w:color="auto"/>
              <w:bottom w:val="outset" w:sz="6" w:space="0" w:color="auto"/>
              <w:right w:val="outset" w:sz="6" w:space="0" w:color="auto"/>
            </w:tcBorders>
            <w:noWrap/>
            <w:vAlign w:val="center"/>
            <w:hideMark/>
          </w:tcPr>
          <w:p w14:paraId="3CC046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2017  </w:t>
            </w:r>
          </w:p>
        </w:tc>
        <w:tc>
          <w:tcPr>
            <w:tcW w:w="7590" w:type="dxa"/>
            <w:tcBorders>
              <w:top w:val="outset" w:sz="6" w:space="0" w:color="auto"/>
              <w:left w:val="outset" w:sz="6" w:space="0" w:color="auto"/>
              <w:bottom w:val="outset" w:sz="6" w:space="0" w:color="auto"/>
              <w:right w:val="outset" w:sz="6" w:space="0" w:color="auto"/>
            </w:tcBorders>
            <w:noWrap/>
            <w:vAlign w:val="center"/>
            <w:hideMark/>
          </w:tcPr>
          <w:p w14:paraId="3759F38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39%  </w:t>
            </w:r>
          </w:p>
        </w:tc>
      </w:tr>
      <w:tr w:rsidR="00AF0C09" w:rsidRPr="002C1480" w14:paraId="73B2DE40" w14:textId="77777777" w:rsidTr="00AF0C09">
        <w:trPr>
          <w:trHeight w:val="300"/>
          <w:tblCellSpacing w:w="0" w:type="dxa"/>
          <w:jc w:val="center"/>
        </w:trPr>
        <w:tc>
          <w:tcPr>
            <w:tcW w:w="1200" w:type="dxa"/>
            <w:tcBorders>
              <w:top w:val="outset" w:sz="6" w:space="0" w:color="auto"/>
              <w:left w:val="outset" w:sz="6" w:space="0" w:color="auto"/>
              <w:bottom w:val="outset" w:sz="6" w:space="0" w:color="auto"/>
              <w:right w:val="outset" w:sz="6" w:space="0" w:color="auto"/>
            </w:tcBorders>
            <w:noWrap/>
            <w:vAlign w:val="center"/>
            <w:hideMark/>
          </w:tcPr>
          <w:p w14:paraId="60F3B9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2018  </w:t>
            </w:r>
          </w:p>
        </w:tc>
        <w:tc>
          <w:tcPr>
            <w:tcW w:w="7590" w:type="dxa"/>
            <w:tcBorders>
              <w:top w:val="outset" w:sz="6" w:space="0" w:color="auto"/>
              <w:left w:val="outset" w:sz="6" w:space="0" w:color="auto"/>
              <w:bottom w:val="outset" w:sz="6" w:space="0" w:color="auto"/>
              <w:right w:val="outset" w:sz="6" w:space="0" w:color="auto"/>
            </w:tcBorders>
            <w:noWrap/>
            <w:vAlign w:val="center"/>
            <w:hideMark/>
          </w:tcPr>
          <w:p w14:paraId="012B42E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adelante 40%  </w:t>
            </w:r>
          </w:p>
        </w:tc>
      </w:tr>
    </w:tbl>
    <w:p w14:paraId="52F1156A" w14:textId="61E85D4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CF56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plan de premios de los sorteos extraordinarios deberá, cuando menos, ser superior en 1.5 veces al valor del plan de premios del sorteo ordinario. En caso de operación de sorteos extraordinarios en forma asociada se tomará como referencia el plan de premios de mayor valor de los sorteos ordinarios de sus loterías socias, observando en ambos casos el régimen de reservas y de patrimonio técnico mínimo aplicable a los sorteos ordinarios.  </w:t>
      </w:r>
    </w:p>
    <w:p w14:paraId="7E261D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486D5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del premio mayor contemplado en un plan de premios, no podrá superar el valor de patrimonio técnico de la empresa que esté operando o pretenda operar dicho juego.  </w:t>
      </w:r>
    </w:p>
    <w:p w14:paraId="509832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DCB89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del patrimonio técnico se establecerá deduciendo del patrimonio total el valor de las utilidades del período.  </w:t>
      </w:r>
    </w:p>
    <w:p w14:paraId="23A162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4BA7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el valor del premio mayor podrá superar el valor depositado en el fondo de reservas.  </w:t>
      </w:r>
    </w:p>
    <w:p w14:paraId="4E53A7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3BE8E5" w14:textId="7B031B0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Terminado el periodo de transición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valor del plan de premios a distribuir no podrá ser inferior al cuarenta por ciento (40%) del valor de la emisión y excluirá el valor de los sorteos promocionales. El valor del premio mayor no podrá ser superior al cincuenta por ciento (50%) del valor del plan de premios.  </w:t>
      </w:r>
    </w:p>
    <w:p w14:paraId="6762A2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07F9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Con cada cambio de plan de premios se determinará, si con el volumen de ventas proyectado, la entidad operadora alcanza el punto de equilibrio y genera suficientes reservas técnicas para cubrir los riesgos que genera el plan de premios.  </w:t>
      </w:r>
    </w:p>
    <w:p w14:paraId="22F7B8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6D659C" w14:textId="19E9CDA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Sin perjuicio de las condiciones previstas en el parágrafo 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para el premio mayor, las empresas operadoras del juego de lotería tradicional o de billetes podrán efectuar, por una sola vez, una redistribución al plan de premios ordinario durante la vigencia anual del mismo, previa autorización del máximo órgano de dirección de la lotería. Dicha modificación, </w:t>
      </w:r>
      <w:r w:rsidRPr="002C1480">
        <w:rPr>
          <w:rFonts w:ascii="Arial" w:eastAsia="Times New Roman" w:hAnsi="Arial" w:cs="Arial"/>
          <w:color w:val="000000"/>
          <w:lang w:eastAsia="es-CO"/>
        </w:rPr>
        <w:lastRenderedPageBreak/>
        <w:t>consistirá en una redistribución interna de las cantidades del plan de premios ordinario con el fin de incrementar el valor de los premios más atractivos.  </w:t>
      </w:r>
    </w:p>
    <w:p w14:paraId="43DFCF1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1963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Dicha redistribución, en ningún caso, podrá implicar modificación del valor de la emisión, el valor del billete y el valor total del plan de premios de los sorteos ordinarios.  </w:t>
      </w:r>
    </w:p>
    <w:p w14:paraId="7502692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89707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realizar la redistribución de que trata el presente parágrafo, la entidad deberá acreditar una razón de cubrimiento de su fondo de reservas técnicas para pago de premios de al menos dos veces el valor del premio mayor a ofrecer al público.  </w:t>
      </w:r>
    </w:p>
    <w:p w14:paraId="4BAC309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D1D778" w14:textId="3E40B4A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redistribución interna de las cantidades del plan de premios de que trata el presente parágrafo, es adicional a las modificaciones al plan de premios permitidas en al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2.7.1.2.12.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2015 </w:t>
      </w:r>
    </w:p>
    <w:p w14:paraId="0B65D42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38" w:name="ver_30057282"/>
      <w:bookmarkEnd w:id="937"/>
      <w:bookmarkEnd w:id="938"/>
    </w:p>
    <w:p w14:paraId="5C887BB6" w14:textId="58D9EEF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2.7.1.2.7. Estudio de mercado. Las empresas operadoras del juego de lotería tradicional o de billetes definirán las características de sus planes de premios, por medio de un estudio de mercado. </w:t>
      </w:r>
    </w:p>
    <w:p w14:paraId="7AFEE1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0B1F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se cambie el valor de la emisión, el respectivo estudio de mercado se realizará consultando fuentes primarias y/o secundarias. Para consultar las fuentes primarias se realizará el correspondiente trabajo de campo, aplicando instrumentos de recolección de información a los consumidores, a los distribuidores y vendedores, y utilizando procedimientos estadísticos de reconocido valor científico y técnicas de análisis de mercados. Las fuentes secundarias serán los registros estadísticos de la industria y de la economía en su conjunto y los propios registros de la empresa. </w:t>
      </w:r>
    </w:p>
    <w:p w14:paraId="08C49BF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A00F1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estudio de mercado que se efectúe para justificar la modificación del plan de premios de las loterías, cuando se cambie el valor de la emisión, deberá obtener evidencia cuanto menos sobre los siguientes aspectos: </w:t>
      </w:r>
    </w:p>
    <w:p w14:paraId="0C7101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54C68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Motivaciones y hábitos de compra de los consumidores de juegos de suerte y azar. </w:t>
      </w:r>
    </w:p>
    <w:p w14:paraId="5D51EAA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A339C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Estudio de oferta caracterizando los competidores y comparando la aceptación de sus productos. </w:t>
      </w:r>
    </w:p>
    <w:p w14:paraId="52EC0A2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4DDD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Análisis de precios del producto ofrecido. </w:t>
      </w:r>
    </w:p>
    <w:p w14:paraId="7A2AAF8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9BF5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Análisis de estructura comercial incluyendo estudios de red de comercialización, puntos de venta, campañas promocionales y publicidad. </w:t>
      </w:r>
    </w:p>
    <w:p w14:paraId="44338E2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E04A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Análisis de los resultados del plan de premios que prevé cambiar, indicando las razones comerciales, financieras, administrativas y de mercado por las cuales el plan de premios debe ser objeto de cambio. </w:t>
      </w:r>
    </w:p>
    <w:p w14:paraId="1FA91B2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82B7A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estudio de mercado podrá contratarse con una firma externa o podrá ser adelantado por la entidad operadora del juego de lotería tradicional o de billetes. </w:t>
      </w:r>
    </w:p>
    <w:p w14:paraId="6D307FF4" w14:textId="603AD823"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39" w:name="ver_30057283"/>
      <w:bookmarkEnd w:id="939"/>
    </w:p>
    <w:p w14:paraId="78A9A694" w14:textId="356B7F0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2.7.1.2.8. Estudio técnico de administración del riesgo. Las empresas operadoras del juego de lotería tradicional o de billetes deberán establecer y cuantificar los riesgos de mercado, </w:t>
      </w:r>
      <w:r w:rsidR="00AF0C09" w:rsidRPr="002C1480">
        <w:rPr>
          <w:rFonts w:ascii="Arial" w:eastAsia="Times New Roman" w:hAnsi="Arial" w:cs="Arial"/>
          <w:color w:val="000000"/>
          <w:lang w:eastAsia="es-CO"/>
        </w:rPr>
        <w:lastRenderedPageBreak/>
        <w:t>de entorno económico y de estructura probabilística del plan de premios, que pretendan ofrecer al público. </w:t>
      </w:r>
    </w:p>
    <w:p w14:paraId="35D2BE9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40" w:name="ver_30057284"/>
      <w:bookmarkEnd w:id="940"/>
    </w:p>
    <w:p w14:paraId="70E62C06" w14:textId="6CE8C8B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2.7.1.2.9. Estudio financiero. Para consolidar la información financiera propia del estudio de mercado y del estudio técnico de administración del riesgo, las empresas operadoras del juego de lotería tradicional o de billetes proyectarán los ingresos, los gastos y los costos utilizando la metodología de los estados financieros y flujos de caja proyectados. </w:t>
      </w:r>
    </w:p>
    <w:p w14:paraId="4933D0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D19A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Estas estimaciones se harán para un horizonte de dos (2) años y serán la base para la evaluación económica del plan de premios propuesto, para el cálculo del punto de equilibrio y de la relación entre emisión y ventas por sorteo expresada en pesos. </w:t>
      </w:r>
    </w:p>
    <w:p w14:paraId="7B14C9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94570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proyección de las ventas se presentará detallando, para cada sorteo efectuado en su horizonte, el valor del descuento en ventas, la renta o derechos de explotación, el impuesto a foráneas, los premios y reservas y los gastos de administración y operación. </w:t>
      </w:r>
    </w:p>
    <w:p w14:paraId="34A4C8C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41" w:name="ver_30057285"/>
      <w:bookmarkEnd w:id="941"/>
    </w:p>
    <w:p w14:paraId="30B7DD07" w14:textId="725E9C7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2.7.1.2.10. Elementos del plan de premios. El plan de premios de las empresas operadoras del juego de lotería tradicional o de billetes contendrá por lo menos, los siguientes elementos: </w:t>
      </w:r>
    </w:p>
    <w:p w14:paraId="18A721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C66B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Número de billetes que componen la emisión. </w:t>
      </w:r>
    </w:p>
    <w:p w14:paraId="7D22D2B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FAB3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Sistema para individualizar o numerar los billetes que componen la emisión. </w:t>
      </w:r>
    </w:p>
    <w:p w14:paraId="1BC94E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DCF98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Número de billetes por serie, cuando aplique de conformidad con el sistema de individualización elegido. </w:t>
      </w:r>
    </w:p>
    <w:p w14:paraId="7C5C80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B9FE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Número de series, si aplica. </w:t>
      </w:r>
    </w:p>
    <w:p w14:paraId="117290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21CE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Número de fracciones de los billetes. </w:t>
      </w:r>
    </w:p>
    <w:p w14:paraId="7307F93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F0DC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Precio de venta al público de las fracciones y los billetes. </w:t>
      </w:r>
    </w:p>
    <w:p w14:paraId="1A4F5C2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8FF7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Valor total de la emisión. </w:t>
      </w:r>
    </w:p>
    <w:p w14:paraId="3B066DB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ACE3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Valor total de los premios ofrecidos. </w:t>
      </w:r>
    </w:p>
    <w:p w14:paraId="03AADCE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EA3A3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Valor del premio mayor. </w:t>
      </w:r>
    </w:p>
    <w:p w14:paraId="50C7B4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64FB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Cantidad y valor de los premios secos. </w:t>
      </w:r>
    </w:p>
    <w:p w14:paraId="750F604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ECE3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Cantidad y valor de los premios por aproximación al resultado del premio mayor o principal y los premios secos, indicando la probabilidad de acierto. </w:t>
      </w:r>
    </w:p>
    <w:p w14:paraId="3FDAB4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517D6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Las empresas operadoras del juego de lotería tradicional o de billetes podrán reconocer un incentivo a los vendedores y/o distribuidores del premio mayor, cuyo monto no podrá exceder del 0.5% del valor de dicho premio. </w:t>
      </w:r>
    </w:p>
    <w:p w14:paraId="0543BEB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F943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No se podrán ofrecer premios cuyo desembolso esté diferido en el tiempo, ni planes de premios que se paguen por cuotas, salvo que los mismos sean garantizados mediante la constitución de un depósito en un encargo fiduciario. </w:t>
      </w:r>
    </w:p>
    <w:p w14:paraId="7FB0EC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5C13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De conformidad con las condiciones que establezca el Consejo Nacional de Juegos de Suerte y Azar, las empresas operadoras del juego de lotería tradicional o de billetes podrán ofrecer, en forma individual o asociada, premios acumulables. </w:t>
      </w:r>
    </w:p>
    <w:p w14:paraId="482C7B37" w14:textId="5C221C01"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42" w:name="ver_30057286"/>
      <w:bookmarkEnd w:id="942"/>
    </w:p>
    <w:p w14:paraId="6D7FC398" w14:textId="0AF30B2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2.7.1.2.11. Pago de premios. Los operadores del juego de lotería tradicional o de billetes deberán pagar los premios obtenidos por los apostadores dentro de los treinta (30) días calendario siguientes a la presentación del documento de juego ganador, conforme lo señala el inciso 2°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12 de la Ley 1393 de 2010. </w:t>
      </w:r>
    </w:p>
    <w:p w14:paraId="764794D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43" w:name="ver_30057287"/>
      <w:bookmarkEnd w:id="943"/>
    </w:p>
    <w:p w14:paraId="33265B2B" w14:textId="369383C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2.7.1.2.12. Vigencia de los planes de premios de los sorteos ordinarios y extraordinarios. Los planes de premios de las empresas operadoras del juego de lotería tradicional o de billetes, aprobados de acuerdo con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18 de la Ley 643 de 2001, tendrán la vigencia señalada por la Junta Directiva de la respectiva entidad administradora. </w:t>
      </w:r>
    </w:p>
    <w:p w14:paraId="618450B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19835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empresas administradoras del juego de lotería tradicional o de billetes podrán modificar el plan de premios hasta dos veces en cada vigencia anual, siempre y cuando cumplan los procedimientos y requisitos establecidos en el presente título. </w:t>
      </w:r>
    </w:p>
    <w:p w14:paraId="0598626A" w14:textId="43F34520"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44" w:name="ver_30057288"/>
      <w:bookmarkEnd w:id="944"/>
    </w:p>
    <w:p w14:paraId="420429B1" w14:textId="4D6403D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2.7.1.2.13. Información al ente de vigilancia. Dentro de los cinco (5) días posteriores a su aprobación, el plan de premios se remitirá al Consejo Nacional de Juegos de Suerte y Azar, anexando el ejercicio elaborado para calcular la relación entre emisión y ventas de billetes, junto con los estimativos, operaciones, estudios, análisis y demás documentos en los que se soportó su elaboración, para que esta entidad verifique, en ejercicio de su función de vigilancia, el cumplimiento de las normas que sobre la materia se establecen en el presente título. </w:t>
      </w:r>
    </w:p>
    <w:p w14:paraId="2D68BA7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C73470" w14:textId="7B7F615A" w:rsidR="00AF0C09" w:rsidRPr="0063420B" w:rsidRDefault="0063420B" w:rsidP="0063420B">
      <w:pPr>
        <w:spacing w:after="0" w:line="293" w:lineRule="atLeast"/>
        <w:jc w:val="center"/>
        <w:rPr>
          <w:rFonts w:ascii="Arial" w:eastAsia="Times New Roman" w:hAnsi="Arial" w:cs="Arial"/>
          <w:b/>
          <w:bCs/>
          <w:color w:val="000000"/>
          <w:lang w:eastAsia="es-CO"/>
        </w:rPr>
      </w:pPr>
      <w:bookmarkStart w:id="945" w:name="ver_30105965"/>
      <w:bookmarkEnd w:id="945"/>
      <w:r w:rsidRPr="0063420B">
        <w:rPr>
          <w:rFonts w:ascii="Arial" w:eastAsia="Times New Roman" w:hAnsi="Arial" w:cs="Arial"/>
          <w:b/>
          <w:bCs/>
          <w:color w:val="000000"/>
          <w:lang w:eastAsia="es-CO"/>
        </w:rPr>
        <w:t>SECCIÓN 1</w:t>
      </w:r>
    </w:p>
    <w:p w14:paraId="66337D29" w14:textId="40A8D764" w:rsidR="00AF0C09" w:rsidRPr="0063420B" w:rsidRDefault="0063420B"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MECANISMO DE USO DE LA RESERVA TÉCNICA PARA EL PAGO DE PREMIOS E INCENTIVO EN EL JUEGO DE LOTERÍAS</w:t>
      </w:r>
    </w:p>
    <w:p w14:paraId="47F2238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46" w:name="ver_30105966"/>
      <w:bookmarkEnd w:id="946"/>
    </w:p>
    <w:p w14:paraId="2F4A2AE4" w14:textId="0070538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2.7.1.2.1.1. Mecanismo de uso de la reserva técnica para el pago de premios. Los operadores del juego de lotería tradicional o de billetes podrán suspender la apropiación de los recursos destinados a la reserva técnica para el pago de premios. Para estos efectos, dichos recursos deberán ser apropiados exclusivamente para el fortalecimiento de la reserva del premio acumulado, y solamente procederá cuando la reserva técnica para el pago de premios tenga garantizado un nivel de cobertura óptimo del premio mayor vigente.  </w:t>
      </w:r>
    </w:p>
    <w:p w14:paraId="4B5C4A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ADF8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cobertura óptima del fondo de reserva técnica para el pago de premios, deberá definirse mediante un estudio soportado en un modelo estadístico de reconocido valor técnico, en el que se indique claramente el índice de cobertura óptimo del premio mayor ofrecido en el plan de premios vigente.  </w:t>
      </w:r>
    </w:p>
    <w:p w14:paraId="632A081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86701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estudio deberá ser aprobado por la Junta Directiva de la lotería y remitido dentro de los cinco (5) días siguientes a su aprobación a la Secretaría Técnica del Consejo Nacional de Juegos de Suerte y Azar, anexando la información que se tuvo en cuenta para su elaboración, con el fin de verificar la viabilidad de la apropiación de los recursos para la reserva del premio acumulado.  </w:t>
      </w:r>
    </w:p>
    <w:p w14:paraId="668712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E1552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1°. La entidad deberá establecer en el mismo Acuerdo de Junta Directiva de aprobación, la fecha a partir de la cual se va a realizar la apropiación de los recursos para la reserva del premio acumulado. En todo caso hasta que no se valide por el Consejo Nacional de Juegos de Suerte y Azar a través de su Secretaría Técnica la viabilidad de la apropiación, la misma no se podrá iniciar.  </w:t>
      </w:r>
    </w:p>
    <w:p w14:paraId="6D8D27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2EE53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Los recursos que se obtengan producto de la apropiación para la reserva del premio acumulado, no podrán ser utilizados para subsidiar los gastos de administración y operación de la entidad.  </w:t>
      </w:r>
    </w:p>
    <w:p w14:paraId="311BDC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F72C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producto de una caída de premios, el fondo de reserva para pago de premios cae por debajo del nivel óptimo que determinó el estudio, la entidad deberá dejar de apropiar los recursos para la reserva del premio acumulado y destinarlos al fondo de reservas para pago de premios, situación que deberá ser informada de forma inmediata y se verificará por el Consejo Nacional de Juegos de Suerte y Azar, a través de su Secretaría Técnica.  </w:t>
      </w:r>
    </w:p>
    <w:p w14:paraId="2B893E25" w14:textId="58667F37"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47" w:name="ver_30105967"/>
      <w:bookmarkEnd w:id="947"/>
    </w:p>
    <w:p w14:paraId="4B21E656" w14:textId="238350E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2.7.1.2.1.2. Incentivos en el juego de loterías. Las entidades operadoras del juego de Lotería tradicional o de billetes, podrán ofrecer al público incentivos en especie con cobro para impulsar las ventas del juego de lotería tradicional. El incentivo no puede ser comercializado como un producto independiente del juego de lotería tradicional o de billetes y solo puede ser obtenido por el público si se realiza la compra del billete o fracción del juego. Del cobro de los incentivos se financiarán los gastos y costos de la operación del mismo y los respectivos premios.  </w:t>
      </w:r>
    </w:p>
    <w:p w14:paraId="6E8E435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BB239F" w14:textId="75CF65E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incentivos ofrecidos por las entidades operadoras del juego de Lotería tradicional o de billetes, serán adicionales al plan de premios y en ningún caso se podrán computar como porcentaje de retorno al público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2.7.1.2.6.  </w:t>
      </w:r>
    </w:p>
    <w:p w14:paraId="405266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3AB5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generado por el cobro de los incentivos hace parte de los ingresos por venta de lotería.  </w:t>
      </w:r>
    </w:p>
    <w:p w14:paraId="4B64D0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A8484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Consejo reglamentará la mecánica de los incentivos en el juego de lotería tradicional o de billetes”.  </w:t>
      </w:r>
    </w:p>
    <w:p w14:paraId="40F9FC2A" w14:textId="77777777" w:rsidR="0063420B" w:rsidRDefault="0063420B" w:rsidP="00C32F85">
      <w:pPr>
        <w:spacing w:after="0" w:line="293" w:lineRule="atLeast"/>
        <w:jc w:val="both"/>
        <w:rPr>
          <w:rFonts w:ascii="Arial" w:eastAsia="Times New Roman" w:hAnsi="Arial" w:cs="Arial"/>
          <w:color w:val="000000"/>
          <w:lang w:eastAsia="es-CO"/>
        </w:rPr>
      </w:pPr>
      <w:bookmarkStart w:id="948" w:name="ver_30057289"/>
      <w:bookmarkEnd w:id="948"/>
    </w:p>
    <w:p w14:paraId="57E5DF7B" w14:textId="6DD93603"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CAPÍTULO 3</w:t>
      </w:r>
    </w:p>
    <w:p w14:paraId="28BB47C7"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CRONOGRAMA DE SORTEOS</w:t>
      </w:r>
    </w:p>
    <w:p w14:paraId="33BD6BD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49" w:name="ver_30057290"/>
      <w:bookmarkEnd w:id="949"/>
    </w:p>
    <w:p w14:paraId="04DE188E" w14:textId="7F346F5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2.7.1.3.1. Periodicidad de los sorteos ordinarios. Las empresas operadoras del juego de lotería tradicional o de billetes efectuarán sus sorteos ordinarios de conformidad con el cronograma que el Consejo Nacional de Juegos de Suerte y Azar expida anualmente y de acuerdo con las siguientes reglas: </w:t>
      </w:r>
    </w:p>
    <w:p w14:paraId="5760BB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F5D0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empresas operadoras del juego de lotería tradicional o de billetes solo podrán realizar un sorteo a la semana. No obstante, los operadores podrán optar por realizar sus sorteos con periodicidades quincenales o mensuales, en cuyo caso, los sorteos se efectuarán en una fecha fija. </w:t>
      </w:r>
    </w:p>
    <w:p w14:paraId="555236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0AC09C" w14:textId="1FA37C9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En los eventos en que la operación directa o por medio de terceros, se realice a través de convenios o asociaciones, celebrados en el marco de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95 de la Ley 489 de 1998, la periodicidad de los sorteos será de uno (1) a la semana por cada tres (3) asociados. </w:t>
      </w:r>
    </w:p>
    <w:p w14:paraId="0D8BF3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4CFF71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el día del sorteo coincida con un festivo, la entidad operadora podrá optar por efectuar el juego en un día de la misma semana, o jugar el día festivo correspondiente, o no realizar el sorteo. </w:t>
      </w:r>
    </w:p>
    <w:p w14:paraId="5854EDE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50" w:name="ver_30057291"/>
      <w:bookmarkEnd w:id="950"/>
    </w:p>
    <w:p w14:paraId="4D389A3A" w14:textId="5E4E9C0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2.7.1.3.2. Reasignación de los días habituales de los sorteos ordinarios. Sin perjuicio de los criterios señalados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las tres cuartas partes de los operadores del juego de lotería, podrán solicitar, mediante comunicación escrita dirigida a la Secretaría Técnica del Consejo Nacional de Juegos de Suerte y Azar, que se elabore el cronograma de sorteos ordinarios del juego de lotería aplicando el siguiente procedimiento: </w:t>
      </w:r>
    </w:p>
    <w:p w14:paraId="0F8189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95F1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número de sorteos diarios será determinado por cociente con base en el total de sorteos autorizados, distribuidos en los seis (6) días disponibles para el juego. El residuo, si lo hubiere, se asignará proporcionalmente durante la semana, hasta un sorteo adicional en un mismo día. </w:t>
      </w:r>
    </w:p>
    <w:p w14:paraId="4E6A9D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34378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En caso de que el número de propuestas para realizar sorteos en un mismo día supere el determinado por el cociente al que se refiere el literal anterior, se preferirá, entre las entidades que posean idéntica pretensión, a la que haya registrado el mayor porcentaje de transferencias al sector salud con respecto a sus ventas, en la vigencia anual anterior. </w:t>
      </w:r>
    </w:p>
    <w:p w14:paraId="216F35D2" w14:textId="4E4DBAEC"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51" w:name="ver_30057292"/>
      <w:bookmarkEnd w:id="951"/>
    </w:p>
    <w:p w14:paraId="4270874B" w14:textId="583F826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2.7.1.3.3. Programación de los sorteos extraordinarios. Las empresas operadoras del juego de lotería tradicional o de billetes efectuarán los sorteos extraordinarios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19 de la Ley 643 de 2001, con arreglo a la siguiente periodicidad: </w:t>
      </w:r>
    </w:p>
    <w:p w14:paraId="720316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738C5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Si la operación del sorteo extraordinario se realiza en forma individual, se podrá efectuar un sorteo cualquier día comprendido entre el 1° de enero y el 31 de diciembre. </w:t>
      </w:r>
    </w:p>
    <w:p w14:paraId="1ADC5F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53B5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Si la operación del sorteo extraordinario se realiza a través de una asociación o sociedad, esta podrá efectuar máximo un sorteo por cada entidad asociada, en cualquiera de los días comprendidos entre el 1° de enero y el 31 de diciembre. Por razones comerciales las entidades operadoras del juego podrán efectuar un número menor de sorteos. </w:t>
      </w:r>
    </w:p>
    <w:p w14:paraId="0D6315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33E4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asignación de fechas se sujetará a las propuestas formuladas por las empresas operadoras. En caso de que dos o más de estas coincidan respecto de la realización de un sorteo en una misma semana o día, se asignará la fecha sugerida a la entidad que en el último año registre un mayor porcentaje de transferencias al sector salud respecto de sus ventas, causadas y giradas en la misma vigencia. Tal decisión se comunicará por cualquier medio a los interesados cuya propuesta fue descartada, a fin de que estos, en el término de tres (3) días, indiquen la fecha en la que pretendan realizar el sorteo. Si no se obtuviere respuesta o si la misma no se ajusta a lo contemplado en el presente título, el Consejo Nacional de Juegos de Suerte y Azar fijará el día del sorteo con sujeción a las reglas aquí previstas. </w:t>
      </w:r>
    </w:p>
    <w:p w14:paraId="4B29575A" w14:textId="3E68A5C9"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52" w:name="ver_30057293"/>
      <w:bookmarkEnd w:id="952"/>
    </w:p>
    <w:p w14:paraId="0C08FF66" w14:textId="2CE2989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2.7.1.3.4. Criterios para la elaboración del cronograma de sorteos extraordinarios. Los sorteos extraordinarios anuales que se realicen en forma individual o asociada se realizarán con fundamento en los siguientes criterios: </w:t>
      </w:r>
    </w:p>
    <w:p w14:paraId="503AAE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45DC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sorteo extraordinario podrá realizarse en una de las fechas que el operador tiene asignadas para jugar el sorteo ordinario; </w:t>
      </w:r>
    </w:p>
    <w:p w14:paraId="711DF0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AB41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Cuando la operación se realiza de forma asociada, no se podrá programar más de un sorteo operado por la misma asociación dentro de un mes calendario; </w:t>
      </w:r>
    </w:p>
    <w:p w14:paraId="590B66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56714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No se podrá programar más de un sorteo durante una misma semana; </w:t>
      </w:r>
    </w:p>
    <w:p w14:paraId="7E9BF58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267BC1" w14:textId="281AACF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 Fijado el cronograma, la modificación posterior de días y fechas de los sorteos se regirá por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w:t>
      </w:r>
    </w:p>
    <w:p w14:paraId="1DAB9BB5" w14:textId="724447ED"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53" w:name="ver_30057294"/>
      <w:bookmarkEnd w:id="953"/>
    </w:p>
    <w:p w14:paraId="5B813496" w14:textId="0EE0254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2.7.1.3.5. Elaboración del cronograma de los sorteos ordinarios. Atendiendo las reglas de periodicidad señaladas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las empresas operadoras del juego enviarán a la Secretaría Técnica del Consejo Nacional de Juegos de Suerte y Azar, antes del primero de noviembre de cada año, por intermedio de su representante legal, una propuesta con el número de sorteos ordinarios y extraordinarios que pretendan realizar en el año siguiente, indicando los días, fechas y horas correspondientes. </w:t>
      </w:r>
    </w:p>
    <w:p w14:paraId="06CB436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E653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la propuesta no fuere presentada oportunamente, esta omisión se entenderá como la aceptación voluntaria de la entidad operadora del sorteo de lo que sobre el particular disponga el Consejo Nacional de Juegos de Suerte y Azar, el cual en todo caso, deberá elaborar el cronograma de acuerdo con lo prescrito en la normatividad vigente y sin excluir a ninguna entidad habilitada por la ley para realizar sorteos de lotería tradicional. </w:t>
      </w:r>
    </w:p>
    <w:p w14:paraId="251AC06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551B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una entidad pretenda iniciar operaciones, el representante legal de esta presentará al Consejo Nacional de Juegos de Suerte y Azar la propuesta para la realización de los sorteos que se efectuarán en lo que resta del año en curso, a fin de que, con arreglo a lo dispuesto en el presente título, sean fijadas en el cronograma las fechas y horas correspondientes. </w:t>
      </w:r>
    </w:p>
    <w:p w14:paraId="720401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C235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se trata de una nueva asociación, mientras el Consejo dispone la asignación respectiva, cada entidad asociada podrá continuar realizando los sorteos individuales a que tuviere derecho, siempre y cuando no se encuentre sometida a un proceso de liquidación o enajenación. </w:t>
      </w:r>
    </w:p>
    <w:p w14:paraId="1B98AF8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93BF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se requiera una modificación de cronograma, los operadores de lotería deben enviar previamente la solicitud al Consejo Nacional de Juegos de Suerte y Azar, indicando claramente las razones que obligan a la modificación. </w:t>
      </w:r>
    </w:p>
    <w:p w14:paraId="7E2F97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DD24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días, fechas y horas asignados en el cronograma de sorteos, solo podrán alterarse por razones de fuerza mayor o caso fortuito. En tal evento, se debe dar a conocer de inmediato a las entidades de vigilancia y al público en general, los motivos y las circunstancias que obligaron a realizar dicho cambio. </w:t>
      </w:r>
    </w:p>
    <w:p w14:paraId="78DF385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817F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ningún caso, se podrá anticipar el día o la hora del sorteo señalada en el cronograma de sorteos. </w:t>
      </w:r>
    </w:p>
    <w:p w14:paraId="4032030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AC3EE6" w14:textId="77777777" w:rsidR="00AF0C09" w:rsidRPr="0063420B" w:rsidRDefault="00AF0C09" w:rsidP="0063420B">
      <w:pPr>
        <w:spacing w:after="0" w:line="293" w:lineRule="atLeast"/>
        <w:jc w:val="center"/>
        <w:rPr>
          <w:rFonts w:ascii="Arial" w:eastAsia="Times New Roman" w:hAnsi="Arial" w:cs="Arial"/>
          <w:b/>
          <w:bCs/>
          <w:color w:val="000000"/>
          <w:lang w:eastAsia="es-CO"/>
        </w:rPr>
      </w:pPr>
      <w:bookmarkStart w:id="954" w:name="ver_30057295"/>
      <w:bookmarkEnd w:id="954"/>
      <w:r w:rsidRPr="0063420B">
        <w:rPr>
          <w:rFonts w:ascii="Arial" w:eastAsia="Times New Roman" w:hAnsi="Arial" w:cs="Arial"/>
          <w:b/>
          <w:bCs/>
          <w:color w:val="000000"/>
          <w:lang w:eastAsia="es-CO"/>
        </w:rPr>
        <w:t>CAPÍTULO 4</w:t>
      </w:r>
    </w:p>
    <w:p w14:paraId="3FF5DF56"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CONDICIONES MÍNIMAS PARA EFECTUAR LOS SORTEOS</w:t>
      </w:r>
    </w:p>
    <w:p w14:paraId="5685C1A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55" w:name="ver_30057296"/>
      <w:bookmarkEnd w:id="955"/>
    </w:p>
    <w:p w14:paraId="64631495" w14:textId="07AE3B0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2.7.1.4.1. Condiciones para efectuar los sorteos. Las empresas operadoras del juego de lotería tradicional efectuarán sus sorteos con arreglo a los requisitos de seguridad calidad para las organizaciones que realizan actividades de presorteo y sorteo de juegos de suerte y azar, contenidos en la Norma Técnica Colombiana que para el efecto expida el Instituto Colombiano de Normas Técnicas y Certificación (Icontec), sin perjuicio de la aplicación de las medidas de seguridad y los procedimientos establecidos en el presente título, así como de las definiciones </w:t>
      </w:r>
      <w:r w:rsidR="00AF0C09" w:rsidRPr="002C1480">
        <w:rPr>
          <w:rFonts w:ascii="Arial" w:eastAsia="Times New Roman" w:hAnsi="Arial" w:cs="Arial"/>
          <w:color w:val="000000"/>
          <w:lang w:eastAsia="es-CO"/>
        </w:rPr>
        <w:lastRenderedPageBreak/>
        <w:t xml:space="preserve">técnicas, de seguridad y de transparencia que expida el Consejo Nacional de Juegos de Suerte y Azar. Adicionalmente, se tendrán en cuenta los procedimientos de aseguramiento de calidad de cada entidad, garantizando que los sorteos se ajusten al principio de transparencia consagrado en el literal b)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 de la Ley 643 de 2001 y en las normas que la modifiquen, sustituyan o adicionen. Estas condiciones rigen para los sorteos del juego de lotería tradicional o de billetes, para sus sorteos promocionales y para los sorteos de los juegos que se autoricen a los operadores del juego de apuestas permanentes. </w:t>
      </w:r>
    </w:p>
    <w:p w14:paraId="03E7B17C" w14:textId="727F6DF4"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56" w:name="ver_30057297"/>
      <w:bookmarkEnd w:id="956"/>
    </w:p>
    <w:p w14:paraId="6A909D8A" w14:textId="4D15184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2.7.1.4.2. Autoridades que deben presenciar el sorteo. Si la operación del juego de lotería tradicional o de billetes se realiza en forma directa, los sorteos se deben realizar en presencia de las siguientes autoridades: </w:t>
      </w:r>
    </w:p>
    <w:p w14:paraId="48F899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26236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Alcalde del municipio donde se realiza el sorteo o su delegado. </w:t>
      </w:r>
    </w:p>
    <w:p w14:paraId="46285C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814F9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gerente o representante legal de la lotería o su delegado. </w:t>
      </w:r>
    </w:p>
    <w:p w14:paraId="1CD6C10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B8D2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revisor fiscal de la entidad operadora, si lo hubiere. </w:t>
      </w:r>
    </w:p>
    <w:p w14:paraId="4E7E122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8BEA2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Un (1) funcionario de la Oficina de Control Interno o de la Auditoría Interna del operador. </w:t>
      </w:r>
    </w:p>
    <w:p w14:paraId="73A23D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2B6E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Un (1) representante de los concesionarios de apuestas permanentes. </w:t>
      </w:r>
    </w:p>
    <w:p w14:paraId="47350E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8B1F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Un (1) delegado de las entidades que tengan autorización para utilizar los resultados de la lotería para realizar otros juegos de suerte y azar cuando así lo soliciten. </w:t>
      </w:r>
    </w:p>
    <w:p w14:paraId="494DC75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E43B9A" w14:textId="02915E1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Si la operación directa se realiza en forma asociada, además de las personas señaladas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sorteo debe ser presenciado por un delegado de los titulares del monopolio que se hayan asociado. </w:t>
      </w:r>
    </w:p>
    <w:p w14:paraId="19CF603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AB96BE" w14:textId="240F7FD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Si la operación se realiza mediante terceros, además de las personas señaladas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sorteo debe ser presenciado por el representante legal del concedente, o su delegado. </w:t>
      </w:r>
    </w:p>
    <w:p w14:paraId="28C2D2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187CDA" w14:textId="4C5D908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empresa operadora del juego de lotería tradicional o de billetes, por escrito, con una anterioridad no inferior a cinco (5) días calendario a la realización del sorteo, solicitará la presencia de las personas que en los términos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deben presenciarlo y verificará su asistencia para lo cual se les deberá informar el día, hora y lugar de la realización del sorteo y de las pruebas previas al mismo. </w:t>
      </w:r>
    </w:p>
    <w:p w14:paraId="2A9DEEF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57" w:name="ver_30057298"/>
      <w:bookmarkEnd w:id="957"/>
    </w:p>
    <w:p w14:paraId="07E5E35C" w14:textId="3B9415E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2.7.1.4.3. Pruebas previas al sorteo. Previamente y en presencia de las personas que deben asistir al sorteo, se realizará un número aleatorio de sorteos de prueba, no menor de 5 ni mayor de 10, el cual se calculará mediante alguna rutina de software, lo anterior para determinar que el sistema y los elementos de sorteo estén exentos de fraudes, vicios o intervenciones tendientes a alterar la probabilidad de acertar o de sustraerla del azar. Si se observa tendencia hacia un resultado determinado se realizarán los cambios requeridos. </w:t>
      </w:r>
    </w:p>
    <w:p w14:paraId="195001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57B8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resultados de estas pruebas serán registrados en el acta del sorteo. </w:t>
      </w:r>
    </w:p>
    <w:p w14:paraId="2BD514A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58" w:name="ver_30057299"/>
      <w:bookmarkEnd w:id="958"/>
    </w:p>
    <w:p w14:paraId="288539FC" w14:textId="5ED1AD1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2.7.1.4.4. Seguridad del lugar y elementos del sorteo. La empresa operadora deberá garantizar y mantener la seguridad en el lugar de permanencia y custodia de los elementos y </w:t>
      </w:r>
      <w:r w:rsidR="00AF0C09" w:rsidRPr="002C1480">
        <w:rPr>
          <w:rFonts w:ascii="Arial" w:eastAsia="Times New Roman" w:hAnsi="Arial" w:cs="Arial"/>
          <w:color w:val="000000"/>
          <w:lang w:eastAsia="es-CO"/>
        </w:rPr>
        <w:lastRenderedPageBreak/>
        <w:t>sistemas utilizados para realizar el sorteo, los cuales permanecerán en un lugar cerrado con sellos de seguridad. </w:t>
      </w:r>
    </w:p>
    <w:p w14:paraId="496AE77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59" w:name="ver_30057300"/>
      <w:bookmarkEnd w:id="959"/>
    </w:p>
    <w:p w14:paraId="253F31E0" w14:textId="5F2AC5D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2.7.1.4.5. Elementos y sistemas para realizar el sorteo. La empresa operadora dispondrá de un sistema hidroneumático o de balotas u otro sistema que corresponda a los adelantos técnicos para efectuar sus sorteos, cuyas características garanticen la seguridad y transparencia de los sorteos, en los términos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20 de la Ley 643 de 2001 y en las normas que la modifiquen, sustituyan o adicionen. </w:t>
      </w:r>
    </w:p>
    <w:p w14:paraId="0469303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6AD5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mantendrá al menos tres (3) juegos de balotas debidamente certificadas por un laboratorio de metrología certificado por el Instituto Colombiano de Normas Técnicas y Certificación (Icontec) o por un organismo certificador acreditado por la Superintendencia de Industria y Comercio (SIC) o el Organismo Nacional de Acreditación (ONAC). </w:t>
      </w:r>
    </w:p>
    <w:p w14:paraId="678D08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95C6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sistema hidroneumático o de balotas, o cualquier otro utilizado para efectuar los sorteos debe estar debidamente certificado por un laboratorio técnico, de conformidad con los términos y condiciones que para el efecto determine el Consejo Nacional de Juegos de Suerte y Azar. </w:t>
      </w:r>
    </w:p>
    <w:p w14:paraId="14FF501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16C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juegos de balotas serán sustituidos de acuerdo con el número de partidas de vida útil que aconseje el fabricante de las mismas o antes de ese límite, cuando se descubra que alguna de las balotas no está en perfectas condiciones. Las balotas sustituidas permanecerán a disposición de las autoridades por un período de (6) seis meses, en un recipiente cerrado, con sellos de seguridad. </w:t>
      </w:r>
    </w:p>
    <w:p w14:paraId="2EACE51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DD7C2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Antes del sorteo se elegirán al azar, dentro de los tres (3) juegos de balotas, cuáles sortearán los números y la serie. De este hecho se dejará constancia en el acta del sorteo. </w:t>
      </w:r>
    </w:p>
    <w:p w14:paraId="00F07A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9DF8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Consejo Nacional de Juegos de Suerte y Azar podrá definir normas referentes a los elementos y sistemas para la realización de los sorteos, así mismo podrá presentar ante el Instituto Colombiano de Normas Técnicas (Icontec), o el organismo certificador acreditado por la Superintendencia de Industria y Comercio (SIC) o el Organismo Nacional de Acreditación (ONAC), proyectos de normas técnicas respecto de los elementos y sistemas para la realización de todo tipo de sorteos, tendientes a garantizar la transparencia de estos. </w:t>
      </w:r>
    </w:p>
    <w:p w14:paraId="6D7727C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60" w:name="ver_30057301"/>
      <w:bookmarkEnd w:id="960"/>
    </w:p>
    <w:p w14:paraId="0F3E4E1F" w14:textId="51AB853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2.7.1.4.6. Transporte de los elementos y sistemas de sorteo. En el evento que se requiera desplazamiento de los elementos del sorteo hasta el sitio de transmisión del sorteo por televisión, este movimiento requerirá de todas las garantías de seguridad y vigilancia en el transporte de las urnas selladas que los contengan. </w:t>
      </w:r>
    </w:p>
    <w:p w14:paraId="3F22EB2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61" w:name="ver_30057302"/>
      <w:bookmarkEnd w:id="961"/>
    </w:p>
    <w:p w14:paraId="39A3E5A0" w14:textId="0582608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2.7.1.4.7. Acta del sorteo. Por cada sorteo de la lotería tradicional se deberá elaborar un acta que debe ser suscrita por las autoridades del sorteo, la cual debe contener como mínimo: </w:t>
      </w:r>
    </w:p>
    <w:p w14:paraId="5FACF6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70E2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Identificación de las personas que deben asistir al sorteo, indicando el nombre, cargo y entidad a la cual representan. </w:t>
      </w:r>
    </w:p>
    <w:p w14:paraId="4AB7BB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96E4B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Nombre e identificación de los funcionarios encargados de abrir el recinto, desconectar las alarmas y romper los sellos de seguridad, los cuales deben ser verificados previamente para determinar que estos correspondan con los colocados al finalizar el sorteo anterior, describiendo las circunstancias en las cuales fueron realizadas estas actividades. </w:t>
      </w:r>
    </w:p>
    <w:p w14:paraId="08CFD90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C5B8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Nombre e identificación de las personas que efectúan los lanzamientos. </w:t>
      </w:r>
    </w:p>
    <w:p w14:paraId="443116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2969B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Número del juego de balotas que se excluye y de las que participan en el sorteo y método por el cual fueron sorteadas. </w:t>
      </w:r>
    </w:p>
    <w:p w14:paraId="11CA5B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20DC1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Resultado de las pruebas previas a la realización del sorteo. </w:t>
      </w:r>
    </w:p>
    <w:p w14:paraId="56A8A3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A62D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Número y serie de los billetes que obtuvieron cada uno de los premios ofrecidos. </w:t>
      </w:r>
    </w:p>
    <w:p w14:paraId="683A64E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3DE82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Número de los sellos que se colocan a los recipientes de las balotas al finalizar el sorteo. </w:t>
      </w:r>
    </w:p>
    <w:p w14:paraId="190012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C486C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Cantidad de tracciones que participan en el sorteo. </w:t>
      </w:r>
    </w:p>
    <w:p w14:paraId="4E751D2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62" w:name="ver_30057303"/>
      <w:bookmarkEnd w:id="962"/>
    </w:p>
    <w:p w14:paraId="7DEC08BA" w14:textId="1DF37A5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2.7.1.4.8. Publicidad de los sorteos. Los sorteos de loterías, por ser de interés público nacional, deberán transmitirse por un canal de televisión público nacional y/o regional en el día hora y lugar señalado en el cronograma de sorteos. La transmisión por televisión se hará en vivo y en directo, y no pueden hacerse en diferido. </w:t>
      </w:r>
    </w:p>
    <w:p w14:paraId="6317C42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CDCE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empresas operadoras registrarán en video en forma continua las pruebas previas y los sorteos respectivos. Esta grabación se deberá mantener a disposición de las diferentes autoridades. </w:t>
      </w:r>
    </w:p>
    <w:p w14:paraId="13207B0B" w14:textId="29E32F16"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63" w:name="ver_30057304"/>
      <w:bookmarkEnd w:id="963"/>
    </w:p>
    <w:p w14:paraId="601D0FF7" w14:textId="1166A24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2.7.1.4.9. Seguridad de los billetes. Todo billete de lotería preimpreso, o expedido o generado por máquina o terminal electrónica, deberá contar con condiciones de seguridad que garanticen su autenticidad y deberá contener como mínimo las combinaciones de números o de caracteres que lo individualizan, la fecha y número del sorteo para el cual fue emitido, la entidad operadora, el distribuidor y el plan de premios. </w:t>
      </w:r>
    </w:p>
    <w:p w14:paraId="55FA4E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A9E5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billetes preimpresos deberán contar con un código de barras que valide que los billetes corresponden a los emitidos. Los billetes expedidos por máquina o terminal electrónica deben contar con un código de barras o un código numérico de seguridad. El código de barras que se adopte debe permitir su lectura por medio de un lector óptico, con el objeto de permitir su consolidación y la transmisión electrónica de la eventual devolución. </w:t>
      </w:r>
    </w:p>
    <w:p w14:paraId="56E742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E50963" w14:textId="440D5B9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condiciones de seguridad descritas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deberán constar en el respectivo contrato de impresión y suministro de billetería. Los impresores o contratistas que suministren los billetes de lotería deberán acreditar certificación de calidad. </w:t>
      </w:r>
    </w:p>
    <w:p w14:paraId="218ECE4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64" w:name="ver_30057305"/>
      <w:bookmarkEnd w:id="964"/>
    </w:p>
    <w:p w14:paraId="7E8B8041" w14:textId="5EFC8BA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2.7.1.4.10. Devolución de los billetes preimpresos no vendidos y reporte a los operadores. Los billetes preimpresos que tengan los distribuidores y que no hayan sido vendidos, serán entregados por estos a una empresa de transporte especializada, debidamente perforados, por lo menos una (1) hora antes de la realización del sorteo. </w:t>
      </w:r>
    </w:p>
    <w:p w14:paraId="48C44C5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B1F39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billetes preimpresos que tenga el operador, sin haberse entregado a un distribuidor y que no hayan sido vendidos, serán perforados con anterioridad a la realización del sorteo y en presencia de las personas que deben asistir al mismo. </w:t>
      </w:r>
    </w:p>
    <w:p w14:paraId="1EDA81A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ABE9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distribuidores reportarán al operador la relación de los billetes preimpresos que no hayan sido vendidos, con antelación al sorteo, utilizando cualquier medio electrónico de transporte o intercambio de datos. En eventos de caso fortuito o fuerza mayor y previa autorización por escrito </w:t>
      </w:r>
      <w:r w:rsidRPr="002C1480">
        <w:rPr>
          <w:rFonts w:ascii="Arial" w:eastAsia="Times New Roman" w:hAnsi="Arial" w:cs="Arial"/>
          <w:color w:val="000000"/>
          <w:lang w:eastAsia="es-CO"/>
        </w:rPr>
        <w:lastRenderedPageBreak/>
        <w:t>del operador, los distribuidores reportarán la devolución de billetes por teléfono o por fax, y dispondrán de los medios para preparar los reportes que deben enviarse a la Superintendencia Nacional de Salud, o la entidad que haga sus veces. </w:t>
      </w:r>
    </w:p>
    <w:p w14:paraId="4139631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9C36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los distribuidores no reporten oportunamente al operador la relación de los billetes preimpresos no vendidos, pagarán al operador el valor total de los billetes no reportados. </w:t>
      </w:r>
    </w:p>
    <w:p w14:paraId="70EBC2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9289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ejercicio de vigilancia sobre los sorteos, el operador, antes de la realización del sorteo, reportará treinta (30) minutos antes del citado sorteo, a la Superintendencia Nacional de Salud o a la entidad que haga sus veces, en las condiciones que esta autoridad determine, la relación de los billetes preimpresos, de los expedidos por máquinas o terminales electrónicas y de los electrónicos, que hayan sido vendidos y habilitados para participar en el sorteo. </w:t>
      </w:r>
    </w:p>
    <w:p w14:paraId="1C4AFE52" w14:textId="608A86D0"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65" w:name="ver_30057306"/>
      <w:bookmarkEnd w:id="965"/>
    </w:p>
    <w:p w14:paraId="040B45F7" w14:textId="48C1C65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2.7.1.4.11. Bloqueo de venta de billetes electrónicos y expedidos por máquinas o terminales electrónicas. Previa la realización del sorteo los distribuidores y/o los operadores del juego de lotería tradicional, bloquearán la venta de billetes expedidos por máquinas o terminales electrónicas, o por cualquier otro medio autorizado, treinta (30) minutos antes de la realización del sorteo, a través de su sistema de gestión de juego. </w:t>
      </w:r>
    </w:p>
    <w:p w14:paraId="3F87D4B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F875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operadores del juego de lotería tomarán todas las medidas administrativas tendientes a garantizar el normal y oportuno flujo de información relacionada con la devolución, reporte y bloqueo de venta de la billetería, y formularán un plan de contingencia para garantizar la solución de los inconvenientes de tipo técnico que se puedan presentar. </w:t>
      </w:r>
    </w:p>
    <w:p w14:paraId="0BC893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D2DF73" w14:textId="77777777" w:rsidR="00AF0C09" w:rsidRPr="0063420B" w:rsidRDefault="00AF0C09" w:rsidP="0063420B">
      <w:pPr>
        <w:spacing w:after="0" w:line="293" w:lineRule="atLeast"/>
        <w:jc w:val="center"/>
        <w:rPr>
          <w:rFonts w:ascii="Arial" w:eastAsia="Times New Roman" w:hAnsi="Arial" w:cs="Arial"/>
          <w:b/>
          <w:bCs/>
          <w:color w:val="000000"/>
          <w:lang w:eastAsia="es-CO"/>
        </w:rPr>
      </w:pPr>
      <w:bookmarkStart w:id="966" w:name="ver_30057307"/>
      <w:bookmarkEnd w:id="966"/>
      <w:r w:rsidRPr="0063420B">
        <w:rPr>
          <w:rFonts w:ascii="Arial" w:eastAsia="Times New Roman" w:hAnsi="Arial" w:cs="Arial"/>
          <w:b/>
          <w:bCs/>
          <w:color w:val="000000"/>
          <w:lang w:eastAsia="es-CO"/>
        </w:rPr>
        <w:t>CAPÍTULO 5</w:t>
      </w:r>
    </w:p>
    <w:p w14:paraId="3CD2FF37" w14:textId="77777777" w:rsidR="00AF0C09" w:rsidRPr="0063420B" w:rsidRDefault="00AF0C09" w:rsidP="0063420B">
      <w:pPr>
        <w:spacing w:after="0"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DERECHOS DE EXPLOTACIÓN, IMPUESTOS Y GIRO DE RECURSOS</w:t>
      </w:r>
    </w:p>
    <w:p w14:paraId="0595C2EA"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POR LOS OPERADORES</w:t>
      </w:r>
    </w:p>
    <w:p w14:paraId="5D634DF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67" w:name="ver_30057308"/>
      <w:bookmarkEnd w:id="967"/>
    </w:p>
    <w:p w14:paraId="45B3F1F3" w14:textId="0B5A720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2.7.1.5.1. Derechos de explotación. En la operación por intermedio de terceros, los derechos de explotación serán, como mínimo, del diecisiete por ciento (17%) de los ingresos brutos del juego, con arreglo a lo dispuesto en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7°, 8° y 49 de la Ley 643 de 2001. </w:t>
      </w:r>
    </w:p>
    <w:p w14:paraId="560C5B5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68" w:name="ver_30057309"/>
      <w:bookmarkEnd w:id="968"/>
    </w:p>
    <w:p w14:paraId="3317F770" w14:textId="6858638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2.7.1.5.2. Declaración y pago de los derechos de explotación. En los casos en que el juego se opere por intermedio de terceros, dentro de los diez (10) primeros días hábiles de cada mes, los concesionarios del juego de lotería liquidarán y declararán ante el concedente los derechos de explotación causados en el mes anterior, incluidos los intereses a que haya lugar, así como los gastos de administración. Dentro del mismo plazo, los concesionarios girarán dichos recursos a los fondos de salud de las entidades territoriales correspondientes y a las entidades concedentes, respectivamente. </w:t>
      </w:r>
    </w:p>
    <w:p w14:paraId="397C42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0964A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declaración se presentará en los formularios diseñados por la Secretaría Técnica del Consejo Nacional de Juego de Suerte y Azar, o por la entidad que haga sus veces, los cuales serán suministrados por la entidad concedente. El pago de los derechos de explotación se acreditará con copia de un comprobante válido expedido por el concedente. </w:t>
      </w:r>
    </w:p>
    <w:p w14:paraId="54B0E7FC" w14:textId="77777777" w:rsidR="009D4BCC" w:rsidRDefault="009D4BCC" w:rsidP="00C32F85">
      <w:pPr>
        <w:spacing w:after="0" w:line="254" w:lineRule="atLeast"/>
        <w:jc w:val="both"/>
        <w:rPr>
          <w:rFonts w:ascii="Arial" w:eastAsia="Times New Roman" w:hAnsi="Arial" w:cs="Arial"/>
          <w:color w:val="000000"/>
          <w:lang w:eastAsia="es-CO"/>
        </w:rPr>
      </w:pPr>
    </w:p>
    <w:p w14:paraId="767BA3BA" w14:textId="45792C9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2.7.1.5.3. Anticipo. Los concesionarios del juego de loterías pagarán mensualmente a la entidad concedente a título de derecho de explotación, el diecisiete por ciento (17%) de sus ingresos brutos. </w:t>
      </w:r>
    </w:p>
    <w:p w14:paraId="004502C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87FE2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Al momento de la presentación de la declaración de los derechos de explotación, se pagarán a título de anticipo de derechos de explotación del siguiente período, un valor equivalente al setenta y cinco por ciento (75%) de los derechos de explotación que se declaran. </w:t>
      </w:r>
    </w:p>
    <w:p w14:paraId="662D2B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EBC5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caso de nuevos concesionarios el primer pago de anticipo se realizará con base en los ingresos brutos esperados, de acuerdo con el estudio de mercado elaborado para el efecto y presentado en el marco de la licitación previa a la celebración del contrato de concesión. </w:t>
      </w:r>
    </w:p>
    <w:p w14:paraId="090CD7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C7154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diferencia entre el valor total de los derechos liquidados en el periodo y el anticipo pagado en el período anterior constituirá el remanente o saldo de los derechos de explotación a pagar por el período respectivo. </w:t>
      </w:r>
    </w:p>
    <w:p w14:paraId="0C88DF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EA52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de que el valor total de los derechos de explotación del período sea inferior al anticipo liquidado por el mismo, procederá el reconocimiento de compensaciones contra futuros derechos de explotación. </w:t>
      </w:r>
    </w:p>
    <w:p w14:paraId="7CFD3970" w14:textId="4688402C"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69" w:name="ver_30057311"/>
      <w:bookmarkEnd w:id="969"/>
    </w:p>
    <w:p w14:paraId="1991732D" w14:textId="4D06FFD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2.7.1.5.4. Impuesto a ganadores. Las empresas operadoras del juego de lotería liquidarán, retendrán, declararán y girarán dentro de los diez (10) primeros días hábiles de cada mes, a sus titulares, el impuesto a ganadores de premios del juego de lotería tradicional o de billetes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48 de la Ley 643 de 2001. Este impuesto será retenido por las empresas operadoras al momento de pagar el premio. </w:t>
      </w:r>
    </w:p>
    <w:p w14:paraId="647043D0" w14:textId="22B845CC"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70" w:name="ver_30057312"/>
      <w:bookmarkEnd w:id="970"/>
    </w:p>
    <w:p w14:paraId="41E6653E" w14:textId="31DDDCD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2.7.1.5.5. Impuesto de loterías foráneas. Dentro de los primeros diez (10) días de cada mes, las empresas operadoras del juego de lotería liquidarán, declararán y pagarán a los departamentos y al Distrito Capital el impuesto de loterías foráneas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48 de la Ley 643 de 2001. Este impuesto se liquidará sobre el valor nominal de cada billete o fracción vendido y no se causará en la jurisdicción de la entidad territorial que explote la respectiva lotería ni en los departamentos o el Distrito Capital, según el caso, con los que aquella se encuentre asociada para administrar u operar el juego. </w:t>
      </w:r>
    </w:p>
    <w:p w14:paraId="1316757B" w14:textId="1783FC1A"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71" w:name="ver_30057313"/>
      <w:bookmarkEnd w:id="971"/>
    </w:p>
    <w:p w14:paraId="5FA5BB0F" w14:textId="49DAE0B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2.7.1.5.6. Formularios de declaración y liquidación de derechos de explotación, de impuesto de loterías foráneas e impuesto sobre premios de loterías. Los formularios para declaración y liquidación de derechos de explotación, de impuesto de loterías foráneas e impuesto sobre premios de loterías, serán adoptados por el Consejo Nacional de Juegos de Suerte y Azar. </w:t>
      </w:r>
    </w:p>
    <w:p w14:paraId="7406244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ABE0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formulario para declaración y liquidación de los derechos de explotación en la operación por medio de terceros, será suministrado por la entidad concedente. </w:t>
      </w:r>
    </w:p>
    <w:p w14:paraId="1EC4641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4060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formularios de impuesto de loterías foráneas e impuesto sobre premios de loterías, serán suministrados por el administrador de los respectivos fondos de salud. </w:t>
      </w:r>
    </w:p>
    <w:p w14:paraId="7DEB911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72" w:name="ver_30057314"/>
      <w:bookmarkEnd w:id="972"/>
    </w:p>
    <w:p w14:paraId="512ABC9B" w14:textId="0A99B48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2.7.1.5.7. Transferencia de las rentas al sector salud. Los operadores directos del juego de lotería tradicional, dentro de los primeros diez (10) días hábiles de cada mes, liquidarán y girarán a los fondos de salud de las entidades territoriales correspondientes, el 12% de los ingresos brutos obtenidos por la venta del juego de lotería del mes anterior. </w:t>
      </w:r>
    </w:p>
    <w:p w14:paraId="6F9273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6AC1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giro deberá comunicarse a la respectiva entidad territorial dentro de los tres (3) días hábiles siguientes a la fecha de la consignación, suministrándose además la siguiente información: </w:t>
      </w:r>
    </w:p>
    <w:p w14:paraId="7A9BA4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0000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 Número de billetes indivisos o número de fracciones vendidos en el mes anterior discriminados por cada sorteo y el valor unitario de venta al público. </w:t>
      </w:r>
    </w:p>
    <w:p w14:paraId="5B2BA7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C934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Valor de venta al público de los billetes de que trata el literal anterior. </w:t>
      </w:r>
    </w:p>
    <w:p w14:paraId="25DCF6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EE90C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Valor de la renta generada y transferida por las ventas realizadas de acuerdo con el literal anterior. </w:t>
      </w:r>
    </w:p>
    <w:p w14:paraId="488A7DE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73" w:name="ver_30057315"/>
      <w:bookmarkEnd w:id="973"/>
    </w:p>
    <w:p w14:paraId="040DB422" w14:textId="3C5153D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2.7.1.5.8. Interés de mora y sanciones. El incumplimiento de los plazos previstos para el pago o giro de los recursos de que trata este título, causará intereses moratorios a favor de quien debió recibirlos, liquidados a la tasa de interés moratorio establecida para los tributos administrados por la Dirección de Impuestos y Aduanas Nacionales (DIAN); en lo que sea pertinente se aplicará lo dispuesto por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Ley 1281 de 2002 y las normas que lo modifiquen, adicionen o sustituyan y, en general, por aquellas que se expidan sobre el flujo de recursos del sector salud. </w:t>
      </w:r>
    </w:p>
    <w:p w14:paraId="29DAFB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EB1F04" w14:textId="77777777" w:rsidR="00AF0C09" w:rsidRPr="0063420B" w:rsidRDefault="00AF0C09" w:rsidP="0063420B">
      <w:pPr>
        <w:spacing w:after="0" w:line="293" w:lineRule="atLeast"/>
        <w:jc w:val="center"/>
        <w:rPr>
          <w:rFonts w:ascii="Arial" w:eastAsia="Times New Roman" w:hAnsi="Arial" w:cs="Arial"/>
          <w:b/>
          <w:bCs/>
          <w:color w:val="000000"/>
          <w:lang w:eastAsia="es-CO"/>
        </w:rPr>
      </w:pPr>
      <w:bookmarkStart w:id="974" w:name="ver_30057316"/>
      <w:bookmarkEnd w:id="974"/>
      <w:r w:rsidRPr="0063420B">
        <w:rPr>
          <w:rFonts w:ascii="Arial" w:eastAsia="Times New Roman" w:hAnsi="Arial" w:cs="Arial"/>
          <w:b/>
          <w:bCs/>
          <w:color w:val="000000"/>
          <w:lang w:eastAsia="es-CO"/>
        </w:rPr>
        <w:t>CAPÍTULO 6</w:t>
      </w:r>
    </w:p>
    <w:p w14:paraId="6711C7AC" w14:textId="77777777" w:rsidR="00AF0C09" w:rsidRPr="0063420B" w:rsidRDefault="00AF0C09" w:rsidP="0063420B">
      <w:pPr>
        <w:spacing w:line="293" w:lineRule="atLeast"/>
        <w:jc w:val="center"/>
        <w:rPr>
          <w:rFonts w:ascii="Arial" w:eastAsia="Times New Roman" w:hAnsi="Arial" w:cs="Arial"/>
          <w:b/>
          <w:bCs/>
          <w:color w:val="000000"/>
          <w:lang w:eastAsia="es-CO"/>
        </w:rPr>
      </w:pPr>
      <w:r w:rsidRPr="0063420B">
        <w:rPr>
          <w:rFonts w:ascii="Arial" w:eastAsia="Times New Roman" w:hAnsi="Arial" w:cs="Arial"/>
          <w:b/>
          <w:bCs/>
          <w:color w:val="000000"/>
          <w:lang w:eastAsia="es-CO"/>
        </w:rPr>
        <w:t>OPERACIÓN DEL JUEGO DE LOTERÍA TRADICIONAL O DE BILLETES</w:t>
      </w:r>
    </w:p>
    <w:p w14:paraId="30260EE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75" w:name="ver_30057317"/>
      <w:bookmarkEnd w:id="975"/>
    </w:p>
    <w:p w14:paraId="3F170365" w14:textId="4415E31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 Modalidades de operación del juego de lotería tradicional o de billetes por parte de entidades territoriales. En los términos de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7° y 16 de la Ley 643 de 2001, las entidades territoriales podrán operar el juego de lotería tradicional o de billetes directamente o mediante asociación o a través de terceros. Para la operación directa, las entidades territoriales lo harán a través de Empresas Industriales y Comerciales del Estado y para la operación asociada, mediante la constitución de Sociedades de Capital Público Departamental. </w:t>
      </w:r>
    </w:p>
    <w:p w14:paraId="70EA12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C57C89" w14:textId="619C01C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la operación por medio de terceros, las entidades territoriales podrán entregar en concesión el juego de manera individual, o en forma conjunta, en este caso, podrán además constituir asociaciones de Empresas Industriales y Comerciales del Estado o asociaciones de entidades públicas,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95 de la Ley 489 de 1998 o en las normas que los adicionen, modifiquen o sustituyan. </w:t>
      </w:r>
    </w:p>
    <w:p w14:paraId="59476E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72C9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este último evento, en el convenio que se celebre se determinarán, entre otros, los criterios de distribución de los derechos de explotación que genere la operación del juego entre las entidades territoriales concedentes que hagan parte del respectivo convenio, del impuesto a ganadores, el nombre comercial del juego de lotería y los mecanismos para adelantar el proceso de selección, adjudicación y celebración del respectivo contrato de concesión. </w:t>
      </w:r>
    </w:p>
    <w:p w14:paraId="4C4C04F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76" w:name="ver_30057318"/>
      <w:bookmarkEnd w:id="976"/>
    </w:p>
    <w:p w14:paraId="1B672CEF" w14:textId="442D7C3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2.7.1.6.2. Iniciación de la operación. La iniciación de la operación del juego de lotería tradicional o de billetes se sujetará al procedimiento que se define en el presente capítulo. </w:t>
      </w:r>
    </w:p>
    <w:p w14:paraId="60337E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9A1D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operación directa del juego de lotería tradicional se entiende por iniciación de la operación, la ocurrencia de los siguientes eventos: </w:t>
      </w:r>
    </w:p>
    <w:p w14:paraId="5D7CB04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84417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Cuando un número plural de departamentos opten por la explotación asociada y constituyan una Sociedad de Capital Público Departamental. </w:t>
      </w:r>
    </w:p>
    <w:p w14:paraId="53CFE3E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6793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Cuando las empresas y entidades operadoras reinicien sus sorteos tras una suspensión voluntaria, siempre que se ajusten a lo establecido en este título y se encuentren a paz y salvo con </w:t>
      </w:r>
      <w:r w:rsidRPr="002C1480">
        <w:rPr>
          <w:rFonts w:ascii="Arial" w:eastAsia="Times New Roman" w:hAnsi="Arial" w:cs="Arial"/>
          <w:color w:val="000000"/>
          <w:lang w:eastAsia="es-CO"/>
        </w:rPr>
        <w:lastRenderedPageBreak/>
        <w:t>las obligaciones relacionadas con el sector salud, según certificación que expida la entidad territorial respectiva. </w:t>
      </w:r>
    </w:p>
    <w:p w14:paraId="45A49CF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274E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Cuando los departamentos o el Distrito Capital disuelvan una Sociedad de Capital Público Departamental para operar el juego de lotería tradicional por intermedio de su propia empresa industrial y comercial. </w:t>
      </w:r>
    </w:p>
    <w:p w14:paraId="19EC447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0C51B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Cuando se trate de Empresas Industriales y Comerciales del Estado y Sociedades de Capital Público Departamental que administran y operan el juego de lotería tradicional que reemplazan a las que hayan adelantado liquidaciones voluntarias. </w:t>
      </w:r>
    </w:p>
    <w:p w14:paraId="2BA7BF4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630D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operación por terceros se considera que hay iniciación de la operación a partir de la iniciación de la ejecución del contrato de concesión para operar el juego de lotería tradicional. </w:t>
      </w:r>
    </w:p>
    <w:p w14:paraId="3C1410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D3ECA4" w14:textId="68BFD1D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De conformidad con lo dispuesto en el numeral 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47 de la Ley 643 de 2001, modificado por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4144 de 2011, corresponde al Consejo Nacional de Juegos de Suerte y Azar establecer el término y las condiciones en que las empresas que sean administradoras u operadoras del juego de lotería podrán recuperar la capacidad para realizar la operación directa de la actividad respectiva. </w:t>
      </w:r>
    </w:p>
    <w:p w14:paraId="252A4D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F300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todo caso, las entidades que inicien la operación del juego de lotería tradicional deberán presentar paz y salvo expedido por el departamento o departamentos titulares de la renta por concepto de transferencias al sector salud. </w:t>
      </w:r>
    </w:p>
    <w:p w14:paraId="6EDF5FC7" w14:textId="00C2DC50"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77" w:name="ver_30057319"/>
      <w:bookmarkEnd w:id="977"/>
    </w:p>
    <w:p w14:paraId="0A6A4E75" w14:textId="1F17B06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2.7.1.6.3. Estudio de factibilidad. Las entidades territoriales a través de la entidad administradora del monopolio, aplicando el método de formulación y evaluación de proyectos, determinarán si la operación de la lotería generará rentabilidad social y económica de manera sostenible, todo lo cual se deberá realizar a través de un estudio de factibilidad que deberá contener lo siguiente: </w:t>
      </w:r>
    </w:p>
    <w:p w14:paraId="2B50870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596E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Estudio de mercado; </w:t>
      </w:r>
    </w:p>
    <w:p w14:paraId="40FA15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276F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Estudio técnico; </w:t>
      </w:r>
    </w:p>
    <w:p w14:paraId="64FCA5B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6F46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Estudio económico; </w:t>
      </w:r>
    </w:p>
    <w:p w14:paraId="06DEA3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27FD3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Evaluación económica; </w:t>
      </w:r>
    </w:p>
    <w:p w14:paraId="672A4C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D106D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Análisis y administración del riesgo. </w:t>
      </w:r>
    </w:p>
    <w:p w14:paraId="3448884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78" w:name="ver_30057320"/>
      <w:bookmarkEnd w:id="978"/>
    </w:p>
    <w:p w14:paraId="5DA1F28C" w14:textId="3DE7394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2.7.1.6.4. Estudio de mercado. Para establecer si desde el punto de vista comercial es viable la introducción de la lotería, las entidades administradoras del monopolio deberán elaborar el estudio de mercado determinando y cuantificando la demanda y la oferta mediante el análisis de esquema de precios y el estudio de los canales de comercialización de la lotería tradicional y la de los juegos de suerte y azar sustitutos. El estudio de mercado debe contener como mínimo lo siguiente: </w:t>
      </w:r>
    </w:p>
    <w:p w14:paraId="28E2D96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9FC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Definición del producto, incluyendo el perfil probabilístico y el valor de los premios ofrecidos; </w:t>
      </w:r>
    </w:p>
    <w:p w14:paraId="771EAF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3F55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b) Análisis de la demanda, indicando distribución geográfica, comportamiento histórico y proyección de la demanda; </w:t>
      </w:r>
    </w:p>
    <w:p w14:paraId="6BB7833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30FF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Análisis de la oferta, caracterizando los competidores directos y proyectando su desempeño; </w:t>
      </w:r>
    </w:p>
    <w:p w14:paraId="44C62E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F8D1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Análisis de precios, incluyendo su comportamiento histórico y su proyección; </w:t>
      </w:r>
    </w:p>
    <w:p w14:paraId="418BE4F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DCA4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Descripción de los canales de comercialización. </w:t>
      </w:r>
    </w:p>
    <w:p w14:paraId="61AAB2E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9EE3E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estudio de mercado se realizará consultando fuentes primarias y secundarias. </w:t>
      </w:r>
    </w:p>
    <w:p w14:paraId="2699B2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5102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analizar la información obtenida de las fuentes primarias se efectuará el correspondiente trabajo de campo y se aplicarán instrumentos de recolección de información a los consumidores, distribuidores, vendedores y al público en general, utilizando procedimientos estadísticos de reconocido valor científico. Las fuentes secundarias serán los registros estadísticos de la industria y de la economía en su conjunto y los propios registros de la empresa cuando sea del caso. </w:t>
      </w:r>
    </w:p>
    <w:p w14:paraId="06B3286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79" w:name="ver_30057321"/>
      <w:bookmarkEnd w:id="979"/>
    </w:p>
    <w:p w14:paraId="22219BC3" w14:textId="54699AE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2.7.1.6.5. Estudio técnico. Las entidades administradoras del monopolio deberán realizar un estudio técnico que permita establecer si desde el punto de vista tecnológico y organizacional es viable la introducción de la lotería, determinando el tamaño de la organización empresarial, los elementos para el juego, los recursos tecnológicos requeridos; si los costos que se generan son financiables con cargo a la fracción de los ingresos brutos destinados para gastos de administración de la empresa operadora. Dicho estudio determinará como mínimo: </w:t>
      </w:r>
    </w:p>
    <w:p w14:paraId="7E613EF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BA3DC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Equipos, instalaciones, elementos del juego, equipos de cómputo y comunicaciones (hardware y software) y en general los activos fijos que se requieran para operar el juego de lotería; </w:t>
      </w:r>
    </w:p>
    <w:p w14:paraId="4AE031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CBE611" w14:textId="23F44C04"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Clase y tamaño de la organización y de su planta de personal; </w:t>
      </w:r>
    </w:p>
    <w:p w14:paraId="6E14EB8D" w14:textId="77777777" w:rsidR="009D4BCC" w:rsidRPr="002C1480" w:rsidRDefault="009D4BCC" w:rsidP="00C32F85">
      <w:pPr>
        <w:spacing w:after="0" w:line="254" w:lineRule="atLeast"/>
        <w:jc w:val="both"/>
        <w:rPr>
          <w:rFonts w:ascii="Arial" w:eastAsia="Times New Roman" w:hAnsi="Arial" w:cs="Arial"/>
          <w:color w:val="000000"/>
          <w:lang w:eastAsia="es-CO"/>
        </w:rPr>
      </w:pPr>
    </w:p>
    <w:p w14:paraId="7422E380" w14:textId="339D5F9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Si se trata de una asociación de departamentos se requiere además un estudio de localización. </w:t>
      </w:r>
    </w:p>
    <w:p w14:paraId="4EA9699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80" w:name="ver_30057322"/>
      <w:bookmarkEnd w:id="980"/>
    </w:p>
    <w:p w14:paraId="5444D378" w14:textId="4059CF8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2.7.1.6.6. Estudio económico. Las entidades administradoras del monopolio deberán realizar un estudio económico que permita consolidar la información financiera obtenida por medio de los estudios de mercado y técnico, calcular los ingresos y la inversión inicial, la cual depende del tipo de organización y de la tecnología seleccionadas y del capital de trabajo requerido, aplicando la metodología de los estados financieros proyectados. </w:t>
      </w:r>
    </w:p>
    <w:p w14:paraId="6F7187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7A2C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Adicionalmente, se preparará un flujo de tesorería. </w:t>
      </w:r>
    </w:p>
    <w:p w14:paraId="76F9E6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00A1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Estas estimaciones se harán para un horizonte de cinco (5) años y serán la base para la evaluación económica del proyecto. </w:t>
      </w:r>
    </w:p>
    <w:p w14:paraId="6F2FFD1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0D353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estudio económico determinará el valor de la inversión inicial de la siguiente forma: </w:t>
      </w:r>
    </w:p>
    <w:p w14:paraId="58BE90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CA1B0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Valor de la inversión fija, representada por los equipos, instalaciones, elementos del juego, equipos de cómputo y comunicaciones (hardware y software) y en general los activos fijos que se requieran para operar el juego de lotería. En las empresas en marcha la asignación de activos fijos se reconocerá por su valor en libros; </w:t>
      </w:r>
    </w:p>
    <w:p w14:paraId="617ABF7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102A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Valor del capital de trabajo; </w:t>
      </w:r>
    </w:p>
    <w:p w14:paraId="3043C3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2B61D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Valor del fondo inicial de reserva; </w:t>
      </w:r>
    </w:p>
    <w:p w14:paraId="0F84B8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AD15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Valor de los gastos preoperativos diferidos, incluyendo los costos de lanzamiento; </w:t>
      </w:r>
    </w:p>
    <w:p w14:paraId="1829E3E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185E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Valor del patrimonio técnico requerido. </w:t>
      </w:r>
    </w:p>
    <w:p w14:paraId="29B0049C" w14:textId="06528A9A" w:rsidR="00AF0C09" w:rsidRPr="002C1480" w:rsidRDefault="00AF0C09" w:rsidP="0063420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81" w:name="ver_30057323"/>
      <w:bookmarkEnd w:id="981"/>
    </w:p>
    <w:p w14:paraId="60ADAA50" w14:textId="451183B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2.7.1.6.7. Evaluación económica. Las entidades administradoras del monopolio deberán realizar una evaluación económica que determine la conveniencia de la operación, de conformidad con los siguientes indicadores: </w:t>
      </w:r>
    </w:p>
    <w:p w14:paraId="016BB08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5F1E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Tasa interna de retorno; </w:t>
      </w:r>
    </w:p>
    <w:p w14:paraId="2B2F70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076B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Valor presente neto de los flujos de caja; </w:t>
      </w:r>
    </w:p>
    <w:p w14:paraId="75B351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50F8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Relación costo-beneficio. </w:t>
      </w:r>
    </w:p>
    <w:p w14:paraId="6C5CBEC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10762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punto de equilibrio en pesos y unidades definido como el volumen de ventas en pesos y en unidades que produce una contribución marginal suficiente para pagar los gastos de administración y funcionamiento; la contribución marginal se calculará deduciendo de los ingresos brutos el descuento en ventas reconocido a la red de distribución, la renta del monopolio, el impuesto a foráneas, la rentabilidad mínima, los premios en poder del público y la reserva para el pago de premios. </w:t>
      </w:r>
    </w:p>
    <w:p w14:paraId="3B9141C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95756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flujos netos de caja se obtendrán de los estados de resultados proyectados devolviendo las depreciaciones y las amortizaciones después de calcular la utilidad neta y se descontarán a una tasa no inferior a la DTF vigente al momento del estudio. </w:t>
      </w:r>
    </w:p>
    <w:p w14:paraId="0B32E489" w14:textId="5AAB5110" w:rsidR="00AF0C09" w:rsidRPr="002C1480" w:rsidRDefault="00AF0C09" w:rsidP="008A7BD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82" w:name="ver_30057324"/>
      <w:bookmarkEnd w:id="982"/>
    </w:p>
    <w:p w14:paraId="3A761757" w14:textId="6C80BF0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2.7.1.6.8. Análisis y administración del riesgo. Las entidades que pretendan operar el juego de lotería deberán establecer los riesgos de mercado, de entorno económico y de estructura probabilística del plan de premios, mediante la medición del riesgo técnico y la suficiencia del régimen de reservas y margen de solvencia requerido para gestionarlo, para lo cual deberán determinar el nivel de provisiones requerido de acuerdo con el riesgo del operador. </w:t>
      </w:r>
    </w:p>
    <w:p w14:paraId="1613F5FC" w14:textId="62C95B49" w:rsidR="00AF0C09" w:rsidRPr="002C1480" w:rsidRDefault="00AF0C09" w:rsidP="008A7BD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83" w:name="ver_30057325"/>
      <w:bookmarkEnd w:id="983"/>
    </w:p>
    <w:p w14:paraId="16D0903A" w14:textId="5E151FD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2.7.1.6.9. Requisitos de eficiencia. Las entidades que pretendan operar el juego de lotería tradicional se someterán a los criterios de eficiencia de que tratan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50 y 51 de la Ley 643 de 2001 y a las disposiciones que expida el Consejo Nacional de Juegos de Suerte y Azar sobre la materia. </w:t>
      </w:r>
    </w:p>
    <w:p w14:paraId="043F753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84" w:name="ver_30057326"/>
      <w:bookmarkEnd w:id="984"/>
    </w:p>
    <w:p w14:paraId="118071DC" w14:textId="3BBDC81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2.7.1.6.10. Operación por medio de terceros. Cuando la operación del juego de lotería tradicional o de billetes se realice a través de terceros, la persona jurídica contratista será seleccionada mediante un proceso de licitación pública, con arreglo a la Ley del Régimen Propio del Monopolio Rentístico de los Juegos de Suerte y Azar y el Estatuto General de Contratación de la Administración Pública y las normas que los adicionen, modifiquen o sustituyan. Tales contratos serán celebrados por un término improrrogable no inferior de tres (3) años ni superior a cinco (5) años y en estos se pactarán las cláusulas excepcionales de caducidad, modificación, interpretación y terminación unilateral, y su inclusión será expresa en los respectivos contratos. Así mismo se deberá pactar la constitución de las garantías de cumplimiento del contrato y del pago de los premios a los apostadores. </w:t>
      </w:r>
    </w:p>
    <w:p w14:paraId="079CC53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467C9D" w14:textId="1351A91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1. Los departamentos que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50 de la Ley 643 de 2001 hayan liquidado o deban liquidar su empresa operadora de lotería, por haber presentado pérdidas durante tres (3) años consecutivos, solo podrán operar el juego de lotería tradicional a través de terceros. </w:t>
      </w:r>
    </w:p>
    <w:p w14:paraId="3F275E4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58184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Los terceros que pretendan operar el juego de lotería deberán acreditar los requisitos señalados en el presente título para el inicio de la operación. </w:t>
      </w:r>
    </w:p>
    <w:p w14:paraId="22A7C0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8044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No podrán ser operadoras de juegos de loterías aquellas empresas que utilicen los resultados de otros juegos, ni empresas cuyos socios tengan propiedad accionaria en empresas que utilicen los resultados de otros juegos </w:t>
      </w:r>
    </w:p>
    <w:p w14:paraId="2EB44C0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85" w:name="ver_30057327"/>
      <w:bookmarkEnd w:id="985"/>
    </w:p>
    <w:p w14:paraId="55D483C7" w14:textId="10D8BCC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2.7.1.6.11. Requisitos de capacidad financiera. La entidad que pretenda operar el juego de lotería tradicional, deberá respaldar y garantizar las obligaciones con los apostadores y con el sector salud, acreditando el cumplimiento de los siguientes requisitos de forma permanente: </w:t>
      </w:r>
    </w:p>
    <w:p w14:paraId="54D049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A935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Respaldo patrimonial. Disponer de un patrimonio técnico cuyo valor no podrá ser menor al monto del premio mayor ofrecido. El cumplimiento de este requisito procede sin perjuicio del cumplimiento de los requisitos de solvencia que se le exijan a quien opere simultáneamente otros juegos. </w:t>
      </w:r>
    </w:p>
    <w:p w14:paraId="577BC2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F2AD1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Razón de endeudamiento. No podrá presentar una razón de endeudamiento superior al 65%; </w:t>
      </w:r>
    </w:p>
    <w:p w14:paraId="15E7D3E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BA13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Fondo inicial de reserva. Constituir un fondo inicial de reservas técnicas, cuyo monto no podrá ser inferior al monto del premio mayor ofrecido. </w:t>
      </w:r>
    </w:p>
    <w:p w14:paraId="7281442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209E8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Este fondo será reconocido contablemente de conformidad con las normas de contabilidad que le sean aplicables a la entidad y deberá ser depositado aparte en cuentas creadas exclusivamente para el efecto, sin hacer unidad de caja con los demás recursos de la entidad operadora. </w:t>
      </w:r>
    </w:p>
    <w:p w14:paraId="526D8A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78DF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Requisitos de liquidez. Las entidades que pretendan operar el juego de lotería tradicional deben disponer de un capital de trabajo para financiar sus operaciones de corto plazo, cuyo monto será cuando menos, equivalente al valor de 30 días de costos y gastos; para este cálculo se debe excluir el monto del fondo inicial de reservas. </w:t>
      </w:r>
    </w:p>
    <w:p w14:paraId="7571C3D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86" w:name="ver_30057328"/>
      <w:bookmarkEnd w:id="986"/>
    </w:p>
    <w:p w14:paraId="2872958D" w14:textId="5170B23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2.7.1.6.12. Requisitos de experiencia. Para participar en el proceso de selección de concesionario del juego de lotería tradicional, las empresas acreditarán experiencia de cuando menos tres (3) años en la operación del juego en Colombia o en otro país, en las modalidades de lotería tradicional, instantánea o tipo loto. </w:t>
      </w:r>
    </w:p>
    <w:p w14:paraId="43A2FA6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87" w:name="ver_30057329"/>
      <w:bookmarkEnd w:id="987"/>
    </w:p>
    <w:p w14:paraId="5E6E20FB" w14:textId="3376DD0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2.7.1.6.13. Eficiencia contractual en la operación por medio de terceros. En los documentos y estudios previos del proceso licitatorio para la escogencia del operador del juego de lotería tradicional o de billetes, se señalará el monto de las ventas mínimas que durante toda la ejecución del contrato, debe cumplir quien resulte seleccionado como concesionario; estas ventas mínimas constituyen un esfuerzo de eficiencia que se exige del concesionario y una obligación contractual que deberá pactarse expresamente, de manera que su incumplimiento dará lugar a las consecuencias previstas en la ley de régimen propio. </w:t>
      </w:r>
    </w:p>
    <w:p w14:paraId="41F420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9F81C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personas jurídicas que pretendan participar en el proceso de selección deberán efectuar sus propios estudios y evaluaciones técnicas, financieras, de mercado y de análisis de riesgos, de manera que, previa a su participación en el proceso de selección, determinen si pueden cumplir </w:t>
      </w:r>
      <w:r w:rsidRPr="002C1480">
        <w:rPr>
          <w:rFonts w:ascii="Arial" w:eastAsia="Times New Roman" w:hAnsi="Arial" w:cs="Arial"/>
          <w:color w:val="000000"/>
          <w:lang w:eastAsia="es-CO"/>
        </w:rPr>
        <w:lastRenderedPageBreak/>
        <w:t>con las obligaciones de la operación del juego, incluyendo el porcentaje de derechos de explotación que deberán transferir y el valor mínimo de ventas exigido en los términos de referencia. La sola participación en el proceso de selección constituye prueba de que los proponentes manifiestan su libre y expresa aceptación sobre esas obligaciones, ventas mínimas y porcentajes a transferir, sin que haya lugar a reclamaciones o indemnizaciones posteriores por esta razón, en caso de resultar adjudicatarios. </w:t>
      </w:r>
    </w:p>
    <w:p w14:paraId="2E0C2D3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88" w:name="ver_30057330"/>
      <w:bookmarkEnd w:id="988"/>
    </w:p>
    <w:p w14:paraId="242F3C39" w14:textId="660E46C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2.7.1.6.14. Documentación adicional. Los terceros operadores que pretendan iniciar la operación del juego de lotería tradicional deberán allegar ante el Consejo Nacional de Juegos de Suerte y Azar los siguientes documentos: </w:t>
      </w:r>
    </w:p>
    <w:p w14:paraId="432614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F6CC83" w14:textId="5BF270D3"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Ordenanza o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ordena la creación de la empresa o escritura pública de constitución de la misma y certificado de existencia y representación legal; </w:t>
      </w:r>
    </w:p>
    <w:p w14:paraId="6510915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A5531C" w14:textId="6193CEF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Declaración expresa del operador de no encontrarse incurso en el régimen de inhabilidades e incompatibilidades, señaladas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 la Ley 643 de 2001. </w:t>
      </w:r>
    </w:p>
    <w:p w14:paraId="2C7227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52C0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se trata de operadores públicos deberán cumplir además con los requisitos establecidos en la Ley 489 de 1998, referidos a la creación de Empresas Industriales y Comerciales del Estado y Sociedades de Capital Público. </w:t>
      </w:r>
    </w:p>
    <w:p w14:paraId="5811D4A8" w14:textId="6D1D3A7A" w:rsidR="00AF0C09" w:rsidRPr="002C1480" w:rsidRDefault="00AF0C09" w:rsidP="008A7BD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89" w:name="ver_30057331"/>
      <w:bookmarkEnd w:id="989"/>
    </w:p>
    <w:p w14:paraId="3F181AFB" w14:textId="4A9C457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2.7.1.6.15. Trámite y Concepto del Consejo Nacional de Juegos de Suerte y Azar. Radicada la documentación ante el Consejo Nacional de Juegos de Suerte y Azar, esta institución verificará que cumpla con todos los requisitos señalados en el presente título. </w:t>
      </w:r>
    </w:p>
    <w:p w14:paraId="1ACFE2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3FA77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que sea necesario adicionar o aclarar la información entregada, se comunicará por una sola vez al interesado, y para el efecto se le concederá un plazo de dos (2) meses, contados a partir de la fecha del requerimiento. Si dentro de este plazo no se allega, se entenderá que se desiste de la petición y, en consecuencia, se procederá a declarar el abandono de la solicitud. </w:t>
      </w:r>
    </w:p>
    <w:p w14:paraId="090805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C9C8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Examinado y verificado el cumplimiento de todos los requisitos, el Consejo Nacional de Juegos de Suerte y Azar procederá a la elaboración del respectivo cronograma de sorteos, dentro de los quince (15) días hábiles siguientes. </w:t>
      </w:r>
    </w:p>
    <w:p w14:paraId="22EE1D2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E1C135" w14:textId="77777777" w:rsidR="00AF0C09" w:rsidRPr="008A7BD2" w:rsidRDefault="00AF0C09" w:rsidP="008A7BD2">
      <w:pPr>
        <w:spacing w:after="0" w:line="293" w:lineRule="atLeast"/>
        <w:jc w:val="center"/>
        <w:rPr>
          <w:rFonts w:ascii="Arial" w:eastAsia="Times New Roman" w:hAnsi="Arial" w:cs="Arial"/>
          <w:b/>
          <w:bCs/>
          <w:color w:val="000000"/>
          <w:lang w:eastAsia="es-CO"/>
        </w:rPr>
      </w:pPr>
      <w:bookmarkStart w:id="990" w:name="ver_30057332"/>
      <w:bookmarkEnd w:id="990"/>
      <w:r w:rsidRPr="008A7BD2">
        <w:rPr>
          <w:rFonts w:ascii="Arial" w:eastAsia="Times New Roman" w:hAnsi="Arial" w:cs="Arial"/>
          <w:b/>
          <w:bCs/>
          <w:color w:val="000000"/>
          <w:lang w:eastAsia="es-CO"/>
        </w:rPr>
        <w:t>CAPÍTULO 7</w:t>
      </w:r>
    </w:p>
    <w:p w14:paraId="26BDC5C7" w14:textId="5628383B" w:rsidR="00AF0C09" w:rsidRDefault="00AF0C09"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INSPECCIÓN, VIGILANCIA Y CONTROL DE LAS AUTORIDADES</w:t>
      </w:r>
    </w:p>
    <w:p w14:paraId="60020E97" w14:textId="77777777" w:rsidR="008A7BD2" w:rsidRPr="008A7BD2" w:rsidRDefault="008A7BD2" w:rsidP="008A7BD2">
      <w:pPr>
        <w:spacing w:after="0" w:line="293" w:lineRule="atLeast"/>
        <w:jc w:val="center"/>
        <w:rPr>
          <w:rFonts w:ascii="Arial" w:eastAsia="Times New Roman" w:hAnsi="Arial" w:cs="Arial"/>
          <w:b/>
          <w:bCs/>
          <w:color w:val="000000"/>
          <w:lang w:eastAsia="es-CO"/>
        </w:rPr>
      </w:pPr>
    </w:p>
    <w:p w14:paraId="4D380DCB" w14:textId="3F3343FF" w:rsidR="00AF0C09" w:rsidRPr="002C1480" w:rsidRDefault="002C1480" w:rsidP="008A7BD2">
      <w:pPr>
        <w:spacing w:after="0" w:line="254" w:lineRule="atLeast"/>
        <w:jc w:val="both"/>
        <w:rPr>
          <w:rFonts w:ascii="Arial" w:eastAsia="Times New Roman" w:hAnsi="Arial" w:cs="Arial"/>
          <w:color w:val="000000"/>
          <w:lang w:eastAsia="es-CO"/>
        </w:rPr>
      </w:pPr>
      <w:bookmarkStart w:id="991" w:name="ver_30057333"/>
      <w:bookmarkEnd w:id="991"/>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2.7.1.7.1. Juegos prohibidos y prácticas no autorizadas. Quedan prohibidas y constituyen prácticas no autorizadas la explotación, administración u operación del juego de lotería tradicional o de billetes que se adelanten en contravención a los mandatos contenidos en la Ley 643 de 2001 y las disposiciones del presente título. En tales eventos, conforme se dispone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 de la citada ley, la autoridad de control competente podrá suspender esas actividades y adoptar las medidas preventivas y de intervención que resulten necesarias, sin perjuicio del ejercicio de las funciones de inspección, vigilancia y control correspondientes y de las acciones de tipo penal que deba adelantar la autoridad competente, por ejercicio ilícito de actividad monopolística. </w:t>
      </w:r>
    </w:p>
    <w:p w14:paraId="36B62647" w14:textId="77777777" w:rsidR="009D4BCC" w:rsidRDefault="009D4BCC" w:rsidP="00C32F85">
      <w:pPr>
        <w:spacing w:after="0" w:line="254" w:lineRule="atLeast"/>
        <w:jc w:val="both"/>
        <w:rPr>
          <w:rFonts w:ascii="Arial" w:eastAsia="Times New Roman" w:hAnsi="Arial" w:cs="Arial"/>
          <w:color w:val="000000"/>
          <w:lang w:eastAsia="es-CO"/>
        </w:rPr>
      </w:pPr>
    </w:p>
    <w:p w14:paraId="424D4BB8" w14:textId="61CAA8A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2.7.1.7.2. Indicadores de gestión y eficiencia. De conformidad con lo establecido en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s 50 y 51 de la Ley 643 de 2001, y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47 ibídem, modificado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-Ley 4144 de 2011, y con las normas que los sustituyan, modifiquen </w:t>
      </w:r>
      <w:r w:rsidR="00AF0C09" w:rsidRPr="002C1480">
        <w:rPr>
          <w:rFonts w:ascii="Arial" w:eastAsia="Times New Roman" w:hAnsi="Arial" w:cs="Arial"/>
          <w:color w:val="000000"/>
          <w:lang w:eastAsia="es-CO"/>
        </w:rPr>
        <w:lastRenderedPageBreak/>
        <w:t>o adicionen, el Consejo Nacional de Juegos de Suerte y Azar definirá los indicadores de gestión y eficiencia con los que serán calificados los operadores públicos o privados del juego de lotería tradicional o de billetes. </w:t>
      </w:r>
    </w:p>
    <w:p w14:paraId="2A5EAA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BF435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la misma manera, establecerá los eventos y situaciones que obligan a los operadores del juego de lotería tradicional o de billetes, a someterse a planes de desempeño, entre otras, por verse comprometida su viabilidad financiera o institucional. </w:t>
      </w:r>
    </w:p>
    <w:p w14:paraId="0E8899EB" w14:textId="66B4ABFE"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92" w:name="ver_30057335"/>
      <w:bookmarkEnd w:id="992"/>
    </w:p>
    <w:p w14:paraId="298581CC" w14:textId="60F1CEE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2.7.1.7.3. Calificación de la gestión, eficiencia y rentabilidad de las entidades operadoras del juego de lotería tradicional o de billetes. El Consejo Nacional de Juegos de Suerte y Azar calificará anualmente la gestión y eficiencia de los operadores públicos o privados del juego de lotería tradicional o de billetes, con base en los indicadores de gestión, eficiencia y rentabilidad y en el procedimiento señalado para el efecto. </w:t>
      </w:r>
    </w:p>
    <w:p w14:paraId="5345681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93" w:name="ver_30057336"/>
      <w:bookmarkEnd w:id="993"/>
    </w:p>
    <w:p w14:paraId="28B7F475" w14:textId="168B167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2.7.1.7.4. Planes de desempeño. Los operadores públicos o privados del juego de lotería tradicional o de billetes, que obtengan calificación insatisfactoria o que incurran en eventos y situaciones que comprometan su viabilidad financiera e institucional, se someterán a un plan de desempeño en las condiciones que establezca el Consejo Nacional de Juegos de Suerte y Azar en desarrollo de las facultades que le fueron concedidas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47 de la Ley 643 de 2001, modificado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4144 de 2011. </w:t>
      </w:r>
    </w:p>
    <w:p w14:paraId="35F35F7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94" w:name="ver_30057337"/>
      <w:bookmarkEnd w:id="994"/>
    </w:p>
    <w:p w14:paraId="54A1E0EC" w14:textId="4B9FA33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2.7.1.7.5. Deber de suministrar información. Las personas naturales y jurídicas, públicas y privadas que en cualquier forma o modalidad participen en la explotación, administración, operación, distribución o comercialización del juego de lotería tradicional o de billetes están en la obligación de atender los requerimientos de información formulados por el Consejo Nacional de Juegos de Suerte y Azar, y por las autoridades de control y vigilancia, los cuales hacen parte de los sistemas de información del sector salud. </w:t>
      </w:r>
    </w:p>
    <w:p w14:paraId="613E9A4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B12F6B" w14:textId="4FA4C5B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incumplimiento de esta obligación dará lugar a la imposición de las sanciones a que haya lugar, en concordancia con lo dispuesto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116 y 131 de la Ley 1438 de 2011. </w:t>
      </w:r>
    </w:p>
    <w:p w14:paraId="25E87BFF" w14:textId="1ACAFC5D" w:rsidR="00AF0C09" w:rsidRPr="002C1480" w:rsidRDefault="00AF0C09" w:rsidP="009D4BC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995" w:name="ver_30057338"/>
      <w:bookmarkEnd w:id="995"/>
    </w:p>
    <w:p w14:paraId="62E9A4CD" w14:textId="3648A6E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2.7.1.7.6. Formatos y formularios. El Consejo Nacional de Juegos de Suerte y Azar deberá expedir los formatos, formularios e instrucciones de que trata este título. </w:t>
      </w:r>
    </w:p>
    <w:p w14:paraId="6FAE1B0C" w14:textId="77777777" w:rsidR="008A7BD2" w:rsidRDefault="008A7BD2" w:rsidP="00C32F85">
      <w:pPr>
        <w:spacing w:after="0" w:line="293" w:lineRule="atLeast"/>
        <w:jc w:val="both"/>
        <w:rPr>
          <w:rFonts w:ascii="Arial" w:eastAsia="Times New Roman" w:hAnsi="Arial" w:cs="Arial"/>
          <w:color w:val="000000"/>
          <w:lang w:eastAsia="es-CO"/>
        </w:rPr>
      </w:pPr>
      <w:bookmarkStart w:id="996" w:name="ver_30057339"/>
      <w:bookmarkEnd w:id="996"/>
    </w:p>
    <w:p w14:paraId="55C3C0CC" w14:textId="65FE812A" w:rsidR="00AF0C09" w:rsidRPr="008A7BD2" w:rsidRDefault="00AF0C09"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TÍTULO 2</w:t>
      </w:r>
    </w:p>
    <w:p w14:paraId="51C837F0" w14:textId="05507FB1" w:rsidR="00AF0C09" w:rsidRDefault="00AF0C09"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JUEGO DE APUESTAS PERMANENTES O CHANCE</w:t>
      </w:r>
    </w:p>
    <w:p w14:paraId="7C3F652A" w14:textId="77777777" w:rsidR="008A7BD2" w:rsidRPr="008A7BD2" w:rsidRDefault="008A7BD2" w:rsidP="008A7BD2">
      <w:pPr>
        <w:spacing w:after="0" w:line="293" w:lineRule="atLeast"/>
        <w:jc w:val="center"/>
        <w:rPr>
          <w:rFonts w:ascii="Arial" w:eastAsia="Times New Roman" w:hAnsi="Arial" w:cs="Arial"/>
          <w:b/>
          <w:bCs/>
          <w:color w:val="000000"/>
          <w:lang w:eastAsia="es-CO"/>
        </w:rPr>
      </w:pPr>
    </w:p>
    <w:p w14:paraId="0916C643" w14:textId="77777777" w:rsidR="00AF0C09" w:rsidRPr="008A7BD2" w:rsidRDefault="00AF0C09"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CAPÍTULO 1</w:t>
      </w:r>
    </w:p>
    <w:p w14:paraId="49C0A42C" w14:textId="77777777" w:rsidR="00AF0C09" w:rsidRPr="008A7BD2" w:rsidRDefault="00AF0C09" w:rsidP="008A7BD2">
      <w:pPr>
        <w:spacing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DISPOSICIONES GENERALES</w:t>
      </w:r>
    </w:p>
    <w:p w14:paraId="7E670FC9" w14:textId="77777777" w:rsidR="00AF0C09" w:rsidRPr="008A7BD2" w:rsidRDefault="00AF0C09" w:rsidP="008A7BD2">
      <w:pPr>
        <w:spacing w:after="0" w:line="240" w:lineRule="auto"/>
        <w:jc w:val="center"/>
        <w:rPr>
          <w:rFonts w:ascii="Arial" w:eastAsia="Times New Roman" w:hAnsi="Arial" w:cs="Arial"/>
          <w:b/>
          <w:bCs/>
          <w:color w:val="000000"/>
          <w:lang w:eastAsia="es-CO"/>
        </w:rPr>
      </w:pPr>
      <w:bookmarkStart w:id="997" w:name="ver_30057340"/>
      <w:bookmarkEnd w:id="997"/>
    </w:p>
    <w:p w14:paraId="52D5901F" w14:textId="4FEAABF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2.7.2.1.1. Ámbito de aplicación. Las disposiciones del presente título se aplican a las entidades territoriales, a las Empresas Industriales y Comerciales del Estado de cualquier orden, Sociedades de Capital Público Departamental y demás personas jurídicas, que de conformidad con lo dispuesto en la Ley 643 del 2001 exploten, administren u operen el juego de apuestas permanentes o chance al que se refiere el Capítulo IV de la Ley 643 del 2001. </w:t>
      </w:r>
    </w:p>
    <w:p w14:paraId="117E42E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998" w:name="ver_30057341"/>
      <w:bookmarkEnd w:id="998"/>
    </w:p>
    <w:p w14:paraId="33DA601B" w14:textId="7800398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2.7.2.1.2. Definiciones. Para efectos del presente título, se adoptan las siguientes definiciones: </w:t>
      </w:r>
    </w:p>
    <w:p w14:paraId="5BA5B5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3ADE6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Agencia: Es el establecimiento de comercio previamente autorizado por la entidad concedente, en el que bajo la dependencia y responsabilidad de un concesionario, se colocan apuestas permanentes o chance por medio de uno o varios puntos de venta. </w:t>
      </w:r>
    </w:p>
    <w:p w14:paraId="1072996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735C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podrán operar agencias ni puntos de venta que no hayan sido previamente autorizados de manera expresa y por escrito por la entidad concedente. </w:t>
      </w:r>
    </w:p>
    <w:p w14:paraId="3FC0FA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64D9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Apuesta: Es el valor pagado por el apostador, sin incluir el valor del impuesto sobre las ventas, registrado en el formulario oficial que da derecho a participar en el juego de apuestas permanentes o chance. </w:t>
      </w:r>
    </w:p>
    <w:p w14:paraId="5CF564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2D41B2" w14:textId="57EB826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Colocadores del juego de apuestas permanentes o chance: Los colocadores de apuestas en el juego de apuestas permanentes o chance, pueden ser dependientes o independientes, conforme a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de la Ley 50 de 1990 y demás disposiciones que la modifiquen o adicionen. </w:t>
      </w:r>
    </w:p>
    <w:p w14:paraId="5C3E17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1BD219" w14:textId="692D7EB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Concesionario: Es la persona jurídica que celebra un contrato de concesión, con las entidades contempladas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643 de 2001, con el objeto de operar el juego de apuestas permanentes o chance. </w:t>
      </w:r>
    </w:p>
    <w:p w14:paraId="2757E5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0DE4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Entidades concedentes: Son las Empresas Industriales y Comerciales del Estado del orden departamental o del Distrito Capital, administradoras del juego de lotería tradicional, o las Sociedades de Capital Público Departamental de que trata la Ley 643 de 2001. </w:t>
      </w:r>
    </w:p>
    <w:p w14:paraId="1A126E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20014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Formato: Son las especificaciones relativas al tamaño, forma y demás características que debe tener el formulario único de apuestas permanentes o chance, para el juego manual y para el juego sistematizado. </w:t>
      </w:r>
    </w:p>
    <w:p w14:paraId="76DEF74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C17F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Formulario único de apuestas permanentes o chance: Es un documento al portador, emitido y vendido por las entidades concedentes a los concesionarios, en el cual se registran las apuestas en forma manual o sistematizada. </w:t>
      </w:r>
    </w:p>
    <w:p w14:paraId="343A36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5422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Ingresos brutos: Se entiende por ingresos brutos el valor total de las apuestas registradas en los formularios oficiales del juego. </w:t>
      </w:r>
    </w:p>
    <w:p w14:paraId="0ECD6F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4186C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Juego autorizado: Se entiende por juego autorizado el sorteo autónomo que realiza o autoriza la entidad concedente para efectos exclusivos de utilizar su resultado en el juego de apuestas permanentes o chance. </w:t>
      </w:r>
    </w:p>
    <w:p w14:paraId="3EDB643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A0848D" w14:textId="2B2560F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10. Lotería tradicional: Es la modalidad de juego de suerte y azar definida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 de la Ley 643 de 2001 o la norma que lo modifique o adicione. </w:t>
      </w:r>
    </w:p>
    <w:p w14:paraId="0609BE4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D5BEA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Operador de apuestas permanentes o chance: Es el concesionario que en virtud de un contrato de concesión, coloca en forma directa o indirecta el juego de apuestas permanentes o chance. </w:t>
      </w:r>
    </w:p>
    <w:p w14:paraId="055AA407" w14:textId="77777777" w:rsidR="008A7BD2" w:rsidRDefault="008A7BD2" w:rsidP="00C32F85">
      <w:pPr>
        <w:spacing w:after="0" w:line="293" w:lineRule="atLeast"/>
        <w:jc w:val="both"/>
        <w:rPr>
          <w:rFonts w:ascii="Arial" w:eastAsia="Times New Roman" w:hAnsi="Arial" w:cs="Arial"/>
          <w:color w:val="000000"/>
          <w:lang w:eastAsia="es-CO"/>
        </w:rPr>
      </w:pPr>
      <w:bookmarkStart w:id="999" w:name="ver_30057342"/>
      <w:bookmarkEnd w:id="999"/>
    </w:p>
    <w:p w14:paraId="34F13B1A" w14:textId="2719017B" w:rsidR="00AF0C09" w:rsidRPr="008A7BD2" w:rsidRDefault="00AF0C09"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CAPÍTULO 2</w:t>
      </w:r>
    </w:p>
    <w:p w14:paraId="257535EE" w14:textId="77777777" w:rsidR="00AF0C09" w:rsidRPr="008A7BD2" w:rsidRDefault="00AF0C09"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PLAN DE PREMIOS E INCENTIVOS EN EL JUEGO DE APUESTAS</w:t>
      </w:r>
    </w:p>
    <w:p w14:paraId="1CA2AB01" w14:textId="77777777" w:rsidR="00AF0C09" w:rsidRPr="008A7BD2" w:rsidRDefault="00AF0C09" w:rsidP="008A7BD2">
      <w:pPr>
        <w:spacing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PERMANENTES O CHANCE</w:t>
      </w:r>
    </w:p>
    <w:p w14:paraId="2786FA0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00" w:name="ver_30057343"/>
      <w:bookmarkEnd w:id="1000"/>
    </w:p>
    <w:p w14:paraId="00331FB6" w14:textId="68FEAE4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2.7.2.2.1. Estructura del plan de premios. Los planes de premios para el juego de apuestas permanentes o chance tendrán como mínimo la siguiente estructura: </w:t>
      </w:r>
    </w:p>
    <w:p w14:paraId="445446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32130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Para el acierto de las cuatro (4) cifras seleccionadas por el jugador, en su orden, se pagarán cuatro mil quinientos pesos ($4.500) por cada peso ($1) apostado. </w:t>
      </w:r>
    </w:p>
    <w:p w14:paraId="4C117B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BC4D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Para el acierto de las cuatro (4) cifras seleccionadas por el jugador, en cualquier orden, se pagarán doscientos ocho pesos ($208) por cada peso ($1) apostado. </w:t>
      </w:r>
    </w:p>
    <w:p w14:paraId="340152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CA4F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Para el acierto de las tres (3) cifras seleccionadas por el jugador, en su orden, se pagarán cuatrocientos pesos ($400) por cada peso ($1) apostado. </w:t>
      </w:r>
    </w:p>
    <w:p w14:paraId="395DDF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524A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Para el acierto de las tres (3) cifras seleccionadas por el jugador, en cualquier orden, se pagarán ochenta y tres pesos ($83) por cada peso ($1) apostado. </w:t>
      </w:r>
    </w:p>
    <w:p w14:paraId="2D0760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14D5E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Para el acierto de las dos (2) cifras seleccionadas por el jugador, en su orden, se pagarán cincuenta pesos ($50) por cada peso ($1) apostado. </w:t>
      </w:r>
    </w:p>
    <w:p w14:paraId="2D5E6E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B3F4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Para el acierto de la última y única (1) cifra seleccionada por el jugador, se pagarán cinco pesos ($5) por cada peso ($1) apostado. </w:t>
      </w:r>
    </w:p>
    <w:p w14:paraId="04AB5C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1336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De acuerdo con el número de cifras seleccionadas por el jugador, cuatro (4), tres (3), dos (2) o una (1), se entenderá que corresponden a las cuatro, tres últimas, dos últimas, o última, del resultado del premio mayor de la lotería o del juego autorizado. </w:t>
      </w:r>
    </w:p>
    <w:p w14:paraId="36A5B76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01" w:name="ver_30057344"/>
      <w:bookmarkEnd w:id="1001"/>
    </w:p>
    <w:p w14:paraId="0E799DBF" w14:textId="146BF55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2.7.2.2.2. Pago de premios. Los premios deberán ser pagados por el concesionario a la presentación del documento de juego para su cobro, previas las retenciones de impuestos a que haya lugar. </w:t>
      </w:r>
    </w:p>
    <w:p w14:paraId="6AA56C1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31C2E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el premio podrá ser pagado en especie, ni en cuotas partes. </w:t>
      </w:r>
    </w:p>
    <w:p w14:paraId="73CFE33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02" w:name="ver_30057345"/>
      <w:bookmarkEnd w:id="1002"/>
    </w:p>
    <w:p w14:paraId="094DBC2F" w14:textId="5ECE317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2.7.2.2.3. Información de aciertos. Los formularios que resultaren premiados dentro del ejercicio de la apuesta deberán ser reportados a la entidad concedente, dentro de los cinco (5) días siguientes a la fecha de realización del sorteo. </w:t>
      </w:r>
    </w:p>
    <w:p w14:paraId="1ECF5C73" w14:textId="35BEE32A" w:rsidR="00AF0C09" w:rsidRPr="002C1480" w:rsidRDefault="00AF0C09" w:rsidP="008A7BD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03" w:name="ver_30057346"/>
      <w:bookmarkEnd w:id="1003"/>
    </w:p>
    <w:p w14:paraId="141A667F" w14:textId="5739199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2.7.2.2.4. Reservas técnicas para el pago de premios. El concesionario del juego de apuestas permanentes o chance, deberá efectuar la provisión de las reservas técnicas para el pago de premios, en la forma prevista en el presente título. </w:t>
      </w:r>
    </w:p>
    <w:p w14:paraId="0345CA4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04" w:name="ver_30105972"/>
      <w:bookmarkStart w:id="1005" w:name="ver_30105971"/>
      <w:bookmarkEnd w:id="1004"/>
    </w:p>
    <w:p w14:paraId="276E271E" w14:textId="68783EF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2.7.2.2.5. Incentivos en el juego de apuestas permanentes o chance. Las entidades concedentes del juego de apuestas permanentes o chance podrán autorizar a los concesionarios del juego para otorgar incentivos en la respectiva jurisdicción territorial, como una proporción adicional sobre el valor total del premio correspondiente de conformidad con el plan de premios vigente, siempre y cuando, cumplan con los requisitos previstos en el presente título. </w:t>
      </w:r>
    </w:p>
    <w:p w14:paraId="1E832D9E" w14:textId="526D5591" w:rsidR="00AF0C09" w:rsidRPr="002C1480" w:rsidRDefault="00AF0C09" w:rsidP="008A7BD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06" w:name="ver_30105974"/>
      <w:bookmarkStart w:id="1007" w:name="ver_30105973"/>
      <w:bookmarkEnd w:id="1005"/>
      <w:bookmarkEnd w:id="1006"/>
    </w:p>
    <w:p w14:paraId="2979CDCF" w14:textId="2003CEF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2.7.2.2.6. Requisitos para la autorización de los incentivos con cobro.  </w:t>
      </w:r>
    </w:p>
    <w:p w14:paraId="40D935A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EBE4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concedentes del juego de apuestas permanentes o chance podrán autorizar incentivos con cobro, bajo los siguientes requisitos mínimos:  </w:t>
      </w:r>
    </w:p>
    <w:p w14:paraId="5FB032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9DF6B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 Estar asociado al tiquete de la apuesta principal.  </w:t>
      </w:r>
    </w:p>
    <w:p w14:paraId="180F0E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ABD8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Garantizar un retorno al jugador mínimo así: para premios de contrapartida mínimo un retorno del 43.5% y en el caso de premiación fija un retorno mínimo del 50%.  </w:t>
      </w:r>
    </w:p>
    <w:p w14:paraId="1F923A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D470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concesionario debe demostrar capacidad económica en términos de reservas para el pago de los incentivos ofrecidos al apostador.  </w:t>
      </w:r>
    </w:p>
    <w:p w14:paraId="3BED8D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5AA3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 autorización de estos incentivos puede otorgarse hasta por el mismo término de ejecución del contrato de concesión.  </w:t>
      </w:r>
    </w:p>
    <w:p w14:paraId="67394F1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9D1E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concesionario debe estar a paz y salvo en los pagos de derechos de explotación y gastos de administración derivados de la rentabilidad mínima.  </w:t>
      </w:r>
    </w:p>
    <w:p w14:paraId="529B43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7A0E6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concesionario deberá presentar con la solicitud de autorización a la entidad concedente, la mecánica del incentivo, la periodicidad y el valor del incentivo a ofrecer.  </w:t>
      </w:r>
    </w:p>
    <w:p w14:paraId="4A8630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F2E3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La autorización debe ser otorgada por la Entidad concedente mediante acto administrativo debidamente motivado. Deberá ser remitido dentro de los 5 días hábiles siguientes a su firmeza al Consejo Nacional de Juegos de Suerte y Azar o a quien haga sus veces, para lo de su competencia </w:t>
      </w:r>
    </w:p>
    <w:p w14:paraId="3EDAC4F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08" w:name="ver_30105992"/>
      <w:bookmarkStart w:id="1009" w:name="ver_30105991"/>
      <w:bookmarkEnd w:id="1007"/>
      <w:bookmarkEnd w:id="1008"/>
    </w:p>
    <w:p w14:paraId="69C3E9BC" w14:textId="61946A2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2.7.2.2.7. Derogado </w:t>
      </w:r>
    </w:p>
    <w:p w14:paraId="7386723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10" w:name="ver_30057350"/>
      <w:bookmarkEnd w:id="1009"/>
      <w:bookmarkEnd w:id="1010"/>
    </w:p>
    <w:p w14:paraId="07D9DD1E" w14:textId="735F5D9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2.7.2.2.8. Desconocimiento del régimen de incentivos. El otorgamiento de incentivos por parte de los concesionarios en contravención a las disposiciones vigentes, de conformidad con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 de la Ley 643 de 2001, constituye práctica ilegal y no autorizada y, por consiguiente configura la causal de inhabilidad, para operar juegos de suerte y azar por cinco (5) años, prevista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44 del mismo estatuto; lo anterior sin perjuicio de las demás consecuencias que ello genereerminación. </w:t>
      </w:r>
    </w:p>
    <w:p w14:paraId="2138F845" w14:textId="77777777" w:rsidR="008A7BD2" w:rsidRDefault="008A7BD2" w:rsidP="00C32F85">
      <w:pPr>
        <w:spacing w:after="0" w:line="293" w:lineRule="atLeast"/>
        <w:jc w:val="both"/>
        <w:rPr>
          <w:rFonts w:ascii="Arial" w:eastAsia="Times New Roman" w:hAnsi="Arial" w:cs="Arial"/>
          <w:color w:val="000000"/>
          <w:lang w:eastAsia="es-CO"/>
        </w:rPr>
      </w:pPr>
      <w:bookmarkStart w:id="1011" w:name="ver_30105969"/>
      <w:bookmarkEnd w:id="1011"/>
    </w:p>
    <w:p w14:paraId="0E26C44F" w14:textId="0CC049CC" w:rsidR="00AF0C09" w:rsidRPr="008A7BD2" w:rsidRDefault="008A7BD2"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SECCIÓN 1</w:t>
      </w:r>
    </w:p>
    <w:p w14:paraId="0045C4D9" w14:textId="20143A81" w:rsidR="00AF0C09" w:rsidRPr="008A7BD2" w:rsidRDefault="008A7BD2" w:rsidP="008A7BD2">
      <w:pPr>
        <w:spacing w:after="0" w:line="293" w:lineRule="atLeast"/>
        <w:jc w:val="center"/>
        <w:rPr>
          <w:rFonts w:ascii="Arial" w:eastAsia="Times New Roman" w:hAnsi="Arial" w:cs="Arial"/>
          <w:b/>
          <w:bCs/>
          <w:color w:val="000000"/>
          <w:lang w:eastAsia="es-CO"/>
        </w:rPr>
      </w:pPr>
      <w:r w:rsidRPr="008A7BD2">
        <w:rPr>
          <w:rFonts w:ascii="Arial" w:eastAsia="Times New Roman" w:hAnsi="Arial" w:cs="Arial"/>
          <w:b/>
          <w:bCs/>
          <w:color w:val="000000"/>
          <w:lang w:eastAsia="es-CO"/>
        </w:rPr>
        <w:t>PLANES DE PREMIOS ADICIONALES PARA EL JUEGO DE APUESTAS PERMANENTES O CHANCE</w:t>
      </w:r>
    </w:p>
    <w:p w14:paraId="250BE77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12" w:name="ver_30105970"/>
      <w:bookmarkEnd w:id="1012"/>
    </w:p>
    <w:p w14:paraId="54BC0AE4" w14:textId="1F331BA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2.7.2.2.1.1. Plan de premios para la modalidad de chance de doble acierto con premio acumulado. En el juego de chance con doble acierto de premio acumulado, el apostador selecciona cinco (5) números de tres (3) cifras o cinco (5) números de cuatro (4) cifras, con la expectativa de que dos (2) de los números elegidos coincidan con el resultado del premio mayor de dos (2) loterías tradicionales; o con el resultado de dos (2) juegos autorizados o con el resultado del premio mayor de una lotería tradicional y el resultado de un juego autorizado, que jueguen el mismo día.  </w:t>
      </w:r>
    </w:p>
    <w:p w14:paraId="4CFABB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F7DB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juego de chance con doble acierto de premio acumulado, cuando en un mismo ciclo diario de juego, varios jugadores seleccionen las combinaciones ganadoras, el premio se distribuirá en partes iguales entre los ganadores.  </w:t>
      </w:r>
    </w:p>
    <w:p w14:paraId="44B9A5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182D5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En la modalidad de Doble Chance de cuatro cifras se premiarán las siguientes combinaciones:  </w:t>
      </w:r>
    </w:p>
    <w:p w14:paraId="378F0D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147D4F" w14:textId="36AD5AAA" w:rsidR="00AF0C09" w:rsidRDefault="00AF0C09" w:rsidP="008A7BD2">
      <w:pPr>
        <w:numPr>
          <w:ilvl w:val="0"/>
          <w:numId w:val="4"/>
        </w:numPr>
        <w:spacing w:after="0" w:line="240" w:lineRule="auto"/>
        <w:ind w:left="357"/>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jugador ganará el premio acumulado de Doble Acierto de cuatro (4) cifras, cuando uno o dos de los cinco (5) números de cuatro (4) cifras consignados en el formulario coincida con las </w:t>
      </w:r>
      <w:r w:rsidRPr="002C1480">
        <w:rPr>
          <w:rFonts w:ascii="Arial" w:eastAsia="Times New Roman" w:hAnsi="Arial" w:cs="Arial"/>
          <w:color w:val="000000"/>
          <w:lang w:eastAsia="es-CO"/>
        </w:rPr>
        <w:lastRenderedPageBreak/>
        <w:t>cuatro cifras de los resultados del premio mayor de las loterías o juegos autorizados señalados por el jugador. En caso de resultar más de un ganador para el Doble Acierto acumulado de cuatro (4) cifras del juego del día, el premio se dividirá por partes iguales entre los ganadores.</w:t>
      </w:r>
    </w:p>
    <w:p w14:paraId="337C0CA4" w14:textId="77777777" w:rsidR="008A7BD2" w:rsidRPr="002C1480" w:rsidRDefault="008A7BD2" w:rsidP="008A7BD2">
      <w:pPr>
        <w:spacing w:after="0" w:line="240" w:lineRule="auto"/>
        <w:ind w:left="357"/>
        <w:jc w:val="both"/>
        <w:rPr>
          <w:rFonts w:ascii="Arial" w:eastAsia="Times New Roman" w:hAnsi="Arial" w:cs="Arial"/>
          <w:color w:val="000000"/>
          <w:lang w:eastAsia="es-CO"/>
        </w:rPr>
      </w:pPr>
    </w:p>
    <w:p w14:paraId="5B17E9E2" w14:textId="77777777" w:rsidR="00AF0C09" w:rsidRPr="002C1480" w:rsidRDefault="00AF0C09" w:rsidP="008A7BD2">
      <w:pPr>
        <w:numPr>
          <w:ilvl w:val="0"/>
          <w:numId w:val="4"/>
        </w:numPr>
        <w:spacing w:after="0" w:line="240" w:lineRule="auto"/>
        <w:ind w:left="357"/>
        <w:jc w:val="both"/>
        <w:rPr>
          <w:rFonts w:ascii="Arial" w:eastAsia="Times New Roman" w:hAnsi="Arial" w:cs="Arial"/>
          <w:color w:val="000000"/>
          <w:lang w:eastAsia="es-CO"/>
        </w:rPr>
      </w:pPr>
      <w:r w:rsidRPr="002C1480">
        <w:rPr>
          <w:rFonts w:ascii="Arial" w:eastAsia="Times New Roman" w:hAnsi="Arial" w:cs="Arial"/>
          <w:color w:val="000000"/>
          <w:lang w:eastAsia="es-CO"/>
        </w:rPr>
        <w:t>Acumulado Doble Acierto de cuatro (4) cifras: El acumulado inicial será mínimo de ciento cuarenta y cinco mil (145.000) veces el valor apostado, calculado sobre el valor total de la apuesta. En caso de no haber ganadores, se incrementará de forma automática el premio acumulado con el 6.5% de los ingresos brutos de la venta diaria por esta modalidad.</w:t>
      </w:r>
    </w:p>
    <w:p w14:paraId="3F74670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A269C3" w14:textId="10A42E1A" w:rsidR="00AF0C09" w:rsidRDefault="00AF0C09" w:rsidP="008A7BD2">
      <w:pPr>
        <w:spacing w:after="0" w:line="254" w:lineRule="atLeast"/>
        <w:ind w:left="357"/>
        <w:jc w:val="both"/>
        <w:rPr>
          <w:rFonts w:ascii="Arial" w:eastAsia="Times New Roman" w:hAnsi="Arial" w:cs="Arial"/>
          <w:color w:val="000000"/>
          <w:lang w:eastAsia="es-CO"/>
        </w:rPr>
      </w:pPr>
      <w:r w:rsidRPr="002C1480">
        <w:rPr>
          <w:rFonts w:ascii="Arial" w:eastAsia="Times New Roman" w:hAnsi="Arial" w:cs="Arial"/>
          <w:color w:val="000000"/>
          <w:lang w:eastAsia="es-CO"/>
        </w:rPr>
        <w:t>El 7.5% de los ingresos brutos obtenidos, se reservará para garantizar el premio inicial, una vez esta reserva alcance el valor del premio inicial, se destinará dicho porcentaje de forma automática para incrementar el premio acumulado.  </w:t>
      </w:r>
    </w:p>
    <w:p w14:paraId="05896567" w14:textId="77777777" w:rsidR="008A7BD2" w:rsidRPr="002C1480" w:rsidRDefault="008A7BD2" w:rsidP="00C32F85">
      <w:pPr>
        <w:spacing w:after="0" w:line="254" w:lineRule="atLeast"/>
        <w:jc w:val="both"/>
        <w:rPr>
          <w:rFonts w:ascii="Arial" w:eastAsia="Times New Roman" w:hAnsi="Arial" w:cs="Arial"/>
          <w:color w:val="000000"/>
          <w:lang w:eastAsia="es-CO"/>
        </w:rPr>
      </w:pPr>
    </w:p>
    <w:p w14:paraId="1FF09FAF" w14:textId="4F948AF8" w:rsidR="00AF0C09" w:rsidRPr="002C1480" w:rsidRDefault="008A7BD2" w:rsidP="008A7BD2">
      <w:pPr>
        <w:spacing w:after="0" w:line="254" w:lineRule="atLeast"/>
        <w:jc w:val="both"/>
        <w:rPr>
          <w:rFonts w:ascii="Arial" w:eastAsia="Times New Roman" w:hAnsi="Arial" w:cs="Arial"/>
          <w:color w:val="000000"/>
          <w:lang w:eastAsia="es-CO"/>
        </w:rPr>
      </w:pPr>
      <w:r>
        <w:rPr>
          <w:rFonts w:ascii="Arial" w:eastAsia="Times New Roman" w:hAnsi="Arial" w:cs="Arial"/>
          <w:color w:val="000000"/>
          <w:lang w:eastAsia="es-CO"/>
        </w:rPr>
        <w:t xml:space="preserve">C. </w:t>
      </w:r>
      <w:r w:rsidR="00AF0C09" w:rsidRPr="002C1480">
        <w:rPr>
          <w:rFonts w:ascii="Arial" w:eastAsia="Times New Roman" w:hAnsi="Arial" w:cs="Arial"/>
          <w:color w:val="000000"/>
          <w:lang w:eastAsia="es-CO"/>
        </w:rPr>
        <w:t>Cuando alguno de los cinco (5) números de cuatro (4) cifras consignados en el formulario coincida únicamente con el resultado del premio mayor de una (1) de las dos (2) loterías o juegos autorizados señalados por el jugador, el operador le pagará a este un premio mínimo equivalente a tres mil pesos ($3.000) por cada peso apostado, calculado sobre el valor apostado a cada número.</w:t>
      </w:r>
    </w:p>
    <w:p w14:paraId="6D2AB944" w14:textId="77777777" w:rsidR="00AF0C09" w:rsidRPr="002C1480" w:rsidRDefault="00AF0C09" w:rsidP="00C32F85">
      <w:pPr>
        <w:spacing w:after="0" w:line="254" w:lineRule="atLeast"/>
        <w:ind w:left="720"/>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1244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 la modalidad de Doble Chance de tres cifras se premiarán las siguientes combinaciones:  </w:t>
      </w:r>
    </w:p>
    <w:p w14:paraId="26DA40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F13C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jugador ganará el premio acumulado de Doble Acierto de tres (3) cifras, cuando uno o dos de los cinco (5) números de tres (3) cifras consignados en el formulario coincida con las tres últimas cifras de los resultados del premio mayor de las loterías o juegos autorizados señalados por el jugador. En caso de resultar más de un ganador para el Doble Acierto acumulado de tres (3) cifras del juego del día, el premio se dividirá por partes iguales entre los ganadores.  </w:t>
      </w:r>
    </w:p>
    <w:p w14:paraId="4AB128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6EF2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Acumulado Doble Acierto de tres (3) cifras: El acumulado inicial será mínimo de dos mil novecientas (2.900) veces el valor apostado, calculado sobre el valor total de la apuesta.  </w:t>
      </w:r>
    </w:p>
    <w:p w14:paraId="0062F3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32F9EB" w14:textId="27CAAA09"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no haber ganadores, se Incrementará de forma automática el premio acumulado con el 14% de los ingresos brutos de la venta diaria por esta modalidad.  </w:t>
      </w:r>
    </w:p>
    <w:p w14:paraId="24E9E2C1" w14:textId="77777777" w:rsidR="00751C2A" w:rsidRPr="002C1480" w:rsidRDefault="00751C2A" w:rsidP="00C32F85">
      <w:pPr>
        <w:spacing w:after="0" w:line="254" w:lineRule="atLeast"/>
        <w:jc w:val="both"/>
        <w:rPr>
          <w:rFonts w:ascii="Arial" w:eastAsia="Times New Roman" w:hAnsi="Arial" w:cs="Arial"/>
          <w:color w:val="000000"/>
          <w:lang w:eastAsia="es-CO"/>
        </w:rPr>
      </w:pPr>
    </w:p>
    <w:p w14:paraId="5977FCE2" w14:textId="28C93C08" w:rsidR="00AF0C09" w:rsidRPr="00751C2A" w:rsidRDefault="00AF0C09" w:rsidP="00751C2A">
      <w:pPr>
        <w:pStyle w:val="Prrafodelista"/>
        <w:numPr>
          <w:ilvl w:val="0"/>
          <w:numId w:val="4"/>
        </w:numPr>
        <w:spacing w:after="0" w:line="254" w:lineRule="atLeast"/>
        <w:ind w:left="360"/>
        <w:jc w:val="both"/>
        <w:rPr>
          <w:rFonts w:ascii="Arial" w:eastAsia="Times New Roman" w:hAnsi="Arial" w:cs="Arial"/>
          <w:color w:val="000000"/>
          <w:lang w:eastAsia="es-CO"/>
        </w:rPr>
      </w:pPr>
      <w:r w:rsidRPr="00751C2A">
        <w:rPr>
          <w:rFonts w:ascii="Arial" w:eastAsia="Times New Roman" w:hAnsi="Arial" w:cs="Arial"/>
          <w:color w:val="000000"/>
          <w:lang w:eastAsia="es-CO"/>
        </w:rPr>
        <w:t>Cuando alguno de los cinco (5) números de tres (3) cifras consignados en el formulario coincida únicamente con el resultado del premio mayor de una (1) de las dos (2) loterías o juegos autorizados señalados por el jugador, el operador le pagará a este un premio mínimo equivalente a trescientos pesos ($300) por cada peso apostado, calculado sobre el valor apostado a cada número.</w:t>
      </w:r>
    </w:p>
    <w:p w14:paraId="6B2D47C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26DF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doble acierto solo podrá venderse a través del mecanismo de comercialización que se realice en línea y tiempo real.  </w:t>
      </w:r>
    </w:p>
    <w:p w14:paraId="455DEA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FDB18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plan de premios que implique reservas solamente podrá comenzar a operar una vez los operadores adopten el régimen de reservas y provisiones y demás condiciones que establezca el Consejo Nacional de Juegos de Suerte y Azar. En todo caso se deberá garantizar que el retorno al público sea cuando menos el 44% de los ingresos brutos del juego.  </w:t>
      </w:r>
    </w:p>
    <w:p w14:paraId="25900F2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A27B8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El valor de la apuesta por los cinco (5) números seleccionados por el apostador, tanto en la categoría de cuatro (4) como de tres (3) cifras, será una cantidad fija que no podrá ser </w:t>
      </w:r>
      <w:r w:rsidRPr="002C1480">
        <w:rPr>
          <w:rFonts w:ascii="Arial" w:eastAsia="Times New Roman" w:hAnsi="Arial" w:cs="Arial"/>
          <w:color w:val="000000"/>
          <w:lang w:eastAsia="es-CO"/>
        </w:rPr>
        <w:lastRenderedPageBreak/>
        <w:t>inferior a quinientos pesos ($500) ni superior a la centena más cercana del veinte por ciento (20%) de una Unidad de Valor Tributario (UVT).  </w:t>
      </w:r>
    </w:p>
    <w:p w14:paraId="4E6A9A0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A3D52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Las empresas concesionarias del juego de apuestas permanentes podrán asociarse para la operación del plan de premios del doble acierto acumulado, en las condiciones que establezca el Consejo Nacional de Juegos de Suerte y Azar. En todo caso, la operación asociada debe ser aprobada por cada una de las entidades concedentes afectadas.  </w:t>
      </w:r>
    </w:p>
    <w:p w14:paraId="2A355ED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84028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5°. El ofrecimiento al público del doble acierto de premio acumulado será potestativo de cada empresa operadora del juego.  </w:t>
      </w:r>
    </w:p>
    <w:p w14:paraId="4F618CC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6337D6" w14:textId="7AD7EA5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6°. El operador para iniciar sus ventas deberá informar a la entidad concedente (lotería o departamento) el valor de las apuestas, acreditando el cumplimiento de lo reglamentado por el Consejo Nacional de Juegos de Suerte y Azar, según el parágrafo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56202C1" w14:textId="77777777" w:rsidR="00AF0C09" w:rsidRPr="002C1480" w:rsidRDefault="00AF0C09" w:rsidP="00C32F85">
      <w:pPr>
        <w:spacing w:after="0" w:line="254" w:lineRule="atLeast"/>
        <w:jc w:val="both"/>
        <w:rPr>
          <w:rFonts w:ascii="Arial" w:eastAsia="Times New Roman" w:hAnsi="Arial" w:cs="Arial"/>
          <w:color w:val="000000"/>
          <w:lang w:eastAsia="es-CO"/>
        </w:rPr>
      </w:pPr>
    </w:p>
    <w:p w14:paraId="7087FF9F" w14:textId="77777777" w:rsidR="00AF0C09" w:rsidRPr="00751C2A" w:rsidRDefault="00AF0C09" w:rsidP="00751C2A">
      <w:pPr>
        <w:spacing w:after="0" w:line="293" w:lineRule="atLeast"/>
        <w:jc w:val="center"/>
        <w:rPr>
          <w:rFonts w:ascii="Arial" w:eastAsia="Times New Roman" w:hAnsi="Arial" w:cs="Arial"/>
          <w:b/>
          <w:bCs/>
          <w:color w:val="000000"/>
          <w:lang w:eastAsia="es-CO"/>
        </w:rPr>
      </w:pPr>
      <w:bookmarkStart w:id="1013" w:name="ver_30057351"/>
      <w:bookmarkEnd w:id="1013"/>
      <w:r w:rsidRPr="00751C2A">
        <w:rPr>
          <w:rFonts w:ascii="Arial" w:eastAsia="Times New Roman" w:hAnsi="Arial" w:cs="Arial"/>
          <w:b/>
          <w:bCs/>
          <w:color w:val="000000"/>
          <w:lang w:eastAsia="es-CO"/>
        </w:rPr>
        <w:t>CAPÍTULO 3</w:t>
      </w:r>
    </w:p>
    <w:p w14:paraId="2C665AA5" w14:textId="77777777" w:rsidR="00AF0C09" w:rsidRPr="00751C2A" w:rsidRDefault="00AF0C09" w:rsidP="00751C2A">
      <w:pPr>
        <w:spacing w:line="293" w:lineRule="atLeast"/>
        <w:jc w:val="center"/>
        <w:rPr>
          <w:rFonts w:ascii="Arial" w:eastAsia="Times New Roman" w:hAnsi="Arial" w:cs="Arial"/>
          <w:b/>
          <w:bCs/>
          <w:color w:val="000000"/>
          <w:lang w:eastAsia="es-CO"/>
        </w:rPr>
      </w:pPr>
      <w:r w:rsidRPr="00751C2A">
        <w:rPr>
          <w:rFonts w:ascii="Arial" w:eastAsia="Times New Roman" w:hAnsi="Arial" w:cs="Arial"/>
          <w:b/>
          <w:bCs/>
          <w:color w:val="000000"/>
          <w:lang w:eastAsia="es-CO"/>
        </w:rPr>
        <w:t>FORMULARIO UNICO DE APUESTAS PERMANENTES O CHANCE</w:t>
      </w:r>
    </w:p>
    <w:p w14:paraId="6DB0245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14" w:name="ver_30105976"/>
      <w:bookmarkStart w:id="1015" w:name="ver_30105975"/>
      <w:bookmarkEnd w:id="1014"/>
    </w:p>
    <w:p w14:paraId="196FD503" w14:textId="5675ED2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2.7.2.3.1.Contenido del formulario único de apuestas permanente o chance.  </w:t>
      </w:r>
    </w:p>
    <w:p w14:paraId="724B83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071E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formulario único para el juego de apuestas permanentes o chance, deberá contener como mínimo la siguiente información:  </w:t>
      </w:r>
    </w:p>
    <w:p w14:paraId="6A1988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989E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Nombre de la entidad concedente.  </w:t>
      </w:r>
    </w:p>
    <w:p w14:paraId="6A327D9D" w14:textId="77777777" w:rsidR="00751C2A" w:rsidRDefault="00751C2A" w:rsidP="00C32F85">
      <w:pPr>
        <w:spacing w:after="0" w:line="254" w:lineRule="atLeast"/>
        <w:jc w:val="both"/>
        <w:rPr>
          <w:rFonts w:ascii="Arial" w:eastAsia="Times New Roman" w:hAnsi="Arial" w:cs="Arial"/>
          <w:color w:val="000000"/>
          <w:lang w:eastAsia="es-CO"/>
        </w:rPr>
      </w:pPr>
    </w:p>
    <w:p w14:paraId="2A0A67AC" w14:textId="428101E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Nombre o razón social del concesionario.  </w:t>
      </w:r>
    </w:p>
    <w:p w14:paraId="4BABC45A" w14:textId="77777777" w:rsidR="00751C2A" w:rsidRDefault="00751C2A" w:rsidP="00C32F85">
      <w:pPr>
        <w:spacing w:after="0" w:line="254" w:lineRule="atLeast"/>
        <w:jc w:val="both"/>
        <w:rPr>
          <w:rFonts w:ascii="Arial" w:eastAsia="Times New Roman" w:hAnsi="Arial" w:cs="Arial"/>
          <w:color w:val="000000"/>
          <w:lang w:eastAsia="es-CO"/>
        </w:rPr>
      </w:pPr>
    </w:p>
    <w:p w14:paraId="6C37FB96" w14:textId="2E09DE8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Número y fecha del contrato de concesión del juego de apuestas permanentes o chance.  </w:t>
      </w:r>
    </w:p>
    <w:p w14:paraId="53FBA4F0" w14:textId="77777777" w:rsidR="00751C2A" w:rsidRDefault="00751C2A" w:rsidP="00C32F85">
      <w:pPr>
        <w:spacing w:after="0" w:line="254" w:lineRule="atLeast"/>
        <w:jc w:val="both"/>
        <w:rPr>
          <w:rFonts w:ascii="Arial" w:eastAsia="Times New Roman" w:hAnsi="Arial" w:cs="Arial"/>
          <w:color w:val="000000"/>
          <w:lang w:eastAsia="es-CO"/>
        </w:rPr>
      </w:pPr>
    </w:p>
    <w:p w14:paraId="3ABB9BFC" w14:textId="17989793"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Numeración consecutiva.  </w:t>
      </w:r>
    </w:p>
    <w:p w14:paraId="512C7B8E" w14:textId="77777777" w:rsidR="00751C2A" w:rsidRDefault="00751C2A" w:rsidP="00C32F85">
      <w:pPr>
        <w:spacing w:after="0" w:line="254" w:lineRule="atLeast"/>
        <w:jc w:val="both"/>
        <w:rPr>
          <w:rFonts w:ascii="Arial" w:eastAsia="Times New Roman" w:hAnsi="Arial" w:cs="Arial"/>
          <w:color w:val="000000"/>
          <w:lang w:eastAsia="es-CO"/>
        </w:rPr>
      </w:pPr>
    </w:p>
    <w:p w14:paraId="4A5BDB01" w14:textId="77F3706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Ciudad y fecha de expedición del formulario.  </w:t>
      </w:r>
    </w:p>
    <w:p w14:paraId="62F60B4C" w14:textId="77777777" w:rsidR="00751C2A" w:rsidRDefault="00751C2A" w:rsidP="00C32F85">
      <w:pPr>
        <w:spacing w:after="0" w:line="254" w:lineRule="atLeast"/>
        <w:jc w:val="both"/>
        <w:rPr>
          <w:rFonts w:ascii="Arial" w:eastAsia="Times New Roman" w:hAnsi="Arial" w:cs="Arial"/>
          <w:color w:val="000000"/>
          <w:lang w:eastAsia="es-CO"/>
        </w:rPr>
      </w:pPr>
    </w:p>
    <w:p w14:paraId="40ED81A4" w14:textId="328CE9E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Número de Identificación Tributaria del concesionario.  </w:t>
      </w:r>
    </w:p>
    <w:p w14:paraId="1CF3FAAC" w14:textId="77777777" w:rsidR="00751C2A" w:rsidRDefault="00751C2A" w:rsidP="00C32F85">
      <w:pPr>
        <w:spacing w:after="0" w:line="254" w:lineRule="atLeast"/>
        <w:jc w:val="both"/>
        <w:rPr>
          <w:rFonts w:ascii="Arial" w:eastAsia="Times New Roman" w:hAnsi="Arial" w:cs="Arial"/>
          <w:color w:val="000000"/>
          <w:lang w:eastAsia="es-CO"/>
        </w:rPr>
      </w:pPr>
    </w:p>
    <w:p w14:paraId="729346F8" w14:textId="141C4E4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Domicilio comercial del concesionario.  </w:t>
      </w:r>
    </w:p>
    <w:p w14:paraId="11AFD21C" w14:textId="77777777" w:rsidR="00751C2A" w:rsidRDefault="00751C2A" w:rsidP="00C32F85">
      <w:pPr>
        <w:spacing w:after="0" w:line="254" w:lineRule="atLeast"/>
        <w:jc w:val="both"/>
        <w:rPr>
          <w:rFonts w:ascii="Arial" w:eastAsia="Times New Roman" w:hAnsi="Arial" w:cs="Arial"/>
          <w:color w:val="000000"/>
          <w:lang w:eastAsia="es-CO"/>
        </w:rPr>
      </w:pPr>
    </w:p>
    <w:p w14:paraId="1716827F" w14:textId="56E45C25"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Nombre de la lotería tradicional o juego autorizado, con el que se cursará la apuesta.  </w:t>
      </w:r>
    </w:p>
    <w:p w14:paraId="50209334" w14:textId="77777777" w:rsidR="00751C2A" w:rsidRDefault="00751C2A" w:rsidP="00C32F85">
      <w:pPr>
        <w:spacing w:after="0" w:line="254" w:lineRule="atLeast"/>
        <w:jc w:val="both"/>
        <w:rPr>
          <w:rFonts w:ascii="Arial" w:eastAsia="Times New Roman" w:hAnsi="Arial" w:cs="Arial"/>
          <w:color w:val="000000"/>
          <w:lang w:eastAsia="es-CO"/>
        </w:rPr>
      </w:pPr>
    </w:p>
    <w:p w14:paraId="5598F2EA" w14:textId="211C276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Fecha del sorteo.  </w:t>
      </w:r>
    </w:p>
    <w:p w14:paraId="23FB638A" w14:textId="77777777" w:rsidR="00751C2A" w:rsidRDefault="00751C2A" w:rsidP="00C32F85">
      <w:pPr>
        <w:spacing w:after="0" w:line="254" w:lineRule="atLeast"/>
        <w:jc w:val="both"/>
        <w:rPr>
          <w:rFonts w:ascii="Arial" w:eastAsia="Times New Roman" w:hAnsi="Arial" w:cs="Arial"/>
          <w:color w:val="000000"/>
          <w:lang w:eastAsia="es-CO"/>
        </w:rPr>
      </w:pPr>
    </w:p>
    <w:p w14:paraId="67ABDE5C" w14:textId="0CBC043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Número del carné del colocador o de la máquina autorizada.  </w:t>
      </w:r>
    </w:p>
    <w:p w14:paraId="245539FA" w14:textId="77777777" w:rsidR="00751C2A" w:rsidRDefault="00751C2A" w:rsidP="00C32F85">
      <w:pPr>
        <w:spacing w:after="0" w:line="254" w:lineRule="atLeast"/>
        <w:jc w:val="both"/>
        <w:rPr>
          <w:rFonts w:ascii="Arial" w:eastAsia="Times New Roman" w:hAnsi="Arial" w:cs="Arial"/>
          <w:color w:val="000000"/>
          <w:lang w:eastAsia="es-CO"/>
        </w:rPr>
      </w:pPr>
    </w:p>
    <w:p w14:paraId="477E6A14" w14:textId="7E2674A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Agencia de la cual depende el colocador.  </w:t>
      </w:r>
    </w:p>
    <w:p w14:paraId="6C38027B" w14:textId="77777777" w:rsidR="00751C2A" w:rsidRDefault="00751C2A" w:rsidP="00C32F85">
      <w:pPr>
        <w:spacing w:after="0" w:line="254" w:lineRule="atLeast"/>
        <w:jc w:val="both"/>
        <w:rPr>
          <w:rFonts w:ascii="Arial" w:eastAsia="Times New Roman" w:hAnsi="Arial" w:cs="Arial"/>
          <w:color w:val="000000"/>
          <w:lang w:eastAsia="es-CO"/>
        </w:rPr>
      </w:pPr>
    </w:p>
    <w:p w14:paraId="57B8685E" w14:textId="749DFE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El número o números seleccionados por el apostador para hacer su apuesta. Cada uno de los números seleccionados por el jugador no podrá contener más de cuatro (4) cifras.  </w:t>
      </w:r>
    </w:p>
    <w:p w14:paraId="6B620C40" w14:textId="77777777" w:rsidR="00751C2A" w:rsidRDefault="00751C2A" w:rsidP="00C32F85">
      <w:pPr>
        <w:spacing w:after="0" w:line="254" w:lineRule="atLeast"/>
        <w:jc w:val="both"/>
        <w:rPr>
          <w:rFonts w:ascii="Arial" w:eastAsia="Times New Roman" w:hAnsi="Arial" w:cs="Arial"/>
          <w:color w:val="000000"/>
          <w:lang w:eastAsia="es-CO"/>
        </w:rPr>
      </w:pPr>
    </w:p>
    <w:p w14:paraId="5888B597" w14:textId="3BC40E3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Valor apostado a cada número.  </w:t>
      </w:r>
    </w:p>
    <w:p w14:paraId="703341E3" w14:textId="77777777" w:rsidR="00751C2A" w:rsidRDefault="00751C2A" w:rsidP="00C32F85">
      <w:pPr>
        <w:spacing w:after="0" w:line="254" w:lineRule="atLeast"/>
        <w:jc w:val="both"/>
        <w:rPr>
          <w:rFonts w:ascii="Arial" w:eastAsia="Times New Roman" w:hAnsi="Arial" w:cs="Arial"/>
          <w:color w:val="000000"/>
          <w:lang w:eastAsia="es-CO"/>
        </w:rPr>
      </w:pPr>
    </w:p>
    <w:p w14:paraId="0FAB3AB9" w14:textId="2B7CDCE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14. Valor de pago incentivo con cobro.  </w:t>
      </w:r>
    </w:p>
    <w:p w14:paraId="623F23C3" w14:textId="77777777" w:rsidR="00751C2A" w:rsidRDefault="00751C2A" w:rsidP="00C32F85">
      <w:pPr>
        <w:spacing w:after="0" w:line="254" w:lineRule="atLeast"/>
        <w:jc w:val="both"/>
        <w:rPr>
          <w:rFonts w:ascii="Arial" w:eastAsia="Times New Roman" w:hAnsi="Arial" w:cs="Arial"/>
          <w:color w:val="000000"/>
          <w:lang w:eastAsia="es-CO"/>
        </w:rPr>
      </w:pPr>
    </w:p>
    <w:p w14:paraId="36F88F05" w14:textId="7973959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Valor del IVA generado por la apuesta.  </w:t>
      </w:r>
    </w:p>
    <w:p w14:paraId="193F3EF3" w14:textId="77777777" w:rsidR="00751C2A" w:rsidRDefault="00751C2A" w:rsidP="00C32F85">
      <w:pPr>
        <w:spacing w:after="0" w:line="254" w:lineRule="atLeast"/>
        <w:jc w:val="both"/>
        <w:rPr>
          <w:rFonts w:ascii="Arial" w:eastAsia="Times New Roman" w:hAnsi="Arial" w:cs="Arial"/>
          <w:color w:val="000000"/>
          <w:lang w:eastAsia="es-CO"/>
        </w:rPr>
      </w:pPr>
    </w:p>
    <w:p w14:paraId="7893750D" w14:textId="2B4BE28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Valor total de las apuestas realizadas.  </w:t>
      </w:r>
    </w:p>
    <w:p w14:paraId="0D9A1F52" w14:textId="77777777" w:rsidR="00751C2A" w:rsidRDefault="00751C2A" w:rsidP="00C32F85">
      <w:pPr>
        <w:spacing w:after="0" w:line="254" w:lineRule="atLeast"/>
        <w:jc w:val="both"/>
        <w:rPr>
          <w:rFonts w:ascii="Arial" w:eastAsia="Times New Roman" w:hAnsi="Arial" w:cs="Arial"/>
          <w:color w:val="000000"/>
          <w:lang w:eastAsia="es-CO"/>
        </w:rPr>
      </w:pPr>
    </w:p>
    <w:p w14:paraId="4BFE6371" w14:textId="2A5EB03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17. Denominación del Incentivo.  </w:t>
      </w:r>
    </w:p>
    <w:p w14:paraId="41843807" w14:textId="77777777" w:rsidR="00751C2A" w:rsidRDefault="00751C2A" w:rsidP="00C32F85">
      <w:pPr>
        <w:spacing w:after="0" w:line="254" w:lineRule="atLeast"/>
        <w:jc w:val="both"/>
        <w:rPr>
          <w:rFonts w:ascii="Arial" w:eastAsia="Times New Roman" w:hAnsi="Arial" w:cs="Arial"/>
          <w:color w:val="000000"/>
          <w:lang w:eastAsia="es-CO"/>
        </w:rPr>
      </w:pPr>
    </w:p>
    <w:p w14:paraId="7939B94B" w14:textId="6CB0464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18. Código de seguridad.  </w:t>
      </w:r>
    </w:p>
    <w:p w14:paraId="57BE6CE4" w14:textId="77777777" w:rsidR="00751C2A" w:rsidRDefault="00751C2A" w:rsidP="00C32F85">
      <w:pPr>
        <w:spacing w:after="0" w:line="254" w:lineRule="atLeast"/>
        <w:jc w:val="both"/>
        <w:rPr>
          <w:rFonts w:ascii="Arial" w:eastAsia="Times New Roman" w:hAnsi="Arial" w:cs="Arial"/>
          <w:color w:val="000000"/>
          <w:lang w:eastAsia="es-CO"/>
        </w:rPr>
      </w:pPr>
    </w:p>
    <w:p w14:paraId="36866AE2" w14:textId="08664DA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19. Plan de premios.  </w:t>
      </w:r>
    </w:p>
    <w:p w14:paraId="5DBF24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EE48F4" w14:textId="073C858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Solo se podrán realizar apuestas en formularios que cumplan con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8717F2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27ABB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término para la conservación del formulario único del juego de apuestas permanentes o chance será el previsto para los papeles y documentos del comerciante en el Código de Comercio y las normas que sustituyan, modifiquen, complementen o adicionen la materia </w:t>
      </w:r>
    </w:p>
    <w:p w14:paraId="0DF3A6A9" w14:textId="77777777" w:rsidR="00AF0C09" w:rsidRPr="002C1480" w:rsidRDefault="00AF0C09" w:rsidP="00C32F85">
      <w:pPr>
        <w:spacing w:after="0" w:line="254" w:lineRule="atLeast"/>
        <w:jc w:val="both"/>
        <w:rPr>
          <w:rFonts w:ascii="Arial" w:eastAsia="Times New Roman" w:hAnsi="Arial" w:cs="Arial"/>
          <w:color w:val="000000"/>
          <w:lang w:eastAsia="es-CO"/>
        </w:rPr>
      </w:pPr>
    </w:p>
    <w:p w14:paraId="58C9B7B4" w14:textId="3520A421" w:rsidR="00AF0C09" w:rsidRPr="002C1480" w:rsidRDefault="002C1480" w:rsidP="00C32F85">
      <w:pPr>
        <w:spacing w:after="0" w:line="254" w:lineRule="atLeast"/>
        <w:jc w:val="both"/>
        <w:rPr>
          <w:rFonts w:ascii="Arial" w:eastAsia="Times New Roman" w:hAnsi="Arial" w:cs="Arial"/>
          <w:color w:val="000000"/>
          <w:lang w:eastAsia="es-CO"/>
        </w:rPr>
      </w:pPr>
      <w:bookmarkStart w:id="1016" w:name="ver_30057353"/>
      <w:bookmarkEnd w:id="1015"/>
      <w:bookmarkEnd w:id="1016"/>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2.7.2.3.2. Formato del formulario único manual. Los formularios para el juego de apuestas permanentes o chance que sean diligenciados manualmente, deberán ser impresos en papel de seguridad, con un color para el original y el otro para la copia, agruparse en talonarios de cincuenta (50) unidades en original y una copia y su tamaño será determinado por la entidad concedente. </w:t>
      </w:r>
    </w:p>
    <w:p w14:paraId="5932E212" w14:textId="19B229C8" w:rsidR="00AF0C09" w:rsidRPr="002C1480" w:rsidRDefault="00AF0C09" w:rsidP="00751C2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17" w:name="ver_30105978"/>
      <w:bookmarkStart w:id="1018" w:name="ver_30105977"/>
      <w:bookmarkEnd w:id="1017"/>
    </w:p>
    <w:p w14:paraId="1017A94E" w14:textId="1411619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2.7.2.3.3. Operación sistematizada y electrónica. Los formularios usados en la venta sistematizada y electrónica deberán contener la información establecida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2.7.2.3.1 del presente título. Las entidades concedentes autorizarán los rangos numéricos o alfanuméricos consecutivos de los formularios a las empresas concesionarias, los cuales solo podrán ser usados para el registro de las apuestas del juego de apuestas permanentes o chance.  </w:t>
      </w:r>
    </w:p>
    <w:p w14:paraId="76C6CF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0CB9FC" w14:textId="0567A8A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formularios para el juego de apuestas permanentes o chance que sean diligenciados en forma sistematizada deberán ser impresos únicamente en la papelería suministrada por la entidad concedente, la cual deberá cumplir con las condiciones establecidas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2.7.2.3.1.  </w:t>
      </w:r>
    </w:p>
    <w:p w14:paraId="3747C4C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53C9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cualquiera de los casos la información registrada en el formulario corresponderá a la prevista para el formulario único de apuestas permanentes o chance. La numeración será consecutiva, identificada con un número serial único para cada formulario con el cual, a través del sistema, se puedan verificar los datos de su expedición: fecha, número o números apostados, valor apostado por cada número, ciudad, hora y terminal.  </w:t>
      </w:r>
    </w:p>
    <w:p w14:paraId="44598B8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49AAA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entidad concedente deberá validar los sistemas dispuestos para la operación, con el fin de garantizar su integridad, seguridad y la información generada por los mismos.  </w:t>
      </w:r>
    </w:p>
    <w:p w14:paraId="3723C9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F0DD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el formulario suministrado por las entidades concedentes para el registro de las transacciones de la operación del juego de apuestas permanentes sistematizado podrán cursarse otros juegos de suerte y azar que se encuentren debidamente autorizados y otros productos y servicios.  </w:t>
      </w:r>
    </w:p>
    <w:p w14:paraId="1D7567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C1C0C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numeración autorizada por la entidad concedente solo podrá ser utilizada para el registro de apuestas del juego de apuestas permanentes o chance.  </w:t>
      </w:r>
    </w:p>
    <w:p w14:paraId="1B1C1D5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9EE2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sistema debe garantizar que cada transacción realizada pueda ser individualizada, de tal forma que permita a las autoridades respectivas ejercer vigilancia permanente e inmediata de cada operación realizada por el operador.  </w:t>
      </w:r>
    </w:p>
    <w:p w14:paraId="0A5F97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44EC4A" w14:textId="36EEF97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 concedente, previa solicitud del concesionario, y atendiendo los límites territoriales de la concesión, autorizará la utilización del internet como canal de comercialización de las apuestas permanentes, en cuyo caso el concesionario generará un soporte de la apuesta virtual realizada, el cual contendrá como mínimo la información contenida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2.7.2.3.1., bajo la misma serie consecutiva autorizada, que permita individualizar e identificar la apuesta virtual.  </w:t>
      </w:r>
    </w:p>
    <w:p w14:paraId="3F2988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78E4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Previo a la comercialización por medios virtuales e internet, el Consejo Nacional de Juegos de Suerte y Azar expedirá la regulación en cuanto a territorialidad y demás temas que en materia técnica se requieran para la operación por estos medios </w:t>
      </w:r>
    </w:p>
    <w:p w14:paraId="33E57148" w14:textId="77777777" w:rsidR="00AF0C09" w:rsidRPr="002C1480" w:rsidRDefault="00AF0C09" w:rsidP="00C32F85">
      <w:pPr>
        <w:spacing w:after="0" w:line="254" w:lineRule="atLeast"/>
        <w:jc w:val="both"/>
        <w:rPr>
          <w:rFonts w:ascii="Arial" w:eastAsia="Times New Roman" w:hAnsi="Arial" w:cs="Arial"/>
          <w:color w:val="000000"/>
          <w:lang w:eastAsia="es-CO"/>
        </w:rPr>
      </w:pPr>
    </w:p>
    <w:p w14:paraId="05AE2CA4" w14:textId="77777777" w:rsidR="00AF0C09" w:rsidRPr="00751C2A" w:rsidRDefault="00AF0C09" w:rsidP="00751C2A">
      <w:pPr>
        <w:spacing w:after="0" w:line="293" w:lineRule="atLeast"/>
        <w:jc w:val="center"/>
        <w:rPr>
          <w:rFonts w:ascii="Arial" w:eastAsia="Times New Roman" w:hAnsi="Arial" w:cs="Arial"/>
          <w:b/>
          <w:bCs/>
          <w:color w:val="000000"/>
          <w:lang w:eastAsia="es-CO"/>
        </w:rPr>
      </w:pPr>
      <w:bookmarkStart w:id="1019" w:name="ver_30057355"/>
      <w:bookmarkEnd w:id="1018"/>
      <w:bookmarkEnd w:id="1019"/>
      <w:r w:rsidRPr="00751C2A">
        <w:rPr>
          <w:rFonts w:ascii="Arial" w:eastAsia="Times New Roman" w:hAnsi="Arial" w:cs="Arial"/>
          <w:b/>
          <w:bCs/>
          <w:color w:val="000000"/>
          <w:lang w:eastAsia="es-CO"/>
        </w:rPr>
        <w:t>CAPÍTULO 4</w:t>
      </w:r>
    </w:p>
    <w:p w14:paraId="05F33B44" w14:textId="77777777" w:rsidR="00AF0C09" w:rsidRPr="00751C2A" w:rsidRDefault="00AF0C09" w:rsidP="00751C2A">
      <w:pPr>
        <w:spacing w:after="0" w:line="293" w:lineRule="atLeast"/>
        <w:jc w:val="center"/>
        <w:rPr>
          <w:rFonts w:ascii="Arial" w:eastAsia="Times New Roman" w:hAnsi="Arial" w:cs="Arial"/>
          <w:b/>
          <w:bCs/>
          <w:color w:val="000000"/>
          <w:lang w:eastAsia="es-CO"/>
        </w:rPr>
      </w:pPr>
      <w:r w:rsidRPr="00751C2A">
        <w:rPr>
          <w:rFonts w:ascii="Arial" w:eastAsia="Times New Roman" w:hAnsi="Arial" w:cs="Arial"/>
          <w:b/>
          <w:bCs/>
          <w:color w:val="000000"/>
          <w:lang w:eastAsia="es-CO"/>
        </w:rPr>
        <w:t>CONDICIONES Y OBLIGACIONES EN LA OPERACIÓN</w:t>
      </w:r>
    </w:p>
    <w:p w14:paraId="5F354F35" w14:textId="77777777" w:rsidR="00AF0C09" w:rsidRPr="00751C2A" w:rsidRDefault="00AF0C09" w:rsidP="00751C2A">
      <w:pPr>
        <w:spacing w:line="293" w:lineRule="atLeast"/>
        <w:jc w:val="center"/>
        <w:rPr>
          <w:rFonts w:ascii="Arial" w:eastAsia="Times New Roman" w:hAnsi="Arial" w:cs="Arial"/>
          <w:b/>
          <w:bCs/>
          <w:color w:val="000000"/>
          <w:lang w:eastAsia="es-CO"/>
        </w:rPr>
      </w:pPr>
      <w:r w:rsidRPr="00751C2A">
        <w:rPr>
          <w:rFonts w:ascii="Arial" w:eastAsia="Times New Roman" w:hAnsi="Arial" w:cs="Arial"/>
          <w:b/>
          <w:bCs/>
          <w:color w:val="000000"/>
          <w:lang w:eastAsia="es-CO"/>
        </w:rPr>
        <w:t>DE LOS JUEGOS DE APUESTAS PERMANENTES O CHANCE</w:t>
      </w:r>
    </w:p>
    <w:p w14:paraId="1B2C843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0" w:name="ver_30057356"/>
      <w:bookmarkEnd w:id="1020"/>
    </w:p>
    <w:p w14:paraId="15D9E5CA" w14:textId="4352817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2.7.2.4.1. Operación a través de terceros del Juego de Apuestas Permanentes o Chance. El Juego de Apuestas Permanentes o Chance, de conformidad con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22 de la Ley 643 de 2001, sólo podrá operarse a través de terceros seleccionados mediante licitación pública. </w:t>
      </w:r>
    </w:p>
    <w:p w14:paraId="64E7E48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1" w:name="ver_30057357"/>
      <w:bookmarkEnd w:id="1021"/>
    </w:p>
    <w:p w14:paraId="2F37BF8E" w14:textId="10C1922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2.7.2.4.2. Régimen aplicable al contrato de concesión. El contrato de concesión del juego de apuestas permanentes o chance, se regirá por la Ley de Régimen Propio de los Juegos de Suerte y Azar, el Estatuto General de Contratación de la Administración Pública, y las normas reglamentarias de dichos ordenamientos. </w:t>
      </w:r>
    </w:p>
    <w:p w14:paraId="1B83ECF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2" w:name="ver_30057358"/>
      <w:bookmarkEnd w:id="1022"/>
    </w:p>
    <w:p w14:paraId="2F25A561" w14:textId="5E6322E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2.7.2.4.3. Inhabilidades de los concesionarios. Sin perjuicio de las inhabilidades a que se refiere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10 de la Ley 643 de 2001 y el Estatuto General de Contratación de la Administración Pública, las entidades concedentes deberán reportar a la Contaduría General de la Nación, la relación de sus deudores morosos por concepto de la explotación del Juego de Apuestas Permanentes o Chance. </w:t>
      </w:r>
    </w:p>
    <w:p w14:paraId="52464D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0BE0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concedente, una vez conocida la causal de inhabilidad iniciará inmediatamente las acciones correspondientes e informará a su junta Directiva y al Gobernador o Alcalde Mayor de Bogotá, D. C., según el caso, para efectos del cumplimiento de estas medidas. </w:t>
      </w:r>
    </w:p>
    <w:p w14:paraId="224878F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3" w:name="ver_30057359"/>
      <w:bookmarkEnd w:id="1023"/>
    </w:p>
    <w:p w14:paraId="5154DA05" w14:textId="7AAB64F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2.7.2.4.4. Estudios de Mercado. Las entidades concedentes, de conformidad con la Ley 643 de 2001, podrán realizar directamente o contratar con terceros de reconocida experiencia en el análisis e investigación de mercados, en los términos de la Ley 80 de 1993, los estudios de mercado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23 del régimen propio del monopolio de juegos de suerte y azar. </w:t>
      </w:r>
    </w:p>
    <w:p w14:paraId="3F3CC0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A5F17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Dichos estudios podrán ser realizados directamente por las entidades concedentes, siempre y cuando cuenten dentro de su estructura organizacional con los recursos humanos y técnicos adecuados en términos de experiencia y capacidad operativa, para adelantarlo. </w:t>
      </w:r>
    </w:p>
    <w:p w14:paraId="312E32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5486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estudios de mercado deberán ajustarse a lo indicado por la Superintendencia Nacional de Salud y como mínimo, determinar el tamaño del mercado de todos los juegos de suerte y azar que tengan relación o afecten el Juego de Apuestas Permanentes o Chance que operen en la respectiva jurisdicción territorial. </w:t>
      </w:r>
    </w:p>
    <w:p w14:paraId="49C6736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45E2D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deberán determinar el tamaño del mercado del Juego de Apuestas Permanentes o Chance en la respectiva jurisdicción territorial; el monto de ingresos brutos que se espera genere la respectiva concesión durante su término de duración y el valor mensual y anual que por concepto de derechos de explotación debe producir la respectiva concesión. </w:t>
      </w:r>
    </w:p>
    <w:p w14:paraId="5D1C940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6760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Estos estudios podrán revisarse en los términos y condiciones establecidos por la Superintendencia Nacional de Salud. </w:t>
      </w:r>
    </w:p>
    <w:p w14:paraId="14FF420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9450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Superintendencia Nacional de Salud podrá contratar estudios de mercado selectivos sobre el Juego de Apuestas Permanentes o Chance que serán de referencia obligatoria para el concedente y el concesionario, los cuales deberán ajustar su relación contractual, si es del caso, de acuerdo con los términos de la Ley 80 de 1993, para lo cual el representante legal de la entidad concedente iniciará las acciones correspondientes de manera inmediata a su conocimiento y lo comunicará a su Junta Directiva y al Gobernador o el Alcalde Mayor de Bogotá, D. C., para el respectivo seguimiento. </w:t>
      </w:r>
    </w:p>
    <w:p w14:paraId="2DDCB473" w14:textId="232402FC" w:rsidR="00AF0C09" w:rsidRPr="002C1480" w:rsidRDefault="00AF0C09" w:rsidP="00751C2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24" w:name="ver_30057360"/>
      <w:bookmarkEnd w:id="1024"/>
    </w:p>
    <w:p w14:paraId="07036CCF" w14:textId="33ED9B5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2.7.2.4.5. Publicidad estudios de mercado. Los estudios de mercado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23 de la Ley 643 de 2001 y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forman parte integrante de los pliegos de condiciones de los procesos licitatorios que tienen por objeto adjudicar mediante concesión la operación del juego de apuestas permanentes o chance en una determinada jurisdicción territorial y de los respectivos contratos de concesión y, por tanto deberán sujetarse a los requisitos de publicidad de que trata la Ley 80 de 1993, y su reglamentación compilada en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Único del sector de Planeación Nacional. </w:t>
      </w:r>
    </w:p>
    <w:p w14:paraId="2182790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5" w:name="ver_30057361"/>
      <w:bookmarkEnd w:id="1025"/>
    </w:p>
    <w:p w14:paraId="25694E98" w14:textId="6107E77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2.7.2.4.6. Revisión estudios de mercado. La entidad concedente de la operación del juego de apuestas permanentes o chance, sin perjuicio del estudio de mercado previo a la convocatoria de la licitación pública correspondiente, podrá realizar, durante la ejecución del respectivo contrato, de oficio o a solicitud del concesionario, un estudio de mercado a partir del segundo año de la concesión, con el fin de revisar el potencial del juego de apuestas permanentes y el cumplimiento de las condiciones económicas del contrato. Los estudios de mercado se harán en los términos y condiciones previstos por la Superintendencia Nacional de Salud. </w:t>
      </w:r>
    </w:p>
    <w:p w14:paraId="53F8E3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33EE4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como resultado de dicho estudio se determina un aumento o disminución del monto mensual y anual de los derechos de explotación previamente establecidos, se deberán hacer los ajustes correspondientes en el contrato de concesión de acuerdo con lo previsto en la Ley 80 de 1993. </w:t>
      </w:r>
    </w:p>
    <w:p w14:paraId="557EF18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6" w:name="ver_30057362"/>
      <w:bookmarkEnd w:id="1026"/>
    </w:p>
    <w:p w14:paraId="0204B298" w14:textId="21CAD95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2.7.2.4.7. Registro diario de apuestas permanentes o chance. De acuerdo con lo dispuesto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26 de la Ley 643 de 2001 o la norma que la modifique o adicione, los concesionarios del juego de apuestas permanentes o chance deberán llevar como libro auxiliar de contabilidad, un registro diario manual o magnético de sus operaciones diarias debidamente foliado </w:t>
      </w:r>
      <w:r w:rsidR="00AF0C09" w:rsidRPr="002C1480">
        <w:rPr>
          <w:rFonts w:ascii="Arial" w:eastAsia="Times New Roman" w:hAnsi="Arial" w:cs="Arial"/>
          <w:color w:val="000000"/>
          <w:lang w:eastAsia="es-CO"/>
        </w:rPr>
        <w:lastRenderedPageBreak/>
        <w:t>para el asiento contable de las apuestas, cuyos valores estarán en concordancia con los anotados en el formulario único de apuestas permanentes o chance o los registrados en el sistema. </w:t>
      </w:r>
    </w:p>
    <w:p w14:paraId="09442F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EFBE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Dicho registro deberá mantenerse actualizado y disponible en forma permanente para la fiscalización, control y vigilancia de las autoridades competentes. Los soportes de este registro serán diligenciados por los colocadores del juego a medida que se van recibiendo las apuestas y será consolidado por el concesionario, sin perjuicio de su obligación de responder en todos los casos por el registro diario y por los premios correspondientes al total de las apuestas. </w:t>
      </w:r>
    </w:p>
    <w:p w14:paraId="637CE93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0C1D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registro diario de apuestas permanentes o chance se anotará: serie, número, fecha, identificación de la lotería o juego autorizado con que se apuesta, código del vendedor, números seleccionados por el apostador y el valor apostado. Así mismo, deberá incluirse en el registro diario el asiento de los formularios anulados o perdidos, debiendo en este último caso soportarse con la respectiva denuncia. </w:t>
      </w:r>
    </w:p>
    <w:p w14:paraId="2342553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7" w:name="ver_30057363"/>
      <w:bookmarkEnd w:id="1027"/>
    </w:p>
    <w:p w14:paraId="42CCD735" w14:textId="50539E0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2.7.2.4.8. Requisitos para la operación del juego de apuestas permanentes o chance. Los operadores del juego de apuestas permanentes o chance además de acreditar un patrimonio técnico mínimo, otorgar las garantías y mantener el margen de solvencia, deberán cumplir con los siguientes requisitos: </w:t>
      </w:r>
    </w:p>
    <w:p w14:paraId="4768E21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B79F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Adquirir de las entidades concedentes los formularios para el juego manual o sistematizado. </w:t>
      </w:r>
    </w:p>
    <w:p w14:paraId="286501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F7DF5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Llevar en todas y cada una de las agencias, el registro de control de ventas diarias discriminado por puntos de venta, puestos fijos y colocadores. </w:t>
      </w:r>
    </w:p>
    <w:p w14:paraId="513F39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96BF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Utilizar en forma exclusiva los formularios suministrados por las entidades concedentes para el juego manual o sistematizado y responder por el uso adecuado de ellos, ejerciendo un estricto control sobre los colocadores. </w:t>
      </w:r>
    </w:p>
    <w:p w14:paraId="0F3138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4DA8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Identificar a cada uno de sus colocadores con un carné que deberán portar en un lugar visible al público. </w:t>
      </w:r>
    </w:p>
    <w:p w14:paraId="344431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34D5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Efectuar adecuada y oportunamente la liquidación mensual de los derechos de explotación y gastos de administración y realizar los pagos respectivos con la oportunidad debida. </w:t>
      </w:r>
    </w:p>
    <w:p w14:paraId="00EAF3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8C93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Registrar e identificar ante la entidad concedente el número de la agencia a la cual pertenecen los puntos de venta, puntos fijos y colocadores. </w:t>
      </w:r>
    </w:p>
    <w:p w14:paraId="3BF319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210B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Exhibir la licencia otorgada por la entidad concedente de cada una de las agencias o puntos de venta fijo, en un lugar visible al público. </w:t>
      </w:r>
    </w:p>
    <w:p w14:paraId="26CEC3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3AE4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Entregar únicamente a los colocadores inscritos ante la entidad concedente, los formularios de apuestas permanentes o chance. </w:t>
      </w:r>
    </w:p>
    <w:p w14:paraId="1F625E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DE24B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Asumir los riesgos que se deriven de la operación del contrato de concesión, sin que estos puedan ser trasladados al comercializador, agencia o punto de venta. </w:t>
      </w:r>
    </w:p>
    <w:p w14:paraId="343377E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8C3A61" w14:textId="5378F491"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10. En el juego de apuestas permanentes o chance que se registre en forma sistematizada y en cumplimiento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el concesionario deberá garantizar la conexión en tiempo real con la entidad concedente. </w:t>
      </w:r>
    </w:p>
    <w:p w14:paraId="2BD7F744" w14:textId="7C002365" w:rsidR="00AF0C09" w:rsidRPr="002C1480" w:rsidRDefault="002C1480" w:rsidP="00C32F85">
      <w:pPr>
        <w:spacing w:after="0" w:line="254" w:lineRule="atLeast"/>
        <w:jc w:val="both"/>
        <w:rPr>
          <w:rFonts w:ascii="Arial" w:eastAsia="Times New Roman" w:hAnsi="Arial" w:cs="Arial"/>
          <w:color w:val="000000"/>
          <w:lang w:eastAsia="es-CO"/>
        </w:rPr>
      </w:pPr>
      <w:bookmarkStart w:id="1028" w:name="ver_30057364"/>
      <w:bookmarkEnd w:id="1028"/>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2.7.2.4.9. Porcentajes mínimos de operaciones en línea y en tiempo real. Los contratos de concesión para la operación del juego de apuestas permanentes o chance que se hayan suscrito a partir del 30 de diciembre de 2008 deberán establecer como una de las obligaciones a cargo del concesionario, la de efectuar operaciones de colocación de apuestas permanentes o chance en la respectiva jurisdicción territorial a través del mecanismo de explotación sistematizado en línea y en tiempo real como mínimo en el 90%. </w:t>
      </w:r>
    </w:p>
    <w:p w14:paraId="1735B4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645424" w14:textId="3562EC8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porcentaje señalado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podrá ser modificado por el Consejo Nacional de Juegos de Suerte y Azar de acuerdo con la penetración de infraestructura de comunicaciones en el área de presencia del concesionario. </w:t>
      </w:r>
    </w:p>
    <w:p w14:paraId="5DFC9E8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5981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Para efectos de la operación en línea y tiempo real el procedimiento informático y tecnológico de la apuesta en un punto de venta fijo o móvil debe efectuarse a través de un mecanismo sistematizado que inmediatamente registra la apuesta, la cual es reportada a un sistema de información centralizado. Esto supone que la transacción correspondiente no puede ser almacenada en la respectiva terminal o equipo móvil para su posterior procesamiento. </w:t>
      </w:r>
    </w:p>
    <w:p w14:paraId="67D926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A7D7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concesionarios deberán suministrar a la entidad concedente los equipos de cómputo, el software licenciado y la capacitación correspondiente, necesarios para efectuar el control y seguimiento a la colocación de apuestas permanentes por el mecanismo sistematizado en línea y en tiempo real y encargarse del mantenimiento y las actualizaciones necesarias. </w:t>
      </w:r>
    </w:p>
    <w:p w14:paraId="12141CA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9C264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obligaciones del concesionario sobre el mecanismo de explotación sistematizado en línea y en tiempo real deberán incluirse en los pliegos de condiciones del proceso licitatorio correspondiente y estipularse en la respectiva minuta contractual. No obstante si no estuvieren expresamente estipuladas se entienden incorporadas tácitamente. </w:t>
      </w:r>
    </w:p>
    <w:p w14:paraId="60B0CFE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29" w:name="ver_30057365"/>
      <w:bookmarkEnd w:id="1029"/>
    </w:p>
    <w:p w14:paraId="7A2439C3" w14:textId="4DE9B12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2.7.2.4.10. Participación de los concesionarios en la cabal y eficiente explotación del juego de apuestas permanentes o chance. Corresponde a los concesionarios del juego de apuestas permanentes o chance adoptar las medidas indispensables para garantizar la explotación cabal y eficiente del juego en los términos de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3 y 4 de la Ley 643 de 2001, poner en conocimiento de la entidad concedente cualquier irregularidad que se presente en la explotación del mismo y colaborar activamente con las entidades administradoras de juegos de suerte y azar y con las autoridades de policía para corregir dichas prácticas. </w:t>
      </w:r>
    </w:p>
    <w:p w14:paraId="46AF6F5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30" w:name="ver_30057366"/>
      <w:bookmarkEnd w:id="1030"/>
    </w:p>
    <w:p w14:paraId="534FF06A" w14:textId="795CE11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2.7.2.4.11. Inscripción en el registro nacional público de vendedores de juegos de suerte y azar. Conforme lo dispone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55 de la Ley 643 del 2001 o la norma que lo modifique o adicione, todo vendedor del juego de apuestas permanentes o chance, debe estar inscrito en el Registro Nacional Público de Vendedores de Juegos de Suerte y Azar de las Cámaras de Comercio de su jurisdicción. </w:t>
      </w:r>
    </w:p>
    <w:p w14:paraId="3CC7041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F51B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omisión de la inscripción en el Registro Nacional Público de Vendedores de Juegos de Suerte y Azar hará acreedores a los infractores de las sanciones que establezca el Consejo Nacional de Juegos de Suerte y Azar en el reglamento que expida para el efecto. </w:t>
      </w:r>
    </w:p>
    <w:p w14:paraId="0B19F3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8FB19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la Cámara de Comercio no tenga sede en el lugar donde desarrolla la actividad el vendedor, la inscripción se efectuará en la alcaldía de la localidad que cuente con la delegación respectiva. </w:t>
      </w:r>
    </w:p>
    <w:p w14:paraId="5A375D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1A285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31" w:name="ver_30057367"/>
      <w:bookmarkEnd w:id="1031"/>
    </w:p>
    <w:p w14:paraId="1B8A0E50" w14:textId="4BC14D8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2.7.2.4.12. Deberes de los colocadores de apuestas permanentes o chance. Son deberes, entre otros, de los colocadores del juego de apuestas permanentes o chance, los siguientes: </w:t>
      </w:r>
    </w:p>
    <w:p w14:paraId="1A53C6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FFED4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Portar a la vista el carné o credencial que los identifique. </w:t>
      </w:r>
    </w:p>
    <w:p w14:paraId="673EF8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DB2D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Utilizar y diligenciar correctamente los formularios oficiales, llenando todas las casillas de manera clara y legible, sin tachaduras, enmendaduras o borrones y abstenerse de diligenciarlo a lápiz o en tintas delebles. </w:t>
      </w:r>
    </w:p>
    <w:p w14:paraId="745E48D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1D267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Liquidar en forma precisa la totalidad de la apuesta. </w:t>
      </w:r>
    </w:p>
    <w:p w14:paraId="59596C4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9C0A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Entregar al apostador o jugador la copia del formulario y guardar el original en el caso del juego manual, para ser devuelto al concesionario con anticipación a la realización del sorteo. </w:t>
      </w:r>
    </w:p>
    <w:p w14:paraId="3B3F628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B28F8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En caso de anulación de un formulario, este debe ser devuelto al concesionario con su respectiva copia. </w:t>
      </w:r>
    </w:p>
    <w:p w14:paraId="3B60BC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28AF1C" w14:textId="77777777" w:rsidR="00AF0C09" w:rsidRPr="00A40A7A" w:rsidRDefault="00AF0C09" w:rsidP="00A40A7A">
      <w:pPr>
        <w:spacing w:after="0" w:line="293" w:lineRule="atLeast"/>
        <w:jc w:val="center"/>
        <w:rPr>
          <w:rFonts w:ascii="Arial" w:eastAsia="Times New Roman" w:hAnsi="Arial" w:cs="Arial"/>
          <w:b/>
          <w:bCs/>
          <w:color w:val="000000"/>
          <w:lang w:eastAsia="es-CO"/>
        </w:rPr>
      </w:pPr>
      <w:bookmarkStart w:id="1032" w:name="ver_30057368"/>
      <w:bookmarkEnd w:id="1032"/>
      <w:r w:rsidRPr="00A40A7A">
        <w:rPr>
          <w:rFonts w:ascii="Arial" w:eastAsia="Times New Roman" w:hAnsi="Arial" w:cs="Arial"/>
          <w:b/>
          <w:bCs/>
          <w:color w:val="000000"/>
          <w:lang w:eastAsia="es-CO"/>
        </w:rPr>
        <w:t>CAPÍTULO 5</w:t>
      </w:r>
    </w:p>
    <w:p w14:paraId="78D28A07" w14:textId="77777777" w:rsidR="00AF0C09" w:rsidRPr="00A40A7A" w:rsidRDefault="00AF0C09" w:rsidP="00A40A7A">
      <w:pPr>
        <w:spacing w:line="293" w:lineRule="atLeast"/>
        <w:jc w:val="center"/>
        <w:rPr>
          <w:rFonts w:ascii="Arial" w:eastAsia="Times New Roman" w:hAnsi="Arial" w:cs="Arial"/>
          <w:b/>
          <w:bCs/>
          <w:color w:val="000000"/>
          <w:lang w:eastAsia="es-CO"/>
        </w:rPr>
      </w:pPr>
      <w:r w:rsidRPr="00A40A7A">
        <w:rPr>
          <w:rFonts w:ascii="Arial" w:eastAsia="Times New Roman" w:hAnsi="Arial" w:cs="Arial"/>
          <w:b/>
          <w:bCs/>
          <w:color w:val="000000"/>
          <w:lang w:eastAsia="es-CO"/>
        </w:rPr>
        <w:t>DERECHOS DE EXPLOTACIÓN Y GIRO DE RECURSOS POR LOS OPERADORES</w:t>
      </w:r>
    </w:p>
    <w:p w14:paraId="40062BF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33" w:name="ver_30057369"/>
      <w:bookmarkEnd w:id="1033"/>
    </w:p>
    <w:p w14:paraId="47D1CBFE" w14:textId="7DCD223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2.7.2.5.1. Declaración, liquidación y pago de los derechos de explotación, anticipo, gastos de administración e intereses. Los concesionarios deberán declarar, liquidar y pagar ante la entidad concedente, en los formularios suministrados por esta dentro de los primeros diez (10) días hábiles de cada mes, a título de derechos de explotación, el doce por ciento (12%) de los ingresos brutos causados en el mes anterior. </w:t>
      </w:r>
    </w:p>
    <w:p w14:paraId="568BB5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C399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el impuesto sobre las ventas formará parte de la base para el cálculo de los derechos de explotación. </w:t>
      </w:r>
    </w:p>
    <w:p w14:paraId="12E8D16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B5830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deberán liquidar y pagar a título de anticipo de derechos de explotación del siguiente período, un valor equivalente al setenta y cinco por ciento (75%) de los derechos de explotación liquidados en el período en que se declara. </w:t>
      </w:r>
    </w:p>
    <w:p w14:paraId="367088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44763B" w14:textId="0AD8F71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Conforme al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 de la Ley 643 de 2001 o la norma que la modifique o adicione, los concesionarios deberán liquidar y pagar a título de gastos de administración, el uno por ciento (1%) de los derechos de explotación liquidados para el período respectivo. </w:t>
      </w:r>
    </w:p>
    <w:p w14:paraId="5B7875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4ECD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declaración deberá ser presentada y pagada simultáneamente. Los soportes de la declaración deberán conservarse en los términos y condiciones establecidos en el Código de Comercio para los papeles y documentos del comerciante. </w:t>
      </w:r>
    </w:p>
    <w:p w14:paraId="653F7F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1A833B" w14:textId="2C4926A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2º Los concesionarios que no cancelen oportunamente los derechos de explotación y demás obligaciones contenidas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deberán liquidar y pagar intereses moratorios, de acuerdo con la tasa de interés moratorio prevista para los tributos administrados por la Dirección de Impuestos y Aduanas Nacionales, DIAN. </w:t>
      </w:r>
    </w:p>
    <w:p w14:paraId="02488B38" w14:textId="6ADC78DA"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34" w:name="ver_30057370"/>
      <w:bookmarkEnd w:id="1034"/>
    </w:p>
    <w:p w14:paraId="3411A1FC" w14:textId="031F691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2.7.2.5.2. Derechos de explotación. Los derechos de explotación, inclusive para los contratos vigentes y firmados con anterioridad al 19 de abril de 2010, corresponden al 12% de los Ingresos Brutos obtenidos según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23 de la Ley 643 de 2001. </w:t>
      </w:r>
    </w:p>
    <w:p w14:paraId="43AD448F" w14:textId="332518A7"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35" w:name="ver_30057371"/>
      <w:bookmarkEnd w:id="1035"/>
    </w:p>
    <w:p w14:paraId="692BECBA" w14:textId="7EA56C6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2.7.2.5.3. Pago de anticipos. Para el cálculo del anticipo a que hace referencia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23 de la ley 643 de 2001 se considerará como estudio de mercado el valor promedio mensual de los ingresos brutos reportados por los concesionarios a través del mecanismo de explotación sistematizado en línea y en tiempo real a la Superintendencia Nacional de Salud. </w:t>
      </w:r>
    </w:p>
    <w:p w14:paraId="5525800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AE3C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los operadores de apuestas permanentes no se encuentran en línea o en tiempo real con la Superintendencia Nacional de Salud o la información que haya reportado no responde a exigencias técnicas o de auditoría señaladas por esta, o no existe por lo menos seis (6) meses de información, o no se encuentra en un 100% utilizando el mecanismo de explotación sistematizado en línea y en tiempo real con la Superintendencia Nacional de Salud; la entidad concedente determinará el valor del anticipo con base en los estudios de mercado realizados de conformidad con lo dispuesto en el presente título. </w:t>
      </w:r>
    </w:p>
    <w:p w14:paraId="5259DFED" w14:textId="2BFAF131"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36" w:name="ver_30057372"/>
      <w:bookmarkEnd w:id="1036"/>
    </w:p>
    <w:p w14:paraId="5CF0656E" w14:textId="4997E05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2.7.2.5.4. Rentabilidad mínima del Juego de Apuestas Permanentes o Chance. La rentabilidad mínima del Juego de Apuestas Permanentes o Chance, para cada jurisdicción territorial, será el mayor valor que resulte entre el monto mensual y anual que por concepto de derechos de explotación y para el término de duración de la respectiva concesión, determine el estudio de mercado y el monto equivalente a la liquidación de los derechos de explotación correspondientes al 12% de los ingresos brutos del juego. </w:t>
      </w:r>
    </w:p>
    <w:p w14:paraId="5E4D6C7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37" w:name="ver_30057373"/>
      <w:bookmarkEnd w:id="1037"/>
    </w:p>
    <w:p w14:paraId="5B467CC6" w14:textId="451DC7A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2.7.2.5.5. Formulario de declaración, liquidación y pago de los derechos de explotación, gastos de administración e intereses. El formulario de declaración, liquidación y pago de los derechos de explotación, gastos de administración e intereses será suministrado por la entidad concedente, deberá diligenciarse en original y dos (2) copias, y contendrá como mínimo lo siguiente: </w:t>
      </w:r>
    </w:p>
    <w:p w14:paraId="3A2DA19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9C88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Razón social del concedente. </w:t>
      </w:r>
    </w:p>
    <w:p w14:paraId="273EB87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38173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Razón social del concesionario y número de identificación tributaria. </w:t>
      </w:r>
    </w:p>
    <w:p w14:paraId="7EE016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C7B9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Departamento en el que opera el concesionario y al que corresponde la declaración. </w:t>
      </w:r>
    </w:p>
    <w:p w14:paraId="0A29B52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17544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Dirección del domicilio social del concesionario. </w:t>
      </w:r>
    </w:p>
    <w:p w14:paraId="03095A6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DEBC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Número del contrato de concesión y fecha de suscripción. </w:t>
      </w:r>
    </w:p>
    <w:p w14:paraId="23662B0C" w14:textId="4F0C26A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Número total de formularios del juego de apuestas permanentes o chance utilizados en el período declarado. </w:t>
      </w:r>
    </w:p>
    <w:p w14:paraId="218E36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CE20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Mes y año al cual corresponde la declaración. </w:t>
      </w:r>
    </w:p>
    <w:p w14:paraId="69C3765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A005D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Valor de los ingresos brutos. </w:t>
      </w:r>
    </w:p>
    <w:p w14:paraId="380D6E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423F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Valor de los derechos de explotación. </w:t>
      </w:r>
    </w:p>
    <w:p w14:paraId="668D1B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7632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Valor del anticipo del período liquidado y pagado en el mes anterior. </w:t>
      </w:r>
    </w:p>
    <w:p w14:paraId="278540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1B434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11. Valor compensación autorizada. </w:t>
      </w:r>
    </w:p>
    <w:p w14:paraId="36F140C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4E01E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Saldo a cancelar por los derechos de explotación del período. </w:t>
      </w:r>
    </w:p>
    <w:p w14:paraId="2BABFA4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AE075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Valor del anticipo para el período siguiente. </w:t>
      </w:r>
    </w:p>
    <w:p w14:paraId="525D0E6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FEE92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14. Valor de los gastos de administración. </w:t>
      </w:r>
    </w:p>
    <w:p w14:paraId="0C424A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3828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Intereses moratorios. </w:t>
      </w:r>
    </w:p>
    <w:p w14:paraId="13771CF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9F98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Valor total a pagar. </w:t>
      </w:r>
    </w:p>
    <w:p w14:paraId="14AB80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7F11E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17. Nombre, identificación, firma y matrícula profesional del contador y revisor fiscal. </w:t>
      </w:r>
    </w:p>
    <w:p w14:paraId="2FDE3E5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0A08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18. Nombre, identificación y firma del representante legal. </w:t>
      </w:r>
    </w:p>
    <w:p w14:paraId="2805B2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A3BE5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Superintendencia Nacional de Salud establecerá mediante resolución de carácter general el diseño del formulario de declaración de los derechos de explotación, gastos de administración e intereses del juego de apuestas permanentes o chance. </w:t>
      </w:r>
    </w:p>
    <w:p w14:paraId="3A090C3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38" w:name="ver_30057374"/>
      <w:bookmarkEnd w:id="1038"/>
    </w:p>
    <w:p w14:paraId="0825AFF6" w14:textId="32FB7B3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2.7.2.5.6. Compensación. Los concesionarios conforme a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23 de la Ley 643 de 2001 o la norma que lo modifique o adicione, podrán solicitar a la entidad concedente la compensación de los mayores valores pagados como anticipo, liquidados a su favor en las declaraciones. </w:t>
      </w:r>
    </w:p>
    <w:p w14:paraId="28DC230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3848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solicitud de compensación deberá efectuarse dentro del mes siguiente a la fecha de la presentación de la declaración en la cual se generó el saldo a favor, acompañada de los siguientes documentos: </w:t>
      </w:r>
    </w:p>
    <w:p w14:paraId="2A449CA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3B3C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Copia de la declaración del período que evidenció el saldo a favor. </w:t>
      </w:r>
    </w:p>
    <w:p w14:paraId="6C9038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E6E4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Copia de la declaración del período en que se liquidó y pagó el anticipo que generó el saldo a favor, así como del recibo del pago de la misma. </w:t>
      </w:r>
    </w:p>
    <w:p w14:paraId="7BC5C6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6537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solicitud de compensación deberá resolverse mediante resolución motivada suscrita por el representante legal de la entidad concedente, dentro de los diez (10) días hábiles siguientes a la fecha de su presentación en debida forma, acto que se notificará en los términos del Código de Procedimiento Administrativo y de lo Contencioso Administrativo. </w:t>
      </w:r>
    </w:p>
    <w:p w14:paraId="5F1EF9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4FE5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ser procedente, la resolución ordenará la compensación con cargo a los derechos de explotación del período o períodos subsiguientes a la fecha de ejecutoria del acto. </w:t>
      </w:r>
    </w:p>
    <w:p w14:paraId="754F4FF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39" w:name="ver_30057375"/>
      <w:bookmarkEnd w:id="1039"/>
    </w:p>
    <w:p w14:paraId="7EBCE5F0" w14:textId="7380357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2.7.2.5.7. Giro de los recursos del monopolio. Los derechos de explotación, los anticipos a título de derechos de explotación, los intereses de mora y los rendimientos financieros, constituyen rentas del monopolio y son de propiedad de las entidades territoriales. </w:t>
      </w:r>
    </w:p>
    <w:p w14:paraId="2FCE359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EA3F5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Dichas rentas deberán ser giradas por las entidades concedentes a los respectivos Fondos de Salud Departamentales y del Distrito Capital, dentro de los primeros diez (10) días hábiles del mes siguiente a su recaudo. </w:t>
      </w:r>
    </w:p>
    <w:p w14:paraId="798BC4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EBB3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El giro efectuado por la entidad concedente deberá ser comunicado al respectivo Fondo de Salud Departamental o del Distrito Capital dentro de los (3) tres días siguientes a su realización, discriminando el valor por concepto de derechos de explotación, anticipos, rendimientos financieros e intereses moratorios. </w:t>
      </w:r>
    </w:p>
    <w:p w14:paraId="36EAC4BB" w14:textId="0BA54D79"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40" w:name="ver_30057376"/>
      <w:bookmarkEnd w:id="1040"/>
    </w:p>
    <w:p w14:paraId="678A0875" w14:textId="3FD4E01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2.7.2.5.8. Giro directo a los Fondos de Salud de las Entidades Territoriales. En caso de que las empresas que administren el juego de Lotería Tradicional tengan, por cualquier concepto, deudas pendientes por transferir a los correspondientes fondos de salud de las entidades territoriales, el concesionario del Juego de Apuestas Permanentes o Chance girará la rentabilidad del contrato directamente al respectivo fondo de salud, y a la lotería, lo correspondiente a los gastos de administración. </w:t>
      </w:r>
    </w:p>
    <w:p w14:paraId="3573582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08CBD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efectos de dar aplicación a esta norma, corresponderá al Gobernador del Departamento y al Alcalde Mayor de Bogotá, D. C. en su condición de Presidentes de la Junta Directiva de la Entidad Concedente, impartir la instrucción al concesionario para que gire directamente los recursos al fondo de salud respectivo con base en el informe generado por la Superintendencia Nacional de Salud. </w:t>
      </w:r>
    </w:p>
    <w:p w14:paraId="6D007F42" w14:textId="20CA93DC"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41" w:name="ver_30057377"/>
      <w:bookmarkEnd w:id="1041"/>
    </w:p>
    <w:p w14:paraId="471EE742" w14:textId="2AE8260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2.7.2.5.9. Intereses moratorios. De conformidad con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s 1° y 4°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Ley 1281 de 2002 o las normas que los modifiquen o adicionen, los intereses moratorios que se causen por el incumplimiento de los plazos para el pago y giro de los derechos de explotación que deben efectuar los concesionarios a las entidades concedentes y estas al sector salud, se liquidarán por cada día calendario de retardo en el pago, a la tasa de interés moratorio prevista para los tributos administrados por la Dirección de Impuestos y Aduanas Nacionales, DIAN. </w:t>
      </w:r>
    </w:p>
    <w:p w14:paraId="7B97430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42" w:name="ver_30057378"/>
      <w:bookmarkEnd w:id="1042"/>
    </w:p>
    <w:p w14:paraId="74F29A43" w14:textId="3F60CE7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2.7.2.5.10. Cobro coactivo. Los actos administrativos expedidos por las entidades concedentes del monopolio de apuestas permanentes o chance, en los cuales se determinen los derechos y sanciones derivadas del incumplimiento de las obligaciones relativas al monopolio de apuestas permanentes o chance, serán exigibles por jurisdicción coactiva, conforme a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99 del Código de Procedimiento Administrativo y de lo Contencioso Administrativo, a través de la respectiva entidad territorial beneficiaria de los recursos. </w:t>
      </w:r>
    </w:p>
    <w:p w14:paraId="1A14E3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7A5C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concedentes dentro de los ocho (8) días siguientes a la ejecutoria de los actos administrativos, deberán remitirlos a la Alcaldía Mayor del Distrito Capital y en los departamentos a las respectivas Gobernaciones, para que se adelante el proceso de cobro coactivo, si dentro de dicho término no han sido pagados por el concesionario. </w:t>
      </w:r>
    </w:p>
    <w:p w14:paraId="27B532AA" w14:textId="77777777" w:rsidR="00A40A7A" w:rsidRDefault="00A40A7A" w:rsidP="00C32F85">
      <w:pPr>
        <w:spacing w:after="0" w:line="293" w:lineRule="atLeast"/>
        <w:jc w:val="both"/>
        <w:rPr>
          <w:rFonts w:ascii="Arial" w:eastAsia="Times New Roman" w:hAnsi="Arial" w:cs="Arial"/>
          <w:color w:val="000000"/>
          <w:lang w:eastAsia="es-CO"/>
        </w:rPr>
      </w:pPr>
      <w:bookmarkStart w:id="1043" w:name="ver_30057379"/>
      <w:bookmarkEnd w:id="1043"/>
    </w:p>
    <w:p w14:paraId="412AC85A" w14:textId="4C10485F" w:rsidR="00AF0C09" w:rsidRPr="00A40A7A" w:rsidRDefault="00AF0C09" w:rsidP="00A40A7A">
      <w:pPr>
        <w:spacing w:after="0" w:line="293" w:lineRule="atLeast"/>
        <w:jc w:val="center"/>
        <w:rPr>
          <w:rFonts w:ascii="Arial" w:eastAsia="Times New Roman" w:hAnsi="Arial" w:cs="Arial"/>
          <w:b/>
          <w:bCs/>
          <w:color w:val="000000"/>
          <w:lang w:eastAsia="es-CO"/>
        </w:rPr>
      </w:pPr>
      <w:r w:rsidRPr="00A40A7A">
        <w:rPr>
          <w:rFonts w:ascii="Arial" w:eastAsia="Times New Roman" w:hAnsi="Arial" w:cs="Arial"/>
          <w:b/>
          <w:bCs/>
          <w:color w:val="000000"/>
          <w:lang w:eastAsia="es-CO"/>
        </w:rPr>
        <w:t>CAPÍTULO 6</w:t>
      </w:r>
    </w:p>
    <w:p w14:paraId="2154F3BF" w14:textId="77777777" w:rsidR="00AF0C09" w:rsidRPr="00A40A7A" w:rsidRDefault="00AF0C09" w:rsidP="00A40A7A">
      <w:pPr>
        <w:spacing w:line="293" w:lineRule="atLeast"/>
        <w:jc w:val="center"/>
        <w:rPr>
          <w:rFonts w:ascii="Arial" w:eastAsia="Times New Roman" w:hAnsi="Arial" w:cs="Arial"/>
          <w:b/>
          <w:bCs/>
          <w:color w:val="000000"/>
          <w:lang w:eastAsia="es-CO"/>
        </w:rPr>
      </w:pPr>
      <w:r w:rsidRPr="00A40A7A">
        <w:rPr>
          <w:rFonts w:ascii="Arial" w:eastAsia="Times New Roman" w:hAnsi="Arial" w:cs="Arial"/>
          <w:b/>
          <w:bCs/>
          <w:color w:val="000000"/>
          <w:lang w:eastAsia="es-CO"/>
        </w:rPr>
        <w:t>INSPECCIÓN, VIGILANCIA Y CONTROL</w:t>
      </w:r>
    </w:p>
    <w:p w14:paraId="5317B21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44" w:name="ver_30057380"/>
      <w:bookmarkEnd w:id="1044"/>
    </w:p>
    <w:p w14:paraId="4F16FB2F" w14:textId="000A9FA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2.7.2.6.1. Modelo de Inspección, vigilancia y control. Con la información recaudada por el sistema implementado y por los demás instrumentos de control, la Superintendencia Nacional de Salud deberá realizar y desarrollar un modelo de inspección, vigilancia y control que permita determinar entre otros, el cumplimiento de las obligaciones contractuales, así como el cumplimiento del régimen propio y de garantías al apostador. </w:t>
      </w:r>
    </w:p>
    <w:p w14:paraId="3490934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45" w:name="ver_30057381"/>
      <w:bookmarkEnd w:id="1045"/>
    </w:p>
    <w:p w14:paraId="29701D62" w14:textId="01DA816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2.7.2.6.2. Escrutinios. En ejercicio de las facultades de vigilancia y control del monopolio de los juegos de suerte y azar, la Superintendencia Nacional de Salud y las entidades </w:t>
      </w:r>
      <w:r w:rsidR="00AF0C09" w:rsidRPr="002C1480">
        <w:rPr>
          <w:rFonts w:ascii="Arial" w:eastAsia="Times New Roman" w:hAnsi="Arial" w:cs="Arial"/>
          <w:color w:val="000000"/>
          <w:lang w:eastAsia="es-CO"/>
        </w:rPr>
        <w:lastRenderedPageBreak/>
        <w:t>administradoras del monopolio del orden departamental y del Distrito Capital, ejercerán las funciones de su competencia. Para el efecto, podrán, cuando lo estimen conveniente, estar presentes en los procesos de escrutinio realizados por los concesionarios de apuestas permanentes o chance, así mismo podrán solicitar la información que requieran sobre estos, para el ejercicio de su actividad de control. </w:t>
      </w:r>
    </w:p>
    <w:p w14:paraId="4D2410B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A22D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de vigilancia y control y las administradoras del monopolio en ejercicio de sus funciones, deberán observar las normas o condiciones de seguridad señaladas por el concesionario. </w:t>
      </w:r>
    </w:p>
    <w:p w14:paraId="24653A3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46" w:name="ver_30057382"/>
      <w:bookmarkEnd w:id="1046"/>
    </w:p>
    <w:p w14:paraId="5A76D48D" w14:textId="08E0183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2.7.2.6.3. Resultados de los juegos autorizados. Los resultados de los juegos autorizados distintos de la lotería tradicional, deberán ser publicados por el concesionario en un diario de circulación nacional o regional máximo a los dos (2) días siguientes de realizado el sorteo. </w:t>
      </w:r>
    </w:p>
    <w:p w14:paraId="1BC502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EFB5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el concesionario debe remitir la respectiva información a la Superintendencia Nacional de Salud, en la oportunidad y condiciones que determine dicha entidad. </w:t>
      </w:r>
    </w:p>
    <w:p w14:paraId="089038A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47" w:name="ver_30057383"/>
      <w:bookmarkEnd w:id="1047"/>
    </w:p>
    <w:p w14:paraId="1FD961C4" w14:textId="585D830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2.7.2.6.4. Conexión con Superintendencia Nacional de Salud. A más tardar el 31 de diciembre de 2009 los concesionarios que realicen el juego de apuestas permanentes en línea y tiempo real tendrán que estar en conexión con la Superintendencia Nacional de Salud; en caso contrario, se dará aplicación a lo señalado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2.7.2.6.10. del presente capítulo. </w:t>
      </w:r>
    </w:p>
    <w:p w14:paraId="30620116" w14:textId="4FE334DE" w:rsidR="00AF0C09" w:rsidRPr="002C1480" w:rsidRDefault="00AF0C09" w:rsidP="00AE3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48" w:name="ver_30057384"/>
      <w:bookmarkEnd w:id="1048"/>
    </w:p>
    <w:p w14:paraId="3AD07F29" w14:textId="0C3A03A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2.7.2.6.5. Condiciones técnicas y operativas de conexión. La Superintendencia Nacional de Salud deberá establecer un marco tecnológico que contenga la definición de las condiciones para el establecimiento de un sistema universal que permita la conexión de los concesionarios con dicha entidad teniendo en cuenta como mínimo, los siguientes parámetros: </w:t>
      </w:r>
    </w:p>
    <w:p w14:paraId="6BAB1D6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9342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Consideraciones técnicas </w:t>
      </w:r>
    </w:p>
    <w:p w14:paraId="1269D7D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8998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transacciones (apuestas) realizadas por cada concesionario deben ser transmitidas al sistema central de información de la Superintendencia Nacional de Salud en línea y tiempo real; </w:t>
      </w:r>
    </w:p>
    <w:p w14:paraId="16ACB1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2D17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enlaces de comunicación deben proveer alta disponibilidad y confiabilidad, se deben considerar en el diseño aspectos como redundancia y acuerdos de nivel de servicio; </w:t>
      </w:r>
    </w:p>
    <w:p w14:paraId="2EEA962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8F04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sistema debe ser lo menos intrusivo posible a la infraestructura que los concesionarios tienen instalada; </w:t>
      </w:r>
    </w:p>
    <w:p w14:paraId="21AE59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A8D00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sistema debe cumplir con las especificaciones suficientes de redundancia a nivel de la infraestructura, tales como Hardware, Software, data Center y personal calificado, entre otras; </w:t>
      </w:r>
    </w:p>
    <w:p w14:paraId="3F40C5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F030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sistema debe soportar la carga actual de transacciones y debe ser escalable de manera que mantenga sus condiciones de operatividad y funcionalidad en la medida que aumente la cantidad de información transmitida hacia el sistema central de información; </w:t>
      </w:r>
    </w:p>
    <w:p w14:paraId="4371E9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18AD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sistema debe garantizar la seguridad de la información transmitida extremo a extremo mediante técnicas de seguridad apropiadas de manera que la información no se vea comprometida ni sea susceptible de fraude; </w:t>
      </w:r>
    </w:p>
    <w:p w14:paraId="41C879F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FC83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g) La seguridad de la información transmitida entre los puntos de venta del concesionario y su infraestructura de información central será responsabilidad del concesionario, la Superintendencia Nacional de Salud establecerá esquemas de auditoría que le permitan hacer control de esta responsabilidad; </w:t>
      </w:r>
    </w:p>
    <w:p w14:paraId="6C440BC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8405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La seguridad de la información transmitida desde los concesionarios a la Superintendencia Nacional de Salud será garantizada por la entidad, los métodos de seguridad empleados para esto deben ser definidos a nivel de diseño del sistema y se deben implementar esquemas de auditoría para realizar control a este aspecto; </w:t>
      </w:r>
    </w:p>
    <w:p w14:paraId="28DB26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6695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Deben definirse esquemas de seguridad física para los equipos del sistema a implementar de manera que no se vea comprometida su integridad ni operatividad; </w:t>
      </w:r>
    </w:p>
    <w:p w14:paraId="4C8FCD7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C974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En los casos en los cuales la entidad concedente haya implementado de acuerdo con las disposiciones de la Superintendencia Nacional de Salud, la conexión con el concedente, la Superintendencia evaluará si el proceso desarrollado cumple con los requisitos definidos para el sistema a implementar. En todo caso, las nuevas concesiones deberán ajustarse al presente título y a la reglamentación del mismo; </w:t>
      </w:r>
    </w:p>
    <w:p w14:paraId="229A014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30B6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El sistema a implementar debe contener funcionalidades que permitan, hacer consultas por diferentes vías, análisis en tiempo real de la información, generación de reportes, de datos estadísticos, entre otros, con el fin de que la información adquirida impacte de manera positiva en el desarrollo de las funciones de inspección, vigilancia y control de la Superintendencia Nacional de Salud y de la entidad concedente cuando sea del caso. </w:t>
      </w:r>
    </w:p>
    <w:p w14:paraId="2CCF4F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2397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Condiciones operativas </w:t>
      </w:r>
    </w:p>
    <w:p w14:paraId="7877A3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BFA0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sistema a implementar debe evitar que se impacte de manera negativa las operaciones de los concesionarios, generando situaciones, tales como, retardos en las transacciones, sobrecarga de recurso en equipos y otras circunstancias que puedan afectar el juego de las apuestas permanentes; </w:t>
      </w:r>
    </w:p>
    <w:p w14:paraId="728A9E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F8A6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sistema no debe limitar la expansión del juego de chance, ni el otorgamiento de nuevas concesiones, se deben establecer mecanismos que permitan determinar su estado de integración, los riesgos técnicos y operativos que puedan presentarse. Así como permitir hacer las recomendaciones pertinentes para mitigarlos; </w:t>
      </w:r>
    </w:p>
    <w:p w14:paraId="402407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37EB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Sin perjuicio de la información que sea requerida y a las auditorías que puedan realizarse, la interacción del sistema con los concesionarios debe limitarse a la recepción de información sin interferir de manera alguna en el proceso de venta; </w:t>
      </w:r>
    </w:p>
    <w:p w14:paraId="1951D2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1206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Adicional a la implementación de una solución de hardware y software que cumpla con los objetivos planteados para el sistema, la Superintendencia Nacional de Salud debe establecer un proceso de auditoría que permita hacer seguimiento a la operación de todos los elementos involucrados en el sistema, incluyendo los de los concesionarios y concedentes; </w:t>
      </w:r>
    </w:p>
    <w:p w14:paraId="159417E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65467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 La Superintendencia Nacional de Salud podrá hacer uso de la infraestructura de canales de comunicación con los que cuenta el estado para la interconexión con los concesionarios, siempre y cuando, estos canales se presenten como una opción viable y cumplan con los parámetros de calidad y seguridad definidos para el sistema. La Superintendencia podrá contratar servicios e </w:t>
      </w:r>
      <w:r w:rsidRPr="002C1480">
        <w:rPr>
          <w:rFonts w:ascii="Arial" w:eastAsia="Times New Roman" w:hAnsi="Arial" w:cs="Arial"/>
          <w:color w:val="000000"/>
          <w:lang w:eastAsia="es-CO"/>
        </w:rPr>
        <w:lastRenderedPageBreak/>
        <w:t>infraestructura que hagan parte del sistema (datacenters, data warehousing, auditoría, soporte técnico, etc.) siempre que se cumplan con los parámetros de diseño, calidad y seguridad requeridos; </w:t>
      </w:r>
    </w:p>
    <w:p w14:paraId="614E20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37EE0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La implementación del sistema estará sujeto a la penetración de la infraestructura de comunicaciones a nivel nacional, ya sea de operadores privados o de canales de comunicación del Estado; </w:t>
      </w:r>
    </w:p>
    <w:p w14:paraId="35B32D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E75E1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Cuando exista falla en los elementos del sistema responsabilidad de la Superintendencia Nacional de Salud, esta no deberá afectar de manera alguna la operación de los concesionarios, para este efecto, la Superintendencia Nacional de Salud señalará el procedimiento a seguir. </w:t>
      </w:r>
    </w:p>
    <w:p w14:paraId="60805B1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49" w:name="ver_30057385"/>
      <w:bookmarkEnd w:id="1049"/>
    </w:p>
    <w:p w14:paraId="37331B35" w14:textId="01B4BE6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2.7.2.6.6. Gastos conexión en línea. Los gastos que genere la conexión en línea y en tiempo real que sean responsabilidad de la Superintendencia Nacional de Salud, serán asumidos con recursos de la tasa creada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98 de la Ley 488 de 1998 y la norma que lo modifique adicione o sustituya, los demás gastos serán sufragados directamente por el concesionario de apuestas permanentes. </w:t>
      </w:r>
    </w:p>
    <w:p w14:paraId="0B0F866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50" w:name="ver_30057386"/>
      <w:bookmarkEnd w:id="1050"/>
    </w:p>
    <w:p w14:paraId="6DA46B65" w14:textId="522603C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2.7.2.6.7. Interventoría especial sobre explotación del Juego de Apuestas Permanentes o Chance. La Superintendencia Nacional de Salud deberá contratar a través de un proceso de licitación pública, una interventoría o interventorías que analicen las condiciones en que se ha contratado la concesión del Juego de Apuestas Permanentes o Chance, si ellas se ajustaron a las exigencias legales, la forma como las entidades concedentes manejan los recursos generados por la explotación del juego, los costos de dicha operación y los giros que realizan a los fondos territoriales de salud. </w:t>
      </w:r>
    </w:p>
    <w:p w14:paraId="57B8E8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B08C3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la interventoría como resultado de sus análisis formulará recomendaciones para prevenir las posibles desviaciones de los recursos hacia fines distintos de la salud. </w:t>
      </w:r>
    </w:p>
    <w:p w14:paraId="6F003A2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C4B7AC" w14:textId="6339C43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Estas interventorías se financiarán con recursos de la tasa anual de supervisión y control, asignados a los concesionarios y operadores del Juego de Apuestas Permanentes o Chance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anualmente establece la tasa y fija la tarifa que cancelan las diferentes clases de entidades vigiladas a la Superintendencia Nacional de Salud por concepto de inspección, vigilancia y control. </w:t>
      </w:r>
    </w:p>
    <w:p w14:paraId="73C72DE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38F0D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Superintendencia Nacional de Salud presentará al Ministro de Salud y Protección Social un plan de implementación del programa de interventorías consultando las políticas sectoriales. </w:t>
      </w:r>
    </w:p>
    <w:p w14:paraId="7B23601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51" w:name="ver_30057387"/>
      <w:bookmarkEnd w:id="1051"/>
    </w:p>
    <w:p w14:paraId="17292D37" w14:textId="6D65688A"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2.7.2.6.8. Información a los Gobernadores y al Alcalde Mayor de Bogotá, D.C. La Superintendencia Nacional de Salud en el momento en que detecte alguna irregularidad en la contratación, o con ocasión de la operación del Juego de Apuestas Permanentes o Chance, o que los recursos que correspondan a la salud no se están girando en su monto u oportunidad, deberá poner en conocimiento del respectivo Gobernador y el Alcalde Mayor de Bogotá, D. C., según el caso, en su calidad de Presidente de la Junta Directiva de la entidad administradora del juego, de estas situaciones con el fin de que se adopten las medidas correctivas necesarias para que los recursos se giren efectivamente a los fondos territoriales de salud. </w:t>
      </w:r>
    </w:p>
    <w:p w14:paraId="66686C98" w14:textId="77777777" w:rsidR="00A40A7A" w:rsidRPr="002C1480" w:rsidRDefault="00A40A7A" w:rsidP="00C32F85">
      <w:pPr>
        <w:spacing w:after="0" w:line="254" w:lineRule="atLeast"/>
        <w:jc w:val="both"/>
        <w:rPr>
          <w:rFonts w:ascii="Arial" w:eastAsia="Times New Roman" w:hAnsi="Arial" w:cs="Arial"/>
          <w:color w:val="000000"/>
          <w:lang w:eastAsia="es-CO"/>
        </w:rPr>
      </w:pPr>
    </w:p>
    <w:p w14:paraId="21B863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anterior, sin perjuicio de la responsabilidad que les cabe a los representantes legales de las entidades administradoras del juego, a los Gobernadores y al Alcalde Mayor de Bogotá, D. C., </w:t>
      </w:r>
      <w:r w:rsidRPr="002C1480">
        <w:rPr>
          <w:rFonts w:ascii="Arial" w:eastAsia="Times New Roman" w:hAnsi="Arial" w:cs="Arial"/>
          <w:color w:val="000000"/>
          <w:lang w:eastAsia="es-CO"/>
        </w:rPr>
        <w:lastRenderedPageBreak/>
        <w:t>según el caso, por las omisiones en el giro oportuno y efectivo de los recursos que por concepto de la explotación de este juego le corresponde a la salud. </w:t>
      </w:r>
    </w:p>
    <w:p w14:paraId="34BB9CD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52" w:name="ver_30057388"/>
      <w:bookmarkEnd w:id="1052"/>
    </w:p>
    <w:p w14:paraId="1C7C34AE" w14:textId="219B73D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2.7.2.6.9. Sanciones. De conformidad con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44 y 55 de la Ley 643 de 2001 o la norma que los modifique o adicione, a los concesionarios y colocadores que incumplan con las normas que rigen la operación del juego de apuestas permanentes o chance, les serán aplicables las sanciones allí previstas, sin perjuicio de las demás establecidas en el contrato de concesión y en las normas pertinentes. </w:t>
      </w:r>
    </w:p>
    <w:p w14:paraId="54934E58" w14:textId="77777777" w:rsidR="00AB6706" w:rsidRDefault="00AB6706" w:rsidP="00C32F85">
      <w:pPr>
        <w:spacing w:after="0" w:line="254" w:lineRule="atLeast"/>
        <w:jc w:val="both"/>
        <w:rPr>
          <w:rFonts w:ascii="Arial" w:eastAsia="Times New Roman" w:hAnsi="Arial" w:cs="Arial"/>
          <w:color w:val="000000"/>
          <w:lang w:eastAsia="es-CO"/>
        </w:rPr>
      </w:pPr>
    </w:p>
    <w:p w14:paraId="0AD28346" w14:textId="6816FA7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2.7.2.6.10. Causal de Terminación unilateral del contrato. Sin perjuicio de las sanciones penales y las demás a que hubiere lugar, cuando se evidencie que el concesionario ha efectuado apuestas fuera del sistema sin haber solicitado autorización de la Superintendencia Nacional de Salud, será causal de terminación unilateral del contrato. </w:t>
      </w:r>
    </w:p>
    <w:p w14:paraId="1717EC00" w14:textId="45126AD0"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53" w:name="ver_30057390"/>
      <w:bookmarkEnd w:id="1053"/>
    </w:p>
    <w:p w14:paraId="0BC57CE4" w14:textId="119E053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2.7.2.6.11. Intervención o toma de posesión. Son causales para la intervención o toma de posesión de las empresas administradoras del monopolio, concesionarias de apuestas permanentes o chance, por parte de la Superintendencia Nacional de Salud, de conformidad con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6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2462 de 2013 o la norma que lo modifique o adicione, las siguientes: </w:t>
      </w:r>
    </w:p>
    <w:p w14:paraId="3254F5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6830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no pago reiterado de premios. </w:t>
      </w:r>
    </w:p>
    <w:p w14:paraId="3809CD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14FE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Cuando el valor de los premios no cancelados supere los ingresos brutos obtenidos por venta de chance de cuatro (4) días del respectivo operador. </w:t>
      </w:r>
    </w:p>
    <w:p w14:paraId="1F6E97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BA4E0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Por incumplimiento del plan de desempeño. </w:t>
      </w:r>
    </w:p>
    <w:p w14:paraId="36512C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260EC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Cuando el administrador o el concesionario presente pérdidas durante tres (3) años seguidos. </w:t>
      </w:r>
    </w:p>
    <w:p w14:paraId="461203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1913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Cuando la empresa administradora del monopolio, no transfiera en forma oportuna los recursos del monopolio al sector salud. </w:t>
      </w:r>
    </w:p>
    <w:p w14:paraId="29095A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DB76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Cuando el concesionario incumpla reiteradamente con sus obligaciones de declarar y pagar los derechos de explotación y demás valores relacionados con la declaración. </w:t>
      </w:r>
    </w:p>
    <w:p w14:paraId="0C6C3C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6749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Cuando las empresas estén explotando el monopolio, sin haber sido autorizadas por la entidad concedente. </w:t>
      </w:r>
    </w:p>
    <w:p w14:paraId="288E641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A2F03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Cuando se demuestre que el concesionario está ejerciendo prácticas no permitidas. </w:t>
      </w:r>
    </w:p>
    <w:p w14:paraId="2F5F6755" w14:textId="56B7258B"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54" w:name="ver_30057391"/>
      <w:bookmarkEnd w:id="1054"/>
    </w:p>
    <w:p w14:paraId="7A0C0589" w14:textId="1E433C4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2.7.2.6.12. Publicidad de los recursos a la salud generados por el Juego de Apuestas Permanentes o Chance. La Superintendencia Nacional de Salud publicará en la página web de la institución una relación mensual, por departamento y Distrito Capital, del valor recaudado en el sector de la salud por concepto de derechos de explotación del Juego de Apuestas Permanentes o Chance. </w:t>
      </w:r>
    </w:p>
    <w:p w14:paraId="4C9FDE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240FA1" w14:textId="77777777" w:rsidR="00AF0C09" w:rsidRPr="00A40A7A" w:rsidRDefault="00AF0C09" w:rsidP="00A40A7A">
      <w:pPr>
        <w:spacing w:after="0" w:line="293" w:lineRule="atLeast"/>
        <w:jc w:val="center"/>
        <w:rPr>
          <w:rFonts w:ascii="Arial" w:eastAsia="Times New Roman" w:hAnsi="Arial" w:cs="Arial"/>
          <w:b/>
          <w:bCs/>
          <w:color w:val="000000"/>
          <w:lang w:eastAsia="es-CO"/>
        </w:rPr>
      </w:pPr>
      <w:bookmarkStart w:id="1055" w:name="ver_30057392"/>
      <w:bookmarkEnd w:id="1055"/>
      <w:r w:rsidRPr="00A40A7A">
        <w:rPr>
          <w:rFonts w:ascii="Arial" w:eastAsia="Times New Roman" w:hAnsi="Arial" w:cs="Arial"/>
          <w:b/>
          <w:bCs/>
          <w:color w:val="000000"/>
          <w:lang w:eastAsia="es-CO"/>
        </w:rPr>
        <w:t>TÍTULO 3</w:t>
      </w:r>
    </w:p>
    <w:p w14:paraId="7E7850C7" w14:textId="77777777" w:rsidR="00AF0C09" w:rsidRPr="00A40A7A" w:rsidRDefault="00AF0C09" w:rsidP="00A40A7A">
      <w:pPr>
        <w:spacing w:line="293" w:lineRule="atLeast"/>
        <w:jc w:val="center"/>
        <w:rPr>
          <w:rFonts w:ascii="Arial" w:eastAsia="Times New Roman" w:hAnsi="Arial" w:cs="Arial"/>
          <w:b/>
          <w:bCs/>
          <w:color w:val="000000"/>
          <w:lang w:eastAsia="es-CO"/>
        </w:rPr>
      </w:pPr>
      <w:r w:rsidRPr="00A40A7A">
        <w:rPr>
          <w:rFonts w:ascii="Arial" w:eastAsia="Times New Roman" w:hAnsi="Arial" w:cs="Arial"/>
          <w:b/>
          <w:bCs/>
          <w:color w:val="000000"/>
          <w:lang w:eastAsia="es-CO"/>
        </w:rPr>
        <w:t>RIFAS</w:t>
      </w:r>
    </w:p>
    <w:p w14:paraId="68BFD27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56" w:name="ver_30057393"/>
      <w:bookmarkEnd w:id="1056"/>
    </w:p>
    <w:p w14:paraId="21F9CF90" w14:textId="1ED21E2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2.7.3.1. Definición. La rifa es una modalidad de juego de suerte y azar mediante la cual se sortean en fecha predeterminada, premios en especie entre quienes hubieren adquirido o fueren poseedores de una o varias boletas emitidas con numeración en serie continua y puestas en venta en el mercado a precio fijo por un operador previa y debidamente autorizado. </w:t>
      </w:r>
    </w:p>
    <w:p w14:paraId="079C80D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083E9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Toda rifa se presume celebrada a título oneroso. </w:t>
      </w:r>
    </w:p>
    <w:p w14:paraId="139FF88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57" w:name="ver_30105980"/>
      <w:bookmarkStart w:id="1058" w:name="ver_30105979"/>
      <w:bookmarkEnd w:id="1057"/>
    </w:p>
    <w:p w14:paraId="7B0D256E" w14:textId="6E68BF1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2.7.3.2. Prohibiciones. Están prohibidas las rifas de carácter permanente, entendidas como aquellas que realicen personas naturales o jurídicas, por sí o por interpuesta persona, en más de una fecha del año calendario, para uno o varios sorteos y para la totalidad o parte de los bienes o premios a que se tiene derecho a participar por razón de la rifa. Se considera igualmente de carácter permanente toda rifa establecida o que se establezca como empresa organizada para tales fines, cualquiera que sea el valor de los bienes a rifar y sea cual fuere el número de establecimientos de comercio por medio de los cuales la realice. </w:t>
      </w:r>
    </w:p>
    <w:p w14:paraId="4261F2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A04CE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boletas de las rifas no podrán contener series, ni estar fraccionadas. </w:t>
      </w:r>
    </w:p>
    <w:p w14:paraId="1AB2E2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B4BF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prohíbe la rifa de bienes usados y las rifas con premios en dinero. </w:t>
      </w:r>
    </w:p>
    <w:p w14:paraId="40272F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5999F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Están prohibidas las rifas que no utilicen los resultados de la lotería tradicional para la realización del sorteo. </w:t>
      </w:r>
    </w:p>
    <w:p w14:paraId="1A75222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AB0DB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concesionarios del juego de apuestas permanentes y las entidades que operen la Lotería tradicional o de billetes podrán realizar como máximo dos rifas al mes, siempre y cuando estén previa y debidamente autorizados para el efecto </w:t>
      </w:r>
    </w:p>
    <w:p w14:paraId="4EEF328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59" w:name="ver_30105982"/>
      <w:bookmarkStart w:id="1060" w:name="ver_30105981"/>
      <w:bookmarkEnd w:id="1058"/>
      <w:bookmarkEnd w:id="1059"/>
    </w:p>
    <w:p w14:paraId="497363DA" w14:textId="0D8CE7F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2.7.3.3. Competencia para la explotación y autorización de las rifas. Corresponde a los municipios y al Distrito Capital la explotación de las rifas que operen dentro de su jurisdicción. </w:t>
      </w:r>
    </w:p>
    <w:p w14:paraId="6ACA7C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0816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las rifas operen en más de un municipio de un mismo departamento o en un municipio y el Distrito Capital, su explotación corresponde al departamento, por intermedio de la respectiva Sociedad de Capital Público Departamental (SCPD). </w:t>
      </w:r>
    </w:p>
    <w:p w14:paraId="525FFEE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C2DF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rifa opere en dos o más departamentos o en un departamento y el Distrito Capital, la explotación le corresponde a la Empresa Industrial y Comercial del Estado Administradora del Monopolio Rentístico de los Juegos de Suerte y Azar Coljuegos. </w:t>
      </w:r>
    </w:p>
    <w:p w14:paraId="1A1552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FE6256" w14:textId="556B3C5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Cuando concurran en una Entidad Territorial las funciones de Sociedad de Capital Público Departamental (SCPD) y la administración de Loterías, o no exista SCPD o Entidad encargada de sus funciones, la autorización para que operen rifas de jurisdicción departamental se otorgará directamente por el Gobernador en aplicación de la competencia descrita en 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305 de la Constitución Política </w:t>
      </w:r>
    </w:p>
    <w:p w14:paraId="66ACDDA2" w14:textId="0C2DCA6E" w:rsidR="00AF0C09" w:rsidRPr="002C1480" w:rsidRDefault="00AF0C09" w:rsidP="00A40A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61" w:name="ver_30057396"/>
      <w:bookmarkEnd w:id="1060"/>
      <w:bookmarkEnd w:id="1061"/>
    </w:p>
    <w:p w14:paraId="10BF8C63" w14:textId="4B3AED6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2.7.3.4. Modalidad de operación de las rifas. Las rifas sólo podrán operar mediante la modalidad de operación a través de terceros, previa autorización de la autoridad competente. </w:t>
      </w:r>
    </w:p>
    <w:p w14:paraId="1F7961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8EB93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no podrá venderse, ofrecerse o realizarse rifa alguna que no esté previa y debidamente autorizada mediante acto administrativo expedido por la autoridad competente. </w:t>
      </w:r>
    </w:p>
    <w:p w14:paraId="63E0B21E" w14:textId="1F9F84DD"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62" w:name="ver_30057397"/>
      <w:bookmarkEnd w:id="1062"/>
    </w:p>
    <w:p w14:paraId="3E1E1731" w14:textId="569CED3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2.7.3.5. Requisitos para la operación. Toda persona natural o jurídica que pretenda operar una rifa, deberá con una anterioridad no inferior a cuarenta y cinco (45) días calendario a la fecha prevista para la realización del sorteo, dirigir de acuerdo con el ámbito de operación territorial de la rifa, solicitud escrita a la respectiva entidad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2.7.3.3 del presente título, en la cual deberá indicar: </w:t>
      </w:r>
    </w:p>
    <w:p w14:paraId="236C9B0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8428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Nombre completo o razón social y domicilio del responsable de la rifa. </w:t>
      </w:r>
    </w:p>
    <w:p w14:paraId="210F78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9441B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Si se trata de personas naturales adicionalmente, se adjuntará fotocopia legible de la cédula de ciudadanía así como del certificado judicial del responsable de la rifa; y tratándose de personas jurídicas, a la solicitud se anexará el certificado de existencia y representación legal, expedido por la correspondiente Cámara de Comercio. </w:t>
      </w:r>
    </w:p>
    <w:p w14:paraId="77AAA36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4CC6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Nombre de la rifa. </w:t>
      </w:r>
    </w:p>
    <w:p w14:paraId="647622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05C3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Nombre de la lotería con la cual se verificará el sorteo, la hora, fecha y lugar geográfico, previsto para la realización del mismo. </w:t>
      </w:r>
    </w:p>
    <w:p w14:paraId="2F36C4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1E5C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Valor de venta al público de cada boleta. </w:t>
      </w:r>
    </w:p>
    <w:p w14:paraId="1ECD16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D295C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Número total de boletas que se emitirán. </w:t>
      </w:r>
    </w:p>
    <w:p w14:paraId="75C8FC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9C50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Número de boletas que dan derecho a participar en la rifa. </w:t>
      </w:r>
    </w:p>
    <w:p w14:paraId="19C99C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91AE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Valor del total de la emisión, y </w:t>
      </w:r>
    </w:p>
    <w:p w14:paraId="7DE532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DD93C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Plan de premios que se ofrecerá al público, el cual contendrá la relación detallada de los bienes muebles, inmuebles y/o premios objeto de la rifa, especificando su naturaleza, cantidad y valor comercial incluido el IVA. </w:t>
      </w:r>
    </w:p>
    <w:p w14:paraId="04B44598" w14:textId="0F030C0B"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63" w:name="ver_30105984"/>
      <w:bookmarkStart w:id="1064" w:name="ver_30105983"/>
      <w:bookmarkEnd w:id="1063"/>
    </w:p>
    <w:p w14:paraId="12DE85B4" w14:textId="333A2D6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2.7.3.6. Requisitos para la autorización. La solicitud presentada ante la autoridad competente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deberá acompañarse de los siguientes documentos: </w:t>
      </w:r>
    </w:p>
    <w:p w14:paraId="7DBC07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7F8E6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Comprobante de la plena propiedad sin reserva de dominio, de los bienes muebles e inmuebles o premios objeto de la rifa, lo cual se hará conforme con lo dispuesto en las normas legales vigentes. </w:t>
      </w:r>
    </w:p>
    <w:p w14:paraId="0585F5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388B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Avalúo comercial de los bienes inmuebles y facturas o documentos de adquisición de los bienes muebles y premios que se rifen. </w:t>
      </w:r>
    </w:p>
    <w:p w14:paraId="374782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59908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Garantía de cumplimiento contratada con una compañía de seguros constituida legalmente en el país, expedida a favor de la entidad concedente de la autorización. El valor de la garantía será igual al valor total del plan de premios y su vigencia por un término no inferior a cuatro (4) meses contados a partir de la fecha de realización del sorteo. </w:t>
      </w:r>
    </w:p>
    <w:p w14:paraId="000B3E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65AC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Texto de la boleta, en el cual deben haberse impreso como mínimo los siguientes datos: </w:t>
      </w:r>
    </w:p>
    <w:p w14:paraId="399164E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D94E4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número de la boleta; </w:t>
      </w:r>
    </w:p>
    <w:p w14:paraId="409D01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5D4F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b) El valor de venta al público de la misma; </w:t>
      </w:r>
    </w:p>
    <w:p w14:paraId="30C887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073A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lugar, la fecha y hora del sorteo; </w:t>
      </w:r>
    </w:p>
    <w:p w14:paraId="686A56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8A1B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nombre de la lotería tradicional o de billetes con la cual se realizará el sorteo; </w:t>
      </w:r>
    </w:p>
    <w:p w14:paraId="174472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E44D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término de la caducidad del premio; </w:t>
      </w:r>
    </w:p>
    <w:p w14:paraId="4C7466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8FAC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espacio que se utilizará para anotar el número y la fecha del acto administrativo que autorizará la realización de la rifa; </w:t>
      </w:r>
    </w:p>
    <w:p w14:paraId="2ACA63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478C8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La descripción de los bienes objeto de la rifa, con expresión de la marca comercial y si es posible, el modelo de los bienes en especie que constituye cada uno de los premios; </w:t>
      </w:r>
    </w:p>
    <w:p w14:paraId="20E6A22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E6C7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El valor de los bienes en moneda legal colombiana; </w:t>
      </w:r>
    </w:p>
    <w:p w14:paraId="1287CD3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D93AE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El nombre, domicilio, identificación y firma de la persona responsable de la rifa; </w:t>
      </w:r>
    </w:p>
    <w:p w14:paraId="6EB5B46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D63F9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El nombre de la rifa; </w:t>
      </w:r>
    </w:p>
    <w:p w14:paraId="75514C0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DF9FA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La circunstancia de ser o no pagadero el premio al portador. </w:t>
      </w:r>
    </w:p>
    <w:p w14:paraId="7FFBEF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0FBB5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Texto del proyecto de publicidad con que se pretenda promover la venta de boletas de la rifa, la cual deberá cumplir con el manual de imagen corporativa de la autoridad que autoriza su operación. </w:t>
      </w:r>
    </w:p>
    <w:p w14:paraId="1991DF6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3354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Autorización de la lotería tradicional o de los billetes cuyos resultados serán utilizados para la realización del sorteo. </w:t>
      </w:r>
    </w:p>
    <w:p w14:paraId="79A87FF1" w14:textId="5547CEC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412AF3" w14:textId="3F624D9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el caso de que las rifas se operen por los concesionarios del juego de apuestas permanentes o por las entidades que operen la lotería tradicional o de billetes, el requisito del numeral 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podrá acreditarse con cualquiera de los siguientes documentos: para el caso de bienes inmuebles la promesa de contrato de compraventa y para el caso de bienes muebles la factura de compra que acredite la propiedad de los bienes a entregar o cotización de los mismos, documentos que deben estar acompañados de un certificado que garantice los recursos para el pago del plan de premios, con vigencia no mayor a tres (3) meses anteriores a la radicación de la solicitud </w:t>
      </w:r>
    </w:p>
    <w:p w14:paraId="16390A3A" w14:textId="0E455FDF"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65" w:name="ver_30105986"/>
      <w:bookmarkStart w:id="1066" w:name="ver_30105985"/>
      <w:bookmarkEnd w:id="1064"/>
      <w:bookmarkEnd w:id="1065"/>
    </w:p>
    <w:p w14:paraId="254A0E57" w14:textId="5F1DBBC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2.7.3.7. Pago de los derechos de explotación. Al momento de la autorización, la persona gestora de la rifa deberá acreditar el pago de los derechos de explotación equivalentes al catorce por ciento (14%) de los ingresos brutos, los cuales corresponden al ciento por ciento (100%) del valor de las boletas emitidas. </w:t>
      </w:r>
    </w:p>
    <w:p w14:paraId="2514ED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D8116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Realizada la rifa se ajustará el pago los derechos de explotación al valor total de la boletería vendida. </w:t>
      </w:r>
    </w:p>
    <w:p w14:paraId="322151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3D795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el caso de que las rifas se operen por los concesionarios del juego de apuestas permanentes o por las entidades que operen la lotería tradicional o de billetes, se deberá acreditar el pago de los derechos de explotación equivalentes al catorce por ciento (14%) de los ingresos brutos, los cuales corresponden al cien por ciento (100%) del valor de las boletas vendidas. La </w:t>
      </w:r>
      <w:r w:rsidRPr="002C1480">
        <w:rPr>
          <w:rFonts w:ascii="Arial" w:eastAsia="Times New Roman" w:hAnsi="Arial" w:cs="Arial"/>
          <w:color w:val="000000"/>
          <w:lang w:eastAsia="es-CO"/>
        </w:rPr>
        <w:lastRenderedPageBreak/>
        <w:t>liquidación y declaración de los derechos de explotación deberá ser presentada a la entidad que expidió la autorización a más tardar el día hábil anterior a la realización del sorteo, junto con las boletas emitidas y no vendidas, las boletas que no participan en el sorteo y las inválidas. Cuando la rifa sea comercializada de forma virtual o sistematizada, se deberá enviar un reporte con las combinaciones no vendidas, las que no participan en el sorteo y las inválidas. En todo caso, el día del sorteo, el gestor de la rifa no puede quedar con boletas de la misma.  </w:t>
      </w:r>
    </w:p>
    <w:p w14:paraId="286602E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897B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Sin perjuicio de lo anterior, se deberá enviar al Consejo Nacional de Juegos de Suerte y azar el reporte de la boletería que participa en el sorteo y un reporte con las combinaciones no vendidas, las que no participan en el sorteo y las inválidas, a más tardar el día hábil anterior a la realización del sorteo, en los términos y condiciones que el Consejo establezca. </w:t>
      </w:r>
    </w:p>
    <w:p w14:paraId="040F282E" w14:textId="2B82EAF5"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67" w:name="ver_30057400"/>
      <w:bookmarkEnd w:id="1066"/>
      <w:bookmarkEnd w:id="1067"/>
    </w:p>
    <w:p w14:paraId="54851A1E" w14:textId="784ACBF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2.7.3.8. Realización del sorteo. El día hábil anterior a la realización del sorteo, el organizador de la rifa deberá presentar ante la autoridad competente que concede la autorización para la realización del juego, las boletas emitidas y no vendidas; de lo cual, se levantará la correspondiente acta y a ella se anexarán las boletas que no participan en el sorteo y las invalidadas. En todo caso, el día del sorteo, el gestor de la rifa, no puede quedar con boletas de la misma. </w:t>
      </w:r>
    </w:p>
    <w:p w14:paraId="1147CD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A6C1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sorteos deberán realizarse en las fechas predeterminadas, de acuerdo con la autorización proferida por la autoridad concedente. </w:t>
      </w:r>
    </w:p>
    <w:p w14:paraId="3A56FC1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12C0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el sorteo es aplazado, la persona gestora de la rifa deberá informar de esta circunstancia a la entidad concedente, con el fin de que ésta autorice nueva fecha para la realización del sorteo; de igual manera, deberá comunicar la situación presentada a las personas que hayan adquirido las boletas y a los interesados, a través de un medio de comunicación local, regional o nacional, según el ámbito de operación de la rifa. </w:t>
      </w:r>
    </w:p>
    <w:p w14:paraId="0882D6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59606D" w14:textId="7AECB7C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estos eventos, se efectuará la correspondiente prórroga a la garantía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2.7.3.6 del presente título. </w:t>
      </w:r>
    </w:p>
    <w:p w14:paraId="6A0BE506" w14:textId="08F6B43C"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68" w:name="ver_30057401"/>
      <w:bookmarkEnd w:id="1068"/>
    </w:p>
    <w:p w14:paraId="655E0F96" w14:textId="2010FBB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2.7.3.9. Obligación de sortear el premio. El premio o premios ofrecidos deberán rifarse hasta que queden en poder del público. En el evento que el premio o premios ofrecidos no queden en poder del público en la fecha prevista para la realización del sorteo, la persona gestora de la rifa deberá observar el procedimiento señalado en los incisos 3 y 4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w:t>
      </w:r>
    </w:p>
    <w:p w14:paraId="5A0DAB6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69" w:name="ver_30057402"/>
      <w:bookmarkEnd w:id="1069"/>
    </w:p>
    <w:p w14:paraId="59765554" w14:textId="46EEC72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2.7.3.10. Entrega de premios. La boleta ganadora se considera un título al portador del premio sorteado, a menos que el operador lleve un registro de los compradores de cada boleta, con talonarios o colillas, caso en el cual la boleta se asimila a un documento nominativo; verificada una u otra condición según el caso, el operador deberá proceder a la entrega del premio inmediatamente. </w:t>
      </w:r>
    </w:p>
    <w:p w14:paraId="1881167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70" w:name="ver_30105988"/>
      <w:bookmarkStart w:id="1071" w:name="ver_30105987"/>
      <w:bookmarkEnd w:id="1070"/>
    </w:p>
    <w:p w14:paraId="2B46CE16" w14:textId="52FB56F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2.7.3.11. Verificación de la entrega del premio. La persona natural o jurídica titular de la autorización para operar una rifa deberá presentar ante la autoridad concedente, dentro de los cinco (5) días hábiles siguientes a la entrega de los premios, la declaración jurada ante notario por la persona o personas favorecidas con el premio o premios de la rifa realizada en la cual conste que recibieron los mismos a entera satisfacción. La inobservancia de este requisito le impide al interesado tramitar y obtener autorización para la realización de futuras rifas. </w:t>
      </w:r>
    </w:p>
    <w:p w14:paraId="565CDE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C0BF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En el caso de que las rifas se operen por los concesionarios del juego de apuestas permanentes o por las Entidades que operen la Lotería tradicional o de billetes, la declaración jurada de la entrega del premio ante notario podrá ser reemplazada por acta suscrita por el ganador y certificación del revisor fiscal o contador y representante legal de la respectiva empresa </w:t>
      </w:r>
    </w:p>
    <w:p w14:paraId="42FD7FA5" w14:textId="6F748CF8"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72" w:name="ver_30105990"/>
      <w:bookmarkStart w:id="1073" w:name="ver_30105989"/>
      <w:bookmarkEnd w:id="1071"/>
      <w:bookmarkEnd w:id="1072"/>
    </w:p>
    <w:p w14:paraId="1216AAF2" w14:textId="66BCC4C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2.7.3.12. Valor de la emisión y del plan de premios. El valor de la emisión de las boletas de una rifa, será igual al ciento por ciento (100%) del valor de las boletas emitidas. El plan de premios será como mínimo igual al cincuenta por ciento (50%) del valor de la emisión. </w:t>
      </w:r>
    </w:p>
    <w:p w14:paraId="0AA8BC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5E5D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actos administrativos que se expidan por las autoridades concedentes de las autorizaciones a que se refiere el presente título, son susceptibles de los recursos en la vía gubernativa previstos en el Código de Procedimiento Administrativo y de lo Contencioso Administrativo para las actuaciones administrativas. Los actos de trámite o preparatorios no están sujetos a recursos. </w:t>
      </w:r>
    </w:p>
    <w:p w14:paraId="6D298D7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2513A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plan de premios de las rifas que operen los concesionarios del juego de apuestas permanentes o chance o las Entidades operadoras del juego de Lotería tradicional o de billetes será como mínimo el cuarenta (40%) del valor de la emisión </w:t>
      </w:r>
    </w:p>
    <w:p w14:paraId="738A462C" w14:textId="0D51DEB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B2E931" w14:textId="77777777" w:rsidR="00AF0C09" w:rsidRPr="00C21E7A" w:rsidRDefault="00AF0C09" w:rsidP="00C21E7A">
      <w:pPr>
        <w:spacing w:after="0" w:line="293" w:lineRule="atLeast"/>
        <w:jc w:val="center"/>
        <w:rPr>
          <w:rFonts w:ascii="Arial" w:eastAsia="Times New Roman" w:hAnsi="Arial" w:cs="Arial"/>
          <w:b/>
          <w:bCs/>
          <w:color w:val="000000"/>
          <w:lang w:eastAsia="es-CO"/>
        </w:rPr>
      </w:pPr>
      <w:bookmarkStart w:id="1074" w:name="ver_30057405"/>
      <w:bookmarkEnd w:id="1073"/>
      <w:bookmarkEnd w:id="1074"/>
      <w:r w:rsidRPr="00C21E7A">
        <w:rPr>
          <w:rFonts w:ascii="Arial" w:eastAsia="Times New Roman" w:hAnsi="Arial" w:cs="Arial"/>
          <w:b/>
          <w:bCs/>
          <w:color w:val="000000"/>
          <w:lang w:eastAsia="es-CO"/>
        </w:rPr>
        <w:t>TÍTULO 4</w:t>
      </w:r>
    </w:p>
    <w:p w14:paraId="5CA8C328" w14:textId="77777777" w:rsidR="00AF0C09" w:rsidRPr="00C21E7A" w:rsidRDefault="00AF0C09" w:rsidP="00C21E7A">
      <w:pPr>
        <w:spacing w:line="293" w:lineRule="atLeast"/>
        <w:jc w:val="center"/>
        <w:rPr>
          <w:rFonts w:ascii="Arial" w:eastAsia="Times New Roman" w:hAnsi="Arial" w:cs="Arial"/>
          <w:b/>
          <w:bCs/>
          <w:color w:val="000000"/>
          <w:lang w:eastAsia="es-CO"/>
        </w:rPr>
      </w:pPr>
      <w:r w:rsidRPr="00C21E7A">
        <w:rPr>
          <w:rFonts w:ascii="Arial" w:eastAsia="Times New Roman" w:hAnsi="Arial" w:cs="Arial"/>
          <w:b/>
          <w:bCs/>
          <w:color w:val="000000"/>
          <w:lang w:eastAsia="es-CO"/>
        </w:rPr>
        <w:t>JUEGOS PROMOCIONALES</w:t>
      </w:r>
    </w:p>
    <w:p w14:paraId="5153C4E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75" w:name="ver_30057406"/>
      <w:bookmarkEnd w:id="1075"/>
    </w:p>
    <w:p w14:paraId="15B49C12" w14:textId="5660134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2.7.4.1. Solicitud de autorización. Las personas naturales o jurídicas que pretendan organizar y operar juegos de suerte y azar con el fin de publicitar o promocionar bienes o servicios, establecimientos, empresas o entidades, en los cuales se ofrezca un premio al público, sin que para acceder al juego se pague directamente, deberán previamente solicitar y obtener autorización de las entidades competentes. </w:t>
      </w:r>
    </w:p>
    <w:p w14:paraId="22E7272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76" w:name="ver_30057407"/>
      <w:bookmarkEnd w:id="1076"/>
    </w:p>
    <w:p w14:paraId="18D61641" w14:textId="03D89E0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2.7.4.2. Autorización para la operación de juegos promocionales. Las personas naturales o jurídicas, que pretendan organizar y operar juegos de suerte y azar promocionales, deberán previamente solicitar y obtener autorización de la Empresa Industrial y Comercial del Estado Administradora del Monopolio Rentístico de Juegos de Suerte y Azar Coljuegos, cuando el juego sea de carácter nacional. Cuando el juego sea de carácter departamental, distrital o municipal, la autorización deberá solicitarse a la Sociedad de Capital Público Departamental, SCPD en cuya jurisdicción vaya a operar el juego. </w:t>
      </w:r>
    </w:p>
    <w:p w14:paraId="682084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8B91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se entiende que un juego promocional es de carácter nacional, cuando el mismo se opera en la jurisdicción de dos o más departamentos, bien sea que cobije a todo el departamento, o solamente a algunos de sus municipios y distritos. Por el contrario, un juego promocional es de carácter departamental, cuando su operación se realiza únicamente en jurisdicción de un solo departamento y es de carácter distrital o municipal, cuando opera únicamente en jurisdicción de un solo distrito o municipio. </w:t>
      </w:r>
    </w:p>
    <w:p w14:paraId="18419352" w14:textId="565FA43B"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77" w:name="ver_30103743"/>
      <w:bookmarkStart w:id="1078" w:name="ver_30103742"/>
      <w:bookmarkEnd w:id="1077"/>
    </w:p>
    <w:p w14:paraId="26BD67B7" w14:textId="7A6417D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2.7.4.3.Requisitos de la solicitud de autorización. La solicitud de autorización para la operación de juegos promocionales debe cumplir con los siguientes requisitos:  </w:t>
      </w:r>
    </w:p>
    <w:p w14:paraId="4B40906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F181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solicitud debe presentarse por escrito o por vía electrónica, en el formulario que determine la Empresa Industrial y Comercial Administradora del Monopolio Rentístico de los Juegos de Suerte y Azar (Coljuegos), o la Sociedad de Capital Público Departamental (SCPD), según corresponda.  </w:t>
      </w:r>
    </w:p>
    <w:p w14:paraId="79F7BA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FB139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Recibo de pago de los derechos de explotación y gastos de administración sobre el valor total del plan de premios, incluido IVA; y garantía única de cumplimiento, por el valor total del plan de premios ofrecido, con una vigencia mínima por el término del juego promocional y dos (2) meses más.  </w:t>
      </w:r>
    </w:p>
    <w:p w14:paraId="3CEBBDB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DA79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plan de premios debe contar con la respectiva justificación técnica y económica, el lugar y calendario para la operación del juego promocional. El valor de cada premio debe ceñirse a lo fijado en la normativa vigente.  </w:t>
      </w:r>
    </w:p>
    <w:p w14:paraId="6A81DF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61CE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Acompañar con la solicitud de autorización, cualquiera de los siguientes documentos de acuerdo a los bienes, servicios o elementos que hagan parte del plan de premios: factura de compra o documento que acredite la propiedad de los bienes a entregar, promesa de contrato de compraventa, cotización de los mismos con un certificado que garantice los recursos para el pago del plan de premios, con vigencia no mayor a tres (3) meses anteriores a la radicación.  </w:t>
      </w:r>
    </w:p>
    <w:p w14:paraId="2A2C3F1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7E37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En toda solicitud debe incluirse el texto de los términos y condiciones del juego promocional a emplear en la pauta publicitaria.  </w:t>
      </w:r>
    </w:p>
    <w:p w14:paraId="4B33F9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07E4E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Con la solicitud, el operador se compromete a que la pauta publicitaria se ceñirá a lo previsto para la regulación de la marca de Coljuegos o de la respectiva Sociedad de Capital Público Departamental (SCPD).  </w:t>
      </w:r>
    </w:p>
    <w:p w14:paraId="5DE5F3D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C7A1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garantía única de cumplimiento podrá ser constituida por anualidades y será presentada en la primera solicitud de juego promocional del respectivo año. Para los juegos subsiguientes solo será necesario presentar el anexo de la entidad emisora donde se informe el saldo libre de afectación.  </w:t>
      </w:r>
    </w:p>
    <w:p w14:paraId="5A7B0A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5FFD3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los casos en que se haya efectuado el pago de derechos de explotación y gastos de administración en exceso, o no se autorice el juego promocional, se procederá a la devolución de los recursos según la normativa vigente </w:t>
      </w:r>
    </w:p>
    <w:p w14:paraId="3D8E860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79" w:name="ver_30057409"/>
      <w:bookmarkEnd w:id="1078"/>
      <w:bookmarkEnd w:id="1079"/>
    </w:p>
    <w:p w14:paraId="1FB8F0B2" w14:textId="04573B7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2.7.4.4. Valor del plan de premios. El valor total del plan de premios deberá estimarse por su valor comercial, incluido el IVA. Así mismo, cuando se ofrezcan premios en los cuales la persona natural o jurídica que realiza el sorteo promocional asume el pago de los impuestos correspondientes, el valor de dicho impuesto o impuestos deberá adicionarse al valor comercial del plan de premios, para efecto de cálculo de los derechos de explotación. </w:t>
      </w:r>
    </w:p>
    <w:p w14:paraId="1D055750" w14:textId="0CECC5A2" w:rsidR="00AF0C09" w:rsidRPr="002C1480" w:rsidRDefault="00AF0C09" w:rsidP="00C21E7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80" w:name="ver_30103745"/>
      <w:bookmarkStart w:id="1081" w:name="ver_30103744"/>
      <w:bookmarkEnd w:id="1080"/>
    </w:p>
    <w:p w14:paraId="70F3488A" w14:textId="6453136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2.7.4.5.Trámite de la solicitud. Recibida la solicitud, Coljuegos o la respectiva Sociedad de Capital Público Departamental, SCPD según corresponda, dentro de los quince (15) días siguientes y previo estudio, emitirá el acto administrativo de autorización.  </w:t>
      </w:r>
    </w:p>
    <w:p w14:paraId="4032C3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9532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juego promocional sólo podrá iniciarse y publicitarse una vez se encuentre en firme el acto administrativo de autorización, y su vigencia en ningún caso podrá ser superior a un (1) año”.  </w:t>
      </w:r>
    </w:p>
    <w:p w14:paraId="54C8BCED" w14:textId="77777777" w:rsidR="00AF0C09" w:rsidRPr="002C1480" w:rsidRDefault="00AF0C09" w:rsidP="00C32F85">
      <w:pPr>
        <w:spacing w:after="0" w:line="254" w:lineRule="atLeast"/>
        <w:jc w:val="both"/>
        <w:rPr>
          <w:rFonts w:ascii="Arial" w:eastAsia="Times New Roman" w:hAnsi="Arial" w:cs="Arial"/>
          <w:color w:val="000000"/>
          <w:lang w:eastAsia="es-CO"/>
        </w:rPr>
      </w:pPr>
    </w:p>
    <w:p w14:paraId="6CAAFD58" w14:textId="03EC2E62" w:rsidR="00AF0C09" w:rsidRPr="002C1480" w:rsidRDefault="002C1480" w:rsidP="00C32F85">
      <w:pPr>
        <w:spacing w:after="0" w:line="254" w:lineRule="atLeast"/>
        <w:jc w:val="both"/>
        <w:rPr>
          <w:rFonts w:ascii="Arial" w:eastAsia="Times New Roman" w:hAnsi="Arial" w:cs="Arial"/>
          <w:color w:val="000000"/>
          <w:lang w:eastAsia="es-CO"/>
        </w:rPr>
      </w:pPr>
      <w:bookmarkStart w:id="1082" w:name="ver_30103746"/>
      <w:bookmarkEnd w:id="1081"/>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2.7.4.6.Concepto desfavorable y desistimiento. Si del examen de la solicitud de autorización, Coljuegos o la respectiva Sociedad de Capital Público Departamental (SCPD) según corresponda emite concepto desfavorable, así lo hará conocer al interesado mediante acto administrativo susceptible de recursos en los términos del Código de Procedimiento Administrativo y de lo Contencioso Administrativo.  </w:t>
      </w:r>
    </w:p>
    <w:p w14:paraId="76C613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7F1880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del examen de la solicitud de autorización se establezca que está incompleta o que requiere aclaración, así se comunicará al interesado para que la complete o aclare, siguiendo para el efecto lo previsto en el Código de Procedimiento Administrativo y de lo Contencioso Administrativo.  </w:t>
      </w:r>
    </w:p>
    <w:p w14:paraId="77FCE43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CCD49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anterior no impide la presentación de posteriores solicitudes </w:t>
      </w:r>
    </w:p>
    <w:p w14:paraId="536F337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83" w:name="ver_30057412"/>
      <w:bookmarkEnd w:id="1082"/>
      <w:bookmarkEnd w:id="1083"/>
    </w:p>
    <w:p w14:paraId="6C165576" w14:textId="2F84CF3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2.7.4.7. Modificación del calendario de sorteos. En el evento en el cual la persona autorizada para realizar los sorteos promocionales no pudiera adelantarlos en la fecha o fechas previstas en el calendario de sorteos, por presentarse fuerza mayor o caso fortuito, deberá informarlo inmediatamente a la Empresa Industrial y Comercial del Estado Administradora del Monopolio Rentístico de los Juegos de Suerte y Azar Coljuegos, o a la respectiva Sociedad de Capital Público Departamental, SCPD, acreditando las circunstancias que impidieron la realización del sorteo y señalando la fecha en que éste se realizará. </w:t>
      </w:r>
    </w:p>
    <w:p w14:paraId="2FD98C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DD9B4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Empresa Industrial y Comercial del Estado Administradora del Monopolio Rentístico de los Juegos de Suerte y Azar Coljuegos, o la respectiva Sociedad de Capital Público Departamental, SCPD, previo análisis de las circunstancias expuestas por el gestor del juego, decidirá mediante acto administrativo. En el evento que del estudio de las circunstancias aducidas por el gestor del juego, la Empresa Industrial y Comercial del Estado Administradora del Monopolio Rentístico de los Juegos de Suerte y Azar Coljuegos, o la respectiva Sociedad de Capital Público Departamental, SCPD, establezca que éstas no obedecen a fuerza mayor o caso fortuito, ordenará mediante acto administrativo la realización del sorteo señalando la fecha, caso en el cual el gestor del juego deberá cancelar el valor de los derechos de explotación correspondiente al plan de premios de dicho sorteo, sin perjuicio del pago de los gastos de administración. </w:t>
      </w:r>
    </w:p>
    <w:p w14:paraId="2EDE4817" w14:textId="338CE7A5" w:rsidR="00AF0C09" w:rsidRPr="002C1480" w:rsidRDefault="00AF0C09" w:rsidP="00D26D1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84" w:name="ver_30057413"/>
      <w:bookmarkEnd w:id="1084"/>
    </w:p>
    <w:p w14:paraId="20807492" w14:textId="693DC58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2.7.4.8. Premios en dinero y en especie. Con excepción de los juegos promocionales que se autoricen a las entidades financieras y aseguradoras, no se podrán ofrecer o entregar premios en dinero. En consecuencia, los premios deberán consistir en bienes muebles o inmuebles o servicios. Se excluyen de los bienes muebles, los títulos valores y similares. </w:t>
      </w:r>
    </w:p>
    <w:p w14:paraId="012A21B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85" w:name="ver_30057414"/>
      <w:bookmarkEnd w:id="1085"/>
    </w:p>
    <w:p w14:paraId="485D3E1B" w14:textId="2116E24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2.7.4.9. Autorizaciones y regulaciones especiales. Cuando para la realización de los juegos de suerte y azar promocionales se pretenda utilizar el nombre, la marca o los resultados de otros juegos, el interesado deberá acompañar con la solicitud de permiso para la operación, la autorización de uso de los derechos, suscrita por el titular. </w:t>
      </w:r>
    </w:p>
    <w:p w14:paraId="3C2478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33A122" w14:textId="76AA338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Además de lo señalado en el presente título, las entidades pertenecientes al sector financiero y asegurador deberán cumplir con lo dispuesto por el Parte 2, Libro 24, Título 1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2C313839" w14:textId="1A4F037D" w:rsidR="00AF0C09" w:rsidRPr="002C1480" w:rsidRDefault="00AF0C09" w:rsidP="00D26D1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86" w:name="ver_30103749"/>
      <w:bookmarkStart w:id="1087" w:name="ver_30103748"/>
      <w:bookmarkEnd w:id="1086"/>
    </w:p>
    <w:p w14:paraId="7746A4B7" w14:textId="7F23162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2.7.4.10.Plazo para la entrega de premios. De acuerdo con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5° de la Ley 643 de 2001, los premios promocionales deben entregarse en un plazo no mayor a treinta (30) días calendario, contados a partir de la fecha del sorteo. Los operadores deben garantizar la aleatoriedad del juego de suerte y azar promocional, en las condiciones autorizadas por las Entidades Administradoras del Monopolio.  </w:t>
      </w:r>
    </w:p>
    <w:p w14:paraId="6C2A01A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8E69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la realización del sorteo y de la entrega de premios, debe dejarse acta o constancia escrita, las cuales serán enviadas a Coljuegos o la Sociedad de Capital Público Departamental SCPD según </w:t>
      </w:r>
      <w:r w:rsidRPr="002C1480">
        <w:rPr>
          <w:rFonts w:ascii="Arial" w:eastAsia="Times New Roman" w:hAnsi="Arial" w:cs="Arial"/>
          <w:color w:val="000000"/>
          <w:lang w:eastAsia="es-CO"/>
        </w:rPr>
        <w:lastRenderedPageBreak/>
        <w:t>corresponda, dentro de los diez (1O) y treinta (30) días siguientes a la fecha en que se surtan, respectivamente.  </w:t>
      </w:r>
    </w:p>
    <w:p w14:paraId="4C74A9E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A7E9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las mecánicas en las cuales se realice siembra de premios, entendida como la distribución aleatoria en el mercado de productos, boletas o similares que contienen la condición para ganar, el plazo de los treinta (30) días calendario para la entrega del premio, será contado desde la reclamación del mismo por parte del jugador, y esta solo podrá darse dentro de la vigencia autorizada del juego de suerte y azar promocional.  </w:t>
      </w:r>
    </w:p>
    <w:p w14:paraId="6EB6A0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2ED1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A los sorteos o siembra de premios de los juegos de suerte y azar promocionales deberá asistir un delegado de la primera autoridad administrativa del lugar donde este se realice, siempre que el valor total del plan de premios supere los mil salarios mínimos legales mensuales vigentes (1.000 smlmv). En los juegos de suerte y azar promocionales cuyo valor del plan de premios no supere el monto antes señalado, el operador del juego deberá solicitar el acompañamiento del delegado, sin perjuicio que el sorteo o la siembra de premios se lleve a cabo sin su presencia.  </w:t>
      </w:r>
    </w:p>
    <w:p w14:paraId="7214E2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4A47BF" w14:textId="6BEE6C2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Coljuegos o la respectiva Sociedad de Capital Público Departamental (SCPD), según corresponda, determinarán los formatos y soportes de las actas y constancias a que se refieren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7C4D56D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88" w:name="ver_30103751"/>
      <w:bookmarkStart w:id="1089" w:name="ver_30103750"/>
      <w:bookmarkEnd w:id="1087"/>
      <w:bookmarkEnd w:id="1088"/>
    </w:p>
    <w:p w14:paraId="3E098A64" w14:textId="2B58FDF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2.7.4.11. DEROGADO </w:t>
      </w:r>
    </w:p>
    <w:p w14:paraId="61B57549" w14:textId="77777777" w:rsidR="00AF0C09" w:rsidRPr="00D26D1B" w:rsidRDefault="00AF0C09" w:rsidP="00D26D1B">
      <w:pPr>
        <w:spacing w:after="0" w:line="254" w:lineRule="atLeast"/>
        <w:jc w:val="center"/>
        <w:rPr>
          <w:rFonts w:ascii="Arial" w:eastAsia="Times New Roman" w:hAnsi="Arial" w:cs="Arial"/>
          <w:b/>
          <w:bCs/>
          <w:color w:val="000000"/>
          <w:lang w:eastAsia="es-CO"/>
        </w:rPr>
      </w:pPr>
    </w:p>
    <w:p w14:paraId="09616271" w14:textId="77777777" w:rsidR="00AF0C09" w:rsidRPr="00D26D1B" w:rsidRDefault="00AF0C09" w:rsidP="00D26D1B">
      <w:pPr>
        <w:spacing w:after="0" w:line="293" w:lineRule="atLeast"/>
        <w:jc w:val="center"/>
        <w:rPr>
          <w:rFonts w:ascii="Arial" w:eastAsia="Times New Roman" w:hAnsi="Arial" w:cs="Arial"/>
          <w:b/>
          <w:bCs/>
          <w:color w:val="000000"/>
          <w:lang w:eastAsia="es-CO"/>
        </w:rPr>
      </w:pPr>
      <w:bookmarkStart w:id="1090" w:name="ver_30057417"/>
      <w:bookmarkEnd w:id="1089"/>
      <w:bookmarkEnd w:id="1090"/>
      <w:r w:rsidRPr="00D26D1B">
        <w:rPr>
          <w:rFonts w:ascii="Arial" w:eastAsia="Times New Roman" w:hAnsi="Arial" w:cs="Arial"/>
          <w:b/>
          <w:bCs/>
          <w:color w:val="000000"/>
          <w:lang w:eastAsia="es-CO"/>
        </w:rPr>
        <w:t>TÍTULO 5</w:t>
      </w:r>
    </w:p>
    <w:p w14:paraId="780A3242" w14:textId="77777777" w:rsidR="00AF0C09" w:rsidRPr="00D26D1B" w:rsidRDefault="00AF0C09" w:rsidP="00D26D1B">
      <w:pPr>
        <w:spacing w:line="293" w:lineRule="atLeast"/>
        <w:jc w:val="center"/>
        <w:rPr>
          <w:rFonts w:ascii="Arial" w:eastAsia="Times New Roman" w:hAnsi="Arial" w:cs="Arial"/>
          <w:b/>
          <w:bCs/>
          <w:color w:val="000000"/>
          <w:lang w:eastAsia="es-CO"/>
        </w:rPr>
      </w:pPr>
      <w:r w:rsidRPr="00D26D1B">
        <w:rPr>
          <w:rFonts w:ascii="Arial" w:eastAsia="Times New Roman" w:hAnsi="Arial" w:cs="Arial"/>
          <w:b/>
          <w:bCs/>
          <w:color w:val="000000"/>
          <w:lang w:eastAsia="es-CO"/>
        </w:rPr>
        <w:t>JUEGOS DE SUERTE Y AZAR LOCALIZADOS</w:t>
      </w:r>
    </w:p>
    <w:p w14:paraId="3A370A6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91" w:name="ver_30057418"/>
      <w:bookmarkEnd w:id="1091"/>
    </w:p>
    <w:p w14:paraId="6C9812EC" w14:textId="4AD4C73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2.7.5.1. Ámbito de aplicación. Las disposiciones del presente título se aplicarán a Coljuegos y a las personas jurídicas que operen el monopolio rentístico de los juegos de suerte y azar localizados. </w:t>
      </w:r>
    </w:p>
    <w:p w14:paraId="64A9A3A3" w14:textId="0A6FA6A8"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92" w:name="ver_30057419"/>
      <w:bookmarkEnd w:id="1092"/>
    </w:p>
    <w:p w14:paraId="5AF785EC" w14:textId="4BE5DC3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2.7.5.2. Requisitos para la operación. Podrán operar los juegos de suerte y azar localizados las personas jurídicas que obtengan autorización de Coljuegos y suscriban el correspondiente contrato de concesión. </w:t>
      </w:r>
    </w:p>
    <w:p w14:paraId="48D22FDF" w14:textId="5FD7CC0C"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93" w:name="ver_30133934"/>
      <w:bookmarkStart w:id="1094" w:name="ver_30133933"/>
      <w:bookmarkEnd w:id="1093"/>
    </w:p>
    <w:p w14:paraId="42836124" w14:textId="29F44F2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2.7.5.3. Autorización. Para efectos de la autorización señalada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del presente título, se deberá acreditar ante Coljuegos el cumplimiento de los siguientes requisitos:  </w:t>
      </w:r>
    </w:p>
    <w:p w14:paraId="453287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91C37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Demostrar la tenencia legal de los equipos y elementos utilizados para la opera</w:t>
      </w:r>
      <w:r w:rsidRPr="002C1480">
        <w:rPr>
          <w:rFonts w:ascii="Arial" w:eastAsia="Times New Roman" w:hAnsi="Arial" w:cs="Arial"/>
          <w:color w:val="000000"/>
          <w:lang w:eastAsia="es-CO"/>
        </w:rPr>
        <w:softHyphen/>
        <w:t>ción de los juegos.  </w:t>
      </w:r>
    </w:p>
    <w:p w14:paraId="79051B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100F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Obtener concepto previo favorable del local comercial previsto para operar el juego, el cual puede ser equivalente al concepto de uso del suelo, siempre y cuando sea expedido por el correspondiente alcalde del municipio, su delegado o por la autoridad municipal designada funcionalmente para el efecto, en el que se establezca que la ubicación del local comercial donde operará el juego localizado se encuentra en una zona apta para el desarrollo de actividades comerciales de conformidad con los planes de ordenamiento territorial o esquemas de ordena</w:t>
      </w:r>
      <w:r w:rsidRPr="002C1480">
        <w:rPr>
          <w:rFonts w:ascii="Arial" w:eastAsia="Times New Roman" w:hAnsi="Arial" w:cs="Arial"/>
          <w:color w:val="000000"/>
          <w:lang w:eastAsia="es-CO"/>
        </w:rPr>
        <w:softHyphen/>
        <w:t>miento territorial según corresponda.  </w:t>
      </w:r>
    </w:p>
    <w:p w14:paraId="072CCA4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59AF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Los que establezca Coljuegos respecto al número mínimo y/o máximo de ele</w:t>
      </w:r>
      <w:r w:rsidRPr="002C1480">
        <w:rPr>
          <w:rFonts w:ascii="Arial" w:eastAsia="Times New Roman" w:hAnsi="Arial" w:cs="Arial"/>
          <w:color w:val="000000"/>
          <w:lang w:eastAsia="es-CO"/>
        </w:rPr>
        <w:softHyphen/>
        <w:t>mentos que se pueden operar por local comercial, número mínimo de elementos que se pueden operar por contrato, las actividades comerciales o de servicios compatibles con la operación de los juegos localizados en los locales comerciales y las demás condiciones técnicas que sean consideradas necesarias para la efecti</w:t>
      </w:r>
      <w:r w:rsidRPr="002C1480">
        <w:rPr>
          <w:rFonts w:ascii="Arial" w:eastAsia="Times New Roman" w:hAnsi="Arial" w:cs="Arial"/>
          <w:color w:val="000000"/>
          <w:lang w:eastAsia="es-CO"/>
        </w:rPr>
        <w:softHyphen/>
        <w:t>va operación de cada tipo de juego localizado”.  </w:t>
      </w:r>
    </w:p>
    <w:p w14:paraId="77B0D4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DA93A9" w14:textId="5EFCBB3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En cumplimiento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35 de la Ley 643 de 2001, el alcalde del municipio, su delegado o la autoridad municipal designada funcionalmente para el efecto, debe emitir favorablemente el concepto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siempre que se verifique que el establecimiento de comercio de juego de suerte y azar que se pretende operar esté ubicado en una zona apta para el desarrollo de actividades comerciales, de conformidad con el plan de ordenamiento territorial o el esquema de ordenamiento territorial, según corresponda.  </w:t>
      </w:r>
    </w:p>
    <w:p w14:paraId="3D5F8C7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9BA0EC" w14:textId="3189BE1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los efectos de la autorización y suscripción de los contratos de concesión de juegos localizados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33 de la Ley 643 de 2001, el concepto previo favorable expedido por el correspondiente alcalde del municipio o por la autoridad municipal que este delegue o designe funcionalmente para el efecto, y que hubiere sido presentado por el interesado para tales efectos no será requerido nuevamente, a menos que la misma autoridad que lo expidió o el operador del juego informen a Coljuegos la revocatoria del mismo, en el evento que se realice una modificación del plan de ordenamiento territorial o el esquema de ordenamiento territorial según corresponda, que pueda afectar el concepto previo inicialmente otorgado.  </w:t>
      </w:r>
    </w:p>
    <w:p w14:paraId="0E79375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4D6B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La definición del número de elementos mínimo y/o máximo que se pueden operar por local comercial y las actividades comerciales que pueden ser combinadas con la operación de cada tipo de juego localizado, deberá hacerse con observancia de aspectos que incorporen medidas de control para los elementos de juego autorizados.  </w:t>
      </w:r>
    </w:p>
    <w:p w14:paraId="4428F94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F112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Mientras Coljuegos establece los mínimos de elementos de cada tipo de juego localizado por local comercial, se aplicarán los siguientes, de acuerdo con la proyección del censo del DANE  </w:t>
      </w:r>
    </w:p>
    <w:p w14:paraId="2557320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65"/>
        <w:gridCol w:w="1965"/>
        <w:gridCol w:w="1965"/>
      </w:tblGrid>
      <w:tr w:rsidR="00AF0C09" w:rsidRPr="002C1480" w14:paraId="409C3303"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1D279A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Ítem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135B230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Número de habitantes por municipio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2A5CAE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Elementos de juego  </w:t>
            </w:r>
          </w:p>
        </w:tc>
      </w:tr>
      <w:tr w:rsidR="00AF0C09" w:rsidRPr="002C1480" w14:paraId="45FCFFE0"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435DC2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7EF7816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500.001 en adelante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782BDE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20  </w:t>
            </w:r>
          </w:p>
        </w:tc>
      </w:tr>
      <w:tr w:rsidR="00AF0C09" w:rsidRPr="002C1480" w14:paraId="57A2197E"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15F119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5D7011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100.001 a 500.000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2F6F307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w:t>
            </w:r>
          </w:p>
        </w:tc>
      </w:tr>
      <w:tr w:rsidR="00AF0C09" w:rsidRPr="002C1480" w14:paraId="05E808B2"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00B8EA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51103B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50.001 a 100.000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76CF33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w:t>
            </w:r>
          </w:p>
        </w:tc>
      </w:tr>
      <w:tr w:rsidR="00AF0C09" w:rsidRPr="002C1480" w14:paraId="67B5D62F"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31A25A9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3C797E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25.001 a 50.000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1C0786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w:t>
            </w:r>
          </w:p>
        </w:tc>
      </w:tr>
      <w:tr w:rsidR="00AF0C09" w:rsidRPr="002C1480" w14:paraId="77935F70"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45E6A4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3C4F795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10.001 a 25.000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4FEDF9C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w:t>
            </w:r>
          </w:p>
        </w:tc>
      </w:tr>
      <w:tr w:rsidR="00AF0C09" w:rsidRPr="002C1480" w14:paraId="3F029A70" w14:textId="77777777" w:rsidTr="00AF0C09">
        <w:trPr>
          <w:trHeight w:val="105"/>
          <w:tblCellSpacing w:w="0" w:type="dxa"/>
        </w:trPr>
        <w:tc>
          <w:tcPr>
            <w:tcW w:w="1965" w:type="dxa"/>
            <w:tcBorders>
              <w:top w:val="outset" w:sz="6" w:space="0" w:color="auto"/>
              <w:left w:val="outset" w:sz="6" w:space="0" w:color="auto"/>
              <w:bottom w:val="outset" w:sz="6" w:space="0" w:color="auto"/>
              <w:right w:val="outset" w:sz="6" w:space="0" w:color="auto"/>
            </w:tcBorders>
            <w:vAlign w:val="center"/>
            <w:hideMark/>
          </w:tcPr>
          <w:p w14:paraId="6BC155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72F36B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menos de 10.000  </w:t>
            </w:r>
          </w:p>
        </w:tc>
        <w:tc>
          <w:tcPr>
            <w:tcW w:w="1965" w:type="dxa"/>
            <w:tcBorders>
              <w:top w:val="outset" w:sz="6" w:space="0" w:color="auto"/>
              <w:left w:val="outset" w:sz="6" w:space="0" w:color="auto"/>
              <w:bottom w:val="outset" w:sz="6" w:space="0" w:color="auto"/>
              <w:right w:val="outset" w:sz="6" w:space="0" w:color="auto"/>
            </w:tcBorders>
            <w:vAlign w:val="center"/>
            <w:hideMark/>
          </w:tcPr>
          <w:p w14:paraId="7F67750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w:t>
            </w:r>
          </w:p>
        </w:tc>
      </w:tr>
    </w:tbl>
    <w:p w14:paraId="61EB9A5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8E06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5°. Mientras Coljuegos establece las actividades comerciales o de servicios que pueden combinarse con la operación de cada tipo de juego localizado, estos deberán operarse en locales comerciales cuya actividad principal sea la de juegos de suerte y azar, y las máquinas tragamonedas deberán operar en locales comerciales cuyo objeto principal sea la operación de este tipo de juegos o de manera compartida con otro tipo de juegos localizados.  </w:t>
      </w:r>
    </w:p>
    <w:p w14:paraId="565FB57B" w14:textId="2157286B"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95" w:name="ver_30057421"/>
      <w:bookmarkEnd w:id="1094"/>
      <w:bookmarkEnd w:id="1095"/>
    </w:p>
    <w:p w14:paraId="30C2198F" w14:textId="2A81109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2.7.5.4. Del contrato de concesión. Una vez en firme el acto administrativo de otorgamiento de la autorización para la operación a través de terceros de los juegos de suerte y azar localizados de que trata el presente título, se procederá a la suscripción del contrato de concesión, el cual se regirá en su orden por lo dispuesto en las Leyes 643 de 2001, 80 de 1993 y 1150 de 2007 y sus </w:t>
      </w:r>
      <w:r w:rsidR="00731A76">
        <w:rPr>
          <w:rFonts w:ascii="Arial" w:eastAsia="Times New Roman" w:hAnsi="Arial" w:cs="Arial"/>
          <w:color w:val="000000"/>
          <w:lang w:eastAsia="es-CO"/>
        </w:rPr>
        <w:t>DECRETOS</w:t>
      </w:r>
      <w:r w:rsidR="00AF0C09" w:rsidRPr="002C1480">
        <w:rPr>
          <w:rFonts w:ascii="Arial" w:eastAsia="Times New Roman" w:hAnsi="Arial" w:cs="Arial"/>
          <w:color w:val="000000"/>
          <w:lang w:eastAsia="es-CO"/>
        </w:rPr>
        <w:t xml:space="preserve"> reglamentarios y en las demás normas que las adicionen o modifiquen, así como por lo que disponga Coljuegos, para la adecuada ejecución del objeto contractual. </w:t>
      </w:r>
    </w:p>
    <w:p w14:paraId="44A5269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96" w:name="ver_30057422"/>
      <w:bookmarkEnd w:id="1096"/>
    </w:p>
    <w:p w14:paraId="0EC70811" w14:textId="4D2A1AC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2.7.5.5. Término para la suscripción del contrato de concesión. En el acto de autorización se señalará la fecha límite para la suscripción del contrato. Cuando sin justa causa el autorizado no suscriba el respectivo contrato en dicho plazo, el acto de autorización perderá sus efectos. Hasta tanto no se suscriba y se cumplan los requisitos de ejecución del contrato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del presente título, no podrá iniciarse la operación del juego. </w:t>
      </w:r>
    </w:p>
    <w:p w14:paraId="32E5DCF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97" w:name="ver_30057423"/>
      <w:bookmarkEnd w:id="1097"/>
    </w:p>
    <w:p w14:paraId="3759EA6F" w14:textId="5F667B0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2.7.5.6. Declaración, liquidación y pago de los derechos de explotación, gastos de administración e intereses moratorios. Dentro de los primeros diez (10) días hábiles de cada mes, los operadores autorizados, con base en el formulario de declaración, liquidación y pago, deberán efectuar el pago de los derechos de explotación, gastos de administración e intereses moratorios a que hubiere lugar, en los bancos y/o entidades financieras autorizados por Coljuegos. </w:t>
      </w:r>
    </w:p>
    <w:p w14:paraId="41BFCC1D" w14:textId="7EA78E1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Dentro del mismo término, presentarán ante Coljuegos, debidamente diligenciado, el formulario de declaración, liquidación y pago, y el respectivo comprobante de consignación. </w:t>
      </w:r>
    </w:p>
    <w:p w14:paraId="76063F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C344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Coljuegos adoptará mediante acto administrativo los requisitos que considere necesarios para la liquidación, declaración y pago de los derechos de explotación, gastos de administración e intereses moratorios y mantendrá en su página electrónica el formulario de declaración, liquidación y pago. </w:t>
      </w:r>
    </w:p>
    <w:p w14:paraId="261579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F0EB67" w14:textId="4401C10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efectos del presente título y tratándose de los demás juegos localizados a que se hace referencia en el numeral 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34 de la Ley 643 de 2001, los ingresos brutos que sirven de base para la liquidación de los derechos de explotación y gastos de administración corresponden al valor total de las apuestas realizadas sin incluir el Impuesto al Valor Agregado (IVA). </w:t>
      </w:r>
    </w:p>
    <w:p w14:paraId="59A7A88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098" w:name="ver_30057424"/>
      <w:bookmarkEnd w:id="1098"/>
    </w:p>
    <w:p w14:paraId="0FFA6C57" w14:textId="31AD7B4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2.7.5.7. Garantías. El operador deberá constituir a favor de la Empresa Industrial y Comercial del Estado Administradora del Monopolio Rentístico de los Juegos de Suerte y Azar (Coljuegos), por intermedio de una compañía de seguros o de un banco legalmente establecido en Colombia, una garantía única que ampare como mínimo los siguientes riesgos: </w:t>
      </w:r>
    </w:p>
    <w:p w14:paraId="151AF8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C6EC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De cumplimiento de las obligaciones surgidas del contrato de concesión, para la operación de juegos de suerte y azar localizados y del pago de las sanciones que se le llegaren a imponer al concesionario, incluyendo en ellas el pago de multas y la cláusula penal pecuniaria, que ampare por lo menos el quince (15%) del valor del contrato y una vigencia igual a la de este más el término establecido para su liquidación; </w:t>
      </w:r>
    </w:p>
    <w:p w14:paraId="5877F7C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6A403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De salarios y prestaciones sociales que ampare por lo menos el cinco por ciento (5%) del valor del contrato y una vigencia igual a la del mismo y tres (3) años más; </w:t>
      </w:r>
    </w:p>
    <w:p w14:paraId="402DBE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ECEDD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De pago de premios a los apostadores que ampare por lo menos el cinco por ciento (5%) del valor del contrato de concesión y una vigencia igual a la de aquel más el término establecido para su liquidación. </w:t>
      </w:r>
    </w:p>
    <w:p w14:paraId="5D6C6AA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3456370" w14:textId="2B836D0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indivisibilidad de la garantía en los contratos de concesión para la operación de juegos de suerte y azar localizados, no se regirá por lo dispuesto sobre la materia en Título 1 de la Parte 2 del Libro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Reglamentario Único del Sector Administrativo de Planeación Nacional y en su lugar, los operadores podrán constituir la garantía por anualidades, caso en el cual, el monto del amparo se calculará sobre el valor total del contrato para el primer año y, para los años subsiguientes, por el saldo total del contrato que falte por ejecutar, con la obligación del operador de renovar las garantías tres meses antes de su vencimiento y en los términos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786FCD1D" w14:textId="788932BC"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099" w:name="ver_30057425"/>
      <w:bookmarkEnd w:id="1099"/>
    </w:p>
    <w:p w14:paraId="741CCD8A" w14:textId="467C99D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2.7.5.8. Giro de los recursos del monopolio. Constituyen rentas del monopolio cedidas por la Nación a las entidades territoriales, los derechos de explotación, los intereses de mora y los rendimientos financieros, provenientes de la operación de los juegos de suerte y azar localizados a que se refiere este título. </w:t>
      </w:r>
    </w:p>
    <w:p w14:paraId="100618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EC7956" w14:textId="246E2B7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Dichas rentas deberán ser giradas mensualmente por Coljuegos a los municipios y al Distrito Capital, en los términos establecidos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32 de la Ley 643 de 2001, 2.7.9.1.6. del Título 9 de la presente parte y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4962 de 2011, o las normas que los modifiquen, adicionen o compilen. Igualmente, remitirá dentro de los cinco (5) días siguientes a la fecha de consignación de los recursos, el informe de que trata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1659 de 2002. </w:t>
      </w:r>
    </w:p>
    <w:p w14:paraId="451571C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00" w:name="ver_30057426"/>
      <w:bookmarkEnd w:id="1100"/>
    </w:p>
    <w:p w14:paraId="62BB2554" w14:textId="0FD1F19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2.7.5.9. Función de Policía Judicial. De conformidad con las facultades otorgadas en la Ley 643 de 2001, Coljuegos ejercerá las funciones previstas en el numeral cuatro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202 de la Ley 906 de 2004. </w:t>
      </w:r>
    </w:p>
    <w:p w14:paraId="4093E44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A94C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desarrollo de estas funciones, Coljuegos, dentro del ámbito de su competencia, realizará las actividades tendientes a brindar el apoyo necesario a las autoridades de investigación en la recolección del material probatorio y su aseguramiento para el desarrollo eficaz de la investigación y actuará coordinadamente con dichas autoridades en los casos que se considere pertinente. </w:t>
      </w:r>
    </w:p>
    <w:p w14:paraId="31D028D4" w14:textId="77777777" w:rsidR="00AB6706" w:rsidRDefault="00AB6706" w:rsidP="00C32F85">
      <w:pPr>
        <w:spacing w:after="0" w:line="254" w:lineRule="atLeast"/>
        <w:jc w:val="both"/>
        <w:rPr>
          <w:rFonts w:ascii="Arial" w:eastAsia="Times New Roman" w:hAnsi="Arial" w:cs="Arial"/>
          <w:color w:val="000000"/>
          <w:lang w:eastAsia="es-CO"/>
        </w:rPr>
      </w:pPr>
    </w:p>
    <w:p w14:paraId="6814AA0B" w14:textId="3025B652"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2.7.5.10. Gradualidad de la confiabilidad. Para efectos de la aplicación de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59 de la Ley 1955 de 2019 y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56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Ley 2106 de 2019, los operadores de juegos de suerte y azar localizados que cumplan las condiciones establecidas por Coljuegos para la conectividad y la confiabilidad del Sistema de Conexión en Línea, en las máquinas electrónicas tragamonedas (MET) autorizadas en el contrato de concesión, deben liquidar mensualmente con la tarifa prevista en el mencionado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w:t>
      </w:r>
    </w:p>
    <w:p w14:paraId="524CF2D0"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7BCC6712" w14:textId="6D0BE403"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alguna de las MET autorizadas en el contrato de concesión no cumpla las anteriores condiciones, se debe liquidar de forma individual con las tarifas previstas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34 de la Ley 643 de 2001.  </w:t>
      </w:r>
    </w:p>
    <w:p w14:paraId="7C3727BE"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6B9B2023" w14:textId="6AFCB083"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Dentro de los seis meses siguientes a la entrada en vigencia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Coljuegos establecerá las condiciones de confiabilidad de las MET, que serán verificadas dos años después de su expedición; las MET que cumplan las condiciones, de acuerdo a la gradualidad, las etapas y plazos definidas por la entidad administradora del monopolio para llegar a los estándares internacionales, pagarán las tarifas previstas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59 de la Ley 1955 de 2019, las MET que no cumplan las condiciones de la etapa respectiva pagarán las tarifas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34 de la Ley 643 de 2001.  </w:t>
      </w:r>
    </w:p>
    <w:p w14:paraId="7B0C819B"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392CCFA2" w14:textId="29D5066E"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Coljuegos expedirá las condiciones de conectividad y confiabilidad de los demás elementos de juegos localizados, para lo cual establecerá la gradualidad en la implementación de estos mecanismos por parte de los operadores. Los elementos de juego que cumplan las condiciones, de acuerdo a la gradualidad, las etapas y plazos definidas por la entidad administradora del monopolio para llegar a los estándares internacionales, pagarán las tarifas previstas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59 de la Ley 1955 de 2019, los elementos de juego que no cumplan las condiciones de la etapa respectiva pagarán las tarifas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34 de la Ley 643 de 2001.  </w:t>
      </w:r>
    </w:p>
    <w:p w14:paraId="6C646BD2"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07264981" w14:textId="50057AD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Coljuegos expedirá las condiciones para elaborar la liquidación sugerida; en todo caso, no se podrán hacer liquidaciones de derechos de explotación con valores negativos, en concordancia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336 de la Constitución Política y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56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Ley 2106 de 2019 </w:t>
      </w:r>
    </w:p>
    <w:p w14:paraId="24FD04F8" w14:textId="77777777" w:rsidR="00C50D38" w:rsidRDefault="00C50D38" w:rsidP="00C32F85">
      <w:pPr>
        <w:spacing w:after="0" w:line="293" w:lineRule="atLeast"/>
        <w:jc w:val="both"/>
        <w:rPr>
          <w:rFonts w:ascii="Arial" w:eastAsia="Times New Roman" w:hAnsi="Arial" w:cs="Arial"/>
          <w:color w:val="000000"/>
          <w:lang w:eastAsia="es-CO"/>
        </w:rPr>
      </w:pPr>
      <w:bookmarkStart w:id="1101" w:name="ver_30057427"/>
      <w:bookmarkEnd w:id="1101"/>
    </w:p>
    <w:p w14:paraId="62DE908F" w14:textId="63894A8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TÍTULO 6</w:t>
      </w:r>
    </w:p>
    <w:p w14:paraId="0F5CAEB8"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APUESTAS EN EVENTOS DEPORTIVOS, GALLÍSTICOS,</w:t>
      </w:r>
    </w:p>
    <w:p w14:paraId="71A78A7A"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CANINOS Y SIMILARES</w:t>
      </w:r>
    </w:p>
    <w:p w14:paraId="43786F0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02" w:name="ver_30057428"/>
      <w:bookmarkEnd w:id="1102"/>
    </w:p>
    <w:p w14:paraId="7E47E0AA" w14:textId="4318233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2.7.6.1. Ámbito de aplicación. Las disposiciones del presente título se aplican a las apuestas en eventos deportivos, gallísticos, caninos, y similares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36 de la Ley 643 de 2001, operados a través de terceros. </w:t>
      </w:r>
    </w:p>
    <w:p w14:paraId="0A4A549A" w14:textId="304F8423"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03" w:name="ver_30057429"/>
      <w:bookmarkEnd w:id="1103"/>
    </w:p>
    <w:p w14:paraId="609C3BE9" w14:textId="41EA521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2.7.6.2. Operación a través de terceros. La operación del juego de apuestas en eventos deportivos, gallísticos, caninos, y similares, a través de terceros, es aquella que se realiza por personas jurídicas, mediante contratos de concesión celebrados con la Empresa Industrial y Comercial del Estado Administradora del Monopolio Rentístico de los Juegos de Suerte y Azar Coljuegos, en los términos de la Ley 80 de 1993. </w:t>
      </w:r>
    </w:p>
    <w:p w14:paraId="63763AB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04" w:name="ver_30057430"/>
      <w:bookmarkEnd w:id="1104"/>
    </w:p>
    <w:p w14:paraId="49B8307D" w14:textId="31A5188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2.7.6.3. Reglamento del juego. Con anterioridad a la iniciación del proceso contractual que tiene como fin escoger al concesionario, será necesario que exista el reglamento correspondiente a cada modalidad de juego, aprobado y expedido por la Empresa industrial y Comercial del Estado Administradora del Monopolio Rentístico de Juegos de Suerte y Azar Coljuegos. </w:t>
      </w:r>
    </w:p>
    <w:p w14:paraId="3A28FE5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B2C5D2" w14:textId="04D8B87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Dicho reglamento, determinará el monto de los derechos de explotación aplicable a cada juego, el cual en ningún caso podrá ser inferior al diecisiete por ciento (17%) de los ingresos brutos del juego, de conformidad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49 de la Ley 643 de 2001. </w:t>
      </w:r>
    </w:p>
    <w:p w14:paraId="0320F20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05" w:name="ver_30057431"/>
      <w:bookmarkEnd w:id="1105"/>
    </w:p>
    <w:p w14:paraId="21F0C5DD" w14:textId="2436503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2.7.6.4. Derechos de explotación. Para la liquidación de los Derechos de Explotación, se entiende por Ingresos Brutos del Juego, el valor total de las apuestas sin incluir el valor del impuesto sobre las ventas. </w:t>
      </w:r>
    </w:p>
    <w:p w14:paraId="7394F491" w14:textId="78D68F1C"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06" w:name="ver_30057432"/>
      <w:bookmarkEnd w:id="1106"/>
    </w:p>
    <w:p w14:paraId="3477659F" w14:textId="4814961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2.7.6.5. Gastos de administración y operación. Los Operadores de los Juegos de que trata el presente título, deberán pagar a título de gastos de administración un porcentaje no superior al uno por ciento (1%) de los derechos de explotación, o aquel porcentaje que por ley posterior se determine. </w:t>
      </w:r>
    </w:p>
    <w:p w14:paraId="752F7A2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07" w:name="ver_30057433"/>
      <w:bookmarkEnd w:id="1107"/>
    </w:p>
    <w:p w14:paraId="396D52CD" w14:textId="707FDEC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2.7.6.6. Declaración, liquidación y pago de los derechos de explotación, de los gastos de administración y de los intereses moratorios. Dentro de los primeros diez (10) días hábiles de </w:t>
      </w:r>
      <w:r w:rsidR="00AF0C09" w:rsidRPr="002C1480">
        <w:rPr>
          <w:rFonts w:ascii="Arial" w:eastAsia="Times New Roman" w:hAnsi="Arial" w:cs="Arial"/>
          <w:color w:val="000000"/>
          <w:lang w:eastAsia="es-CO"/>
        </w:rPr>
        <w:lastRenderedPageBreak/>
        <w:t>cada mes, en el formulario oficial que para el efecto emita la Empresa Industrial y Comercial del Estado Administradora del Monopolio Rentístico de los Juegos de Suerte y Azar Coljuegos, el operador deberá declarar y liquidar ante esta, los derechos de explotación y los gastos de administración, causados en el mes anterior, así como los intereses moratorios a que hubiere lugar. </w:t>
      </w:r>
    </w:p>
    <w:p w14:paraId="320E646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2EAC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Dentro del mismo término, el operador deberá consignar a la Empresa Industrial y Comercial del Estado Administradora del Monopolio Rentístico de los Juegos de Suerte y Azar Coljuegos, los valores liquidados en los Bancos y Entidades Financieras autorizadas. </w:t>
      </w:r>
    </w:p>
    <w:p w14:paraId="483CCEDA" w14:textId="0FC5E182"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08" w:name="ver_30057434"/>
      <w:bookmarkEnd w:id="1108"/>
    </w:p>
    <w:p w14:paraId="5FD86CF1" w14:textId="4428227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2.7.6.7. Formulario de declaración, liquidación y pago de los derechos de explotación y gastos de administración. El formulario de declaración, liquidación y pago de los derechos de explotación y gastos de administración, contendrá como mínimo lo siguiente: </w:t>
      </w:r>
    </w:p>
    <w:p w14:paraId="0CD83B0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5D87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Razón social del operador. </w:t>
      </w:r>
    </w:p>
    <w:p w14:paraId="452FEB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60513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Número de Identificación Tributaria. </w:t>
      </w:r>
    </w:p>
    <w:p w14:paraId="3C194E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F7A10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Dirección del domicilio social del operador. </w:t>
      </w:r>
    </w:p>
    <w:p w14:paraId="03E9DCC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C726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Número del contrato de concesión y fecha de suscripción. </w:t>
      </w:r>
    </w:p>
    <w:p w14:paraId="1C2705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1245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Mes y año al cual corresponde la declaración. </w:t>
      </w:r>
    </w:p>
    <w:p w14:paraId="77EDC1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24532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Valor de los ingresos brutos. </w:t>
      </w:r>
    </w:p>
    <w:p w14:paraId="4797573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F899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Valor de los derechos de explotación. </w:t>
      </w:r>
    </w:p>
    <w:p w14:paraId="432CD9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9507F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Valor de los gastos de administración. </w:t>
      </w:r>
    </w:p>
    <w:p w14:paraId="326050E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0D49A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Intereses moratorios. </w:t>
      </w:r>
    </w:p>
    <w:p w14:paraId="7CD020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79DB3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Valor total a pagar. </w:t>
      </w:r>
    </w:p>
    <w:p w14:paraId="78DC3F3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7250E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Nombre, identificación, firma y matrícula profesional del contador o revisor fiscal. </w:t>
      </w:r>
    </w:p>
    <w:p w14:paraId="2096E7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36CA2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Nombre, identificación y firma del representante legal. </w:t>
      </w:r>
    </w:p>
    <w:p w14:paraId="48F52A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73352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operador deberá adjuntar como anexo al formulario, el respectivo comprobante de consignación de los derechos de explotación, gastos de administración e intereses moratorios. </w:t>
      </w:r>
    </w:p>
    <w:p w14:paraId="440BBABE" w14:textId="3FC2A3A6"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09" w:name="ver_30057435"/>
      <w:bookmarkEnd w:id="1109"/>
    </w:p>
    <w:p w14:paraId="1107E491" w14:textId="68499D1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2.7.6.8. Giro de los recursos del monopolio. Constituyen rentas del monopolio y son de propiedad de las entidades territoriales, los derechos de explotación, los intereses de mora y los rendimientos financieros, provenientes de la operación de los juegos a que se refiere este título. </w:t>
      </w:r>
    </w:p>
    <w:p w14:paraId="76D844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C7BFD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Dichas rentas, deberán ser giradas por la Empresa Industrial y Comercial del Estado Administradora del Monopolio Rentístico de los Juegos de Suerte y Azar Coljuegos, dentro de los primeros diez (10) días hábiles del mes siguiente a su recaudo, a los Fondos de Salud </w:t>
      </w:r>
      <w:r w:rsidRPr="002C1480">
        <w:rPr>
          <w:rFonts w:ascii="Arial" w:eastAsia="Times New Roman" w:hAnsi="Arial" w:cs="Arial"/>
          <w:color w:val="000000"/>
          <w:lang w:eastAsia="es-CO"/>
        </w:rPr>
        <w:lastRenderedPageBreak/>
        <w:t>Departamentales, Distritales y Municipales, en la proporción y condiciones establecidas en el Capítulo 1 del Título 9 de la presente parte. </w:t>
      </w:r>
    </w:p>
    <w:p w14:paraId="47171B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7A948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remitirá dentro de los cinco (5) días siguientes a la fecha de consignación de los recursos el informe recursos el informe sobre distribución y giros de que trata el citado Capítulo 1 del Título 9. </w:t>
      </w:r>
    </w:p>
    <w:p w14:paraId="5D184A36" w14:textId="3568E93B" w:rsidR="00AF0C09" w:rsidRPr="00C50D38" w:rsidRDefault="00AF0C09" w:rsidP="00C50D38">
      <w:pPr>
        <w:spacing w:after="0" w:line="254" w:lineRule="atLeast"/>
        <w:jc w:val="center"/>
        <w:rPr>
          <w:rFonts w:ascii="Arial" w:eastAsia="Times New Roman" w:hAnsi="Arial" w:cs="Arial"/>
          <w:b/>
          <w:bCs/>
          <w:color w:val="000000"/>
          <w:lang w:eastAsia="es-CO"/>
        </w:rPr>
      </w:pPr>
    </w:p>
    <w:p w14:paraId="07E3D722" w14:textId="77777777" w:rsidR="00AF0C09" w:rsidRPr="00C50D38" w:rsidRDefault="00AF0C09" w:rsidP="00C50D38">
      <w:pPr>
        <w:spacing w:after="0" w:line="293" w:lineRule="atLeast"/>
        <w:jc w:val="center"/>
        <w:rPr>
          <w:rFonts w:ascii="Arial" w:eastAsia="Times New Roman" w:hAnsi="Arial" w:cs="Arial"/>
          <w:b/>
          <w:bCs/>
          <w:color w:val="000000"/>
          <w:lang w:eastAsia="es-CO"/>
        </w:rPr>
      </w:pPr>
      <w:bookmarkStart w:id="1110" w:name="ver_30057436"/>
      <w:bookmarkEnd w:id="1110"/>
      <w:r w:rsidRPr="00C50D38">
        <w:rPr>
          <w:rFonts w:ascii="Arial" w:eastAsia="Times New Roman" w:hAnsi="Arial" w:cs="Arial"/>
          <w:b/>
          <w:bCs/>
          <w:color w:val="000000"/>
          <w:lang w:eastAsia="es-CO"/>
        </w:rPr>
        <w:t>TÍTULO 7</w:t>
      </w:r>
    </w:p>
    <w:p w14:paraId="4AC0DAD7"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MODALIDAD DE JUEGOS NOVEDOSOS</w:t>
      </w:r>
    </w:p>
    <w:p w14:paraId="6398396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11" w:name="ver_30057437"/>
      <w:bookmarkEnd w:id="1111"/>
    </w:p>
    <w:p w14:paraId="61DE1ED2" w14:textId="4555BC8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2.7.7.1. Ámbito de aplicación. Las disposiciones del presente título se aplican a los juegos novedosos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38 de la Ley 643 de 2001, operados a través de terceros. </w:t>
      </w:r>
    </w:p>
    <w:p w14:paraId="33A3863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12" w:name="ver_30057438"/>
      <w:bookmarkEnd w:id="1112"/>
    </w:p>
    <w:p w14:paraId="2361BA3D" w14:textId="757D4FF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2.7.7.2. Operación a través de terceros. La operación de los juegos novedosos a través de terceros, es aquella que se realiza por personas jurídicas, mediante contratos de concesión celebrados con ellas por la Empresa Industrial y Comercial del Estado Administradora del Monopolio Rentístico de los Juegos de Suerte y Azar Coljuegos, en los términos definidos por la Ley de Régimen Propio de los Juegos de Suerte y Azar, el Estatuto General de Contratación de la Administración Pública y las normas reglamentarias de dichos ordenamientos o las disposiciones que las modifiquen o sustituyan. </w:t>
      </w:r>
    </w:p>
    <w:p w14:paraId="0C191E3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13" w:name="ver_30057439"/>
      <w:bookmarkEnd w:id="1113"/>
    </w:p>
    <w:p w14:paraId="3AA872AE" w14:textId="19AF612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2.7.7.3. Reglamento del juego. Con anterioridad a la iniciación del proceso contractual que tiene como fin escoger al concesionario, será necesario que exista el reglamento correspondiente a cada modalidad de juego, aprobado y expedido por la Empresa Industrial y Comercial del Estado Administradora del Monopolio Rentístico de Juegos de Suerte y Azar Coljuegos. </w:t>
      </w:r>
    </w:p>
    <w:p w14:paraId="6B44431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CFC1CC" w14:textId="4874FD1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reglamento determinará el monto de los derechos de explotación aplicable a cada juego, el cual en ningún caso podrá ser inferior al diecisiete (17%) de los ingresos brutos del juego, de conformidad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49 de la Ley 643 de 2001. </w:t>
      </w:r>
    </w:p>
    <w:p w14:paraId="6F25D328" w14:textId="6AB8F0A5"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14" w:name="ver_30057440"/>
      <w:bookmarkEnd w:id="1114"/>
    </w:p>
    <w:p w14:paraId="192292EE" w14:textId="3765AF1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2.7.7.4. Liquidación de los derechos de explotación. Ingresos brutos. Para la liquidación de los derechos de explotación, se entienden por ingresos brutos del juego, el valor total de las apuestas sin incluir el valor del impuesto sobre las ventas. </w:t>
      </w:r>
    </w:p>
    <w:p w14:paraId="1376B561" w14:textId="1361D48A"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15" w:name="ver_30057441"/>
      <w:bookmarkEnd w:id="1115"/>
    </w:p>
    <w:p w14:paraId="4C191790" w14:textId="732AC7B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2.7.7.5. Gastos de administración reconocidos a Coljuegos. Los concesionarios de los juegos de que trata el presente título, deberán pagar a Coljuegos a título de gastos de administración un porcentaje definido por Coljuegos no superior al uno por ciento (1%) de los derechos de explotación o aquel porcentaje que por ley posterior se determine. </w:t>
      </w:r>
    </w:p>
    <w:p w14:paraId="7C8E3E46" w14:textId="721F4A82"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16" w:name="ver_30057442"/>
      <w:bookmarkEnd w:id="1116"/>
    </w:p>
    <w:p w14:paraId="77F81024" w14:textId="1C2D705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2.7.7.6. Declaración, liquidación y pago de los derechos de explotación, de los gastos de administración y de los intereses moratorios. Dentro de los primeros diez (10) días hábiles de cada mes, en el formulario oficial que para el efecto suministre la Empresa Industrial y Comercial del Estado Administradora del Monopolio Rentístico de los Juegos de Suerte y Azar Coljuegos, el operador deberá declarar y liquidar ante esta, los derechos de explotación, los gastos de administración y los intereses moratorios a que hubiere lugar. </w:t>
      </w:r>
    </w:p>
    <w:p w14:paraId="02903A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10D4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Dentro del mismo término, el concesionario deberá consignar a la Empresa Industrial y Comercial del Estado Administradora del Monopolio Rentístico de los Juegos de Suerte y Azar Coljuegos, los valores liquidados en los bancos y entidades financieras autorizadas. </w:t>
      </w:r>
    </w:p>
    <w:p w14:paraId="79774676" w14:textId="6EA059E5"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17" w:name="ver_30057443"/>
      <w:bookmarkEnd w:id="1117"/>
    </w:p>
    <w:p w14:paraId="6FD7205D" w14:textId="16AB74C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2.7.7.7. Formulario de declaración, liquidación y pago de los derechos de explotación, gastos de administración e intereses. El formulario de declaración, liquidación y pago de los derechos de explotación y gastos de administración, contendrá como mínimo lo siguiente: </w:t>
      </w:r>
    </w:p>
    <w:p w14:paraId="2B0187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BBBD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Razón social del operador. </w:t>
      </w:r>
    </w:p>
    <w:p w14:paraId="6153EFA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1D06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Número de identificación tributaria. </w:t>
      </w:r>
    </w:p>
    <w:p w14:paraId="309D7D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F274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Dirección del domicilio social del operador. </w:t>
      </w:r>
    </w:p>
    <w:p w14:paraId="045939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07AB7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Número del contrato de concesión y fecha de suscripción. </w:t>
      </w:r>
    </w:p>
    <w:p w14:paraId="374914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9D7AD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Mes y año al cual corresponde la declaración. </w:t>
      </w:r>
    </w:p>
    <w:p w14:paraId="797D3C0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75AB4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Valor de los ingresos brutos. </w:t>
      </w:r>
    </w:p>
    <w:p w14:paraId="41393D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01EE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Valor de los derechos de explotación. </w:t>
      </w:r>
    </w:p>
    <w:p w14:paraId="012673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166EB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Valor de los gastos de administración. </w:t>
      </w:r>
    </w:p>
    <w:p w14:paraId="66A2204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BDE34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Intereses moratorios. </w:t>
      </w:r>
    </w:p>
    <w:p w14:paraId="33C58C5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A696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Valor total a pagar. </w:t>
      </w:r>
    </w:p>
    <w:p w14:paraId="5DEDD6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50FD5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Nombre, identificación, firma y matrícula profesional del contador o revisor fiscal. </w:t>
      </w:r>
    </w:p>
    <w:p w14:paraId="2614CF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5CA48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Nombre, identificación y firma del representante legal. </w:t>
      </w:r>
    </w:p>
    <w:p w14:paraId="082084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515F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concesionario deberá adjuntar como anexo al formulario, el respectivo comprobante de consignación de los derechos de explotación, gastos de administración e intereses moratorios. </w:t>
      </w:r>
    </w:p>
    <w:p w14:paraId="0316903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18" w:name="ver_30057444"/>
      <w:bookmarkEnd w:id="1118"/>
    </w:p>
    <w:p w14:paraId="13A81C06" w14:textId="25AB1F6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2.7.7.8. Giro de recursos del monopolio. Constituyen rentas del monopolio y son de propiedad de las entidades territoriales, los derechos de explotación, los intereses de mora y los rendimientos financieros, provenientes de la operación de los juegos a que se refiere el presente título. </w:t>
      </w:r>
    </w:p>
    <w:p w14:paraId="3347DDF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19FCC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Estas rentas, deberán ser giradas por la Empresa Industrial y Comercial del Estado Administradora del Monopolio Rentístico de los Juegos de Suerte y Azar Coljuegos, dentro de los primeros diez (10) días hábiles del mes siguiente a su recaudo, a los fondos de salud departamentales, distritales y municipales, en la proporción y condiciones establecidas en el Capítulo 1 del Título 9 de la presente parte. </w:t>
      </w:r>
    </w:p>
    <w:p w14:paraId="6B0442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7DD60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remitirá dentro de los cinco (5) días siguientes a la fecha de consignación de los recursos el informe sobre distribución y giros de que trata el citado Capítulo 1 del Título 9. </w:t>
      </w:r>
    </w:p>
    <w:p w14:paraId="6371DACF" w14:textId="77777777" w:rsidR="00C50D38" w:rsidRDefault="00C50D38" w:rsidP="00C32F85">
      <w:pPr>
        <w:spacing w:after="0" w:line="293" w:lineRule="atLeast"/>
        <w:jc w:val="both"/>
        <w:rPr>
          <w:rFonts w:ascii="Arial" w:eastAsia="Times New Roman" w:hAnsi="Arial" w:cs="Arial"/>
          <w:color w:val="000000"/>
          <w:lang w:eastAsia="es-CO"/>
        </w:rPr>
      </w:pPr>
      <w:bookmarkStart w:id="1119" w:name="ver_30057445"/>
      <w:bookmarkEnd w:id="1119"/>
    </w:p>
    <w:p w14:paraId="15E1AE04" w14:textId="14C84E55"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TÍTULO 8</w:t>
      </w:r>
    </w:p>
    <w:p w14:paraId="0DDD96A3"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lastRenderedPageBreak/>
        <w:t>FISCALIZACIÓN Y CONTROL A LA EXPLOTACIÓN DE JUEGOS</w:t>
      </w:r>
    </w:p>
    <w:p w14:paraId="08E8B420"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DE SURTE Y AZAR</w:t>
      </w:r>
    </w:p>
    <w:p w14:paraId="6252D8F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20" w:name="ver_30057446"/>
      <w:bookmarkEnd w:id="1120"/>
    </w:p>
    <w:p w14:paraId="1F5B1F94" w14:textId="35126A9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2.7.8.1. Facultades de fiscalización y control a la explotación de juegos de suerte y azar. Sin perjuicio de las facultades propias de la Superintendencia Nacional de Salud, corresponde a los municipios, al Distrito Capital, a los departamentos y a las demás entidades administradoras de juegos de suerte y azar de que trata la Ley 643 de 2001, ejercer oportuna y efectivamente las facultades de fiscalización y control previstas en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s 4, 43 y 44 del mencionado estatuto, teniendo en cuenta la competencia funcional de la respectiva entidad administradora y el ámbito territorial en el cual se opera la respectiva modalidad de juegos de suerte y azar, así como imponer las sanciones correspondientes, a fin de evitar la explotación ilegal de juegos de suerte y azar, la proliferación de juegos no autorizados y en general de prácticas contrarias al régimen propio del monopolio. La omisión o extralimitación en el ejercicio de dichas facultades compromete la responsabilidad personal e institucional de las referidas entidades de acuerdo con lo dispuesto en la Constitución Política y en la Ley. </w:t>
      </w:r>
    </w:p>
    <w:p w14:paraId="20CD9A1D" w14:textId="29A0D02A"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21" w:name="ver_30057447"/>
      <w:bookmarkEnd w:id="1121"/>
    </w:p>
    <w:p w14:paraId="0A9E03B6" w14:textId="6F82989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2.7.8.2. Manuales y protocolos de fiscalización. El Consejo Nacional de Juegos de Suerte y Azar adoptará los manuales y protocolos que deben aplicar todas las entidades territoriales que exploten, administren u operen el monopolio rentístico de juegos de suerte y azar, para el ejercicio de la función de fiscalización a que haya lugar, los cuales se sujetarán al procedimiento administrativo común y principal que establece el Código de Procedimiento Administrativo y de lo Contencioso Administrativo. </w:t>
      </w:r>
    </w:p>
    <w:p w14:paraId="74D65924" w14:textId="21E41F6D" w:rsidR="00AF0C09" w:rsidRPr="00C50D38" w:rsidRDefault="00AF0C09" w:rsidP="00C50D38">
      <w:pPr>
        <w:spacing w:after="0" w:line="254" w:lineRule="atLeast"/>
        <w:jc w:val="center"/>
        <w:rPr>
          <w:rFonts w:ascii="Arial" w:eastAsia="Times New Roman" w:hAnsi="Arial" w:cs="Arial"/>
          <w:b/>
          <w:bCs/>
          <w:color w:val="000000"/>
          <w:lang w:eastAsia="es-CO"/>
        </w:rPr>
      </w:pPr>
    </w:p>
    <w:p w14:paraId="5E26B40F" w14:textId="77777777" w:rsidR="00AF0C09" w:rsidRPr="00C50D38" w:rsidRDefault="00AF0C09" w:rsidP="00C50D38">
      <w:pPr>
        <w:spacing w:after="0" w:line="293" w:lineRule="atLeast"/>
        <w:jc w:val="center"/>
        <w:rPr>
          <w:rFonts w:ascii="Arial" w:eastAsia="Times New Roman" w:hAnsi="Arial" w:cs="Arial"/>
          <w:b/>
          <w:bCs/>
          <w:color w:val="000000"/>
          <w:lang w:eastAsia="es-CO"/>
        </w:rPr>
      </w:pPr>
      <w:bookmarkStart w:id="1122" w:name="ver_30057448"/>
      <w:bookmarkEnd w:id="1122"/>
      <w:r w:rsidRPr="00C50D38">
        <w:rPr>
          <w:rFonts w:ascii="Arial" w:eastAsia="Times New Roman" w:hAnsi="Arial" w:cs="Arial"/>
          <w:b/>
          <w:bCs/>
          <w:color w:val="000000"/>
          <w:lang w:eastAsia="es-CO"/>
        </w:rPr>
        <w:t>TÍTULO 9</w:t>
      </w:r>
    </w:p>
    <w:p w14:paraId="0DD69891"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RECURSOS PROVENIENTES DE LOS JUEGOS DE SUERTE Y AZAR</w:t>
      </w:r>
    </w:p>
    <w:p w14:paraId="7CA7A27A" w14:textId="47966579" w:rsidR="00AF0C09"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CAPÍTULO 1</w:t>
      </w:r>
    </w:p>
    <w:p w14:paraId="6FBFBABB" w14:textId="77777777" w:rsidR="00C50D38" w:rsidRPr="00C50D38" w:rsidRDefault="00C50D38" w:rsidP="00C50D38">
      <w:pPr>
        <w:spacing w:after="0" w:line="293" w:lineRule="atLeast"/>
        <w:jc w:val="center"/>
        <w:rPr>
          <w:rFonts w:ascii="Arial" w:eastAsia="Times New Roman" w:hAnsi="Arial" w:cs="Arial"/>
          <w:b/>
          <w:bCs/>
          <w:color w:val="000000"/>
          <w:lang w:eastAsia="es-CO"/>
        </w:rPr>
      </w:pPr>
    </w:p>
    <w:p w14:paraId="46111E2D"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DISTRIBUCIÓN DE LOS RECURSOS PROVENIENTES</w:t>
      </w:r>
    </w:p>
    <w:p w14:paraId="19BF87EE"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DE LOS JUEGOS DE SUERTE Y AZAR</w:t>
      </w:r>
    </w:p>
    <w:p w14:paraId="63CE784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23" w:name="ver_30057449"/>
      <w:bookmarkEnd w:id="1123"/>
    </w:p>
    <w:p w14:paraId="02E9D65A" w14:textId="2E57E8A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 Distribución de los recursos provenientes de los juegos de suerte y azar localizados. Los recursos provenientes de juegos de suerte y azar localizados en ciudades de menos de cien mil (100.000) habitantes, incluidos los rendimientos financieros generados por ellos, se destinarán al municipio generador de los mismos y los generados en los demás, se distribuirán el cincuenta por ciento (50%) acorde con la jurisdicción donde se generaron los derechos o regalías y el otro cincuenta por ciento (50%), se distribuirá entre los municipios, los distritos y el Distrito Capital, con base en el porcentaje de participación de la distribución efectuada para cada uno de ellos en el total de los recursos del sistema general de participaciones para el sector salud. </w:t>
      </w:r>
    </w:p>
    <w:p w14:paraId="5FD0ECE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1D01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procedimiento para efectuar la distribución de los recursos acorde con el porcentaje de participación del sistema general de participaciones para el sector salud es el siguiente: 1. Para cada municipio, distrito y el Distrito Capital, se efectuará la sumatoria de los recursos del sistema general de participaciones para salud, distribuidos por concepto de subsidios a la demanda, prestación de servicios de salud a la población pobre, en lo no cubierto con subsidios a la demanda y de acciones de salud pública. </w:t>
      </w:r>
    </w:p>
    <w:p w14:paraId="0CDD184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F9676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2. El porcentaje de participación será el resultante de dividir la suma del total de estos recursos para cada municipio, distrito y el Distrito Capital, entre el total nacional de los recursos distribuidos por concepto del sistema general de participaciones para el sector salud. </w:t>
      </w:r>
    </w:p>
    <w:p w14:paraId="330003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98EA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porcentaje de participación de cada municipio, distrito y el Distrito Capital, calculado en el numeral anterior, se aplicará al total de los recursos a distribuir, previo descuento del porcentaje del siete por ciento (7%) con destino al Fondo de Investigación en Salud, obteniendo de esta manera los recursos que le corresponden a cada municipio, distrito y Distrito Capital. </w:t>
      </w:r>
    </w:p>
    <w:p w14:paraId="4AB94BA0" w14:textId="2581414D"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24" w:name="ver_30057450"/>
      <w:bookmarkEnd w:id="1124"/>
    </w:p>
    <w:p w14:paraId="419716A3" w14:textId="4CC4FA3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2.7.9.1.2. Distribución de los recursos provenientes de los juegos de suerte y azar novedosos diferentes al lotto en línea, lotería preimpresa y lotería instantánea. La distribución del cincuenta por ciento (50%) del veinte por ciento (20%) de los recursos correspondientes a los departamentos se realizará de acuerdo con la participación de la asignación de cada departamento, en el total de la asignación nacional total departamental del sistema general de participaciones para el sector salud. </w:t>
      </w:r>
    </w:p>
    <w:p w14:paraId="7C21EC5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25" w:name="ver_30057451"/>
      <w:bookmarkEnd w:id="1125"/>
    </w:p>
    <w:p w14:paraId="3C756482" w14:textId="082D5D4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2.7.9.1.3. Distribución de los recursos provenientes de la explotación del lotto en línea, lotería preimpresa y la lotería instantánea. La distribución de la totalidad de las rentas obtenidas por el administrador del monopolio por concepto de la explotación del lotto en línea, la lotería preimpresa y la lotería instantánea, incluyendo sus correspondientes rendimientos financieros, destinadas a la financiación del pasivo pensional territorial del sector salud, a través del Fondo Nacional de Pensiones de las Entidades Territoriales, FONPET, se efectuará semestralmente con cortes a 30 de junio y a 31 de diciembre de cada año, por parte del Ministerio de Hacienda y Crédito Público, con base en la metodología definida para los juegos novedosos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y la información remitida por el administrador del monopolio, sin efectuar el descuento del siete por ciento (7%) para el fondo de investigaciones en salud. </w:t>
      </w:r>
    </w:p>
    <w:p w14:paraId="3441C7F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26" w:name="ver_30057452"/>
      <w:bookmarkEnd w:id="1126"/>
    </w:p>
    <w:p w14:paraId="5AA23D81" w14:textId="6BF50D6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2.7.9.1.4. Distribución de recursos de rifas, juegos promocionales, eventos deportivos, gallísticos, caninos y similares. Los recursos por concepto de rifas, juegos promocionales, eventos deportivos, gallísticos, caninos y similares, explotados por la Empresa Industrial y Comercial del Estado Administradora del Monopolio Rentístico de los Juegos de Suerte y Azar Coljuegos, incluidos sus rendimientos financieros, se distribuirán entre los municipios, distritos y el Distrito Capital, aplicando el porcentaje de participación en la distribución total de los recursos del sistema general de participaciones para el sector salud, calculado de acuerdo con la metodología descrita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 del presente capítulo, previa deducción del siete por ciento (7%) con destino al Fondo de Investigaciones en Salud. </w:t>
      </w:r>
    </w:p>
    <w:p w14:paraId="329E8FB4" w14:textId="150044E6"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27" w:name="ver_30057453"/>
      <w:bookmarkEnd w:id="1127"/>
    </w:p>
    <w:p w14:paraId="07FBB261" w14:textId="72092F0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2.7.9.1.5. Distribución de los recursos provenientes de los eventos hípicos. Los recursos derivados de las apuestas hípicas y sus rendimientos financieros, explotados por los departamentos y Distritos previa deducción del siete por ciento (7%) con destino al Fondo de Investigaciones en Salud, son de propiedad de los municipios, distritos y el Distrito Capital, según su localización, por lo tanto su distribución se efectuará a la entidad territorial que los generó. </w:t>
      </w:r>
    </w:p>
    <w:p w14:paraId="0203F116" w14:textId="7B0BCE99"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28" w:name="ver_30057454"/>
      <w:bookmarkEnd w:id="1128"/>
    </w:p>
    <w:p w14:paraId="6C448B91" w14:textId="4B7AD08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2.7.9.1.6. Periodicidad en la distribución y giro de los recursos. Los recursos de que trata el presente capítulo se distribuirán y girarán por parte del Administrador del Monopolio Rentístico de cada uno de los Juegos de Suerte y Azar, con la siguiente periodicidad: </w:t>
      </w:r>
    </w:p>
    <w:p w14:paraId="1CAB2AD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968F7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Los recursos de juegos localizados, juegos promocionales, rifas, apuestas en eventos deportivos, gallísticos, caninos y similares, los de eventos hípicos, así como los correspondientes a nuevos juegos que operen debidamente autorizados, se distribuirán mensualmente, dentro de </w:t>
      </w:r>
      <w:r w:rsidRPr="002C1480">
        <w:rPr>
          <w:rFonts w:ascii="Arial" w:eastAsia="Times New Roman" w:hAnsi="Arial" w:cs="Arial"/>
          <w:color w:val="000000"/>
          <w:lang w:eastAsia="es-CO"/>
        </w:rPr>
        <w:lastRenderedPageBreak/>
        <w:t>los primeros diez (10) días hábiles del mes siguiente a su recaudo por parte del Administrador del Monopolio Rentístico de cada uno de los Juegos de Suerte y Azar, según sea el caso. El giro a los fondos municipales y distritales de salud, así como al Fondo de Investigación en Salud, se efectuará dentro del término antes señalado. </w:t>
      </w:r>
    </w:p>
    <w:p w14:paraId="440B4F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FC929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recursos de juegos novedosos distintos al lotto en línea, lotería preimpresa y lotería instantánea, se distribuirán semestralmente con corte a 30 de junio y a 31 de diciembre de cada año y su giro a los fondos departamentales, distritales y municipales de salud, así como al Fondo de Investigación en Salud, se efectuará a más tardar el décimo día hábil del mes siguiente al del corte. </w:t>
      </w:r>
    </w:p>
    <w:p w14:paraId="748F7BA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885BC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recursos provenientes de la explotación de juegos novedosos del lotto en línea, lotería pre impresa y lotería instantánea, se distribuirán semestralmente con corte a 30 de junio y a 31 de diciembre de cada año y su giro al Fondo Nacional de Pensiones de las entidades territoriales, FONPET, se efectuará a más tardar el décimo día hábil del mes siguiente al del corte. </w:t>
      </w:r>
    </w:p>
    <w:p w14:paraId="6D352A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BE51D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1º. Las entidades territoriales, deberán reportar al Administrador del Monopolio Rentístico de los Juegos de Suerte y Azar de cada uno de los juegos, la información relacionada con la cuenta corriente que se haya dispuesto para la recepción de los recursos de que trata la Ley 643 de 2001. </w:t>
      </w:r>
    </w:p>
    <w:p w14:paraId="3F56BF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ED6C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Estos recursos en ningún caso podrán hacer unidad de caja con las demás rentas del ente territorial, se manejarán en forma separada y deberán destinarse exclusivamente a los fines establecidos en la Ley 643 de 2001, de acuerdo con las competencias fijadas por la Ley 715 de 2001. </w:t>
      </w:r>
    </w:p>
    <w:p w14:paraId="1876F54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ACF3F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2º. Los recursos de la Nación destinados al Fondo de Investigaciones en Salud, se girarán por parte del Administrador del Monopolio Rentístico de los Juegos de Suerte y Azar de cada uno de los juegos, a la cuenta que para tal efecto le informe el Instituto Colombiano para el Desarrollo de la Ciencia y la Tecnología Francisco José de Caldas, Colciencias. </w:t>
      </w:r>
    </w:p>
    <w:p w14:paraId="541854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5B54D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3º. Los recursos provenientes de la lotería instantánea, la lotería preimpresa y del lotto en línea, se girarán por parte del Administrador del Monopolio Rentístico de los Juegos de Suerte y Azar de cada uno de los juegos, al Fondo Nacional de Pensiones de las Entidades Territoriales, FONPET, a las cuentas certificadas por el Ministerio de Hacienda y Crédito Público. </w:t>
      </w:r>
    </w:p>
    <w:p w14:paraId="64AB57E4" w14:textId="50012BD5"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29" w:name="ver_30057455"/>
      <w:bookmarkEnd w:id="1129"/>
    </w:p>
    <w:p w14:paraId="1C57A61D" w14:textId="71CB722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2.7.9.1.7. Información sobre el porcentaje de participación que corresponde a cada municipio, distrito, distrito capital y departamento. El Departamento Nacional de Planeación informará al Administrador del Monopolio Rentístico de los Juegos de Suerte y Azar de cada uno de los juegos, previa solicitud de esta última, durante los primeros diez (10) días hábiles a la fecha de aprobación del Conpes Social en el que se asignen los recursos del sistema general de participaciones para el sector salud, los porcentajes de distribución que corresponden a cada municipio, distrito, Distrito Capital y departamento, que se aplicará a la distribución y giro de lo recaudado durante la correspondiente vigencia fiscal, conforme a lo dispuesto en el presente capítulo. </w:t>
      </w:r>
    </w:p>
    <w:p w14:paraId="102C0951" w14:textId="77777777" w:rsidR="00AB6706" w:rsidRDefault="00AB6706" w:rsidP="00C32F85">
      <w:pPr>
        <w:spacing w:after="0" w:line="254" w:lineRule="atLeast"/>
        <w:jc w:val="both"/>
        <w:rPr>
          <w:rFonts w:ascii="Arial" w:eastAsia="Times New Roman" w:hAnsi="Arial" w:cs="Arial"/>
          <w:color w:val="000000"/>
          <w:lang w:eastAsia="es-CO"/>
        </w:rPr>
      </w:pPr>
    </w:p>
    <w:p w14:paraId="1203D00A" w14:textId="7C6A2C2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2.7.9.1.8. Informes sobre la distribución y giros. El Administrador del Monopolio Rentístico de los Juegos de Suerte y Azar de cada uno de los juegos, dentro de los cinco (5) días siguientes a la fecha de consignación de los recursos a la entidad territorial, remitirá a cada una de las entidades territoriales un informe de los valores asignados en la distribución, discriminando: </w:t>
      </w:r>
    </w:p>
    <w:p w14:paraId="3750D44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2EC1D3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Valor total asignado en la distribución de los recursos originados en juegos diferentes del lotto en línea, lotería preimpresa y lotería instantánea. </w:t>
      </w:r>
    </w:p>
    <w:p w14:paraId="272A22D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86A99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Valor girado al Fondo de Investigaciones en Salud. </w:t>
      </w:r>
    </w:p>
    <w:p w14:paraId="4724840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EAFF8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Valor girado a la respectiva entidad territorial. </w:t>
      </w:r>
    </w:p>
    <w:p w14:paraId="604AA8C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3B022A" w14:textId="77777777" w:rsidR="00AF0C09" w:rsidRPr="00C50D38" w:rsidRDefault="00AF0C09" w:rsidP="00C50D38">
      <w:pPr>
        <w:spacing w:line="293" w:lineRule="atLeast"/>
        <w:jc w:val="center"/>
        <w:rPr>
          <w:rFonts w:ascii="Arial" w:eastAsia="Times New Roman" w:hAnsi="Arial" w:cs="Arial"/>
          <w:b/>
          <w:bCs/>
          <w:color w:val="000000"/>
          <w:lang w:eastAsia="es-CO"/>
        </w:rPr>
      </w:pPr>
      <w:bookmarkStart w:id="1130" w:name="ver_30057457"/>
      <w:bookmarkEnd w:id="1130"/>
      <w:r w:rsidRPr="00C50D38">
        <w:rPr>
          <w:rFonts w:ascii="Arial" w:eastAsia="Times New Roman" w:hAnsi="Arial" w:cs="Arial"/>
          <w:b/>
          <w:bCs/>
          <w:color w:val="000000"/>
          <w:lang w:eastAsia="es-CO"/>
        </w:rPr>
        <w:t>SECCIÓN 1. Reglas particulares para los recursos de Lotto en Línea</w:t>
      </w:r>
    </w:p>
    <w:p w14:paraId="11CECD7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31" w:name="ver_30057458"/>
      <w:bookmarkEnd w:id="1131"/>
    </w:p>
    <w:p w14:paraId="45AE1225" w14:textId="321ED23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2.7.9.1.1.1. Financiación del pasivo pensional del sector salud con recursos del FONPET por concepto del lotto en línea. Los Departamentos, Municipios y Distritos que posean recursos en el FONPET derivados de recaudos por concepto del Lotto en Línea y respecto de los cuales existan obligaciones pendientes relacionadas con la financiación de pasivos pensionales del sector salud, causado a 31 de diciembre de 1993, podrán hacer uso de ellos como fuente de financiación de la concurrencia a su cargo, en la siguiente forma: </w:t>
      </w:r>
    </w:p>
    <w:p w14:paraId="41FAF83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107F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recursos por concepto del Lotto en Línea que posean en el FONPET los Departamentos, Municipios y Distritos que al 20 de diciembre de 2011 no hayan suscrito los contratos de concurrencia, una vez se efectúe el cruce de cuentas, se determinen los porcentajes y montos de las concurrencias que les correspondan y se suscriban los respectivos contratos, se girarán a los patrimonios autónomos o encargos fiduciarios que se constituyan para la administración de los recursos de la concurrencia, a las cuentas plenamente identificadas. </w:t>
      </w:r>
    </w:p>
    <w:p w14:paraId="17F5CD6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D5702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entes territoriales con los cuales ya se han suscrito contratos de concurrencia que tienen obligaciones pendientes o que para tal fin dispusieron de fuentes de financiación amparadas en Vigencias Futuras, también podrán hacer uso de los recursos recaudados por concepto del Lotto en Línea en el FONPET, sustituyendo las demás fuentes y cancelando o reduciendo las vigencias futuras hasta el monto de los recursos existentes en la cuenta del FONPET, para lo cual se ajustarán los contratos respectivos. </w:t>
      </w:r>
    </w:p>
    <w:p w14:paraId="66CC38A8" w14:textId="385028A2"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32" w:name="ver_30057459"/>
      <w:bookmarkEnd w:id="1132"/>
    </w:p>
    <w:p w14:paraId="43A66829" w14:textId="016ABD9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2.7.9.1.1.2. Giro de los recursos del FONPET. Para efecto del giro de los recursos del FONPET a los patrimonios autónomos o encargos fiduciarios constituidos para la administración de los recursos de la concurrencia, la entidad territorial presentará solicitud del giro de los recursos a la Dirección General de Regulación Económica de la Seguridad Social del Ministerio de Hacienda y Crédito Público, señalando la cuenta a la cual deben girarse los recursos de acuerdo con lo establecido en el contrato de concurrencia. </w:t>
      </w:r>
    </w:p>
    <w:p w14:paraId="61F6D2A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FBF768" w14:textId="43629F9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caso de las entidades territoriales contempladas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2.7.9.1.1.3. y siguientes la solicitud deberá incluir la certificación de la cuenta a la que se deben girar los recursos destinados a la atención de los servicios de salud. </w:t>
      </w:r>
    </w:p>
    <w:p w14:paraId="614F27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9BCD83" w14:textId="254EDFA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Dirección General de Regulación Económica de la Seguridad Social del Ministerio de Hacienda y Crédito Público, una vez recibida la solicitud y con base en la información registrada en el sistema de información del FONPET sobre el monto de los recursos acumulados por concepto del Lotto en Línea, a 31 de diciembre de la vigencia anterior, autorizará la transferencia de los recursos por cuenta de cada una de las entidades territoriales, a los patrimonios autónomos o encargos fiduciarios contratados para la administración de los recursos de la concurrencia para el pago las </w:t>
      </w:r>
      <w:r w:rsidRPr="002C1480">
        <w:rPr>
          <w:rFonts w:ascii="Arial" w:eastAsia="Times New Roman" w:hAnsi="Arial" w:cs="Arial"/>
          <w:color w:val="000000"/>
          <w:lang w:eastAsia="es-CO"/>
        </w:rPr>
        <w:lastRenderedPageBreak/>
        <w:t xml:space="preserve">obligaciones pensionales del sector salud, o a la entidad territorial, de acuerdo con lo señalado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5827F5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0F8F2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territoriales deberán realizar por su cuenta las operaciones presupuestales necesarias para efectos de la transferencia de los recursos de que trata la presente sección. </w:t>
      </w:r>
    </w:p>
    <w:p w14:paraId="3EFB1A84" w14:textId="1E29D49A"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33" w:name="ver_30057460"/>
      <w:bookmarkEnd w:id="1133"/>
    </w:p>
    <w:p w14:paraId="4234FE10" w14:textId="0430392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2.7.9.1.1.3. Destinación de los recursos acumulados provenientes del Lotto en Línea. Los municipios, distritos y departamentos que no tengan obligaciones pensionales del sector salud o las tengan plenamente financiadas, utilizarán los recursos provenientes del Lotto en Línea, acumulados en el FONPET a la fecha en que se determine la inexistencia de obligaciones pensionales de las entidades territoriales con el sector salud o que se establezca que se encuentran plenamente financiadas, así: </w:t>
      </w:r>
    </w:p>
    <w:p w14:paraId="060389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CF01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Para la cofinanciación del aseguramiento en el Régimen Subsidiado. Estos recursos son adicionales a aquellos que por mandato de la ley deben asignar los entes territoriales como esfuerzo propio para el financiamiento de dicho Régimen; </w:t>
      </w:r>
    </w:p>
    <w:p w14:paraId="308B5B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4C2B6B" w14:textId="0C4AD2D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Para el saneamiento de las obligaciones pendientes de pago por concepto de contratos del Régimen Subsidiado suscritos hasta marzo 31 de 2011, para lo cual, deberán tener en cuenta los recursos asignados o por asignar, previstos en el marco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1080 de 2012 o la norma que lo modifique o compile y la Ley 1608 de 2013. Para estos efectos, las entidades territoriales deberán informar al Ministerio de Salud y Protección Social el saldo de la deuda, los recursos asignados o por asignar con las fuentes previstas en dichas normas y los recursos de que trata la presente sección; </w:t>
      </w:r>
    </w:p>
    <w:p w14:paraId="1E2A91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0C3A47" w14:textId="5A7A62B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Los departamentos o distritos, podrán destinar los recursos contemplados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en primer lugar al saneamiento fiscal y financiero de las Empresas Sociales del Estado categorizadas en riesgo financiero medio y alto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81 de la Ley 1438 de 2011, acorde con lo definido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 de la Ley 1608 de 2013. </w:t>
      </w:r>
    </w:p>
    <w:p w14:paraId="0A248E5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762D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que el saneamiento fiscal y financiero de las Empresas Sociales del Estado se encuentren plenamente financiados, los departamentos o distritos podrán destinar estos recursos a la inversión en infraestructura de la red pública de Instituciones Prestadoras de Servicios de Salud, en el marco de la organización de la red de prestación de servicios. </w:t>
      </w:r>
    </w:p>
    <w:p w14:paraId="4BC4E4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8F465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Estas inversiones deberán estar incluidas en el Plan Bienal de Inversiones en salud del respectivo departamento o distrito. </w:t>
      </w:r>
    </w:p>
    <w:p w14:paraId="228972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017493" w14:textId="5D90AFD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el caso de los departamentos con corregimientos departamentales, estas destinaciones sólo procederán cuando existan remanentes, una vez aplicados los recursos acumulados del Lotto en Línea al saneamiento de la deuda a que hace referencia el literal b)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68E1EC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38780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Es responsabilidad del representante legal de la entidad territorial certificar la inexistencia de obligaciones pensionales del sector salud o que existiendo las tienen plenamente financiadas. Los municipios, distritos y departamentos tendrán responsabilidad exclusiva por la precisión y veracidad de la información. </w:t>
      </w:r>
    </w:p>
    <w:p w14:paraId="245FD560" w14:textId="11BEFD83"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34" w:name="ver_30057461"/>
      <w:bookmarkEnd w:id="1134"/>
    </w:p>
    <w:p w14:paraId="0B89782E" w14:textId="75CB2BE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2.7.9.1.1.4. Destinación de los recursos provenientes del Lotto en Línea. Los recursos provenientes del Lotto en Línea que se generen en nombre de la entidad territorial con posterioridad a la fecha en que se determine la inexistencia de obligaciones pensionales de estas </w:t>
      </w:r>
      <w:r w:rsidR="00AF0C09" w:rsidRPr="002C1480">
        <w:rPr>
          <w:rFonts w:ascii="Arial" w:eastAsia="Times New Roman" w:hAnsi="Arial" w:cs="Arial"/>
          <w:color w:val="000000"/>
          <w:lang w:eastAsia="es-CO"/>
        </w:rPr>
        <w:lastRenderedPageBreak/>
        <w:t>entidades con el sector salud o que se establezca que dichas obligaciones se encuentran plenamente financiadas, se destinarán a la cofinanciación del Régimen Subsidiado de salud de la respectiva entidad territorial. </w:t>
      </w:r>
    </w:p>
    <w:p w14:paraId="33D427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0D415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los recursos generados en nombre de los departamentos, se asignarán a la cofinanciación del Régimen Subsidiado de los municipios de su jurisdicción, excepto para aquellos departamentos que tienen competencias de aseguramiento en salud. </w:t>
      </w:r>
    </w:p>
    <w:p w14:paraId="309052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BD364F" w14:textId="04F4560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caso de que con posterioridad a la aplicación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surjan pasivos pensionales del sector salud no financiados, los recursos de los que trata esta sección deberán destinarse prioritariamente a la atención de dicho pasivo, para lo cual, la respectiva entidad territorial y la Empresa Industrial y Comercial del Estado Administradora del Monopolio Rentístico de los Juegos de Suerte y Azar –Coljuegos, seguirán las instrucciones que para el efecto imparta el Ministerio de Hacienda y Crédito Público –Dirección de Regulación Económica de la Seguridad Social. </w:t>
      </w:r>
    </w:p>
    <w:p w14:paraId="14D94B2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257B9F" w14:textId="4F4B353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aplicación de los recursos según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 reflejarse en la contabilidad de las entidades territoriales, de acuerdo con los procedimientos contables definidos en las normas vigentes aplicables a cada entidad. </w:t>
      </w:r>
    </w:p>
    <w:p w14:paraId="705117C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35" w:name="ver_30057462"/>
      <w:bookmarkEnd w:id="1135"/>
    </w:p>
    <w:p w14:paraId="72093FF8" w14:textId="00AA824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2.7.9.1.1.5. Giro de los recursos del Lotto en Línea. Con base en las solicitudes de las entidades territoriales al FONPET y una vez acreditados los términos y condiciones del 2.7.9.1.1.1 de la presente sección, el Ministerio de Hacienda y Crédito Público, en su calidad de administrador del FONPET, girará los recursos del Lotto en Línea destinados a la cofinanciación del aseguramiento en el Régimen Subsidiado al mecanismo de recaudo y giro a que refiere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4962 de 2011 o aquella norma que lo modifique o compile, para que sean contabilizados como parte de la cofinanciación a cargo del municipio o del departamento, según el caso, de lo cual, se informará por parte del Ministerio de Hacienda y Crédito Público a la respectiva entidad territorial. </w:t>
      </w:r>
    </w:p>
    <w:p w14:paraId="67E80C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41AF22" w14:textId="517ADD0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recursos que se generen en nombre de la entidad territorial, con posterioridad a la fecha en que se determine la inexistencia de obligaciones pensionales de las entidades territoriales con el sector salud o que se establezca que se encuentran plenamente financiadas, corresponderá directamente a Coljuegos, el giro de los recursos de Lotto en Línea al mecanismo de recaudo y giro a que refiere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4962 de 2011 o aquella norma que lo modifique o compile, dentro de los plazos previstos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40 de la Ley 643 de 2001 o las normas que lo modifiquen, adicionen o sustituyan. Coljuegos informará a las entidades territoriales los giros efectuados, para que estas realicen los registros presupuestales y contables respectivos. </w:t>
      </w:r>
    </w:p>
    <w:p w14:paraId="0EE87E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3966C3" w14:textId="17ABAAF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pago de las deudas por contratos del Régimen Subsidiado, el Ministerio de Hacienda y Crédito Público en su calidad de administrador del FONPET y previa solicitud de las entidades territoriales, procederá al giro de los recursos acumulados del Lotto a la fecha de la solicitud, al mecanismo de recaudo y giro a que refiere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4962 de 2011 o aquella norma que lo modifique o compile, para que este proceda a girarlos aplicando en lo pertinente, el procedimiento previsto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1080 de 2012 o aquella norma que lo modifique o compile,. Así mismo, cuando estos recursos se usen en virtud de lo establecido en los programas de saneamiento fiscal y financiero, los recursos se girarán a las Instituciones Prestadoras de Servicios de Salud en el marco de los programas respectivos. En los casos de la inversión en infraestructura, los recursos se girarán a la Entidad Territorial respectiva o al Prestador correspondiente dependiendo del tipo de inversión que se realice. </w:t>
      </w:r>
    </w:p>
    <w:p w14:paraId="06CA6B43" w14:textId="48ABE3A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2.7.9.1.1.6. Registros contables y presupuestales. La aplicación de los recursos según lo previsto en la presente sección, deberá reflejarse en la contabilidad de las entidades territoriales y en sus presupuestos, de acuerdo con los procedimientos definidos en las normas vigentes, de lo cual, se deberá informar al Ministerio de Salud y Protección Social. </w:t>
      </w:r>
    </w:p>
    <w:p w14:paraId="75F5FAAA" w14:textId="17212DD8" w:rsidR="00C50D38"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36" w:name="ver_30057464"/>
      <w:bookmarkEnd w:id="1136"/>
    </w:p>
    <w:p w14:paraId="31379973" w14:textId="67104362"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CAPÍTULO 2</w:t>
      </w:r>
    </w:p>
    <w:p w14:paraId="3D069470"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COMPENSACIÓN POR DISMINUCIONES EN EL RECAUDO DE DERECHOS DE EXPLOTACIÓN DEL JUEGO DE LAS APUESTAS PERMANENTES O CHANCE</w:t>
      </w:r>
    </w:p>
    <w:p w14:paraId="4079675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37" w:name="ver_30057465"/>
      <w:bookmarkEnd w:id="1137"/>
    </w:p>
    <w:p w14:paraId="0C7EB94C" w14:textId="02EFE48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2.7.9.2.1. Compensación. El presente capítulo tiene por objeto definir el procedimiento para llevar a cabo la compensación de que trata el parágrafo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 de la Ley 1393 de 2010, cuyas previsiones aplicarán a los Departamentos y al Distrito Capital cuando presenten disminuciones en términos constantes del recaudo por concepto de derechos de explotación del juego de las apuestas permanentes o chance, frente a lo recaudado por este mismo concepto en el año 2009. </w:t>
      </w:r>
    </w:p>
    <w:p w14:paraId="20FA950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38" w:name="ver_30057466"/>
      <w:bookmarkEnd w:id="1138"/>
    </w:p>
    <w:p w14:paraId="4834C3D4" w14:textId="7EC06D6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2.7.9.2.2. Procedimiento para efectuar la compensación. La compensación a que refiere este capítulo, se efectuará de conformidad con el siguiente procedimiento: </w:t>
      </w:r>
    </w:p>
    <w:p w14:paraId="2B49670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01FDD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Los departamentos y el Distrito Capital deberán presentar al Ministerio de Hacienda y Crédito Público las solicitudes de compensación a más tardar el 30 de abril del año siguiente al que se pretende compensar. </w:t>
      </w:r>
    </w:p>
    <w:p w14:paraId="7973DE7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2A98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solicitud de compensación deberá contener el valor anual del recaudo de los derechos de explotación del juego de las apuestas permanentes o chance del año a compensar en pesos corrientes del mismo año. </w:t>
      </w:r>
    </w:p>
    <w:p w14:paraId="1632109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B2E5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Para cada entidad territorial el Ministerio de Hacienda y Crédito Público calculará la diferencia entre el valor recaudado por derechos de explotación del juego de las apuestas permanentes o chance del año a compensar y lo recaudado por el mismo concepto en el año 2009, en pesos constantes del año que se va a compensar. El valor de la compensación a nivel nacional se obtendrá de la sumatoria de los valores así obtenidos. </w:t>
      </w:r>
    </w:p>
    <w:p w14:paraId="7F0B8F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94B8E4" w14:textId="2B27942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En caso de que la sumatoria de los valores obtenidos no supere el equivalente a dos (2) puntos del IVA aplicable al juego de las apuestas permanentes o chance recaudados en el respectivo año, certificado por la Dirección de Impuestos y Aduanas Nacionales -- DIAN, el valor de la compensación de cada entidad territorial será el obtenido de acuerdo con 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Dirección de Impuestos y Aduanas Nacionales - DIAN certificará al Ministerio de Hacienda y Crédito Público el valor equivalente a dos (2) puntos del IVA aplicable al juego de las apuestas permanentes o chance recaudados en el año que se va a compensar, a más tardar el 15 de abril del año siguiente. </w:t>
      </w:r>
    </w:p>
    <w:p w14:paraId="5985EE3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0FFF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En caso de que la sumatoria de los valores obtenidos supere el equivalente a dos (2) puntos del lVA aplicable al juego de las apuestas permanentes o chance recaudados en el respectivo año, el valor a compensar a cada entidad territorial se determinará aplicando al valor de los dos (2) puntos del IVA, el porcentaje de su participación en la sumatoria de los valores inicialmente obtenidos. </w:t>
      </w:r>
    </w:p>
    <w:p w14:paraId="3ACDB8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28DC4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valores a compensar estarán expresados en pesos corrientes del año respectivo. </w:t>
      </w:r>
    </w:p>
    <w:p w14:paraId="179786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1D4B1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Validación de la información. Para efectos de aplicar el procedimiento previsto en el presente capítulo y validar la información reportada por las entidades territoriales, la Superintendencia Nacional de Salud certificará al Ministerio de Hacienda y Crédito Público a más tardar el 15 de abril de cada año, el valor recaudado en el año anterior por concepto de derechos de explotación del juego de las apuestas permanentes o chance por cada departamento y por el Distrito Capital. </w:t>
      </w:r>
    </w:p>
    <w:p w14:paraId="3BF2521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39" w:name="ver_30057467"/>
      <w:bookmarkEnd w:id="1139"/>
    </w:p>
    <w:p w14:paraId="5A43BCA7" w14:textId="38DD6F3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2.7.9.2.3. Financiamiento de la compensación. El Ministerio de Hacienda y Crédito Público, realizará la compensación de que trata este capítulo a más tardar dentro de los dos (2) meses siguientes a la fecha de las certificaciones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con cargo a los recursos recaudados por concepto del IVA aplicable al juego de las apuestas permanentes o chance. </w:t>
      </w:r>
    </w:p>
    <w:p w14:paraId="08D4586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40" w:name="ver_30057468"/>
      <w:bookmarkEnd w:id="1140"/>
    </w:p>
    <w:p w14:paraId="5550F54F" w14:textId="3B78CCB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2.7.9.2.4. Giro de los recursos. Una vez aplicado el procedimiento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2.7.9.2.2. de este capítulo y previa comunicación de los resultados de la compensación realizada por el Ministerio de Hacienda y Crédito Público, el Ministerio de Salud y Protección Social, órgano en el cual se programarán las apropiaciones presupuestales del IVA aplicable al juego de las apuestas permanentes o chance, procederá a girar los recursos a los departamentos y al Distrito Capital que sean objeto de la compensación, a más tardar el 15 de julio del respectivo año. </w:t>
      </w:r>
    </w:p>
    <w:p w14:paraId="1DDFBB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377A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efectos del giro, las entidades territoriales deberán remitir al Ministerio de Salud y Protección Social una certificación bancaria expedida por la entidad financiera donde conste la cuenta bancaria a la cual se girarán los recursos, indicando número, nombre de la cuenta, tipo de cuenta y nombre y número de NIT del titular. </w:t>
      </w:r>
    </w:p>
    <w:p w14:paraId="188CDF6F" w14:textId="77777777" w:rsidR="00AB6706" w:rsidRDefault="00AB6706" w:rsidP="00C50D38">
      <w:pPr>
        <w:spacing w:after="0" w:line="293" w:lineRule="atLeast"/>
        <w:jc w:val="center"/>
        <w:rPr>
          <w:rFonts w:ascii="Arial" w:eastAsia="Times New Roman" w:hAnsi="Arial" w:cs="Arial"/>
          <w:b/>
          <w:bCs/>
          <w:color w:val="000000"/>
          <w:lang w:eastAsia="es-CO"/>
        </w:rPr>
      </w:pPr>
    </w:p>
    <w:p w14:paraId="7D56DF48" w14:textId="6973BFAB"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PARTE 8</w:t>
      </w:r>
    </w:p>
    <w:p w14:paraId="08C0BADB"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RÉGIMEN PRESUPUESTAL</w:t>
      </w:r>
    </w:p>
    <w:p w14:paraId="64CD1409"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TÍTULO 1</w:t>
      </w:r>
    </w:p>
    <w:p w14:paraId="2A868B1E"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REGLAMENTACIÓN DE LAS LEYES ORGÁNICAS DE PRESPUESTO</w:t>
      </w:r>
    </w:p>
    <w:p w14:paraId="0693BC5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41" w:name="ver_30057470"/>
      <w:bookmarkEnd w:id="1141"/>
    </w:p>
    <w:p w14:paraId="6CAC2EAA" w14:textId="743FB40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 Campo de aplicación. El presente título rige para los órganos nacionales que conforman la cobertura del Estatuto Orgánico del Presupuesto. </w:t>
      </w:r>
    </w:p>
    <w:p w14:paraId="49E754F8" w14:textId="77777777" w:rsidR="00C50D38" w:rsidRDefault="00C50D38" w:rsidP="00C32F85">
      <w:pPr>
        <w:spacing w:after="0" w:line="293" w:lineRule="atLeast"/>
        <w:jc w:val="both"/>
        <w:rPr>
          <w:rFonts w:ascii="Arial" w:eastAsia="Times New Roman" w:hAnsi="Arial" w:cs="Arial"/>
          <w:color w:val="000000"/>
          <w:lang w:eastAsia="es-CO"/>
        </w:rPr>
      </w:pPr>
      <w:bookmarkStart w:id="1142" w:name="ver_30057471"/>
      <w:bookmarkEnd w:id="1142"/>
    </w:p>
    <w:p w14:paraId="0F0371D2" w14:textId="06CB8CDB"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CAPÍTULO 1</w:t>
      </w:r>
    </w:p>
    <w:p w14:paraId="12323D43"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SISTEMA PRESUPUESTAL</w:t>
      </w:r>
    </w:p>
    <w:p w14:paraId="2C65011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43" w:name="ver_30057472"/>
      <w:bookmarkEnd w:id="1143"/>
    </w:p>
    <w:p w14:paraId="39E8A434" w14:textId="1E280A3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2.8.1.1.1. Objetivos y Conformación del Sistema Presupuestal. Son objetivos del Sistema Presupuestal: El equilibrio entre los ingresos y los gastos públicos que permita la sostenibilidad de las finanzas públicas en el mediano plazo; la asignación de los recursos de acuerdo con las disponibilidades de ingresos y las prioridades de gasto y la utilización eficiente de los recursos en un contexto de transparencia. </w:t>
      </w:r>
    </w:p>
    <w:p w14:paraId="2CF043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5DFC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Sistema Presupuestal está constituido por el Plan Financiero, incluido en el Marco Fiscal de Mediano Plazo; el Presupuesto Anual de la Nación y el Plan Operativo Anual de Inversiones. </w:t>
      </w:r>
    </w:p>
    <w:p w14:paraId="6D6FB38F" w14:textId="5EEDB821"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44" w:name="ver_30144880"/>
      <w:bookmarkStart w:id="1145" w:name="ver_30057473"/>
      <w:bookmarkEnd w:id="1144"/>
    </w:p>
    <w:p w14:paraId="714858E7" w14:textId="6C1968E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2.8.1.1.2.Plan Financiero. El Plan Financiero es un programa de ingresos y gastos de caja y sus fuentes y usos de financiamiento. El plan define las metas máximas de pagos a efectuarse durante el año que servirán de base para elaborar el Programa Anual de Caja (PAC).  </w:t>
      </w:r>
    </w:p>
    <w:p w14:paraId="7F877BB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0BA3228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Plan Financiero del sector público consolidado tiene como base las proyecciones efectivas de caja del Gobierno nacional, de las entidades descentralizadas dedicadas a actividades no financieras del orden nacional, de las entidades territoriales y sus descentralizadas y de las cuentas sectoriales que por su magnitud ameriten ser incluidas en este.  </w:t>
      </w:r>
    </w:p>
    <w:p w14:paraId="0C7094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0364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plan deberá ser aprobado antes de la presentación del proyecto de Presupuesto General de la Nación al Congreso y se revisará con la información al cierre de la vigencia del mismo año. </w:t>
      </w:r>
    </w:p>
    <w:p w14:paraId="5ACB38B5" w14:textId="54EA9BAA"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46" w:name="ver_30057474"/>
      <w:bookmarkEnd w:id="1145"/>
      <w:bookmarkEnd w:id="1146"/>
    </w:p>
    <w:p w14:paraId="414B6693" w14:textId="53791BB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2.8.1.1.3. Seguimiento al Marco Fiscal de Mediano Plazo. El CONFIS velará por el cumplimiento del Marco Fiscal de Mediano Plazo, para lo cual hará un seguimiento detallado de manera que, si hay cambios en las condiciones económicas, recomiende la adopción de las medidas necesarias para propender por el equilibrio macroeconómico. </w:t>
      </w:r>
    </w:p>
    <w:p w14:paraId="04AAE1A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A0A6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seguimiento se realizará de manera independiente y detallada de acuerdo con la metodología que para el efecto establezca el CONFIS. </w:t>
      </w:r>
    </w:p>
    <w:p w14:paraId="78040F1C" w14:textId="77777777" w:rsidR="00AB6706" w:rsidRDefault="00AB6706" w:rsidP="00C32F85">
      <w:pPr>
        <w:spacing w:after="0" w:line="254" w:lineRule="atLeast"/>
        <w:jc w:val="both"/>
        <w:rPr>
          <w:rFonts w:ascii="Arial" w:eastAsia="Times New Roman" w:hAnsi="Arial" w:cs="Arial"/>
          <w:color w:val="000000"/>
          <w:lang w:eastAsia="es-CO"/>
        </w:rPr>
      </w:pPr>
    </w:p>
    <w:p w14:paraId="1EB7533D" w14:textId="3A41591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2.8.1.1.4. Proyecciones Sectoriales. El Gobierno Nacional de conformidad con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 de la Ley 819 de 2003, desarrollará el Marco de Gasto de Mediano Plazo. </w:t>
      </w:r>
    </w:p>
    <w:p w14:paraId="7A00FC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E7E8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Este contendrá las proyecciones para un período de 4 años de las principales prioridades sectoriales y los niveles máximos de gasto, distribuidos por sectores y componentes de gasto del Presupuesto General de la Nación. El Marco de Gasto de Mediano Plazo se renovará anualmente. </w:t>
      </w:r>
    </w:p>
    <w:p w14:paraId="65CAA6E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70F72E" w14:textId="2E26FF2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Al interior de cada sector, se incluirán los gastos autorizados por leyes preexistentes en concordancia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39 del Estatuto Orgánico del Presupuesto, los compromisos adquiridos con cargo a vigencias futuras, los gastos necesarios para la atención del servicio de la deuda y los nuevos gastos que se pretende ejecutar. En caso que se propongan nuevos gastos, se identificarán los nuevos ingresos, las fuentes de ahorro o la financiación requerida para su implementación. </w:t>
      </w:r>
    </w:p>
    <w:p w14:paraId="4AC779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94A7A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Adicionalmente, el Marco de Gasto de Mediano Plazo propondrá reglas para la distribución de recursos adicionales a los proyectados en el Marco Fiscal de Mediano Plazo. </w:t>
      </w:r>
    </w:p>
    <w:p w14:paraId="2C77F48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ED8E6E" w14:textId="77777777" w:rsidR="00AF0C09" w:rsidRPr="00C50D38" w:rsidRDefault="00AF0C09" w:rsidP="00C50D38">
      <w:pPr>
        <w:spacing w:after="0" w:line="293" w:lineRule="atLeast"/>
        <w:jc w:val="center"/>
        <w:rPr>
          <w:rFonts w:ascii="Arial" w:eastAsia="Times New Roman" w:hAnsi="Arial" w:cs="Arial"/>
          <w:b/>
          <w:bCs/>
          <w:color w:val="000000"/>
          <w:lang w:eastAsia="es-CO"/>
        </w:rPr>
      </w:pPr>
      <w:bookmarkStart w:id="1147" w:name="ver_30057476"/>
      <w:bookmarkEnd w:id="1147"/>
      <w:r w:rsidRPr="00C50D38">
        <w:rPr>
          <w:rFonts w:ascii="Arial" w:eastAsia="Times New Roman" w:hAnsi="Arial" w:cs="Arial"/>
          <w:b/>
          <w:bCs/>
          <w:color w:val="000000"/>
          <w:lang w:eastAsia="es-CO"/>
        </w:rPr>
        <w:t>CAPÍTULO 2</w:t>
      </w:r>
    </w:p>
    <w:p w14:paraId="047DD733"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EL CICLO PRESUPUESTAL</w:t>
      </w:r>
    </w:p>
    <w:p w14:paraId="6AB56CB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48" w:name="ver_30057477"/>
      <w:bookmarkEnd w:id="1148"/>
    </w:p>
    <w:p w14:paraId="4D1849E6" w14:textId="0446A44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2.8.1.2.1. Ciclo Presupuestal. El ciclo presupuestal comprende: </w:t>
      </w:r>
    </w:p>
    <w:p w14:paraId="37D7D6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59F19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Programación del proyecto de presupuesto. </w:t>
      </w:r>
    </w:p>
    <w:p w14:paraId="0B95EE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EC34D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Presentación del proyecto al Congreso de la República. </w:t>
      </w:r>
    </w:p>
    <w:p w14:paraId="2DB4E63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F197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Estudio del proyecto y aprobación por parte del Congreso de la República </w:t>
      </w:r>
    </w:p>
    <w:p w14:paraId="425AD9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4CD39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Liquidación del Presupuesto General de la Nación. </w:t>
      </w:r>
    </w:p>
    <w:p w14:paraId="485E77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2086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Ejecución. </w:t>
      </w:r>
    </w:p>
    <w:p w14:paraId="59E7DC3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F84C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Seguimiento y Evaluación. </w:t>
      </w:r>
    </w:p>
    <w:p w14:paraId="07D7E3C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49" w:name="ver_30057478"/>
      <w:bookmarkEnd w:id="1149"/>
    </w:p>
    <w:p w14:paraId="004AA5D0" w14:textId="69ECA14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2.8.1.2.2. Divulgación del Ciclo Presupuestal. La programación, aprobación, modificación y ejecución, seguimiento y evaluación así como los informes periódicos y finales del ciclo presupuestal, son de conocimiento público. </w:t>
      </w:r>
    </w:p>
    <w:p w14:paraId="5FCC4040" w14:textId="77777777" w:rsidR="00AB6706" w:rsidRDefault="00AB6706" w:rsidP="00C32F85">
      <w:pPr>
        <w:spacing w:after="0" w:line="254" w:lineRule="atLeast"/>
        <w:jc w:val="both"/>
        <w:rPr>
          <w:rFonts w:ascii="Arial" w:eastAsia="Times New Roman" w:hAnsi="Arial" w:cs="Arial"/>
          <w:color w:val="000000"/>
          <w:lang w:eastAsia="es-CO"/>
        </w:rPr>
      </w:pPr>
      <w:bookmarkStart w:id="1150" w:name="ver_30057479"/>
    </w:p>
    <w:p w14:paraId="0020C628" w14:textId="0C4575F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2.8.1.2.3. Sistema de Clasificación Presupuestal. Es el conjunto integral de ordenación codificada de la información presupuestal para planificar los esfuerzos de la sociedad en función de la obtención de los resultados acordados, realizar la rendición de cuentas de los poderes públicos a la comunidad nacional, facilitar y estimular la vigilancia de los ciudadanos a las acciones del Gobierno y el Congreso.  </w:t>
      </w:r>
    </w:p>
    <w:p w14:paraId="045EAB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DF4ADF" w14:textId="3E11766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Mediante el Catálogo de Clasificación Presupuestal (CCP) que establezca la Dirección General del Presupuesto Público Nacional del Ministerio de Hacienda y Crédito Público en desarrollo de facultades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92 y 93 y demás disposiciones aplicables del Estatuto Orgánico de Presupuesto (EOP), en armonía con el estándar internacional de finanzas públicas, se identifica y ubican los conceptos de ingresos y los objetos de gasto dentro del presupuesto. Los conceptos, definiciones, clasificaciones y convenciones presentadas en el mismo aplican para todos los órganos que hacen parte del Presupuesto General de la Nación.  </w:t>
      </w:r>
    </w:p>
    <w:p w14:paraId="17482C4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D897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Catálogo de Clasificación Presupuestal es la base de todos los sistemas de codificación de los diferentes clasificadores presupuestales que se utilizan para definir tanto las transacciones de ingreso como de gasto en las etapas de programación, aprobación y ejecución del presupuesto. No contraviene la nomenclatura de cuentas que de acuerdo con la Ley Orgánica del Presupuesto establezca el órgano de control fiscal para los efectos de la contabilidad del presupuesto general del sector público.  </w:t>
      </w:r>
    </w:p>
    <w:p w14:paraId="7E38402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01ABF3" w14:textId="76F20BE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efectos del ciclo presupuestal se podrá utilizar los sistemas de clasificación funcional y económica, sin perjuicio de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2.8.1.4.2 del presente título.  </w:t>
      </w:r>
    </w:p>
    <w:p w14:paraId="01C01B5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51" w:name="ver_30145168"/>
      <w:bookmarkStart w:id="1152" w:name="ver_30057480"/>
      <w:bookmarkEnd w:id="1150"/>
      <w:bookmarkEnd w:id="1151"/>
    </w:p>
    <w:p w14:paraId="41E57A06" w14:textId="64C58CC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2.8.1.2.4.Clasificación económica. La clasificación económica incluirá los siguientes componentes:  </w:t>
      </w:r>
    </w:p>
    <w:p w14:paraId="1B87127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DC71B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Ingreso.  </w:t>
      </w:r>
    </w:p>
    <w:p w14:paraId="4F03577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3E5B5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Gasto.  </w:t>
      </w:r>
    </w:p>
    <w:p w14:paraId="4943423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51275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Adquisición de activos no financieros.  </w:t>
      </w:r>
    </w:p>
    <w:p w14:paraId="285F97F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54AFC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Fuentes y aplicación del financiamiento y  </w:t>
      </w:r>
    </w:p>
    <w:p w14:paraId="29E813C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4A77E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Resultados presupuestales. </w:t>
      </w:r>
    </w:p>
    <w:p w14:paraId="34079E97" w14:textId="50677FFA"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53" w:name="ver_30144881"/>
      <w:bookmarkEnd w:id="1152"/>
      <w:bookmarkEnd w:id="1153"/>
    </w:p>
    <w:p w14:paraId="235BD5E8" w14:textId="02728BE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2.8.1.2.5.Catálogo Único de clasificación Presupuestal Territorial. El Ministerio de Hacienda y Crédito Público expedirá y actualizará el Catálogo de Clasificación Presupuestal para Entidades Territoriales y sus Descentralizadas - CCPET, que detalle los Ingresos y los gastos en armonía con estándares internacionales y con el nivel nacional.  </w:t>
      </w:r>
    </w:p>
    <w:p w14:paraId="1529F0F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0DD261" w14:textId="148C81A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1°. La aplicación del CCPET por parte de las Entidades Territoriales y sus Descentralizadas,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entrará a regir en los términos que para el efecto establezca el Ministerio de Hacienda y Crédito Público.  </w:t>
      </w:r>
    </w:p>
    <w:p w14:paraId="7E4C91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8538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Ministerio de Hacienda y Crédito Público establecerá un servicio de asistencia técnica permanente para las entidades territoriales y sus descentralizadas a fin de que las mismas cuenten con servicio de capacitación, apoyo en la implementación, aclaración de conceptos y aplicación del CCPET. </w:t>
      </w:r>
    </w:p>
    <w:p w14:paraId="562F5244" w14:textId="77777777" w:rsidR="00C50D38" w:rsidRDefault="00C50D38" w:rsidP="00C32F85">
      <w:pPr>
        <w:spacing w:after="0" w:line="293" w:lineRule="atLeast"/>
        <w:jc w:val="both"/>
        <w:rPr>
          <w:rFonts w:ascii="Arial" w:eastAsia="Times New Roman" w:hAnsi="Arial" w:cs="Arial"/>
          <w:color w:val="000000"/>
          <w:lang w:eastAsia="es-CO"/>
        </w:rPr>
      </w:pPr>
      <w:bookmarkStart w:id="1154" w:name="ver_30057481"/>
      <w:bookmarkEnd w:id="1154"/>
    </w:p>
    <w:p w14:paraId="2B45AEF9" w14:textId="577C49FD"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CAPÍTULO 3</w:t>
      </w:r>
    </w:p>
    <w:p w14:paraId="2B5651B0" w14:textId="77777777"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PROGRAMACIÓN DEL ANTEPROYECTO Y PROYECTO DE PRESUPUESTO</w:t>
      </w:r>
    </w:p>
    <w:p w14:paraId="29888E80"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GENERAL DE LA NACIÓN</w:t>
      </w:r>
    </w:p>
    <w:p w14:paraId="76CF9BD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55" w:name="ver_30169239"/>
      <w:bookmarkStart w:id="1156" w:name="ver_30057482"/>
      <w:bookmarkStart w:id="1157" w:name="ver_30138054"/>
      <w:bookmarkEnd w:id="1155"/>
    </w:p>
    <w:p w14:paraId="159B658C" w14:textId="54A87A3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2.8.1.3.1. Remisión de anteproyectos de presupuesto al Ministerio de Hacienda y Crédito Público. Antes de la primera semana del mes de abril, los órganos que hacen parte del Presupuesto General de la Nación remitirán el anteproyecto de presupuesto al Ministerio de Hacienda y Crédito Público de acuerdo con las metas, políticas y criterios de programación establecidos en el Marco de Gasto de Mediano Plazo. </w:t>
      </w:r>
    </w:p>
    <w:p w14:paraId="059373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D0D47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anteproyectos deben acompañarse de la justificación de los ingresos y gastos así como de sus bases legales y de cálculo. </w:t>
      </w:r>
    </w:p>
    <w:p w14:paraId="5A743B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191FD7" w14:textId="17FF327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 Jurisdicción Especial para la Paz (JEP), creada en el Acto Legislativo 01 de 2017 será una Sección Presupuestal en los términos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111 de 1996. </w:t>
      </w:r>
    </w:p>
    <w:p w14:paraId="36E7410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B5FBFC" w14:textId="1D8662CF"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De conformidad con las facultades que se consagran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110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111 de 1996, el Secretario Ejecutivo como representante legal y judicial de la JEP, se encargará de la administración, gestión y ejecución de los recursos de la Jurisdicción Especial para la Paz. Para el efecto, tendrá la capacidad de suscribir convenios, contratar, comprometer los recursos y ordenar el gasto a nombre de la JEP en desarrollo de las apropiaciones incorporadas en la respectiva sección. </w:t>
      </w:r>
    </w:p>
    <w:p w14:paraId="4090E1F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399E65" w14:textId="7A88E4C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Comisión para el Esclarecimiento de la Verdad, la Convivencia y la No Repetición de que trata el Acto Legislativo número 01 de 2017 será una Sección Presupuestal en los términos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111 de 1996. </w:t>
      </w:r>
    </w:p>
    <w:p w14:paraId="0186CE3A" w14:textId="77777777" w:rsidR="00C50D38" w:rsidRDefault="00C50D38" w:rsidP="00C32F85">
      <w:pPr>
        <w:spacing w:after="0" w:line="254" w:lineRule="atLeast"/>
        <w:jc w:val="both"/>
        <w:rPr>
          <w:rFonts w:ascii="Arial" w:eastAsia="Times New Roman" w:hAnsi="Arial" w:cs="Arial"/>
          <w:color w:val="000000"/>
          <w:lang w:eastAsia="es-CO"/>
        </w:rPr>
      </w:pPr>
      <w:bookmarkStart w:id="1158" w:name="ver_30057483"/>
      <w:bookmarkEnd w:id="1156"/>
      <w:bookmarkEnd w:id="1157"/>
      <w:bookmarkEnd w:id="1158"/>
    </w:p>
    <w:p w14:paraId="297F3C55" w14:textId="7761E47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2.8.1.3.2. Envío al Congreso de Anteproyecto de Presupuesto. El Gobierno Nacional, a través del Ministerio de Hacienda y Crédito Público - Dirección General del Presupuesto Nacional- enviará los anteproyectos de presupuesto de rentas y gastos elaborados por cada órgano a las comisiones económicas de Senado y Cámara durante la primera semana del mes de abril de cada año. </w:t>
      </w:r>
    </w:p>
    <w:p w14:paraId="1587D96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59" w:name="ver_30057484"/>
      <w:bookmarkEnd w:id="1159"/>
    </w:p>
    <w:p w14:paraId="17AC168B" w14:textId="0F4AFBB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2.8.1.3.3. Comités Sectoriales de Presupuesto. De conformidad con la Ley 489 de 1998, para la elaboración del Marco de Gasto de Mediano Plazo y el Presupuesto General de la Nación se crearán Comités Sectoriales de Presupuesto, con presencia indelegable del Director General del Presupuesto Público Nacional, del Director de Inversiones y Finanzas Públicas del Departamento Nacional de Planeación y los jefes de los órganos de las secciones presupuestales que conforman el respectivo sector, quienes excepcionalmente podrán delegar su asistencia en un funcionario del nivel directivo o asesor. El Ministro de Hacienda y Crédito Público establecerá </w:t>
      </w:r>
      <w:r w:rsidR="00AF0C09" w:rsidRPr="002C1480">
        <w:rPr>
          <w:rFonts w:ascii="Arial" w:eastAsia="Times New Roman" w:hAnsi="Arial" w:cs="Arial"/>
          <w:color w:val="000000"/>
          <w:lang w:eastAsia="es-CO"/>
        </w:rPr>
        <w:lastRenderedPageBreak/>
        <w:t>el manual de funcionamiento de estos comités, para lo cual tendrá en cuenta las recomendaciones del Departamento Nacional de Planeación y de las secciones presupuestales. </w:t>
      </w:r>
    </w:p>
    <w:p w14:paraId="3FE988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386D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las discusiones de los Comités Sectoriales, se consultará las evaluaciones de impacto y resultados realizadas por el Ministerio de Hacienda y Crédito Público y el Departamento Nacional de Planeación. </w:t>
      </w:r>
    </w:p>
    <w:p w14:paraId="5FA664B0" w14:textId="7BE68FF4"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60" w:name="ver_30057485"/>
      <w:bookmarkEnd w:id="1160"/>
    </w:p>
    <w:p w14:paraId="0D71968C" w14:textId="7B84C56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2.8.1.3.4. Elaboración del Marco de Gasto de Mediano Plazo. Antes del 15 de julio de cada vigencia fiscal, el Ministerio de Hacienda y Crédito Público, en coordinación con el Departamento Nacional de Planeación, elaborará y someterá el Marco de Gasto de Mediano Plazo para aprobación por parte del Consejo Nacional de Política Económica y Social, Conpes, sesión a la cual deberán asistir todos los Ministros del Despacho. </w:t>
      </w:r>
    </w:p>
    <w:p w14:paraId="59A92D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502E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proyecto de Presupuesto General de la Nación coincidirá con las metas del primer año del Marco de Gasto de Mediano Plazo. Las estimaciones definidas para los años siguientes del Marco de Gasto de Mediano Plazo son de carácter indicativo, y serán consistentes con el presupuesto de la vigencia correspondiente en la medida en que no se den cambios de política fiscal o sectorial, ni se generen cambios en la coyuntura económica o ajustes de tipo técnico que alteren los parámetros de cálculo relevantes. </w:t>
      </w:r>
    </w:p>
    <w:p w14:paraId="2E98EE4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61" w:name="ver_30057486"/>
      <w:bookmarkEnd w:id="1161"/>
    </w:p>
    <w:p w14:paraId="3BFA6E41" w14:textId="1D6622A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2.8.1.3.5. Elaboración del Plan Operativo Anual de Inversiones. Antes del 15 de julio, el Departamento Nacional de Planeación, en coordinación con el Ministerio de Hacienda y Crédito Público y las secciones presupuestales, presentarán el Plan Operativo Anual de Inversiones para su aprobación por el CONPES. El Plan será elaborado con base en los resultados de los Comités Sectoriales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2.8.1.3.3., incluyendo los proyectos debidamente inscritos y evaluados en el Banco de Proyectos de Inversión y guardará consistencia con el Marco Fiscal de Mediano Plazo y el Marco de Gasto de Mediano Plazo. </w:t>
      </w:r>
    </w:p>
    <w:p w14:paraId="0443B18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62" w:name="ver_30057487"/>
      <w:bookmarkEnd w:id="1162"/>
    </w:p>
    <w:p w14:paraId="33FE5C43" w14:textId="43EB0B0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2.8.1.3.6. Recursos de Crédito Interno y Externo – Incorporación al Presupuesto. Los recursos del crédito interno y externo con vencimiento mayor a un año se incorporarán al Presupuesto General de la Nación de acuerdo con los cupos autorizados por el Congreso de la República y las estimaciones de la Dirección General de Crédito Público del Ministerio de Hacienda. </w:t>
      </w:r>
    </w:p>
    <w:p w14:paraId="648835CE" w14:textId="2A9D7013"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63" w:name="ver_30057488"/>
      <w:bookmarkEnd w:id="1163"/>
    </w:p>
    <w:p w14:paraId="58850D88" w14:textId="39570A3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2.8.1.3.7. Recursos Administrados por Terceros. La Dirección General del Presupuesto Nacional y el Departamento Nacional de Planeación deberán tener en cuenta el valor de los recursos administrados por terceros durante la preparación y elaboración del proyecto de presupuesto del respectivo órgano o entidad. </w:t>
      </w:r>
    </w:p>
    <w:p w14:paraId="548F2E54" w14:textId="77777777" w:rsidR="00AB6706" w:rsidRDefault="00AB6706" w:rsidP="00C32F85">
      <w:pPr>
        <w:spacing w:after="0" w:line="293" w:lineRule="atLeast"/>
        <w:jc w:val="both"/>
        <w:rPr>
          <w:rFonts w:ascii="Arial" w:eastAsia="Times New Roman" w:hAnsi="Arial" w:cs="Arial"/>
          <w:color w:val="000000"/>
          <w:lang w:eastAsia="es-CO"/>
        </w:rPr>
      </w:pPr>
      <w:bookmarkStart w:id="1164" w:name="ver_30057489"/>
      <w:bookmarkEnd w:id="1164"/>
    </w:p>
    <w:p w14:paraId="436B49B6" w14:textId="2E06C3B8" w:rsidR="00AF0C09" w:rsidRPr="00AB6706" w:rsidRDefault="00AF0C09" w:rsidP="00AB6706">
      <w:pPr>
        <w:spacing w:after="0" w:line="293" w:lineRule="atLeast"/>
        <w:jc w:val="center"/>
        <w:rPr>
          <w:rFonts w:ascii="Arial" w:eastAsia="Times New Roman" w:hAnsi="Arial" w:cs="Arial"/>
          <w:b/>
          <w:bCs/>
          <w:color w:val="000000"/>
          <w:lang w:eastAsia="es-CO"/>
        </w:rPr>
      </w:pPr>
      <w:r w:rsidRPr="00AB6706">
        <w:rPr>
          <w:rFonts w:ascii="Arial" w:eastAsia="Times New Roman" w:hAnsi="Arial" w:cs="Arial"/>
          <w:b/>
          <w:bCs/>
          <w:color w:val="000000"/>
          <w:lang w:eastAsia="es-CO"/>
        </w:rPr>
        <w:t>CAPÍTULO 4</w:t>
      </w:r>
    </w:p>
    <w:p w14:paraId="05F7B0B9" w14:textId="2BA239A6"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PRESENTACIÓN DEL PROYECTO DE PRESUPUESTO AL CONGRESO</w:t>
      </w:r>
    </w:p>
    <w:p w14:paraId="0A436860"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DE LA REPÚBLICA</w:t>
      </w:r>
    </w:p>
    <w:p w14:paraId="5707E31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65" w:name="ver_30057490"/>
      <w:bookmarkEnd w:id="1165"/>
    </w:p>
    <w:p w14:paraId="649F0C38" w14:textId="378CA3C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2.8.1.4.1. Mensaje Presidencial. El mensaje presidencial incluirá lo siguiente: </w:t>
      </w:r>
    </w:p>
    <w:p w14:paraId="199F3A0D" w14:textId="77777777" w:rsidR="00C50D38" w:rsidRDefault="00C50D38" w:rsidP="00C32F85">
      <w:pPr>
        <w:spacing w:after="0" w:line="254" w:lineRule="atLeast"/>
        <w:jc w:val="both"/>
        <w:rPr>
          <w:rFonts w:ascii="Arial" w:eastAsia="Times New Roman" w:hAnsi="Arial" w:cs="Arial"/>
          <w:color w:val="000000"/>
          <w:lang w:eastAsia="es-CO"/>
        </w:rPr>
      </w:pPr>
    </w:p>
    <w:p w14:paraId="44A4A2A6" w14:textId="1C94F59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Resumen del Marco Fiscal de Mediano Plazo presentado al Congreso de la República. </w:t>
      </w:r>
    </w:p>
    <w:p w14:paraId="7B00A02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en la programación del presupuesto dicho marco fue actualizado, se debe hacer explícita la respectiva modificación. </w:t>
      </w:r>
    </w:p>
    <w:p w14:paraId="1229ECDD" w14:textId="77777777" w:rsidR="00C50D38" w:rsidRDefault="00C50D38" w:rsidP="00C32F85">
      <w:pPr>
        <w:spacing w:after="0" w:line="254" w:lineRule="atLeast"/>
        <w:jc w:val="both"/>
        <w:rPr>
          <w:rFonts w:ascii="Arial" w:eastAsia="Times New Roman" w:hAnsi="Arial" w:cs="Arial"/>
          <w:color w:val="000000"/>
          <w:lang w:eastAsia="es-CO"/>
        </w:rPr>
      </w:pPr>
    </w:p>
    <w:p w14:paraId="620C0C6B" w14:textId="0C82D4C9"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2. Informe de la ejecución presupuestal de la vigencia fiscal anterior. </w:t>
      </w:r>
    </w:p>
    <w:p w14:paraId="14E531F4" w14:textId="77777777" w:rsidR="00C50D38" w:rsidRDefault="00C50D38" w:rsidP="00C32F85">
      <w:pPr>
        <w:spacing w:after="0" w:line="254" w:lineRule="atLeast"/>
        <w:jc w:val="both"/>
        <w:rPr>
          <w:rFonts w:ascii="Arial" w:eastAsia="Times New Roman" w:hAnsi="Arial" w:cs="Arial"/>
          <w:color w:val="000000"/>
          <w:lang w:eastAsia="es-CO"/>
        </w:rPr>
      </w:pPr>
    </w:p>
    <w:p w14:paraId="03455D96" w14:textId="6D70A13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Informe de ejecución presupuestal de la vigencia en curso, hasta el mes de junio. </w:t>
      </w:r>
    </w:p>
    <w:p w14:paraId="7BB614F5" w14:textId="77777777" w:rsidR="00C50D38" w:rsidRDefault="00C50D38" w:rsidP="00C32F85">
      <w:pPr>
        <w:spacing w:after="0" w:line="254" w:lineRule="atLeast"/>
        <w:jc w:val="both"/>
        <w:rPr>
          <w:rFonts w:ascii="Arial" w:eastAsia="Times New Roman" w:hAnsi="Arial" w:cs="Arial"/>
          <w:color w:val="000000"/>
          <w:lang w:eastAsia="es-CO"/>
        </w:rPr>
      </w:pPr>
    </w:p>
    <w:p w14:paraId="1723E882" w14:textId="134F051A"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Informe donde se evalúe el cumplimiento de los objetivos establecidos en leyes que han autorizado la creación de rentas de destinación específica, de conformidad con lo señalado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2.8.1.4.3 del presente CAPÍTULO. </w:t>
      </w:r>
    </w:p>
    <w:p w14:paraId="598360EE"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579B92BA" w14:textId="2B5D803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Anexo de la clasificación económica del presupuesto,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2.8.1.2.4 del Capítulo 2 del presente título. </w:t>
      </w:r>
    </w:p>
    <w:p w14:paraId="5A11A63E" w14:textId="77777777" w:rsidR="00C50D38" w:rsidRDefault="00C50D38" w:rsidP="00C32F85">
      <w:pPr>
        <w:spacing w:after="0" w:line="254" w:lineRule="atLeast"/>
        <w:jc w:val="both"/>
        <w:rPr>
          <w:rFonts w:ascii="Arial" w:eastAsia="Times New Roman" w:hAnsi="Arial" w:cs="Arial"/>
          <w:color w:val="000000"/>
          <w:lang w:eastAsia="es-CO"/>
        </w:rPr>
      </w:pPr>
    </w:p>
    <w:p w14:paraId="0658CFB4" w14:textId="4CDD1F9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Resumen homologado de las cifras del Presupuesto y Plan Financiero. </w:t>
      </w:r>
    </w:p>
    <w:p w14:paraId="1824CF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Adicionalmente, se podrá presentar anexos con otras clasificaciones, siguiendo estándares internacionales. </w:t>
      </w:r>
    </w:p>
    <w:p w14:paraId="670175E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66" w:name="ver_30145179"/>
      <w:bookmarkStart w:id="1167" w:name="ver_30057491"/>
      <w:bookmarkEnd w:id="1166"/>
    </w:p>
    <w:p w14:paraId="3E150EF0" w14:textId="4796AF7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2.8.1.4.2.Clasificación del Proyecto de presupuesto. El proyecto de presupuesto de Gastos se presentará al Congreso de la República clasificado en secciones presupuestales distinguiendo entre cada una los gastos de funcionamiento, servicio de la deuda pública y los gastos de inversión. Los gastos de inversión se clasificarán en Programas y subprogramas. </w:t>
      </w:r>
    </w:p>
    <w:p w14:paraId="498E14E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68" w:name="ver_30057492"/>
      <w:bookmarkEnd w:id="1167"/>
      <w:bookmarkEnd w:id="1168"/>
    </w:p>
    <w:p w14:paraId="6AC520E8" w14:textId="4E0AE263"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2.8.1.4.3. Objetivos de gasto. En desarrollo de lo dispuesto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 de la Ley 819 de 2003, la ley que autorice una renta de destinación específica, debe definir su vigencia en el tiempo y los objetivos que atenderá, con metas cuantificables para verificar su cumplimiento y por ende su eliminación legal. </w:t>
      </w:r>
    </w:p>
    <w:p w14:paraId="129BC10A"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278C648F" w14:textId="63CA74E6"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Gobierno Nacional en la presentación del Proyecto de Ley Anual de Presupuesto, incluirá un anexo donde se evalúe el cumplimiento de los objetivos establecidos en leyes que autorizaron la creación de rentas de destinación específica. Si los objetivos se han cumplido, se propondrá un proyecto de ley en el que se proponga derogarla ley que creó la renta de destinación específica. </w:t>
      </w:r>
    </w:p>
    <w:p w14:paraId="5C09681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69" w:name="ver_30057493"/>
      <w:bookmarkEnd w:id="1169"/>
    </w:p>
    <w:p w14:paraId="6FEC6239" w14:textId="2489E33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2.8.1.4.4. Proyecto de Presupuesto Presentado. Para los efectos del Estatuto Orgánico del Presupuesto, se entiende por presupuesto presentado por el Gobierno Nacional al Congreso el proyecto inicial y las modificaciones que se hicieren durante el estudio y deliberación conjunta de las comisiones económicas de las dos Cámaras al cierre del primer debate. </w:t>
      </w:r>
    </w:p>
    <w:p w14:paraId="508B4B4A"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24CE4EB6" w14:textId="77777777" w:rsidR="00AF0C09" w:rsidRPr="00C50D38" w:rsidRDefault="00AF0C09" w:rsidP="00C50D38">
      <w:pPr>
        <w:spacing w:after="0" w:line="293" w:lineRule="atLeast"/>
        <w:jc w:val="center"/>
        <w:rPr>
          <w:rFonts w:ascii="Arial" w:eastAsia="Times New Roman" w:hAnsi="Arial" w:cs="Arial"/>
          <w:b/>
          <w:bCs/>
          <w:color w:val="000000"/>
          <w:lang w:eastAsia="es-CO"/>
        </w:rPr>
      </w:pPr>
      <w:bookmarkStart w:id="1170" w:name="ver_30057494"/>
      <w:bookmarkEnd w:id="1170"/>
      <w:r w:rsidRPr="00C50D38">
        <w:rPr>
          <w:rFonts w:ascii="Arial" w:eastAsia="Times New Roman" w:hAnsi="Arial" w:cs="Arial"/>
          <w:b/>
          <w:bCs/>
          <w:color w:val="000000"/>
          <w:lang w:eastAsia="es-CO"/>
        </w:rPr>
        <w:t>CAPÍTULO 5</w:t>
      </w:r>
    </w:p>
    <w:p w14:paraId="19AE5883"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LIQUIDACIÓN DEL PRESUPUESTO</w:t>
      </w:r>
    </w:p>
    <w:p w14:paraId="50865C8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71" w:name="ver_30057495"/>
      <w:bookmarkEnd w:id="1171"/>
    </w:p>
    <w:p w14:paraId="4D977C35" w14:textId="0AD4454E"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2.8.1.5.1.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 del Presupuesto. La Dirección General del Presupuesto Público Nacional del Ministerio de Hacienda y Crédito Público preparará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 del presupuesto el cual contendrá un anexo que incluirá el detalle desagregado de la composición de las rentas y apropiaciones aprobados por el Congreso de la República. Adicionalmente, se podrá incluir un documento con las metas que deben cumplir las entidades con las apropiaciones asignadas. </w:t>
      </w:r>
    </w:p>
    <w:p w14:paraId="0C7378A3"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4784D1B3" w14:textId="44E7BAA4"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las partidas se incorporen en numerales rentísticos, secciones, programas y subprogramas que no correspondan a su objeto o naturaleza, el Ministerio de Hacienda y Crédito Público-Dirección General del Presupuesto Público Nacional las ubicará mediante Resolución en </w:t>
      </w:r>
      <w:r w:rsidRPr="002C1480">
        <w:rPr>
          <w:rFonts w:ascii="Arial" w:eastAsia="Times New Roman" w:hAnsi="Arial" w:cs="Arial"/>
          <w:color w:val="000000"/>
          <w:lang w:eastAsia="es-CO"/>
        </w:rPr>
        <w:lastRenderedPageBreak/>
        <w:t>el sitio que corresponda. Cuando se trate de inversión, se requerirá del concepto previo favorable del Departamento Nacional de Planeación. </w:t>
      </w:r>
    </w:p>
    <w:p w14:paraId="7F085E9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72" w:name="ver_30145180"/>
      <w:bookmarkStart w:id="1173" w:name="ver_30057496"/>
      <w:bookmarkEnd w:id="1172"/>
    </w:p>
    <w:p w14:paraId="7F21A077" w14:textId="7754FE00"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2.8.1.5.2.Anexo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Liquidación.El anexo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 del presupuesto en lo correspondiente a gastos incluirá, además de las clasificaciones contempladas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2.8.1.4.2, la desagregación para el caso de inversión, identificando los proyectos asociados a los programas de inversión y para el caso de funcionamiento y servicio de la deuda de acuerdo a las cuentas, subcuentas y objetos de gasto que determine el Catálogo de Clasificación Presupuestal (CCP) que establezca la Dirección General del Presupuesto Público Nacional del Ministerio de Hacienda y Crédito Público con sujeción a lo establecido en el Estatuto Orgánico de Presupuesto y en armonía con el estándar internacional de finanzas públicas.  </w:t>
      </w:r>
    </w:p>
    <w:p w14:paraId="12A14455"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4815FE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la Dirección General del Presupuesto Público Nacional del Ministerio de Hacienda y Crédito Público establecerá las Unidades Ejecutoras Especiales, que se identifiquen. </w:t>
      </w:r>
    </w:p>
    <w:p w14:paraId="6C2C2B4B" w14:textId="77777777" w:rsidR="00C50D38" w:rsidRDefault="00C50D38" w:rsidP="00C32F85">
      <w:pPr>
        <w:spacing w:after="0" w:line="254" w:lineRule="atLeast"/>
        <w:jc w:val="both"/>
        <w:rPr>
          <w:rFonts w:ascii="Arial" w:eastAsia="Times New Roman" w:hAnsi="Arial" w:cs="Arial"/>
          <w:color w:val="000000"/>
          <w:lang w:eastAsia="es-CO"/>
        </w:rPr>
      </w:pPr>
      <w:bookmarkStart w:id="1174" w:name="ver_30057497"/>
      <w:bookmarkEnd w:id="1173"/>
    </w:p>
    <w:p w14:paraId="6A808624" w14:textId="7585CC7C" w:rsidR="00AF0C09"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2.8.1.5.3.Desagregación de Gastos. Las entidades podrán realizar asignaciones internas de las apropiaciones establecidas en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 en sus dependencias, seccionales o regionales con el fin de facilitar su manejo operativo y gestión, sin que las mismas impliquen cambios en su destinación. Estas desagregaciones deberán realizarse conforme a lo establecido en el catálogo de clasificación Presupuestal establecido por la Dirección General de Presupuesto Público Nacional.  </w:t>
      </w:r>
    </w:p>
    <w:p w14:paraId="2902B526"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5FA71321" w14:textId="6F3B6648"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clasificación del gasto y su respectiva desagregación se realiza exclusivamente para efectos presupuestales.  </w:t>
      </w:r>
    </w:p>
    <w:p w14:paraId="54CFD36A"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2795C317" w14:textId="1DBD96F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Asimismo, los recursos y sus correspondientes códigos de identificación que aparecen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liquidación y sus anexos son de carácter informativo, por lo tanto, la Dirección General del Presupuesto Público Nacional del Ministerio de Hacienda y Crédito Público deberá corregirlos, siempre que no se afecte el presupuesto de ingresos.  </w:t>
      </w:r>
    </w:p>
    <w:p w14:paraId="310FC9D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75" w:name="ver_30145255"/>
      <w:bookmarkStart w:id="1176" w:name="ver_30057498"/>
      <w:bookmarkEnd w:id="1174"/>
      <w:bookmarkEnd w:id="1175"/>
    </w:p>
    <w:p w14:paraId="45BF0A5B" w14:textId="3F9A91C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2.8.1.5.4. Derogado. </w:t>
      </w:r>
    </w:p>
    <w:p w14:paraId="4B7E02C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77" w:name="ver_30057499"/>
      <w:bookmarkEnd w:id="1176"/>
      <w:bookmarkEnd w:id="1177"/>
    </w:p>
    <w:p w14:paraId="3C3CCBEE" w14:textId="5826883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2.8.1.5.5. Ajuste al valor de rentas constitutivas de recursos de capital. El Ministro de Hacienda y Crédito Público, tomando en cuenta el comportamiento de las rentas y previo concepto del CONFIS, podrá ajustar mediante resolución el valor de las rentas constitutivas de los recursos de capital sin exceder el monto de estos aprobado en la ley anual de presupuesto para la respectiva vigencia fiscal. </w:t>
      </w:r>
    </w:p>
    <w:p w14:paraId="3EC90110" w14:textId="7A0CBF81"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78" w:name="ver_30145182"/>
      <w:bookmarkStart w:id="1179" w:name="ver_30057500"/>
      <w:bookmarkEnd w:id="1178"/>
    </w:p>
    <w:p w14:paraId="403A9D07" w14:textId="1BA3CD2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2.8.1.5.6. Modificaciones al Detalle del Gasto. Las modificaciones al anexo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 que no modifiquen en cada sección presupuestal el monto total de sus apropiaciones de funcionamiento, servicio de la deuda o los programas y subprogramas de inversión aprobados por el Congreso de la República, se realizarán mediante resolución expedida por el jefe del órgano respectivo. En el caso de los establecimientos públicos del orden nacional, estas modificaciones se harán por resolución o acuerdo de las Juntas o Consejos Directivos, o por resolución del representante legal en caso de no existir aquellas.  </w:t>
      </w:r>
    </w:p>
    <w:p w14:paraId="23A6E3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79E8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 Dirección General del Presupuesto Público Nacional, aprobará las operaciones presupuestales contenidas en las resoluciones o acuerdos una vez se realice el registro de las solicitudes en el Sistema Integrado de Información Financiera SIIF Nación.  </w:t>
      </w:r>
    </w:p>
    <w:p w14:paraId="63D753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56B998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se trata de gastos de inversión, la aprobación requerirá previo concepto favorable del Departamento Nacional de Planeación- Dirección de Inversiones y Finanzas Públicas-sobre las operaciones presupuestales contenidas en los proyectos de resoluciones o acuerdos y verificación del registro de las solicitudes en el Sistema Unificado de Inversión y Finanzas Públicas SUIFP.  </w:t>
      </w:r>
    </w:p>
    <w:p w14:paraId="292AEE2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FEC553" w14:textId="66F2099A"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Dirección General de Crédito Público y Tesoro Nacional, con base en las modificaciones de que tratan los incisos anteriores, realizará los ajustes al Programa Anual Mensualizado de Caja (PAC) consultando la información registrada en el Sistema Integrado de Información Financiera SIIF Nación. Los órganos públicos que requieran conocer las modificaciones al anexo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liquidación deberán acceder a las mismas a través del Sistema Integrado de Información Financiera SIIF Nación.  </w:t>
      </w:r>
    </w:p>
    <w:p w14:paraId="3EE4F0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F3AE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Dirección General del Presupuesto Público Nacional podrá solicitar ajustes al PAC cuando lo considere pertinente. También podrá solicitar dichos ajustes la Dirección de Inversiones y Finanzas Públicas del Departamento Nacional de Planeación, cuando se trate de gastos de inversión.  </w:t>
      </w:r>
    </w:p>
    <w:p w14:paraId="727AD87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CF37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Cuando las solicitudes de modificaciones y demás afectaciones al detalle de la composición del Presupuesto General de la Nación requieran apertura de objetos, ordinales y subordinales, estas deben incluir la indicación de la clasificación correspondiente al Catálogo de Clasificación Presupuestal, así como su equivalencia en los demás clasificadores que se indique por la Dirección General del Presupuesto Público Nacional.  </w:t>
      </w:r>
    </w:p>
    <w:p w14:paraId="01AFB4A5" w14:textId="3798471B"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80" w:name="ver_30145187"/>
      <w:bookmarkEnd w:id="1179"/>
      <w:bookmarkEnd w:id="1180"/>
    </w:p>
    <w:p w14:paraId="4CB1DA55" w14:textId="580662D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2.8.1.5.7.Clasificación de los ingresos.Los conceptos de ingreso del presupuesto de rentas y recursos de capital del Presupuesto General de la Nación, Ingresos de la Nación, contribuciones parafiscales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29 del Estatuto Orgánico del Presupuesto (EOP), fondos especiales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30 del EOP y los ingresos de los establecimientos públicos nacionales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34 del EOP se clasificarán y desagregarán de acuerdo al Catálogo de Clasificación Presupuestal (CCP) que establezca la Dirección General del Presupuesto Público Nacional del Ministerio de Hacienda y Crédito Público con sujeción a lo establecido en el EOP, en armonía con el estándar Internacional de finanzas públicas, siempre y cuando cumplan con las autorizaciones normativas para obtener recursos de las respectivas fuentes señaladas en el presente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por lo que su utilización se sujeta a la aprobación de la solicitud de autorización de la entidad ante la Dirección General del Presupuesto Público Nacional. </w:t>
      </w:r>
    </w:p>
    <w:p w14:paraId="4476D4E0" w14:textId="77777777" w:rsidR="00C50D38" w:rsidRDefault="00C50D38" w:rsidP="00C32F85">
      <w:pPr>
        <w:spacing w:after="0" w:line="254" w:lineRule="atLeast"/>
        <w:jc w:val="both"/>
        <w:rPr>
          <w:rFonts w:ascii="Arial" w:eastAsia="Times New Roman" w:hAnsi="Arial" w:cs="Arial"/>
          <w:color w:val="000000"/>
          <w:lang w:eastAsia="es-CO"/>
        </w:rPr>
      </w:pPr>
    </w:p>
    <w:p w14:paraId="06D76D8D" w14:textId="59B65F6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2.8.1.5.8.Administración del Catálogo de Clasificación Presupuestal (CCP). Con el propósito de asegurar la consistencia conceptual del Catálogo de Clasificación Presupuestal (CCP) y la integridad del catálogo, la Dirección General del Presupuesto Público Nacional como centro de información presupuestal de que trata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93 del Estatuto Orgánico de Presupuesto estará a cargo de la administración del Catálogo de Clasificación Presupuestal (CCP), para lo cual deberá:  </w:t>
      </w:r>
    </w:p>
    <w:p w14:paraId="119271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05B8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Aclarar conceptos y objetos de gasto de las clasificaciones.  </w:t>
      </w:r>
    </w:p>
    <w:p w14:paraId="087108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64010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Ajustar el Catálogo de Clasificación Presupuestal (CCP) (creación, modificación, habilitación y eliminación de rubros o conceptos).  </w:t>
      </w:r>
    </w:p>
    <w:p w14:paraId="5E87E7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B877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Ajustar y actualizar los instrumentos requeridos para la aplicación del Catálogo de Clasificación Presupuestal (CCP) y su relación con los demás clasificadores, de acuerdo con los procedimientos que se establezcan para el efecto.  </w:t>
      </w:r>
    </w:p>
    <w:p w14:paraId="25D415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458C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Atender las solicitudes de las entidades de creación, habilitación, aclaración, asistencia en su aplicación del Catálogo de Clasificación Presupuestal (CCP).  </w:t>
      </w:r>
    </w:p>
    <w:p w14:paraId="0B2F994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19295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Coordinar con la administración del Sistema de Integrado de Información Financiera SIIF Nación para su aplicación, funcionamiento y generación de reportes de información requeridos.  </w:t>
      </w:r>
    </w:p>
    <w:p w14:paraId="2C54C16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8D81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solicitudes de administración del catálogo hechas por las entidades a la DGPPN deberán ser atendidas dentro de los 15 días hábiles siguientes a su radicación.  </w:t>
      </w:r>
    </w:p>
    <w:p w14:paraId="076C68F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81" w:name="ver_30145198"/>
      <w:bookmarkEnd w:id="1181"/>
    </w:p>
    <w:p w14:paraId="6502B8A5" w14:textId="577E892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2.8.1.5.9.Servicios Compartidos.Cuando las entidades que conforman el Presupuesto General de la Nación realicen convenios interadministrativos que comprendan la realización de servicios compartidos para el desarrollo y administración de actividades de gestión de programación o ejecución del presupuesto, deberán garantizar el cumplimiento de la normativa y de las metodologías establecidas por el Estatuto Orgánico de Presupuesto, las normas que lo reglamentan y las instrucciones de la Dirección General del Presupuesto Público Nacional del Ministerio de Hacienda y Crédito Público y la Dirección de Inversiones y Finanzas Públicas del Departamento Nacional de Planeación para cada una de las entidades y las que de manera expresa se señalen para el efecto, de manera que en el convenio debe indicarse por lo menos los procedimientos, trámites, clasificaciones, cronogramas y capacidad institucional de las partes, sus responsabilidades y garantía de información en calidad y oportunidad dentro de los tiempos establecidos.  </w:t>
      </w:r>
    </w:p>
    <w:p w14:paraId="3B58E64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82" w:name="ver_30145200"/>
      <w:bookmarkEnd w:id="1182"/>
    </w:p>
    <w:p w14:paraId="5C881421" w14:textId="2E77169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2.8.1.5.10.Periodo de transición. La aplicación del Catálogo de Clasificación Presupuestal - CCP de que trata el presente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se realizará a más tardar a partir del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de Liquidación y ejecución del Presupuesto General de la Nación de la vigencia fiscal de 2019, de acuerdo con el procedimiento que para el efecto establezca la Dirección General del Presupuesto Público Nacional del Ministerio de Hacienda y Crédito Público.  </w:t>
      </w:r>
    </w:p>
    <w:p w14:paraId="6B790F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416B1D" w14:textId="61CF7B0C"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programación del presupuesto que se realice durante la vigencia 2018 deberá efectuarse de acuerdo con lo establecido por la Dirección General del Presupuesto Público Nacional para la implementación del Catálogo de Clasificación Presupuestal (CCP) de que trata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7D65AF9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83" w:name="ver_30145210"/>
      <w:bookmarkEnd w:id="1183"/>
    </w:p>
    <w:p w14:paraId="410EBC81" w14:textId="0E7F363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2.8.1.5.11.Normas transitorias relacionadas con el Catálogo de Clasificación Presupuestal (CCP).Las solicitudes de estudio de autorización de vigencias futuras y las otorgadas con anterioridad al 2018 para su ejecución a partir del 2019 deberán clasificarse de acuerdo con lo establecido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2.8.1.5.2. La Dirección General del Presupuesto Público Nacional establecerá los mecanismos en coordinación con la Dirección de Inversiones y Finanzas Públicas para la homologación de las mismas a los términos del nuevo catálogo de clasificación presupuestal.  </w:t>
      </w:r>
    </w:p>
    <w:p w14:paraId="6D62699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7ABA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nuevos rubros presupuestales que se generen por el ajuste de la clasificación presupuestal estarán asociados a los rubros anteriores, de tal manera, que estos nuevos rubros presupuestales soporten los actos administrativos generados por las vigencias futuras autorizadas y se autorice el “Pago Pasivos exigibles - Vigencias Expiradas” que cumplan las condiciones para atender el gasto durante la ejecución del presupuesto.  </w:t>
      </w:r>
    </w:p>
    <w:p w14:paraId="4653794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0B6092B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reservas presupuestales y las cuentas por pagar de la vigencia 2018 que se constituyan para su ejecución en 2019 se harán con el catálogo anterior y su gestión durante la vigencia 2019 se realizará mediante la homologación de las mismas a los términos del nuevo clasificador.  </w:t>
      </w:r>
    </w:p>
    <w:p w14:paraId="60662457" w14:textId="77777777" w:rsidR="00C50D38" w:rsidRDefault="00C50D38" w:rsidP="00C32F85">
      <w:pPr>
        <w:spacing w:after="0" w:line="293" w:lineRule="atLeast"/>
        <w:jc w:val="both"/>
        <w:rPr>
          <w:rFonts w:ascii="Arial" w:eastAsia="Times New Roman" w:hAnsi="Arial" w:cs="Arial"/>
          <w:color w:val="000000"/>
          <w:lang w:eastAsia="es-CO"/>
        </w:rPr>
      </w:pPr>
      <w:bookmarkStart w:id="1184" w:name="ver_30057501"/>
      <w:bookmarkEnd w:id="1184"/>
    </w:p>
    <w:p w14:paraId="7FBA1F8B" w14:textId="69905051" w:rsidR="00AF0C09" w:rsidRPr="00C50D38" w:rsidRDefault="00AF0C09"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CAPÍTULO 6</w:t>
      </w:r>
    </w:p>
    <w:p w14:paraId="225924E3"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INEMBARGABILIDAD DE RENTAS Y RECURSOS INCORPORADOS EN EL PRESUPUESTO GENERAL DE LA NACIÓN</w:t>
      </w:r>
    </w:p>
    <w:p w14:paraId="50E8E903" w14:textId="77777777" w:rsidR="00AF0C09" w:rsidRPr="00C50D38" w:rsidRDefault="00AF0C09" w:rsidP="00C50D38">
      <w:pPr>
        <w:spacing w:after="0" w:line="240" w:lineRule="auto"/>
        <w:jc w:val="center"/>
        <w:rPr>
          <w:rFonts w:ascii="Arial" w:eastAsia="Times New Roman" w:hAnsi="Arial" w:cs="Arial"/>
          <w:b/>
          <w:bCs/>
          <w:color w:val="000000"/>
          <w:lang w:eastAsia="es-CO"/>
        </w:rPr>
      </w:pPr>
      <w:bookmarkStart w:id="1185" w:name="ver_30057502"/>
      <w:bookmarkEnd w:id="1185"/>
    </w:p>
    <w:p w14:paraId="123FFC0C" w14:textId="2994AFB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2.8.1.6.1. Inembargabilidad. Las rentas y recursos incorporados en el Presupuesto </w:t>
      </w:r>
    </w:p>
    <w:p w14:paraId="3BB517A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General de la Nación son inembargables. </w:t>
      </w:r>
    </w:p>
    <w:p w14:paraId="2D5A0D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D7309F" w14:textId="1CD6413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incumplimiento de lo establecido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dará lugar a la imposición de las sanciones establecidas en la ley. </w:t>
      </w:r>
    </w:p>
    <w:p w14:paraId="447126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401D15" w14:textId="77777777" w:rsidR="00AF0C09" w:rsidRPr="002C1480" w:rsidRDefault="00AF0C09" w:rsidP="00C50D38">
      <w:pPr>
        <w:spacing w:after="0" w:line="293" w:lineRule="atLeast"/>
        <w:jc w:val="both"/>
        <w:rPr>
          <w:rFonts w:ascii="Arial" w:eastAsia="Times New Roman" w:hAnsi="Arial" w:cs="Arial"/>
          <w:color w:val="000000"/>
          <w:lang w:eastAsia="es-CO"/>
        </w:rPr>
      </w:pPr>
      <w:bookmarkStart w:id="1186" w:name="ver_30057503"/>
      <w:bookmarkEnd w:id="1186"/>
      <w:r w:rsidRPr="002C1480">
        <w:rPr>
          <w:rFonts w:ascii="Arial" w:eastAsia="Times New Roman" w:hAnsi="Arial" w:cs="Arial"/>
          <w:color w:val="000000"/>
          <w:lang w:eastAsia="es-CO"/>
        </w:rPr>
        <w:t>SECCIÓN 1. Inembargabilidad de los recursos depositados por la Nación en cuentas abiertas exclusivamente a favor de la nación</w:t>
      </w:r>
    </w:p>
    <w:p w14:paraId="1BA87C55" w14:textId="77777777" w:rsidR="00AF0C09" w:rsidRPr="002C1480" w:rsidRDefault="00AF0C09" w:rsidP="00C50D38">
      <w:pPr>
        <w:spacing w:after="0" w:line="240" w:lineRule="auto"/>
        <w:jc w:val="both"/>
        <w:rPr>
          <w:rFonts w:ascii="Arial" w:eastAsia="Times New Roman" w:hAnsi="Arial" w:cs="Arial"/>
          <w:color w:val="000000"/>
          <w:lang w:eastAsia="es-CO"/>
        </w:rPr>
      </w:pPr>
      <w:bookmarkStart w:id="1187" w:name="ver_30057504"/>
      <w:bookmarkEnd w:id="1187"/>
    </w:p>
    <w:p w14:paraId="29B68A38" w14:textId="0051E77B" w:rsidR="00AF0C09" w:rsidRPr="002C1480" w:rsidRDefault="002C1480"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2.8.1.6.1.1. Inembargabilidad en cuentas abiertas a favor de la Nación. Cuando un embargo de recursos incorporados en el Presupuesto General de la Nación sea ordenado con fundamento en lo dispuesto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192 del Código de Procedimiento Administrativo y de lo Contencioso Administrativo, sólo se podrá practicar sobre la cuenta o cuentas corrientes que reciban recursos del presupuesto nacional, abiertas a favor de la entidad u organismo condenado en la sentencia respectiva. </w:t>
      </w:r>
    </w:p>
    <w:p w14:paraId="5AE148C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B2E5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ningún caso procederá el embargo de los recursos depositados por la Nación en cuentas abiertas exclusivamente a favor de la Nación - Dirección General de Crédito Público y Tesoro Nacional del Ministerio de Hacienda y Crédito Público en el Banco de la República o en cualquier otro establecimiento de crédito. </w:t>
      </w:r>
    </w:p>
    <w:p w14:paraId="14F4F9B6" w14:textId="15434C61"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88" w:name="ver_30057505"/>
      <w:bookmarkEnd w:id="1188"/>
    </w:p>
    <w:p w14:paraId="151C6CCC" w14:textId="26C03EA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2.8.1.6.1.2. Informe a la Contraloría General de la República. El establecimiento de crédito que reciba una orden de embargo en contravención a lo dispuesto por el presente capítulo, deberá informar inmediatamente a la Contraloría General de la República para que inicie un juicio fiscal contra el funcionario judicial que ordenó el embargo. </w:t>
      </w:r>
    </w:p>
    <w:p w14:paraId="6E429FC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89" w:name="ver_30057506"/>
      <w:bookmarkEnd w:id="1189"/>
    </w:p>
    <w:p w14:paraId="0CF86FCF" w14:textId="0D47772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2.8.1.6.1.3. Medidas cautelares originadas en procesos ejecutivos. En el evento que una cuenta abierta a favor de la Nación - Dirección General de Crédito Público y Tesoro Nacional del Ministerio de Hacienda y Crédito Público, resulte afectada por medidas cautelares originadas en procesos ejecutivos en que sea parte una sección del Presupuesto General de la Nación, la Dirección General de Crédito Público y Tesoro Nacional deberá comunicar a la entidad demandada el respectivo embargo, con el fin de que se proceda a hacer los registros contables correspondientes de acuerdo con el procedimiento establecido por la Contaduría General de la Nación. </w:t>
      </w:r>
    </w:p>
    <w:p w14:paraId="31E61BD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C7A19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la entidad demandada deberá comunicar a la Contraloría General de la República, la Procuraduría General de la Nación y al Consejo Superior de la Judicatura – Sala Disciplinaria para los efectos propios de su competencia. </w:t>
      </w:r>
    </w:p>
    <w:p w14:paraId="7C8EC91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C549C8" w14:textId="1362A3A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El representante legal de la entidad demandada será el responsable de adelantar las gestiones establecidas en la presente sección, sin perjuicio de la obligación de cada órgano de defender los intereses del Estado, debiendo realizar todas las actuaciones procesales necesarias en el curso de los procesos en procura del desembargo de los citados recursos, entre ellas, solicitar al respectivo despacho judicial el cumplimiento de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594 del Código General del Proceso. </w:t>
      </w:r>
    </w:p>
    <w:p w14:paraId="3B29DD8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90" w:name="ver_30057507"/>
      <w:bookmarkEnd w:id="1190"/>
    </w:p>
    <w:p w14:paraId="50236D10" w14:textId="27AA93B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2.8.1.6.1.4. Ejecutoriedad de la sentencia. Una vez ejecutoriada la providencia judicial que apruebe la liquidación final del crédito correspondiente a embargos decretados sobre cuentas abiertas a favor de la Nación - Dirección General de Crédito Público y Tesoro Nacional del Ministerio de Hacienda y Crédito Público, por cuenta de procesos en que hayan sido sujetos demandados órganos ejecutores del Presupuesto General de la Nación, la entidad demandada deberá: </w:t>
      </w:r>
    </w:p>
    <w:p w14:paraId="7A1BD8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4AB0B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Adelantar, conforme a las normas presupuestales, los trámites necesarios para obtener de la Dirección General del Presupuesto Público Nacional del Ministerio de Hacienda y Crédito Público, la apropiación sin situación de fondos en el rubro Sentencias y Conciliaciones, por el valor efectivamente pagado al beneficiario del título que representa el depósito judicial por concepto del embargo. </w:t>
      </w:r>
    </w:p>
    <w:p w14:paraId="616AB56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BDDE2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Reintegrar los remanentes a que hubiere lugar, de manera inmediata, en la cuenta que para el efecto indique la Dirección General de Crédito Público y Tesoro Nacional del Ministerio de Hacienda y Crédito Público. </w:t>
      </w:r>
    </w:p>
    <w:p w14:paraId="6FFF43D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D9B31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Para cancelar la obligación con la Dirección General de Crédito Público y Tesoro Nacional del Ministerio de Hacienda y Crédito Público la entidad deberá expedir un acto administrativo, en el que se reconozca y ordene el gasto, con indicación del reintegro de remanentes efectuados cuando a ello hubiere lugar y remitir copia del mismo, a la mencionada Dirección para los efectos pertinentes. </w:t>
      </w:r>
    </w:p>
    <w:p w14:paraId="70B8777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CBB8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Dirección General de Crédito Público y Tesoro Nacional del Ministerio de Hacienda y Crédito Público y la entidad demandada, deberán efectuar los registros contables correspondientes a la cancelación del embargo, conforme al procedimiento establecido por la Contaduría General de la Nación. </w:t>
      </w:r>
    </w:p>
    <w:p w14:paraId="64303AD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91" w:name="ver_30057508"/>
      <w:bookmarkEnd w:id="1191"/>
    </w:p>
    <w:p w14:paraId="294E1B2E" w14:textId="4D356D3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2.8.1.6.1.5. Medida cautelar improcedente y levantamiento. Cuando el funcionario judicial considere que la medida cautelar era improcedente y en consecuencia ordene el levantamiento de la misma, la entidad demandada deberá proceder a consignar los recursos embargados, en la cuenta que para el efecto indique la Dirección General de Crédito Público y Tesoro Nacional del Ministerio de Hacienda y Crédito Público. Así mismo deberá reversar el registro contable de reconocimiento del embargo, cancelando la obligación para con la Dirección General de Crédito Público y Tesoro Nacional, conforme al procedimiento establecido por la Contaduría General de la Nación. </w:t>
      </w:r>
    </w:p>
    <w:p w14:paraId="275E579B" w14:textId="5AFC1816" w:rsidR="00AF0C09" w:rsidRPr="002C1480" w:rsidRDefault="00AF0C09" w:rsidP="00AB670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539718" w14:textId="77777777" w:rsidR="00AF0C09" w:rsidRPr="00C50D38" w:rsidRDefault="00AF0C09" w:rsidP="00C50D38">
      <w:pPr>
        <w:spacing w:after="0" w:line="293" w:lineRule="atLeast"/>
        <w:jc w:val="center"/>
        <w:rPr>
          <w:rFonts w:ascii="Arial" w:eastAsia="Times New Roman" w:hAnsi="Arial" w:cs="Arial"/>
          <w:b/>
          <w:bCs/>
          <w:color w:val="000000"/>
          <w:lang w:eastAsia="es-CO"/>
        </w:rPr>
      </w:pPr>
      <w:bookmarkStart w:id="1192" w:name="ver_30057509"/>
      <w:bookmarkEnd w:id="1192"/>
      <w:r w:rsidRPr="00C50D38">
        <w:rPr>
          <w:rFonts w:ascii="Arial" w:eastAsia="Times New Roman" w:hAnsi="Arial" w:cs="Arial"/>
          <w:b/>
          <w:bCs/>
          <w:color w:val="000000"/>
          <w:lang w:eastAsia="es-CO"/>
        </w:rPr>
        <w:t>CAPÍTULO 7</w:t>
      </w:r>
    </w:p>
    <w:p w14:paraId="46D85FFD" w14:textId="77777777" w:rsidR="00AF0C09" w:rsidRPr="00C50D38" w:rsidRDefault="00AF0C09"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EJECUCION DEL PRESUPUESTO</w:t>
      </w:r>
    </w:p>
    <w:p w14:paraId="75E758C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93" w:name="ver_30057510"/>
      <w:bookmarkEnd w:id="1193"/>
    </w:p>
    <w:p w14:paraId="4746C641" w14:textId="6F72ED1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 Requisitos para afectar el presupuesto. Ningún órgano del Presupuesto General de la Nación podrá efectuar gasto público con cargo al Tesoro o transferir crédito alguno </w:t>
      </w:r>
      <w:r w:rsidR="00AF0C09" w:rsidRPr="002C1480">
        <w:rPr>
          <w:rFonts w:ascii="Arial" w:eastAsia="Times New Roman" w:hAnsi="Arial" w:cs="Arial"/>
          <w:color w:val="000000"/>
          <w:lang w:eastAsia="es-CO"/>
        </w:rPr>
        <w:lastRenderedPageBreak/>
        <w:t>que no figure en el presupuesto, o en exceso del saldo disponible, para lo cual, previo a contraer compromisos, se requiere la expedición de un certificado de disponibilidad presupuestal. </w:t>
      </w:r>
    </w:p>
    <w:p w14:paraId="0130895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11FE1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certificado de disponibilidad y el registro presupuestal, podrán expedirse a través de medios electrónicos, de conformidad con lo señalado en la Ley 527 de 1999, bajo la entera responsabilidad del funcionario competente, por motivos previamente definidos en la ley, y con las formalidades legales establecidas. </w:t>
      </w:r>
    </w:p>
    <w:p w14:paraId="418679C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94" w:name="ver_30057511"/>
      <w:bookmarkEnd w:id="1194"/>
    </w:p>
    <w:p w14:paraId="5EFB91CD" w14:textId="31144D7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 Certificado de Disponibilidad Presupuestal. El certificado de disponibilidad es el documento expedido por el jefe de presupuesto o quien haga sus veces con el cual se garantiza la existencia de apropiación presupuestal disponible y libre de afectación para la asunción de compromisos. </w:t>
      </w:r>
    </w:p>
    <w:p w14:paraId="741547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69C36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Este documento afecta preliminarmente el presupuesto mientras se perfecciona el compromiso y se efectúa el correspondiente registro presupuestal. En consecuencia, los órganos deberán llevar un registro de éstos que permita determinar los saldos de apropiación disponible para expedir nuevas disponibilidades. </w:t>
      </w:r>
    </w:p>
    <w:p w14:paraId="1DD00EC7" w14:textId="39C29AB5"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195" w:name="ver_30057512"/>
      <w:bookmarkEnd w:id="1195"/>
    </w:p>
    <w:p w14:paraId="51D3AFC6" w14:textId="0797A65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2.8.1.7.3. Registro Presupuestal. El registro presupuestal es la operación mediante la cual se perfecciona el compromiso y se afecta en forma definitiva la apropiación, garantizando que ésta no será desviada a ningún otro fin. En esta operación se debe indicar claramente el valor y el plazo de las prestaciones a las que haya lugar. </w:t>
      </w:r>
    </w:p>
    <w:p w14:paraId="50F7D49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96" w:name="ver_30169240"/>
      <w:bookmarkStart w:id="1197" w:name="ver_30057513"/>
      <w:bookmarkStart w:id="1198" w:name="ver_30138056"/>
      <w:bookmarkEnd w:id="1196"/>
    </w:p>
    <w:p w14:paraId="4EA35D0D" w14:textId="2C7BB5B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2.8.1.7.4. Sistema Único Presupuestal. Las entidades que conforman el Presupuesto General de la Nación ejecutarán sus presupuestos a través de un Sistema Integrado de Información Financiera (SIIF), el cual será administrado por el Ministerio de Hacienda y Crédito Público. </w:t>
      </w:r>
    </w:p>
    <w:p w14:paraId="6C359E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0AB7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gestión presupuestal y financiera de los recursos de la Jurisdicción Especial para la Paz será desarrollada directamente con personal de la Jurisdicción o contratada con una entidad especializada, a través del Sistema Integrado de Información Financiera (SIIF) Nación, en cumplimiento de las normas vigentes en materia financiera y contable. </w:t>
      </w:r>
    </w:p>
    <w:p w14:paraId="16371A0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EE9F5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gestión presupuestal y financiera de los recursos de la Comisión para el Esclarecimiento de la Verdad, la Convivencia y la No Repetición será desarrollada directamente con personal de esta o contratada con una entidad especializada, a través del Sistema Integrado de Información Financiera (SIIF) Nación, en cumplimiento de las normas vigentes en materia financiera y contable. </w:t>
      </w:r>
    </w:p>
    <w:p w14:paraId="5BD4201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199" w:name="ver_30145215"/>
      <w:bookmarkStart w:id="1200" w:name="ver_30057514"/>
      <w:bookmarkEnd w:id="1197"/>
      <w:bookmarkEnd w:id="1198"/>
      <w:bookmarkEnd w:id="1199"/>
    </w:p>
    <w:p w14:paraId="73DF65D8" w14:textId="14D9960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2.8.1.7.5.Registro de la ejecución presupuestal en el sistema integrado de información financiera.El registro de la ejecución del presupuesto de rentas y recursos de capital y del presupuesto de gastos del Presupuesto General de la Nación en el Sistema Integrado de Información Financiera SIIF Nación, deberá hacerse de conformidad con el Catálogo de Clasificación Presupuestal (CCP) que establezca la Dirección General del Presupuesto Público Nacional del Ministerio de Hacienda y Crédito Público y en los tiempos que permitan conocer la situación de las finanzas con mayor cercanía al momento de generarse el hecho económico.  </w:t>
      </w:r>
    </w:p>
    <w:p w14:paraId="5C5313B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28443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Departamento Nacional de Planeación para lo de su competencia, tomará la información financiera de la ejecución de la inversión por proyecto y su respectiva relación con los </w:t>
      </w:r>
      <w:r w:rsidRPr="002C1480">
        <w:rPr>
          <w:rFonts w:ascii="Arial" w:eastAsia="Times New Roman" w:hAnsi="Arial" w:cs="Arial"/>
          <w:color w:val="000000"/>
          <w:lang w:eastAsia="es-CO"/>
        </w:rPr>
        <w:lastRenderedPageBreak/>
        <w:t>rubros del catálogo de clasificación presupuestal, a través del Sistema Integrado de Información Financiera SIIF Nación”.  </w:t>
      </w:r>
    </w:p>
    <w:p w14:paraId="4E24A562" w14:textId="77777777" w:rsidR="00C50D38" w:rsidRDefault="00C50D38" w:rsidP="00C32F85">
      <w:pPr>
        <w:spacing w:after="0" w:line="254" w:lineRule="atLeast"/>
        <w:jc w:val="both"/>
        <w:rPr>
          <w:rFonts w:ascii="Arial" w:eastAsia="Times New Roman" w:hAnsi="Arial" w:cs="Arial"/>
          <w:color w:val="000000"/>
          <w:lang w:eastAsia="es-CO"/>
        </w:rPr>
      </w:pPr>
      <w:bookmarkStart w:id="1201" w:name="ver_30145219"/>
      <w:bookmarkStart w:id="1202" w:name="ver_30057515"/>
      <w:bookmarkEnd w:id="1200"/>
      <w:bookmarkEnd w:id="1201"/>
    </w:p>
    <w:p w14:paraId="444614CC" w14:textId="02AD51B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2.8.1.7.6. Ejecución compromisos presupuestales. Los compromisos presupuestales legalmente adquiridos, se cumplen o ejecutan, tratándose de contratos o convenios, con la recepción de los bienes y servicios, y en los demás eventos, con el cumplimiento de los requisitos que hagan exigible su pago.  </w:t>
      </w:r>
    </w:p>
    <w:p w14:paraId="4F989C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C5CFE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cumplimiento de la obligación se da cuando se cuente con las exigibilidades correspondientes para su pago.  </w:t>
      </w:r>
    </w:p>
    <w:p w14:paraId="3BC69F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E39F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pactar la recepción de bienes y servicios en vigencias siguientes a la de celebración del compromiso, se debe contar previamente con una autorización por parte del Consejo Nacional de Política Fiscal (Confis) o quien este delegue, de acuerdo con lo establecido en la ley, para asumir obligaciones con cargo a presupuestos de vigencias futuras. Para tal efecto, previo a la expedición de los actos administrativos de apertura del proceso de selección de contratistas en los que se evidencie la provisión de bienes o servicios que superen el 31 de diciembre de la respectiva vigencia fiscal, deberá contarse con dicha autorización.  </w:t>
      </w:r>
    </w:p>
    <w:p w14:paraId="307031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3AA7D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disponibilidad presupuestal sobre la cual se amparen procesos de selección de contratación podrá ajustarse, previo a la adjudicación y/o celebración del respectivo contrato. Para tal efecto, los órganos que hacen parte del Presupuesto General de la Nación podrán, previo a la adjudicación o celebración del respectivo contrato, modificar la disponibilidad presupuestal, esto es, la sustitución del Certificado de Disponibilidad Presupuestal por la autorización de vigencias futuras.  </w:t>
      </w:r>
    </w:p>
    <w:p w14:paraId="74453F9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A559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entidades ejecutoras del Presupuesto General de la Nación deben garantizar que, al momento de cumplir con los requisitos que hacen exigible el pago de la obligación, esta se realice al máximo nivel de desagregación aplicado del Catálogo de Clasificación Presupuestal (CCP), para lo cual deben realizar las gestiones necesarias con los prestadores y proveedores para que en la documentación soporte de cumplimiento se describa el máximo nivel de detalle del gasto contratado de acuerdo al Catálogo de Clasificación Presupuestal (CCP).  </w:t>
      </w:r>
    </w:p>
    <w:p w14:paraId="5DE630D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03" w:name="ver_30057516"/>
      <w:bookmarkEnd w:id="1202"/>
      <w:bookmarkEnd w:id="1203"/>
    </w:p>
    <w:p w14:paraId="62EC956D" w14:textId="701AED8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2.8.1.7.7. Recursos entregados a través de negocios jurídicos que no desarrollan objeto de la apropiación. Los recursos entregados para ser manejados a través de negocios jurídicos que no desarrollen el objeto de la apropiación, no se constituyen en compromisos presupuestales que afecten la apropiación respectiva, con excepción de la remuneración pactada por la prestación de este servicio. </w:t>
      </w:r>
    </w:p>
    <w:p w14:paraId="6E15EDB7" w14:textId="77777777" w:rsidR="00AF0C09" w:rsidRPr="002C1480" w:rsidRDefault="00AF0C09" w:rsidP="00C32F85">
      <w:pPr>
        <w:spacing w:after="0" w:line="254" w:lineRule="atLeast"/>
        <w:jc w:val="both"/>
        <w:rPr>
          <w:rFonts w:ascii="Arial" w:eastAsia="Times New Roman" w:hAnsi="Arial" w:cs="Arial"/>
          <w:color w:val="000000"/>
          <w:lang w:eastAsia="es-CO"/>
        </w:rPr>
      </w:pPr>
      <w:bookmarkStart w:id="1204" w:name="ver_30057517"/>
      <w:bookmarkEnd w:id="1204"/>
      <w:r w:rsidRPr="002C1480">
        <w:rPr>
          <w:rFonts w:ascii="Arial" w:eastAsia="Times New Roman" w:hAnsi="Arial" w:cs="Arial"/>
          <w:color w:val="000000"/>
          <w:lang w:eastAsia="es-CO"/>
        </w:rPr>
        <w:t>  </w:t>
      </w:r>
    </w:p>
    <w:p w14:paraId="5A4D8109" w14:textId="4AEC019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2.8.1.7.8. Ejecución de recursos entregados a entidades fiduciarias. Los órganos públicos fideicomitentes para la celebración de contratos o expedición de actos administrativos con cargo a los recursos que manejen las entidades fiduciarias, deberán realizar todos los trámites presupuestales, incluyendo los certificados de disponibilidad, los registros presupuestales y la solicitud de vigencias futuras. </w:t>
      </w:r>
    </w:p>
    <w:p w14:paraId="682002F7" w14:textId="4C3B20BD"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05" w:name="ver_30057518"/>
      <w:bookmarkEnd w:id="1205"/>
    </w:p>
    <w:p w14:paraId="2F1EBF0F" w14:textId="08730D6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2.8.1.7.9. Vigilancia de los órganos de control interno en las conciliaciones. Las oficinas de control interno de los diferentes órganos públicos ejercerán la vigilancia para garantizar que en los procesos de conciliación se está ante una responsabilidad inminente y que se proteja el interés patrimonial del Estado. </w:t>
      </w:r>
    </w:p>
    <w:p w14:paraId="499469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A254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Los órganos que hacen parte del Presupuesto Nacional para cancelar los créditos judicialmente reconocidos, conciliaciones y laudos arbitrales proferidos antes del 30 de abril de 1995, deberán contar con una certificación expedida por el Ministerio de Hacienda y Crédito Público, en la cual conste que éstos no han sido cancelados ni se encuentra en trámite ninguna solicitud de pago. </w:t>
      </w:r>
    </w:p>
    <w:p w14:paraId="15BD3ADE" w14:textId="32F36458" w:rsidR="00AF0C09" w:rsidRPr="002C1480" w:rsidRDefault="00AF0C09" w:rsidP="00492E2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06" w:name="ver_30057519"/>
      <w:bookmarkEnd w:id="1206"/>
    </w:p>
    <w:p w14:paraId="178806FB" w14:textId="4E4EF2A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2.8.1.7.10. Fondo de Compensación Interministerial. Cuando durante la ejecución del Presupuesto General de la Nación se hiciere indispensable utilizar los recursos del Fondo de Compensación Interministerial para atender faltantes de funcionamiento, la Dirección General del Presupuesto Nacional estudiará los requerimientos y preparará el acto administrativo que el Ministro de Hacienda y Crédito Público expedirá conforme a lo ordenado por la ley. </w:t>
      </w:r>
    </w:p>
    <w:p w14:paraId="588084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70C09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los casos distintos a los mencionados en la presente disposición, además del estudio y evaluación de la Dirección General del Presupuesto Nacional, se requiere de previa calificación de excepcional urgencia por parte del Presidente de la República y del Consejo de Ministros. </w:t>
      </w:r>
    </w:p>
    <w:p w14:paraId="619945B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141D53" w14:textId="633CDA4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operación presupuestal a que se refiere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hará mediante resolución motivada, previa expedición del certificado de disponibilidad presupuestal por parte del Jefe de la División de Presupuesto del Ministerio de Hacienda y Crédito Público o quien haga sus veces. La Dirección General del Presupuesto Nacional comunicará la resolución a los respectivos órganos. </w:t>
      </w:r>
    </w:p>
    <w:p w14:paraId="767C8E23" w14:textId="77777777" w:rsidR="00C50D38" w:rsidRPr="002C1480" w:rsidRDefault="00C50D38" w:rsidP="00C32F85">
      <w:pPr>
        <w:spacing w:after="0" w:line="254" w:lineRule="atLeast"/>
        <w:jc w:val="both"/>
        <w:rPr>
          <w:rFonts w:ascii="Arial" w:eastAsia="Times New Roman" w:hAnsi="Arial" w:cs="Arial"/>
          <w:color w:val="000000"/>
          <w:lang w:eastAsia="es-CO"/>
        </w:rPr>
      </w:pPr>
    </w:p>
    <w:p w14:paraId="22A68343" w14:textId="5E110C3D" w:rsidR="00AF0C09" w:rsidRPr="00C50D38" w:rsidRDefault="00492E24" w:rsidP="00C50D38">
      <w:pPr>
        <w:spacing w:line="293" w:lineRule="atLeast"/>
        <w:jc w:val="center"/>
        <w:rPr>
          <w:rFonts w:ascii="Arial" w:eastAsia="Times New Roman" w:hAnsi="Arial" w:cs="Arial"/>
          <w:b/>
          <w:bCs/>
          <w:color w:val="000000"/>
          <w:lang w:eastAsia="es-CO"/>
        </w:rPr>
      </w:pPr>
      <w:bookmarkStart w:id="1207" w:name="ver_30057520"/>
      <w:bookmarkEnd w:id="1207"/>
      <w:r w:rsidRPr="00C50D38">
        <w:rPr>
          <w:rFonts w:ascii="Arial" w:eastAsia="Times New Roman" w:hAnsi="Arial" w:cs="Arial"/>
          <w:b/>
          <w:bCs/>
          <w:color w:val="000000"/>
          <w:lang w:eastAsia="es-CO"/>
        </w:rPr>
        <w:t>SECCIÓN 1. VIGENCIAS FUTURAS</w:t>
      </w:r>
    </w:p>
    <w:p w14:paraId="69066F0A" w14:textId="77777777" w:rsidR="00AF0C09" w:rsidRPr="00C50D38" w:rsidRDefault="00AF0C09" w:rsidP="00C50D38">
      <w:pPr>
        <w:spacing w:after="0" w:line="240" w:lineRule="auto"/>
        <w:jc w:val="center"/>
        <w:rPr>
          <w:rFonts w:ascii="Arial" w:eastAsia="Times New Roman" w:hAnsi="Arial" w:cs="Arial"/>
          <w:b/>
          <w:bCs/>
          <w:color w:val="000000"/>
          <w:lang w:eastAsia="es-CO"/>
        </w:rPr>
      </w:pPr>
      <w:bookmarkStart w:id="1208" w:name="ver_30057521"/>
      <w:bookmarkEnd w:id="1208"/>
    </w:p>
    <w:p w14:paraId="36DEBA56" w14:textId="0E1B88E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2.8.1.7.1.1. Autorizaciones de Vigencias futuras ordinarias en ejecución de contratos. De conformidad con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10 de la Ley 819 de 2003, el Confis o su delegado podrá autorizar la asunción de obligaciones que afecten presupuestos de vigencias futuras con el fin de adicionar los contratos que se encuentren en ejecución, sin que se requiera expedir un nuevo certificado de disponibilidad presupuestal. </w:t>
      </w:r>
    </w:p>
    <w:p w14:paraId="199F37B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28D2A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los órganos que hacen parte del Presupuesto General de la Nación requieran ampliar el plazo de los contratos en ejecución, sin aumentar el monto del mismo y ello implique afectación de presupuestos de posteriores vigencias fiscales, podrán solicitar la sustitución de la apropiación presupuestal que respalda el compromiso, por la autorización de vigencias futuras, en este caso las apropiaciones sustituidas quedarán libres y disponibles. </w:t>
      </w:r>
    </w:p>
    <w:p w14:paraId="152617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5F6F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autorización para comprometer vigencias futuras procederá siempre y cuando se reúnan las condiciones para su otorgamiento. </w:t>
      </w:r>
    </w:p>
    <w:p w14:paraId="6D44810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09" w:name="ver_30057522"/>
      <w:bookmarkEnd w:id="1209"/>
    </w:p>
    <w:p w14:paraId="7817AEF4" w14:textId="7A88BCF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2.8.1.7.1.2. Validación del Impacto Fiscal de la Declaratoria de Importancia Estratégica. La declaratoria de importancia estratégica por parte del CONPES a que se refiere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10 de la Ley 819 de 2003, requerirá del concepto previo y favorable del CONFIS, donde se valide la consistencia con el Marco de Gasto de Mediano Plazo y el Marco Fiscal de Mediano Plazo. </w:t>
      </w:r>
    </w:p>
    <w:p w14:paraId="79ADFA11" w14:textId="43B570BF"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10" w:name="ver_30057523"/>
      <w:bookmarkEnd w:id="1210"/>
    </w:p>
    <w:p w14:paraId="225F67E5" w14:textId="7160AE5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2.8.1.7.1.3. Viabilidad fiscal para la aprobación de vigencias futuras excepcionales. Los proyectos de inversión que requieran vigencias futuras excepcionales y superen el respectivo período de Gobierno, deben contar con el aval fiscal por parte del CONFIS, antes de su declaratoria de importancia estratégica por parte del CONPES. </w:t>
      </w:r>
    </w:p>
    <w:p w14:paraId="412190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B68BE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presente disposición se aplica a las Empresas Industriales y Comerciales del Estado y Sociedades de Economía Mixta sujetas al régimen de aquellas, del orden nacional dedicadas a actividades no financieras. </w:t>
      </w:r>
    </w:p>
    <w:p w14:paraId="77E070A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11" w:name="ver_30057524"/>
      <w:bookmarkEnd w:id="1211"/>
    </w:p>
    <w:p w14:paraId="784EE938" w14:textId="6889283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2.8.1.7.1.4. Excepción a las Vigencias Futuras. Los contratos de empréstito, la emisión, suscripción y colocación de títulos de deuda pública, los créditos de proveedores, las asunciones de deuda pública y las contrapartidas que se estipulen, no requieren de autorización por parte del CONFIS para asumir obligaciones que afecten presupuestos de vigencias futuras. Dichos contratos se regirán por las normas que regulan las operaciones de crédito público. </w:t>
      </w:r>
    </w:p>
    <w:p w14:paraId="065603D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DE9B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presente disposición se aplica a las Empresas Industriales y Comerciales del Estado y Sociedades de Economía Mixta sujetas al régimen de aquellas, del orden nacional dedicadas a actividades no financieras. </w:t>
      </w:r>
    </w:p>
    <w:p w14:paraId="7B7575F6" w14:textId="7ADEF2E3"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12" w:name="ver_30057525"/>
      <w:bookmarkEnd w:id="1212"/>
    </w:p>
    <w:p w14:paraId="643B57F9" w14:textId="2A2F649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2.8.1.7.1.5. Operaciones de Crédito Público. Para efectos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 de la Ley 225 de 1995, se entiende por contratos de empréstito las operaciones de crédito público definidas en el parágrafo 2º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41 de la Ley 80 de 1993. </w:t>
      </w:r>
    </w:p>
    <w:p w14:paraId="4398FC8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13" w:name="ver_30057526"/>
      <w:bookmarkEnd w:id="1213"/>
    </w:p>
    <w:p w14:paraId="5F1B899F" w14:textId="7321F4F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2.8.1.7.1.6. Créditos de proveedores. Para la suscripción de los créditos de proveedores se tendrán en cuenta los mismos requisitos presupuestales establecidos para los contratos de empréstito. Su ejecución se realizará de conformidad con los requisitos establecidos en cada contrato en particular. </w:t>
      </w:r>
    </w:p>
    <w:p w14:paraId="090F1CF6" w14:textId="113B4E2C"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14" w:name="ver_30057527"/>
      <w:bookmarkEnd w:id="1214"/>
    </w:p>
    <w:p w14:paraId="23D6CDEE" w14:textId="7FE1A40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2.8.1.7.1.7. Vigencias Futuras Negocios fiduciarios. Los negocios fiduciarios de administración o manejo de recursos que requieran celebrar los órganos públicos que cubran más de una vigencia fiscal, necesitarán autorización para comprometer vigencias futuras previa a la apertura de la licitación o concurso, de manera general o particular. </w:t>
      </w:r>
    </w:p>
    <w:p w14:paraId="02A6DEA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B8998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autorización la dará el Consejo Superior de Política Fiscal – CONFIS, únicamente sobre la remuneración de la entidad fiduciaria. </w:t>
      </w:r>
    </w:p>
    <w:p w14:paraId="02E71A0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DF4A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anterior requisito será igualmente necesario en caso de la adición, prórroga o reajuste de este tipo de contratos ya celebrados, siempre y cuando cubran más de una vigencia fiscal. </w:t>
      </w:r>
    </w:p>
    <w:p w14:paraId="64C0FC3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15" w:name="ver_30057528"/>
      <w:bookmarkEnd w:id="1215"/>
    </w:p>
    <w:p w14:paraId="5A9894C2" w14:textId="3DC2534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2.8.1.7.1.8. Autorización de Vigencias Futuras sin especificar su valor. El Consejo Superior de Política Fiscal – CONFIS- o quien éste delegue podrá autorizar la asunción de compromisos que afecten presupuestos de vigencias futuras sin especificar su valor, cuando se trate de la administración de fondos especiales o contribuciones parafiscales sujetos al monto de las apropiaciones presupuestales que se hagan en la respectiva vigencia. </w:t>
      </w:r>
    </w:p>
    <w:p w14:paraId="5FD271F9" w14:textId="6EAD3AFD"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16" w:name="ver_30057529"/>
      <w:bookmarkEnd w:id="1216"/>
    </w:p>
    <w:p w14:paraId="276B4E3A" w14:textId="732F83C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2.8.1.7.1.9. Reducción o eliminación de las autorizaciones de vigencias futuras.  </w:t>
      </w:r>
    </w:p>
    <w:p w14:paraId="5AA4C8B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B4A61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Consejo Superior de Política Fiscal – CONFIS- cuando lo considere conveniente por razones de coherencia macroeconómica o por cambios en las prioridades sectoriales, podrá reducir o eliminar las autorizaciones de vigencias futuras. En estos casos, el CONFIS no podrá reducir o eliminar las autorizaciones de vigencias futuras que amparen compromisos perfeccionados. </w:t>
      </w:r>
    </w:p>
    <w:p w14:paraId="73548E2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67E768" w14:textId="151984D1" w:rsidR="00AF0C09" w:rsidRPr="002C1480" w:rsidRDefault="002C1480" w:rsidP="00C32F85">
      <w:pPr>
        <w:spacing w:after="0" w:line="254" w:lineRule="atLeast"/>
        <w:jc w:val="both"/>
        <w:rPr>
          <w:rFonts w:ascii="Arial" w:eastAsia="Times New Roman" w:hAnsi="Arial" w:cs="Arial"/>
          <w:color w:val="000000"/>
          <w:lang w:eastAsia="es-CO"/>
        </w:rPr>
      </w:pPr>
      <w:bookmarkStart w:id="1217" w:name="ver_30145225"/>
      <w:bookmarkStart w:id="1218" w:name="ver_30057530"/>
      <w:bookmarkEnd w:id="1217"/>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2.8.1.7.1.10.Caducidad de las vigencias futuras y los avales fiscales. Los cupos anuales autorizados para asumir compromisos de vigencias futuras no utilizados a 31 de diciembre de cada año caducan sin excepción. En consecuencia, los órganos deberán registrar en el Sistema </w:t>
      </w:r>
      <w:r w:rsidR="00AF0C09" w:rsidRPr="002C1480">
        <w:rPr>
          <w:rFonts w:ascii="Arial" w:eastAsia="Times New Roman" w:hAnsi="Arial" w:cs="Arial"/>
          <w:color w:val="000000"/>
          <w:lang w:eastAsia="es-CO"/>
        </w:rPr>
        <w:lastRenderedPageBreak/>
        <w:t>Integrado de Información Financiera SIIF Nación a más tardar el 31 de diciembre de cada año la utilización de los cupos autorizados, operación que refleja la utilización de los cupos autorizados dentro de la vigencia.  </w:t>
      </w:r>
    </w:p>
    <w:p w14:paraId="4C25584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B93B7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con avales fiscales otorgados deberán tramitar solicitud de autorización de vigencia futura dentro de la misma vigencia fiscal del otorgamiento, en caso contrario deberán iniciar nuevamente trámite de solicitud de otorgamiento del aval fiscal.  </w:t>
      </w:r>
    </w:p>
    <w:p w14:paraId="4F91BCFB" w14:textId="2033EDFC"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19" w:name="ver_30057531"/>
      <w:bookmarkEnd w:id="1218"/>
      <w:bookmarkEnd w:id="1219"/>
    </w:p>
    <w:p w14:paraId="250BD66E" w14:textId="1A747E1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2.8.1.7.1.11. Vigencias futuras en procesos de selección. Los procesos de selección amparados con vigencias futuras excepcionales que no se adjudiquen en la vigencia fiscal en que se autorizaron, requerirán una nueva autorización, antes de su perfeccionamiento, sin que sea necesario reiniciar el proceso de selección. </w:t>
      </w:r>
    </w:p>
    <w:p w14:paraId="1BEBDF3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20" w:name="ver_30057532"/>
      <w:bookmarkEnd w:id="1220"/>
    </w:p>
    <w:p w14:paraId="42DFD52B" w14:textId="7798969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2.8.1.7.1.12. Afectación del presupuesto para procesos de selección en trámite: Cuando quiera que se encuentre en trámite una licitación, concurso de méritos o cualquier otro proceso de selección del contratista con todos los requerimientos legales, incluida la disponibilidad presupuestal, y la celebración y perfeccionamiento del respectivo contrato se efectúe en la vigencia fiscal siguiente, este se atenderá con el presupuesto de esta última vigencia. </w:t>
      </w:r>
    </w:p>
    <w:p w14:paraId="20019A5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8A5BD5" w14:textId="12BDEA9E"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previsto en el inciso anterior sólo procederá cuando los ajustes presupuestales requeridos para tal fin impliquen modificaciones al anexo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liquidación que no modifiquen en cada sección presupuestal el monto total de sus apropiaciones de funcionamiento, o los subprogramas de inversión aprobados por el Congreso</w:t>
      </w:r>
    </w:p>
    <w:p w14:paraId="540FF8E9" w14:textId="25C76358"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21" w:name="ver_30057533"/>
      <w:bookmarkEnd w:id="1221"/>
    </w:p>
    <w:p w14:paraId="03CCDDB0" w14:textId="47503FE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2.8.1.7.1.13. Contratos estatales ejecutados en distintas vigencias fiscales.- En los contratos estatales que incluyan en su objeto varias obligaciones, tales como, el diseño, construcción y mantenimiento, y que deban ser ejecutados en distintas vigencias fiscales, se podrá establecer que su objeto es integral y su ejecución presupuestal se realiza en los términos pactados en el contrato. </w:t>
      </w:r>
    </w:p>
    <w:p w14:paraId="656150A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5FD47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entregas de obra por montos superiores a las respectivas apropiaciones presupuestales no implican operación de crédito público o asimilada. </w:t>
      </w:r>
    </w:p>
    <w:p w14:paraId="34676D4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D7A9D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dichos contratos no se podrán pactar pagos por montos superiores a las respectivas autorizaciones de gasto. </w:t>
      </w:r>
    </w:p>
    <w:p w14:paraId="0919DEDC" w14:textId="77777777" w:rsidR="00492E24" w:rsidRDefault="00492E24" w:rsidP="00C50D38">
      <w:pPr>
        <w:spacing w:line="293" w:lineRule="atLeast"/>
        <w:jc w:val="center"/>
        <w:rPr>
          <w:rFonts w:ascii="Arial" w:eastAsia="Times New Roman" w:hAnsi="Arial" w:cs="Arial"/>
          <w:b/>
          <w:bCs/>
          <w:color w:val="000000"/>
          <w:lang w:eastAsia="es-CO"/>
        </w:rPr>
      </w:pPr>
      <w:bookmarkStart w:id="1222" w:name="ver_30057534"/>
      <w:bookmarkEnd w:id="1222"/>
    </w:p>
    <w:p w14:paraId="2CC91617" w14:textId="20F756FD" w:rsidR="00AF0C09" w:rsidRPr="00C50D38" w:rsidRDefault="00492E24" w:rsidP="00C50D38">
      <w:pPr>
        <w:spacing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SECCIÓN 2. PROGRAMA ANUAL MENSUALIZADO DE CAJA – PAC</w:t>
      </w:r>
    </w:p>
    <w:p w14:paraId="39613EF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23" w:name="ver_30057535"/>
      <w:bookmarkEnd w:id="1223"/>
    </w:p>
    <w:p w14:paraId="62B9053C" w14:textId="3C1C57C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2.8.1.7.2.1. Programa Anual Mensualizado de Caja. El Programa Anual Mensualizado de Caja (PAC) define el monto máximo mensual de pagos para el Presupuesto General la Nación con el fin de cancelar las obligaciones exigibles de pago. El monto global del PAC, junto con sus modificaciones, será aprobado por el CONFIS. Las modificaciones al PAC que no afecten los montos globales aprobados por el CONFIS, podrán ser aprobadas por la Dirección General de Crédito Público y del Tesoro Nacional, con sujeción a la disponibilidad de recursos. </w:t>
      </w:r>
    </w:p>
    <w:p w14:paraId="6F0AAC8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89C02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los Establecimientos Públicos con ingresos propios, corresponderá a las Juntas o Consejos Directivos aprobar el PAC y sus modificaciones, con base en las metas globales de pago aprobadas por el CONFIS, o por el representante legal en caso de no existir aquellas. Esta facultad se podrá delegar en el representante legal de cada entidad. </w:t>
      </w:r>
    </w:p>
    <w:p w14:paraId="4A9DCE5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300E9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Programa Anual de Caja correspondiente a las apropiaciones de cada vigencia fiscal, tendrá como límite máximo el valor del presupuesto de ese período. Se podrán reducir las apropiaciones, cuando se compruebe una inadecuada ejecución del PAC. </w:t>
      </w:r>
    </w:p>
    <w:p w14:paraId="74FA23B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39FF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Establecimientos Públicos podrán pagar con sus ingresos propios obligaciones financiadas con recursos de la Nación, mientras la Dirección General de Crédito Público y del Tesoro Nacional del Ministerio de Hacienda y Crédito Público transfiere los dineros respectivos. Igual procedimiento será aplicable a los órganos del Presupuesto General de la Nación cuando administren fondos especiales y a las empresas industriales y comerciales del Estado y sociedades de economía mixta con el régimen de aquellas sobre los recursos de la Nación. Estas operaciones deben contar con la autorización previa de la Dirección General de Crédito Público y del Tesoro Nacional. </w:t>
      </w:r>
    </w:p>
    <w:p w14:paraId="3B09A6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55F596" w14:textId="685EE82B"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apropiaciones suspendidas, incluidas las que se financian con los recursos adicionales a que hace referencia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347 de la Constitución Política, lo mismo que aquellas financiadas con recursos del crédito no perfeccionadas, sólo se incluirán en el PAC cuando cese en sus efectos la suspensión o cuando lo autorice el CONFIS mientras se perfeccionan los contratos de empréstito. </w:t>
      </w:r>
    </w:p>
    <w:p w14:paraId="08BB88B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7956E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desembolsos de los contratos celebrados por los órganos que conforman el Presupuesto General de la Nación, deben pactarse hasta la cuantía de los montos aprobados en el PAC. </w:t>
      </w:r>
    </w:p>
    <w:p w14:paraId="34079B6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24" w:name="ver_30057536"/>
      <w:bookmarkEnd w:id="1224"/>
    </w:p>
    <w:p w14:paraId="22E28209" w14:textId="6ED7707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2.8.1.7.2.2. Aprobación del PAC. El CONFIS con fundamento en las metas máximas de pago establecidas en el Plan Financiero aprobará el Programa Anual de Caja, PAC, con recursos de la Nación. Las juntas o consejos directivos o el representante legal del órgano, si no existen juntas o consejos directivos, aprobarán el PAC y sus modificaciones con ingresos propios de los establecimientos públicos, con fundamento en las metas globales de pagos fijadas por el CONFIS. </w:t>
      </w:r>
    </w:p>
    <w:p w14:paraId="0C003D8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25" w:name="ver_30057537"/>
      <w:bookmarkEnd w:id="1225"/>
    </w:p>
    <w:p w14:paraId="0044F9DA" w14:textId="0C94C35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2.8.1.7.2.3. Aplicación específica disposiciones PAC. Las disposiciones establecidas </w:t>
      </w:r>
    </w:p>
    <w:p w14:paraId="7131CE3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presente capítulo que hacen referencia a las competencias de la Dirección General de Crédito Público y Tesoro Nacional del Ministerio de Hacienda y Crédito Público con relación al Programa Anual Mensualizado de Caja - PAC se aplican únicamente a los recursos del Presupuesto Nacional. </w:t>
      </w:r>
    </w:p>
    <w:p w14:paraId="11B0A63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26" w:name="ver_30057538"/>
      <w:bookmarkEnd w:id="1226"/>
    </w:p>
    <w:p w14:paraId="40E4BD15" w14:textId="180DE14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2.8.1.7.2.4. Clasificación de los Recursos Nación en el PAC. El programa anual mensualizado de caja con recursos de la Nación se clasificará así: </w:t>
      </w:r>
    </w:p>
    <w:p w14:paraId="22369E3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6006F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Funcionamiento: Gastos de personal, gastos generales, transferencias corrientes y transferencias de capital. </w:t>
      </w:r>
    </w:p>
    <w:p w14:paraId="12F8C0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ED5A2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Servicio de la deuda pública: Deuda interna y externa. </w:t>
      </w:r>
    </w:p>
    <w:p w14:paraId="0BA8DF1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843E1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Gastos de inversión. </w:t>
      </w:r>
    </w:p>
    <w:p w14:paraId="029F18E1" w14:textId="3CB99959"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27" w:name="ver_30057539"/>
      <w:bookmarkEnd w:id="1227"/>
    </w:p>
    <w:p w14:paraId="2C8A3007" w14:textId="75F548B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2.8.1.7.2.5. Ajustes al PAC. Cuando se efectúen traslados presupuestales con cargo al Fondo de Compensación Interministerial, la Dirección General de Crédito Público y Tesoro Nacional hará de oficio los ajustes al programa anual mensualizado de caja y los comunicará a los órganos afectados. Igual procedimiento se aplicará cuando se efectúen las distribuciones del </w:t>
      </w:r>
      <w:r w:rsidR="00AF0C09" w:rsidRPr="002C1480">
        <w:rPr>
          <w:rFonts w:ascii="Arial" w:eastAsia="Times New Roman" w:hAnsi="Arial" w:cs="Arial"/>
          <w:color w:val="000000"/>
          <w:lang w:eastAsia="es-CO"/>
        </w:rPr>
        <w:lastRenderedPageBreak/>
        <w:t>Presupuesto Nacional autorizadas por las disposiciones generales de la ley anual del presupuesto. </w:t>
      </w:r>
    </w:p>
    <w:p w14:paraId="7223EEA4" w14:textId="3B648FCD" w:rsidR="00AF0C09" w:rsidRPr="002C1480" w:rsidRDefault="00AF0C09" w:rsidP="00492E2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28" w:name="ver_30057540"/>
      <w:bookmarkEnd w:id="1228"/>
    </w:p>
    <w:p w14:paraId="67870821" w14:textId="43E6681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2.8.1.7.2.6. Expedición Manual de Tesorería PAC. La Dirección General de Crédito Público y Tesoro Nacional expedirá un Manual de Tesorería en el cual se establezcan las directrices y parámetros necesarios para la administración del PAC. Igualmente, comunicará a cada órgano los parámetros y lineamientos necesarios para la mensualización de los pagos. </w:t>
      </w:r>
    </w:p>
    <w:p w14:paraId="710431EF"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29" w:name="ver_30057541"/>
      <w:bookmarkEnd w:id="1229"/>
    </w:p>
    <w:p w14:paraId="48FC9110" w14:textId="0D85102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2.8.1.7.2.7. Solicitud de PAC a la Dirección General de Crédito Público y Tesoro Nacional. Los órganos presentarán su solicitud de PAC a la Dirección General de Crédito Público y Tesoro Nacional antes del 20 de diciembre, diferenciando los pagos que correspondan a recursos del crédito externo y donaciones del exterior, cuando en éstos se haya estipulado mecanismos especiales de ejecución. </w:t>
      </w:r>
    </w:p>
    <w:p w14:paraId="54516A7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30" w:name="ver_30057542"/>
      <w:bookmarkEnd w:id="1230"/>
    </w:p>
    <w:p w14:paraId="526D38FB" w14:textId="70A45B2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2.8.1.7.2.8. Modificaciones PAC. Las solicitudes de modificación al PAC, deberán ser presentadas por los órganos, oportunamente a la Dirección General de Crédito Público y Tesoro Nacional, en el formato que ésta establezca. </w:t>
      </w:r>
    </w:p>
    <w:p w14:paraId="63071DA6" w14:textId="2938E531" w:rsidR="00AF0C09" w:rsidRPr="002C1480" w:rsidRDefault="00AF0C09"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31" w:name="ver_30057543"/>
      <w:bookmarkEnd w:id="1231"/>
    </w:p>
    <w:p w14:paraId="23094372" w14:textId="7464845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2.8.1.7.2.9. Límite Desembolsos de Contratos. Los desembolsos de los contratos celebrados por los órganos que forman parte del Presupuesto General de la Nación deberán pactarse hasta la cuantía de los montos aprobados en el Programa Anual Mensualizado de Caja, PAC. </w:t>
      </w:r>
    </w:p>
    <w:p w14:paraId="6280B42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32" w:name="ver_30057544"/>
      <w:bookmarkEnd w:id="1232"/>
    </w:p>
    <w:p w14:paraId="7E8B6061" w14:textId="6B72799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2.8.1.7.2.10. Seguimiento al Programa Anual Mensualizado de Caja. El CONFIS hará un seguimiento trimestral al Programa Anual Mensualizado de Caja, con el objeto de definir o modificar los montos máximos de pago mensuales por entidad, teniendo en cuenta el monto global de PAC aprobado, las prioridades de gasto, el nivel de ejecución y las restricciones fiscales y financieras. </w:t>
      </w:r>
    </w:p>
    <w:p w14:paraId="29CBC745" w14:textId="77777777" w:rsidR="00C50D38" w:rsidRDefault="00C50D38" w:rsidP="00C50D38">
      <w:pPr>
        <w:spacing w:after="0" w:line="293" w:lineRule="atLeast"/>
        <w:jc w:val="both"/>
        <w:rPr>
          <w:rFonts w:ascii="Arial" w:eastAsia="Times New Roman" w:hAnsi="Arial" w:cs="Arial"/>
          <w:color w:val="000000"/>
          <w:lang w:eastAsia="es-CO"/>
        </w:rPr>
      </w:pPr>
      <w:bookmarkStart w:id="1233" w:name="ver_30057545"/>
      <w:bookmarkEnd w:id="1233"/>
    </w:p>
    <w:p w14:paraId="412F8DE0" w14:textId="4EC18F87" w:rsidR="00AF0C09" w:rsidRPr="00C50D38" w:rsidRDefault="00492E24" w:rsidP="00C50D38">
      <w:pPr>
        <w:spacing w:after="0" w:line="293" w:lineRule="atLeast"/>
        <w:jc w:val="center"/>
        <w:rPr>
          <w:rFonts w:ascii="Arial" w:eastAsia="Times New Roman" w:hAnsi="Arial" w:cs="Arial"/>
          <w:b/>
          <w:bCs/>
          <w:color w:val="000000"/>
          <w:lang w:eastAsia="es-CO"/>
        </w:rPr>
      </w:pPr>
      <w:r w:rsidRPr="00C50D38">
        <w:rPr>
          <w:rFonts w:ascii="Arial" w:eastAsia="Times New Roman" w:hAnsi="Arial" w:cs="Arial"/>
          <w:b/>
          <w:bCs/>
          <w:color w:val="000000"/>
          <w:lang w:eastAsia="es-CO"/>
        </w:rPr>
        <w:t>SECCIÓN 3. RESERVAS PRESUPUESTALES Y CUENTAS POR PAGAR</w:t>
      </w:r>
    </w:p>
    <w:p w14:paraId="5862A1AA" w14:textId="77777777" w:rsidR="00AF0C09" w:rsidRPr="002C1480" w:rsidRDefault="00AF0C09" w:rsidP="00C50D38">
      <w:pPr>
        <w:spacing w:after="0" w:line="240" w:lineRule="auto"/>
        <w:jc w:val="both"/>
        <w:rPr>
          <w:rFonts w:ascii="Arial" w:eastAsia="Times New Roman" w:hAnsi="Arial" w:cs="Arial"/>
          <w:color w:val="000000"/>
          <w:lang w:eastAsia="es-CO"/>
        </w:rPr>
      </w:pPr>
      <w:bookmarkStart w:id="1234" w:name="ver_30057546"/>
      <w:bookmarkEnd w:id="1234"/>
    </w:p>
    <w:p w14:paraId="5AE0E80C" w14:textId="6692C0FD" w:rsidR="00AF0C09" w:rsidRPr="002C1480" w:rsidRDefault="002C1480" w:rsidP="00C50D3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2.8.1.7.3.1. Reservas presupuestales y cuentas por pagar. A través del Sistema Integrado de Información Financiera SIIF Nación se definirán, cada vigencia y con corte a 31 de diciembre de la vigencia fiscal anterior, las reservas presupuestales y cuentas por pagar de cada una de las secciones del Presupuesto General de la Nación. </w:t>
      </w:r>
    </w:p>
    <w:p w14:paraId="013306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97C1C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reservas presupuestales corresponderán a la diferencia entre los compromisos y las obligaciones, y las cuentas por pagar a la diferencia entre las obligaciones y los pagos. </w:t>
      </w:r>
    </w:p>
    <w:p w14:paraId="406C787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35" w:name="ver_30145232"/>
      <w:bookmarkStart w:id="1236" w:name="ver_30057547"/>
      <w:bookmarkEnd w:id="1235"/>
    </w:p>
    <w:p w14:paraId="1C56B5D1" w14:textId="26E9C9E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2.8.1.7.3.2.Constitución de reservas presupuestales y cuentas por pagar.A más tardar el 20 de enero de cada año, los órganos que conforman el Presupuesto General de la Nación constituirán las reservas presupuestales y cuentas por pagar de la respectiva sección presupuestal correspondientes a la vigencia fiscal anterior, de conformidad con los saldos registrados a 31 de diciembre a través del Sistema Integrado de Información Financiera SIIF Nación. En dicho plazo, solo se podrán efectuar los ajustes a que haya lugar para la constitución de las reservas presupuestales y de las cuentas por pagar, sin que en ningún caso se puedan registrar nuevos compromisos ni obligaciones.  </w:t>
      </w:r>
    </w:p>
    <w:p w14:paraId="4589D0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FFFE68" w14:textId="1AD6C573"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Cumplido el plazo para adelantar los ajustes a que hace mención el inciso primero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constituidas en forma definitiva las reservas presupuestales y cuentas por pagar a </w:t>
      </w:r>
      <w:r w:rsidRPr="002C1480">
        <w:rPr>
          <w:rFonts w:ascii="Arial" w:eastAsia="Times New Roman" w:hAnsi="Arial" w:cs="Arial"/>
          <w:color w:val="000000"/>
          <w:lang w:eastAsia="es-CO"/>
        </w:rPr>
        <w:lastRenderedPageBreak/>
        <w:t>través del Sistema Integrado de Información Financiera SIIF Nación, los dineros sobrantes de la Nación serán reintegrados por el ordenador del gasto y el funcionario de manejo del respectivo órgano a la Dirección General de Crédito Público y Tesoro Nacional del Ministerio de Hacienda y Crédito Público, dentro del mismo plazo.  </w:t>
      </w:r>
    </w:p>
    <w:p w14:paraId="41CFBAA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37FD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cuentas por pagar y las reservas presupuestales que no se hayan ejecutado a 31 de diciembre de la vigencia en la cual se constituyeron, expiran sin excepción. En caso de que la entidad mantenga recursos de la Nación por este concepto deben reintegrarse por el ordenador del gasto y el funcionario de manejo del respectivo órgano a la Dirección General de Crédito Público y Tesoro Nacional del Ministerio de Hacienda y Crédito Público, dentro de los primeros cinco (5) días del mes siguiente a la expiración de estas.  </w:t>
      </w:r>
    </w:p>
    <w:p w14:paraId="22B63F2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37" w:name="ver_30057548"/>
      <w:bookmarkEnd w:id="1236"/>
      <w:bookmarkEnd w:id="1237"/>
    </w:p>
    <w:p w14:paraId="44A0664C" w14:textId="3A3E30A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2.8.1.7.3.3. Fenecimiento de Reservas Presupuestales y Cuentas por pagar. Las reservas presupuestales y cuentas por pagar constituidas por los órganos que conforman el Presupuesto General de la Nación, que no se ejecuten durante el año de su vigencia fenecerán. </w:t>
      </w:r>
    </w:p>
    <w:p w14:paraId="4613017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38" w:name="ver_30057549"/>
      <w:bookmarkEnd w:id="1238"/>
    </w:p>
    <w:p w14:paraId="622BF896" w14:textId="2145E0F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2.8.1.7.3.4. Extinción del compromiso u obligación fundamento de Reservas Presupuestales y Cuentas por pagar. Si durante el año de la vigencia de la reserva o cuenta por pagar desaparece el compromiso u obligación que las originó, el ordenador del gasto y el jefe de presupuesto elaborarán un acta, la cual será enviada a la Dirección General de Crédito Público y Tesoro Nacional para los ajustes respectivos. </w:t>
      </w:r>
    </w:p>
    <w:p w14:paraId="1BCC133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39" w:name="ver_30057550"/>
      <w:bookmarkEnd w:id="1239"/>
    </w:p>
    <w:p w14:paraId="7F0AAB73" w14:textId="5D04421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2.8.1.7.3.5. Reducción al Presupuesto de acuerdo con el monto de reservas presupuestales. De conformidad con lo previsto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 de la Ley 225 de 1995 y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31 de la Ley 344 de 1996, en cada vigencia, el Gobierno Nacional reducirá el presupuesto en el 100% del monto de las reservas presupuestales constituidas sobre el presupuesto del año inmediatamente anterior, que excedan el 2% de las apropiaciones de funcionamiento y el 15% de las apropiaciones de inversión del presupuesto de dicho año. </w:t>
      </w:r>
    </w:p>
    <w:p w14:paraId="576065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62FC17" w14:textId="121843EA" w:rsidR="00AF0C09" w:rsidRPr="002C1480" w:rsidRDefault="00AF0C09" w:rsidP="00492E2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será aplicable a las transferencias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357 de la Constitución Política.   </w:t>
      </w:r>
    </w:p>
    <w:p w14:paraId="202689E2" w14:textId="77777777" w:rsidR="00E477F8" w:rsidRDefault="00E477F8" w:rsidP="00C32F85">
      <w:pPr>
        <w:spacing w:after="0" w:line="293" w:lineRule="atLeast"/>
        <w:jc w:val="both"/>
        <w:rPr>
          <w:rFonts w:ascii="Arial" w:eastAsia="Times New Roman" w:hAnsi="Arial" w:cs="Arial"/>
          <w:color w:val="000000"/>
          <w:lang w:eastAsia="es-CO"/>
        </w:rPr>
      </w:pPr>
      <w:bookmarkStart w:id="1240" w:name="ver_30057551"/>
      <w:bookmarkEnd w:id="1240"/>
    </w:p>
    <w:p w14:paraId="746DDE43" w14:textId="18C6DD5A" w:rsidR="00AF0C09" w:rsidRPr="00E477F8" w:rsidRDefault="00AF0C09" w:rsidP="00E477F8">
      <w:pPr>
        <w:spacing w:after="0"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CAPÍTULO 8</w:t>
      </w:r>
    </w:p>
    <w:p w14:paraId="35F49D5D" w14:textId="77777777" w:rsidR="00AF0C09" w:rsidRPr="00E477F8" w:rsidRDefault="00AF0C09" w:rsidP="00E477F8">
      <w:pPr>
        <w:spacing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SEGUIMIENTO Y EVALUACION</w:t>
      </w:r>
    </w:p>
    <w:p w14:paraId="0445B75B"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41" w:name="ver_30145239"/>
      <w:bookmarkStart w:id="1242" w:name="ver_30057552"/>
      <w:bookmarkEnd w:id="1241"/>
    </w:p>
    <w:p w14:paraId="0197C4E0" w14:textId="21FD005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2.8.1.8.1.Seguimiento y Evaluación Presupuestal.El Ministerio de Hacienda y Crédito Público - Dirección General del Presupuesto Público Nacional realizará el seguimiento y evaluación del Presupuesto General de la Nación, con base en la información registrada en el Sistema Integrado de Información Financiera SIIF Nación. Lo anterior, sin perjuicio de la información adicional que la Dirección solicite y que no se encuentre disponible en el sistema.  </w:t>
      </w:r>
    </w:p>
    <w:p w14:paraId="36687C4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754EE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Departamento Nacional de Planeación realizará el seguimiento y evaluará la gestión a los proyectos de inversión en los términos previstos por las disposiciones legales y reglamentarias aplicables y mantendrá disponible la información en el Sistema de Seguimiento de Proyectos Inversión Pública -SPI, para consulta de todas las entidades públicas que puedan requerirla para la elaboración de los informes a que se refiere el presente título o para el cumplimiento de sus funciones. La información estará además disponible para la ciudadanía en general.  </w:t>
      </w:r>
    </w:p>
    <w:p w14:paraId="6C61747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BE1D65" w14:textId="70AF59D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Cuando los órganos que conforman el Presupuesto General de la Nación no registren la información en el Sistema Integrado de Información Financiera SIIF Nación, o en el Sistema Unificado de Inversión y Finanzas Públicas, o no reporten la información que requiera la Dirección General del Presupuesto Público Nacional del Ministerio de Hacienda y Crédito Público y/o la Dirección de Inversiones y Finanzas Públicas del Departamento Nacional de Planeación para dar cumplimiento a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92 del Estatuto Orgánico del Presupuesto, estos podrán abstenerse de adelantar los trámites presupuestales que dichos órganos presenten para su aprobación o concepto favorable.  </w:t>
      </w:r>
    </w:p>
    <w:p w14:paraId="2F8BBF2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43" w:name="ver_30057553"/>
      <w:bookmarkEnd w:id="1242"/>
      <w:bookmarkEnd w:id="1243"/>
    </w:p>
    <w:p w14:paraId="1F31CC49" w14:textId="1BA08C7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2.8.1.8.2. Seguimiento del CONFIS. Las operaciones de crédito público de manejo y asunción de deuda y prefinanciamiento, requerirán del pronunciamiento por parte del CONFIS, con el fin de establecer que el gasto en intereses, comisiones y gastos de deuda que estas generan, se encuentra ajustado al Marco Fiscal de Mediano Plazo. </w:t>
      </w:r>
    </w:p>
    <w:p w14:paraId="3D3F20D4" w14:textId="77777777" w:rsidR="00E477F8" w:rsidRDefault="00E477F8" w:rsidP="00C32F85">
      <w:pPr>
        <w:spacing w:after="0" w:line="293" w:lineRule="atLeast"/>
        <w:jc w:val="both"/>
        <w:rPr>
          <w:rFonts w:ascii="Arial" w:eastAsia="Times New Roman" w:hAnsi="Arial" w:cs="Arial"/>
          <w:color w:val="000000"/>
          <w:lang w:eastAsia="es-CO"/>
        </w:rPr>
      </w:pPr>
      <w:bookmarkStart w:id="1244" w:name="ver_30122884"/>
      <w:bookmarkEnd w:id="1244"/>
    </w:p>
    <w:p w14:paraId="3658849B" w14:textId="01408188" w:rsidR="00AF0C09" w:rsidRPr="00E477F8" w:rsidRDefault="00492E24" w:rsidP="00E477F8">
      <w:pPr>
        <w:spacing w:after="0"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SECCIÓN 1. PORTAL CENTRAL DE TRANSPARENCIA FISCAL (PCTF)</w:t>
      </w:r>
    </w:p>
    <w:p w14:paraId="53AEE4C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45" w:name="ver_30122885"/>
      <w:bookmarkEnd w:id="1245"/>
    </w:p>
    <w:p w14:paraId="778A832C" w14:textId="635AEC7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 Definición. - Portal Central de Transparencia Fiscal (PCTF), es una plataforma pública de transparencia, acceso a la información y apoyo a la gestión fiscal de las entidades estatales, que permite la interacción en línea de los ciudadanos con la administración de los recursos públicos.  </w:t>
      </w:r>
    </w:p>
    <w:p w14:paraId="17D71E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BED2D7" w14:textId="3D99F78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Portal Central de Transparencia Fiscal (PCTF) que administra el Ministerio de Hacienda y Crédito Público referido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239 de la Ley 1753 de 2015 se asimila para todos los efectos al Portal de Transparencia Económica (PTE) y su dirección electrónica continúa siendo www.pte.gov.co </w:t>
      </w:r>
    </w:p>
    <w:p w14:paraId="3D7E3E5E" w14:textId="77777777" w:rsidR="00E477F8" w:rsidRDefault="00E477F8" w:rsidP="00C32F85">
      <w:pPr>
        <w:spacing w:after="0" w:line="254" w:lineRule="atLeast"/>
        <w:jc w:val="both"/>
        <w:rPr>
          <w:rFonts w:ascii="Arial" w:eastAsia="Times New Roman" w:hAnsi="Arial" w:cs="Arial"/>
          <w:color w:val="000000"/>
          <w:lang w:eastAsia="es-CO"/>
        </w:rPr>
      </w:pPr>
    </w:p>
    <w:p w14:paraId="45D3D0DB" w14:textId="1315919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2.8.1.8.1.2. Objeto. El Portal Central de Transparencia Fiscal (PCTF) facilitará el acceso al conjunto de datos y fuentes de información pública relacionados con la gestión fiscal del Estado, producirá interacción entre los datos de las operaciones presupuestales, los recursos y las actividades desarrolladas por los entes públicos del nivel central pertenecientes a las diferentes Ramas del Poder Público, las entidades territoriales y las personas de derecho privado que administren recursos públicos, y promoverá la generación de información pública que fortalezca la transparencia en la administración y la rendición de cuentas. </w:t>
      </w:r>
    </w:p>
    <w:p w14:paraId="3013540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46" w:name="ver_30122887"/>
      <w:bookmarkEnd w:id="1246"/>
    </w:p>
    <w:p w14:paraId="708B75D8" w14:textId="5836A30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2.8.1.8.1.3. Interacción del ciudadano con el PCTF. El PCTF promoverá la generación, consulta y uso por parte de los ciudadanos y los grupos de interés de la información publicada por las entidades y personas obligadas a través del portal en línea, con el fin de fomentar la transparencia, la participación y el control de la gestión del gobierno y facilitar la rendición de cuentas.  </w:t>
      </w:r>
    </w:p>
    <w:p w14:paraId="2B9AB80E" w14:textId="1F229B32"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47" w:name="ver_30122888"/>
      <w:bookmarkEnd w:id="1247"/>
    </w:p>
    <w:p w14:paraId="6993B69E" w14:textId="507BD3E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2.8.1.8.1.4. Gestión fiscal. Se entiende por gestión fiscal todos los actos o contratos administrativos a través de los cuales se ejecutan recursos públicos, cuyo propósito es proveer bienes y servicios en cumplimiento de los fines esenciales del Estado.  </w:t>
      </w:r>
    </w:p>
    <w:p w14:paraId="188AFF06" w14:textId="77777777" w:rsidR="00E477F8" w:rsidRDefault="00E477F8" w:rsidP="00C32F85">
      <w:pPr>
        <w:spacing w:after="0" w:line="254" w:lineRule="atLeast"/>
        <w:jc w:val="both"/>
        <w:rPr>
          <w:rFonts w:ascii="Arial" w:eastAsia="Times New Roman" w:hAnsi="Arial" w:cs="Arial"/>
          <w:color w:val="000000"/>
          <w:lang w:eastAsia="es-CO"/>
        </w:rPr>
      </w:pPr>
    </w:p>
    <w:p w14:paraId="507E5830" w14:textId="308FD27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2.8.1.8.1.5. Ámbito de aplicación del PCTF. Estarán obligados a permitir el acceso a la información al Administrador del portal:  </w:t>
      </w:r>
    </w:p>
    <w:p w14:paraId="1A0A0A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4BFF8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Todas las entidades públicas del nivel central pertenecientes a las tres ramas del poder público, así como las entidades de derecho público y los entes territoriales, en los distintos órdenes nacional, departamental, municipal y distrital.  </w:t>
      </w:r>
    </w:p>
    <w:p w14:paraId="1496E7B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C43184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Las personas naturales y jurídicas, públicas o privadas, que presten servicios públicos, respecto de la información directamente relacionada con la administración de recursos públicos.  </w:t>
      </w:r>
    </w:p>
    <w:p w14:paraId="3506AD9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3D447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Los partidos o movimientos políticos y los grupos significativos de ciudadanos, respecto de la información directamente relacionada con la administración de recursos públicos.  </w:t>
      </w:r>
    </w:p>
    <w:p w14:paraId="3577F97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AB516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Personas de derecho privado que administren contribuciones parafiscales, o fondos de naturaleza u origen público.  </w:t>
      </w:r>
    </w:p>
    <w:p w14:paraId="055FD0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BDCD41" w14:textId="4FCD11E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personas naturales o jurídicas que reciban, administren o intermedien fondos o beneficios públicos territoriales, nacionales, contribuciones parafiscales o fondos de naturaleza de origen público deberán cumplir con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respecto de aquella información que se produzca en relación con las contribuciones parafiscales y los fondos públicos que reciban, administren o intermedien.  </w:t>
      </w:r>
    </w:p>
    <w:p w14:paraId="1837BB6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48" w:name="ver_30122890"/>
      <w:bookmarkEnd w:id="1248"/>
    </w:p>
    <w:p w14:paraId="2D1C1B3B" w14:textId="2CC7A9E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2.8.1.8.1.6. Obligatoriedad de acceso a la información. Las entidades públicas indicadas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así como los entes públicos o privados que administren fondos o recursos públicos, están obligados a permitir el acceso a la información pública requerida por el portal, de conformidad con lo dispuesto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239 de la Ley 1753 de 2015.  </w:t>
      </w:r>
    </w:p>
    <w:p w14:paraId="2A4D79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3EFA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acceso a esta información se pondrá a disposición de la ciudadanía por fases, las cuales corresponden a:  </w:t>
      </w:r>
    </w:p>
    <w:p w14:paraId="0021219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118AE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Presupuesto General de la Nación;  </w:t>
      </w:r>
    </w:p>
    <w:p w14:paraId="460B520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55E98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Sistema General de Regalías;  </w:t>
      </w:r>
    </w:p>
    <w:p w14:paraId="69EBD08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ACB77F" w14:textId="72A3E967"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Recursos públicos administrados por particulares. </w:t>
      </w:r>
    </w:p>
    <w:p w14:paraId="153E100D" w14:textId="77777777" w:rsidR="00492E24" w:rsidRPr="002C1480" w:rsidRDefault="00492E24" w:rsidP="00C32F85">
      <w:pPr>
        <w:spacing w:after="0" w:line="254" w:lineRule="atLeast"/>
        <w:jc w:val="both"/>
        <w:rPr>
          <w:rFonts w:ascii="Arial" w:eastAsia="Times New Roman" w:hAnsi="Arial" w:cs="Arial"/>
          <w:color w:val="000000"/>
          <w:lang w:eastAsia="es-CO"/>
        </w:rPr>
      </w:pPr>
    </w:p>
    <w:p w14:paraId="34A358CF" w14:textId="281D38A6" w:rsidR="00AF0C09" w:rsidRPr="002C1480" w:rsidRDefault="002C1480" w:rsidP="00C32F85">
      <w:pPr>
        <w:spacing w:after="0" w:line="254" w:lineRule="atLeast"/>
        <w:jc w:val="both"/>
        <w:rPr>
          <w:rFonts w:ascii="Arial" w:eastAsia="Times New Roman" w:hAnsi="Arial" w:cs="Arial"/>
          <w:color w:val="000000"/>
          <w:lang w:eastAsia="es-CO"/>
        </w:rPr>
      </w:pPr>
      <w:bookmarkStart w:id="1249" w:name="ver_30122891"/>
      <w:bookmarkEnd w:id="1249"/>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2.8.1.8.1.7. Administración. Corresponde al Ministerio de Hacienda y Crédito Público, en su condición de administrador del PCTF, definir los requisitos, las metodologías y los procedimientos que se requieran para su funcionamiento, en los términos señalados en el presente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w:t>
      </w:r>
    </w:p>
    <w:p w14:paraId="0EEDE1D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0" w:name="ver_30122892"/>
      <w:bookmarkEnd w:id="1250"/>
    </w:p>
    <w:p w14:paraId="56FECAA1" w14:textId="01AAB76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2.8.1.8.1.8. Funciones del administrador. Son funciones del administrador:  </w:t>
      </w:r>
    </w:p>
    <w:p w14:paraId="07B059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5A199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Definir las funcionalidades que posibiliten la exposición de las cifras fiscales.  </w:t>
      </w:r>
    </w:p>
    <w:p w14:paraId="0295AF6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7780B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Verificar que las funcionalidades del Portal operen adecuadamente y la información coincida con la fuente original.  </w:t>
      </w:r>
    </w:p>
    <w:p w14:paraId="5A9225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C03BB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Verificar que opere la interacción del Portal con los demás sistemas de información que administren las entidades del nivel central pertenecientes a las diferentes Ramas del Poder Público, territoriales y de derecho privado que administran recursos públicos.  </w:t>
      </w:r>
    </w:p>
    <w:p w14:paraId="70BF3E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C449F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Capacitar y acompañar a los usuarios en el uso del Portal.  </w:t>
      </w:r>
    </w:p>
    <w:p w14:paraId="4C56301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7EE3F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Coordinar con las demás dependencias y entidades los procesos administrativos y desarrollos requeridos para el buen funcionamiento del Portal.  </w:t>
      </w:r>
    </w:p>
    <w:p w14:paraId="1BFBD11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69079A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Vincular la información proveniente de las fuentes oficiales de las entidades y personas obligadas.  </w:t>
      </w:r>
    </w:p>
    <w:p w14:paraId="62016948" w14:textId="77777777" w:rsidR="00E477F8" w:rsidRDefault="00E477F8" w:rsidP="00C32F85">
      <w:pPr>
        <w:spacing w:after="0" w:line="254" w:lineRule="atLeast"/>
        <w:jc w:val="both"/>
        <w:rPr>
          <w:rFonts w:ascii="Arial" w:eastAsia="Times New Roman" w:hAnsi="Arial" w:cs="Arial"/>
          <w:color w:val="000000"/>
          <w:lang w:eastAsia="es-CO"/>
        </w:rPr>
      </w:pPr>
    </w:p>
    <w:p w14:paraId="4C40CB5D" w14:textId="6B922E2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2.8.1.8.1.9. Obligatoriedad de estandarizar la información requerida por el Portal. Las entidades objeto de la presente Sección deberán suministrar la información bajo los estándares establecidos por el administrador del portal. Para tal fin, el Ministerio de Hacienda, en asocio con el Ministerio de Tecnologías de la Información y las Comunicaciones, establecerán los lineamientos técnicos necesarios para la estandarización de la información y la interoperabilidad con los sistemas de información que alimenten el PCTF.  </w:t>
      </w:r>
    </w:p>
    <w:p w14:paraId="7EFDC52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1" w:name="ver_30122894"/>
      <w:bookmarkEnd w:id="1251"/>
    </w:p>
    <w:p w14:paraId="6880697D" w14:textId="02AFBF6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2.8.1.8.1.10. Utilización de la información del portal por otros sistemas. Las entidades públicas, mixtas y privadas que requieran utilizar la información contenida en el Portal, podrán obtenerla empleando los mecanismos de interacción e interoperabilidad definidos por el Administrador del Sistema.  </w:t>
      </w:r>
    </w:p>
    <w:p w14:paraId="49519E0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2" w:name="ver_30122895"/>
      <w:bookmarkEnd w:id="1252"/>
    </w:p>
    <w:p w14:paraId="5B279123" w14:textId="725D0F1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2.8.1.8.1.11. Desarrollo del portal. El PCTF tendrá tres fases, que corresponden a la vinculación de las fuentes principales de información sobre la gestión de los recursos públicos. A su vez, cada una de ellas puede contener otras subfases, de acuerdo con los desarrollos tecnológicos necesarios para poner a disposición la información en línea.  </w:t>
      </w:r>
    </w:p>
    <w:p w14:paraId="17F7C07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9F330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fases se implementarán de manera simultánea, siempre y cuando los recursos tecnológicos con que cuenten las fuentes de información sean suficientes.  </w:t>
      </w:r>
    </w:p>
    <w:p w14:paraId="681F848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3" w:name="ver_30122896"/>
      <w:bookmarkEnd w:id="1253"/>
    </w:p>
    <w:p w14:paraId="1C2C5BE8" w14:textId="041AF72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2.8.1.8.1.12. Fase 1:entidades que hacen parte del Presupuesto General de la Nación.Formará parte de esta fase la información en línea sobre la gestión fiscal de las entidades que hacen parte del Presupuesto General de la Nación -PGN.  </w:t>
      </w:r>
    </w:p>
    <w:p w14:paraId="6CCE88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56AF2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Las entidades territoriales deberán facilitar el acceso a la información sobre la administración de los recursos que les transfiere la Nación a través del PGN, quienes pondrán en línea esta información, de acuerdo con las facilidades de acceso tecnológico.  </w:t>
      </w:r>
    </w:p>
    <w:p w14:paraId="7A8B18C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4181E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Esta norma también aplicará frente a los actos y contratos que realicen las entidades y personas obligadas en desarrollo de un encargo fiduciario, los cuales deberán reflejar en línea la información sobre los recursos que administran.  </w:t>
      </w:r>
    </w:p>
    <w:p w14:paraId="7C4BA53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4" w:name="ver_30122897"/>
      <w:bookmarkEnd w:id="1254"/>
    </w:p>
    <w:p w14:paraId="7D0D6DB7" w14:textId="7FAE004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2.8.1.8.1.13. Fase 2: entidades beneficiarías del sistema general de regalías -SGR. Formará parte de esta fase la información en línea sobre la gestión fiscal de las entidades que sean beneficiarias de los recursos del SGR. Las mencionadas entidades deberán facilitar el acceso a la información sobre la administración de los recursos del SGR en los términos que defina el Administrador del Sistema, de acuerdo con criterios de progresividad, transparencia y acceso tecnológico.  </w:t>
      </w:r>
    </w:p>
    <w:p w14:paraId="1EA63DB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5" w:name="ver_30122898"/>
      <w:bookmarkEnd w:id="1255"/>
    </w:p>
    <w:p w14:paraId="6A9B446A" w14:textId="380724B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2.8.1.8.1.14. Fase 3: entidades privadas que administran recursos públicos. Formará parte de esta fase la información en línea sobre la gestión fiscal de las entidades de naturaleza privada que administran recursos públicos independientemente de su régimen contractual.  </w:t>
      </w:r>
    </w:p>
    <w:p w14:paraId="314BCC1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6" w:name="ver_30122902"/>
      <w:bookmarkEnd w:id="1256"/>
    </w:p>
    <w:p w14:paraId="43E085D6" w14:textId="0ACAC3F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2.8.1.8.1.15. Propiedad de la información. La información que se publique en el Portal Central de Transparencia Fiscal (PCTF) deberá relacionar la fuente que produce la información.  </w:t>
      </w:r>
    </w:p>
    <w:p w14:paraId="10A2E00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7" w:name="ver_30122906"/>
      <w:bookmarkEnd w:id="1257"/>
    </w:p>
    <w:p w14:paraId="5378F7DB" w14:textId="215F778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2.8.1.8.1.16. Responsabilidad de los usuarios. El Ministerio de Hacienda y Crédito Público, como Administrador del Portal, no será responsable del uso de la información que hagan los usuarios. </w:t>
      </w:r>
    </w:p>
    <w:p w14:paraId="50E5D70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58" w:name="ver_30122913"/>
      <w:bookmarkEnd w:id="1258"/>
    </w:p>
    <w:p w14:paraId="1C768800" w14:textId="79BAF28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2.8.1.8.1.17. Obligatoriedad de publicidad de la información de los procesos de contratación de los entes públicos o privados que administran fondos o recursos públicos. Las entidades públicas de todos los niveles de la estructura estatal, así como los entes públicos o privados que administren fondos o recursos públicos, deben utilizar las plataformas del Sistema Electrónico para la Contratación Pública (SECOP) para ofrecer al público información oportuna de su ejecución presupuestal a través de compras y contratos. En consecuencia, deben ofrecer información del gasto a través de compras y contratos, de la selección de proveedores, de la ejecución de los contratos y de su liquidación. Los procesos de contratación de las entidades fiduciarias con cargo a recursos transferidos por entidades públicas deben ser objeto de esta publicidad. Los Convenios o Contratos Interadministrativos también deben ser publicados oportunamente. Las entidades públicas que celebren contratos con cargo a recursos trasferidos por la Nación en virtud de convenios interadministrativos deben indicar en la publicación el convenio interadministrativo que dio origen al contrato.  </w:t>
      </w:r>
    </w:p>
    <w:p w14:paraId="0A4C2FC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D1E5F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las entidades que ejecuten contribuciones parafiscales, dicha publicación deberá seguir un lineamiento especial del administrador del portal y se circunscribirá únicamente a los recursos que generan esas contribuciones.  </w:t>
      </w:r>
    </w:p>
    <w:p w14:paraId="152BD099" w14:textId="0169D78B"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59" w:name="ver_30122918"/>
      <w:bookmarkEnd w:id="1259"/>
    </w:p>
    <w:p w14:paraId="4CEE4104" w14:textId="4C43C4D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2.8.1.8.1.18. Publicidad de datos abiertos. La información generada y producida por el PCTF deberá ser publicada, entre otros, en formato de dato abierto y observar el requisito establecido en el literal j)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11 de la Ley 1712 de 2014.  </w:t>
      </w:r>
    </w:p>
    <w:p w14:paraId="76D92CC1" w14:textId="77777777" w:rsidR="00E477F8" w:rsidRDefault="00E477F8" w:rsidP="00C32F85">
      <w:pPr>
        <w:spacing w:after="0" w:line="293" w:lineRule="atLeast"/>
        <w:jc w:val="both"/>
        <w:rPr>
          <w:rFonts w:ascii="Arial" w:eastAsia="Times New Roman" w:hAnsi="Arial" w:cs="Arial"/>
          <w:color w:val="000000"/>
          <w:lang w:eastAsia="es-CO"/>
        </w:rPr>
      </w:pPr>
      <w:bookmarkStart w:id="1260" w:name="ver_30057554"/>
      <w:bookmarkEnd w:id="1260"/>
    </w:p>
    <w:p w14:paraId="4F03A43B" w14:textId="13491C8E" w:rsidR="00AF0C09" w:rsidRPr="00E477F8" w:rsidRDefault="00AF0C09" w:rsidP="00E477F8">
      <w:pPr>
        <w:spacing w:after="0"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CAPÍTULO 9</w:t>
      </w:r>
    </w:p>
    <w:p w14:paraId="59C05648" w14:textId="77777777" w:rsidR="00AF0C09" w:rsidRPr="00E477F8" w:rsidRDefault="00AF0C09" w:rsidP="00E477F8">
      <w:pPr>
        <w:spacing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DISPOSICIONES VARIAS</w:t>
      </w:r>
    </w:p>
    <w:p w14:paraId="16998405" w14:textId="7C954828" w:rsidR="00AF0C09" w:rsidRPr="002C1480" w:rsidRDefault="002C1480" w:rsidP="00C32F85">
      <w:pPr>
        <w:spacing w:after="0" w:line="254" w:lineRule="atLeast"/>
        <w:jc w:val="both"/>
        <w:rPr>
          <w:rFonts w:ascii="Arial" w:eastAsia="Times New Roman" w:hAnsi="Arial" w:cs="Arial"/>
          <w:color w:val="000000"/>
          <w:lang w:eastAsia="es-CO"/>
        </w:rPr>
      </w:pPr>
      <w:bookmarkStart w:id="1261" w:name="ver_30057555"/>
      <w:bookmarkEnd w:id="1261"/>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2.8.1.9.1. Inversiones del Fondo de Superavit de la Nación. Las inversiones de los recursos del fondo de superávit de la Nación, constituido de acuerdo con lo dispuesto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22 del Estatuto Orgánico del Presupuesto, se harán por la Dirección General de Crédito Público y Tesoro Nacional, de acuerdo con las atribuciones que le confieren el Estatuto Orgánico de Presupuesto y demás normas concordantes y pertinentes. </w:t>
      </w:r>
    </w:p>
    <w:p w14:paraId="1A6A63F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8AFF9B" w14:textId="02FB423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Podrán constituirse inversiones financieras en el país, siempre y cuando no afecten la base monetaria, tanto en el mercado primario como en el secundario, aún tratándose de títulos de deuda pública de la Nación, y en este caso no operará el fenómeno de la confusión,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100 del Estatuto Orgánico del Presupuesto. </w:t>
      </w:r>
    </w:p>
    <w:p w14:paraId="73FFAB8F" w14:textId="5719F82A" w:rsidR="00AF0C09" w:rsidRPr="002C1480" w:rsidRDefault="00AF0C09" w:rsidP="00492E2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62" w:name="ver_30057556"/>
      <w:bookmarkEnd w:id="1262"/>
    </w:p>
    <w:p w14:paraId="32659372" w14:textId="2849169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2.8.1.9.2. Gastos funcionamiento CONFIS. El Ministerio de Hacienda y Crédito Público con cargo a su presupuesto atenderá los gastos que ocasione el funcionamiento del Consejo Superior de Política Fiscal CONFIS. </w:t>
      </w:r>
    </w:p>
    <w:p w14:paraId="317FF77B" w14:textId="29DABCFE"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63" w:name="ver_30169238"/>
      <w:bookmarkStart w:id="1264" w:name="ver_30057557"/>
      <w:bookmarkStart w:id="1265" w:name="ver_30138055"/>
      <w:bookmarkEnd w:id="1263"/>
    </w:p>
    <w:p w14:paraId="1545E568" w14:textId="21BF682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2.8.1.9.3. Modificaciones a las plantas de personal. Las modificaciones a las plantas de personal que no incrementen sus costos anuales actuales o que no superen las apropiaciones vigentes de gastos de personal entrarán en vigencia una vez se expida el </w:t>
      </w:r>
      <w:r w:rsidR="008D6289">
        <w:rPr>
          <w:rFonts w:ascii="Arial" w:eastAsia="Times New Roman" w:hAnsi="Arial" w:cs="Arial"/>
          <w:color w:val="000000"/>
          <w:lang w:eastAsia="es-CO"/>
        </w:rPr>
        <w:t>DECRETO</w:t>
      </w:r>
      <w:r w:rsidR="00AF0C09" w:rsidRPr="002C1480">
        <w:rPr>
          <w:rFonts w:ascii="Arial" w:eastAsia="Times New Roman" w:hAnsi="Arial" w:cs="Arial"/>
          <w:color w:val="000000"/>
          <w:lang w:eastAsia="es-CO"/>
        </w:rPr>
        <w:t xml:space="preserve"> respectivo. </w:t>
      </w:r>
    </w:p>
    <w:p w14:paraId="357E715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CEF70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En consecuencia, salvo que exista autorización en la Constitución o en la ley, aquellas modificaciones de planta que incrementen los costos anuales actuales y superen las apropiaciones </w:t>
      </w:r>
    </w:p>
    <w:p w14:paraId="74E80BB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vigentes de gastos de personal, entrarán en vigencia el primero de enero del año siguiente a su aprobación. </w:t>
      </w:r>
    </w:p>
    <w:p w14:paraId="0515E6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428FB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entiende por costos anuales actuales, el valor de la planta de personal del primero de enero al treinta y uno de diciembre del año en que se efectúe la modificación. </w:t>
      </w:r>
    </w:p>
    <w:p w14:paraId="789162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6DB03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Requerirán de viabilidad presupuestal expedida por la Dirección General del Presupuesto Público Nacional del Ministerio de Hacienda y Crédito Público las modificaciones a las plantas de personal que incrementen sus costos anuales actuales o cuando sin hacerlo impliquen el pago de indemnizaciones a los servidores públicos. </w:t>
      </w:r>
    </w:p>
    <w:p w14:paraId="170D81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243D4D" w14:textId="77FDA362"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todo caso, la Dirección General del Presupuesto Público Nacional del Ministerio de Hacienda y Crédito Público verificará el cumplimiento de lo dispuesto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1550B7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893093" w14:textId="5DFA0558"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tal efecto, dará concepto previo a la expedición de los correspondientes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indicando si las modificaciones propuestas se encuentran en el evento previsto en el inciso primero o si, por el contrario, deben entrar a regir el primero de enero del año siguiente. </w:t>
      </w:r>
    </w:p>
    <w:p w14:paraId="2E194C5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93B19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Presidente de la JEP, y el Secretario Ejecutivo, solicitarán al Ministerio de Hacienda y Crédito Público, de manera previa a la adopción de la planta, la viabilidad presupuestal para la creación de los empleos, en los términos establecidos en el Estatuto Orgánico del Presupuesto y demás normas reglamentarias. </w:t>
      </w:r>
    </w:p>
    <w:p w14:paraId="0C1139A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DDE4A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Secretario General de la Comisión para el Esclarecimiento de la Verdad, la Convivencia y la No Repetición, solicitará al Ministerio de Hacienda y Crédito Público, de manera previa a la adopción de la estructura y la planta, la viabilidad presupuestal para la creación de los empleos, en los términos establecidos en el Estatuto Orgánico del Presupuesto y demás normas reglamentarias.  </w:t>
      </w:r>
    </w:p>
    <w:p w14:paraId="67EF9D9B" w14:textId="6600AADF"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66" w:name="ver_30057558"/>
      <w:bookmarkEnd w:id="1264"/>
      <w:bookmarkEnd w:id="1265"/>
      <w:bookmarkEnd w:id="1266"/>
    </w:p>
    <w:p w14:paraId="6E7E3978" w14:textId="1FBDF13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2.8.1.9.4. Liquidación de Rentas de destinación específica. Las liquidaciones de las rentas de destinación específica de que tratan los numerales 2 y 3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359 de la Constitución Política, se harán efectivas una vez descontadas las transferencias territoriales de que tratan los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s 356 y 357 de la Constitución Política, en los términos establecidos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 de la Ley 225 de 1995. </w:t>
      </w:r>
    </w:p>
    <w:p w14:paraId="3269EA1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67" w:name="ver_30057559"/>
      <w:bookmarkEnd w:id="1267"/>
    </w:p>
    <w:p w14:paraId="24454613" w14:textId="65DC163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2.8.1.9.5. Liquidación de Excedentes Financieros de los Establecimientos Públicos. Los excedentes financieros se calcularán con fundamento en los estados financieros a 31 de diciembre del año inmediatamente anterior, y serán iguales al patrimonio descontando el capital, la reserva legal y las donaciones. Adicionalmente, se tendrá en cuenta la situación de liquidez para determinar la cuantía que se trasladará a la Nación como recursos de capital. </w:t>
      </w:r>
    </w:p>
    <w:p w14:paraId="51BABBCF" w14:textId="0F3FBE40"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68" w:name="ver_30057560"/>
      <w:bookmarkEnd w:id="1268"/>
    </w:p>
    <w:p w14:paraId="03C3CC18" w14:textId="1C38739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2.8.1.9.6. Modificaciones Presupuestales. Si durante la ejecución del Presupuesto General de la Nación fuese necesario modificar el monto del presupuesto para complementar los recursos insuficientes, ampliar los servicios existentes o establecer nuevos servicios autorizados por la ley, el Gobierno presentará al Congreso de la República un proyecto de ley para tales efectos. </w:t>
      </w:r>
    </w:p>
    <w:p w14:paraId="09796AA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FDF39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modificación se realizará preferiblemente mediante un contracrédito en la vigencia en curso. Cuando no sea posible, las adiciones presupuestales podrán efectuarse cuando se cumpla con alguno de los siguientes requisitos: </w:t>
      </w:r>
    </w:p>
    <w:p w14:paraId="5675EC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FFAB4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Tener el carácter de extraordinarios e imprevisibles, frente a la estimación inicial de gastos; </w:t>
      </w:r>
    </w:p>
    <w:p w14:paraId="5F5A40B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70C33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Contar con mayores ingresos. </w:t>
      </w:r>
    </w:p>
    <w:p w14:paraId="14FD9A3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1271F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que ninguno de los requisitos antes previstos se cumplan, y se requiera la respectiva adición, el Ministro de Hacienda y Crédito Público preparará una actualización del Marco Fiscal de Mediano Plazo, un análisis de las implicaciones de dicha adición y un conjunto de recomendaciones. </w:t>
      </w:r>
    </w:p>
    <w:p w14:paraId="27408C60" w14:textId="455F4BF9"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69" w:name="ver_30057561"/>
      <w:bookmarkEnd w:id="1269"/>
    </w:p>
    <w:p w14:paraId="7255F472" w14:textId="3D62ABC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2.8.1.9.8. Rendimientos Financieros. Los rendimientos financieros originados con recursos de la Nación, incluidos los negocios fiduciarios, deben ser consignados en la Dirección General de Crédito Público y del Tesoro Nacional en el mes siguiente de su recaudo. Se exceptúan los rendimientos financieros generados con aportes destinados a la seguridad social. </w:t>
      </w:r>
    </w:p>
    <w:p w14:paraId="72F4EFD5" w14:textId="332C8F77" w:rsidR="00E477F8" w:rsidRDefault="00AF0C09" w:rsidP="00B2714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70" w:name="ver_30057562"/>
      <w:bookmarkEnd w:id="1270"/>
    </w:p>
    <w:p w14:paraId="0BBDCCC8" w14:textId="014C9B78" w:rsidR="00AF0C09" w:rsidRPr="00E477F8" w:rsidRDefault="00AF0C09" w:rsidP="00E477F8">
      <w:pPr>
        <w:spacing w:after="0"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CAPÍTULO 10</w:t>
      </w:r>
    </w:p>
    <w:p w14:paraId="0B65C24B" w14:textId="77777777" w:rsidR="00AF0C09" w:rsidRPr="00E477F8" w:rsidRDefault="00AF0C09" w:rsidP="00E477F8">
      <w:pPr>
        <w:spacing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ORDENACIÓN DEL GASTO EN EL CONGRESO DE LA REPÚBLICA</w:t>
      </w:r>
    </w:p>
    <w:p w14:paraId="59DB5C1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71" w:name="ver_30141290"/>
      <w:bookmarkStart w:id="1272" w:name="ver_30057563"/>
      <w:bookmarkEnd w:id="1271"/>
    </w:p>
    <w:p w14:paraId="4F698619" w14:textId="7A82026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2.8.1.10.1. Pasajes aéreos o terrestres. La ordenación de los pasajes aéreos o terrestres dentro del territorio nacional para los honorables congresistas en ejercicio, así como los desplazamientos al exterior para el Representante a la Cámara para los colombianos residentes en el exterior, se autorizarán por el ordenador de gasto previa solicitud del Secretario General de cada Corporación.  </w:t>
      </w:r>
    </w:p>
    <w:p w14:paraId="1E4A447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30C1A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efecto la Secretaría General de cada una de las Corporaciones Públicas presentará al ordenador de gasto una solicitud mensual de los pasajes a que tienen derecho los honorables Congresistas, indicando nombre del beneficiario y ruta respectiva, uno por cada semana, durante el período de sesiones ordinarias o extraordinarias y un pasaje mensual en período de receso, salvo que se trate de comisiones especiales en el interior del país solicitadas y aprobadas por las Mesas Directivas de las Comisiones Constitucionales Permanentes Legales Reglamentarias o Accidentales o de sesiones de la Comisión Interparlamentaria de Crédito Público previamente convocadas por el Ministerio de Hacienda y Crédito Público, casos en los cuales se podrá autorizar un número mayor de pasajes.  </w:t>
      </w:r>
    </w:p>
    <w:p w14:paraId="4382D1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B6A786" w14:textId="39A1A2C9"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Representante a la Cámara para los colombianos residentes en el exterior tendrá derecho a un pasaje al mes, durante el período de sesiones ordinarias o extraordinarias, y un pasaje en cada período de receso, con destino al lugar del exterior en el cual inscribió su candidatura, salvo que se trate de comisiones especiales en el interior del país, solicitadas y aprobadas por las Mesas Directivas de las Comisiones Constitucionales Permanentes Legales Reglamentarias o Accidentales o de sesiones de la Comisión Interparlamentaria de Crédito Público, previamente convocadas por el Ministerio de Hacienda y Crédito Público, casos en los cuales se podrá autorizar un número mayor de pasajes.  </w:t>
      </w:r>
    </w:p>
    <w:p w14:paraId="08EEC753" w14:textId="77777777" w:rsidR="00E477F8" w:rsidRPr="002C1480" w:rsidRDefault="00E477F8" w:rsidP="00C32F85">
      <w:pPr>
        <w:spacing w:after="0" w:line="254" w:lineRule="atLeast"/>
        <w:jc w:val="both"/>
        <w:rPr>
          <w:rFonts w:ascii="Arial" w:eastAsia="Times New Roman" w:hAnsi="Arial" w:cs="Arial"/>
          <w:color w:val="000000"/>
          <w:lang w:eastAsia="es-CO"/>
        </w:rPr>
      </w:pPr>
    </w:p>
    <w:p w14:paraId="56456631" w14:textId="586621E7" w:rsidR="00AF0C09"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la Secretaría General de Senado y de Cámara de Representantes enviará al ordenador de gasto, una relación de los pasajes que hayan sido utilizados o devueltos para efecto de elaborar la correspondiente resolución que ordene el reconocimiento y pago.  </w:t>
      </w:r>
    </w:p>
    <w:p w14:paraId="1E941BF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73" w:name="ver_30057564"/>
      <w:bookmarkEnd w:id="1272"/>
      <w:bookmarkEnd w:id="1273"/>
    </w:p>
    <w:p w14:paraId="3302A58F" w14:textId="7DDBAF7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2.8.1.10.2. Requisitos para la expedición de pasajes aéreos. La expedición de pasajes aéreos para empleados del honorable Senado de la República y de la honorable Cámara de Representantes, cuando en cumplimiento de sus funciones deban trasladarse fuera de Bogotá, requiere solicitud justificada del inmediato superior y resolución de la Mesa Directiva. </w:t>
      </w:r>
    </w:p>
    <w:p w14:paraId="079620F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7B58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misma forma se procederá respecto de los contratistas, cuya prestación de servicio lo amerite y así se haya estipulado expresamente en el respectivo contrato. </w:t>
      </w:r>
    </w:p>
    <w:p w14:paraId="07F2BC4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2C87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Secretarios Generales de Senado y Cámara, previa autorización del Ordenador del Gasto, solicitará el tiquete respectivo a la empresa aérea, indicando el nombre del empleado o contratista, su cargo o número de contrato y la ruta. </w:t>
      </w:r>
    </w:p>
    <w:p w14:paraId="56505E6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74" w:name="ver_30057565"/>
      <w:bookmarkEnd w:id="1274"/>
    </w:p>
    <w:p w14:paraId="644377C0" w14:textId="647AAF6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2.8.1.10.3. Viáticos. El Director Administrativo de cada Cámara, señalará viáticos a los empleados que en cumplimiento de sus funciones deban trasladarse fuera de Bogotá, para ello, se requerirá autorización previa de la Comisión de la Mesa de la respectiva corporación, la cual se otorgará mediante resolución debidamente motivada</w:t>
      </w:r>
    </w:p>
    <w:p w14:paraId="0B56002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75" w:name="ver_30057566"/>
      <w:bookmarkEnd w:id="1275"/>
    </w:p>
    <w:p w14:paraId="7D4FC3BB" w14:textId="0A6C340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2.8.1.10.4. Comisiones al exterior. Las comisiones al exterior se tramitarán de acuerdo con las resoluciones que autoricen las Mesas Directivas de cada Corporación, las cuales se elaborarán en la Secretaría General respectiva, determinando el objeto de la comisión, ciudad y país en donde se cumplirá, tiempo de duración y valor de los viáticos, conforme con las cuantías que se establezcan en el orden nacional. </w:t>
      </w:r>
    </w:p>
    <w:p w14:paraId="5EB0DA93" w14:textId="1C3705FC"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76" w:name="ver_30057567"/>
      <w:bookmarkEnd w:id="1276"/>
    </w:p>
    <w:p w14:paraId="41BE28AC" w14:textId="2E117BB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2.8.1.10.5. Régimen de Contratación. La compra de bienes muebles, prestación de servicios y obras públicas y demás contratos necesarios que se requieran para el desempeño de las funciones administrativas, se regirán por lo previsto en la Ley 80 de 1993, y demás normas que lo modifiquen y/o adicionen. </w:t>
      </w:r>
    </w:p>
    <w:p w14:paraId="1147A5C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77" w:name="ver_30057568"/>
      <w:bookmarkEnd w:id="1277"/>
    </w:p>
    <w:p w14:paraId="04B091DA" w14:textId="4EF9F62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2.8.1.10.6. Aplicación de la normativa del Presupuesto General de la Nación. La ordenación del gasto prevista en el presente capítulo , deberá sujetarse a las disposiciones consagradas en la Ley normativa del Presupuesto General de la Nación y las demás normas reglamentarias, régimen de apropiaciones, acuerdos de gastos, programa anual de caja, constitución y pago de reservas. </w:t>
      </w:r>
    </w:p>
    <w:p w14:paraId="7C976CD6" w14:textId="0E7269AB" w:rsidR="00E477F8"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FB1380" w14:textId="77777777" w:rsidR="00AF0C09" w:rsidRPr="00E477F8" w:rsidRDefault="00AF0C09" w:rsidP="00E477F8">
      <w:pPr>
        <w:spacing w:after="0" w:line="293" w:lineRule="atLeast"/>
        <w:jc w:val="center"/>
        <w:rPr>
          <w:rFonts w:ascii="Arial" w:eastAsia="Times New Roman" w:hAnsi="Arial" w:cs="Arial"/>
          <w:b/>
          <w:bCs/>
          <w:color w:val="000000"/>
          <w:lang w:eastAsia="es-CO"/>
        </w:rPr>
      </w:pPr>
      <w:bookmarkStart w:id="1278" w:name="ver_30057569"/>
      <w:bookmarkEnd w:id="1278"/>
      <w:r w:rsidRPr="00E477F8">
        <w:rPr>
          <w:rFonts w:ascii="Arial" w:eastAsia="Times New Roman" w:hAnsi="Arial" w:cs="Arial"/>
          <w:b/>
          <w:bCs/>
          <w:color w:val="000000"/>
          <w:lang w:eastAsia="es-CO"/>
        </w:rPr>
        <w:t>TÍTULO 2</w:t>
      </w:r>
    </w:p>
    <w:p w14:paraId="1127E8C0" w14:textId="77777777" w:rsidR="00AF0C09" w:rsidRPr="00E477F8" w:rsidRDefault="00AF0C09" w:rsidP="00E477F8">
      <w:pPr>
        <w:spacing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PRESUPUESTO DE CONTRIBUCIONES PARAFISCALES</w:t>
      </w:r>
    </w:p>
    <w:p w14:paraId="4318B9A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79" w:name="ver_30057570"/>
      <w:bookmarkEnd w:id="1279"/>
    </w:p>
    <w:p w14:paraId="26974CCE" w14:textId="11EA7C1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2.8.2.1. Campo de aplicación. El presente título rige para los órganos a los que se refiere el inciso tercero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12 de la Ley 179 de 1994, modificado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81 de la Ley 1687 de 2013 que administren las siguientes contribuciones: </w:t>
      </w:r>
    </w:p>
    <w:p w14:paraId="156A4E7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50AD4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contribuciones parafiscales cafeteras, agropecuarias o pesqueras. </w:t>
      </w:r>
    </w:p>
    <w:p w14:paraId="74136CC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410A2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aportes para el subsidio familiar. </w:t>
      </w:r>
    </w:p>
    <w:p w14:paraId="622F37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6C93C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estampillas que determinen contribuciones parafiscales del orden nacional. </w:t>
      </w:r>
    </w:p>
    <w:p w14:paraId="086EFA3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81C22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Las contribuciones parafiscales del Fondo de Promoción Turística. </w:t>
      </w:r>
    </w:p>
    <w:p w14:paraId="2103536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17A25C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Las contribuciones parafiscales del Fondo de Estabilización de Precios de los Combustibles (FEPC). </w:t>
      </w:r>
    </w:p>
    <w:p w14:paraId="4AC7217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5AA6F2" w14:textId="22CB917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De conformidad con el inciso tercero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12 de la Ley 179 de 1994,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81 de la Ley 1687 de 2013, el presente título no se aplicará a aquella parte de las contribuciones parafiscales destinadas al financiamiento del Sistema General de Seguridad Social establecidas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 de la Ley 100 de 1993. </w:t>
      </w:r>
    </w:p>
    <w:p w14:paraId="61132671" w14:textId="512230D7" w:rsidR="00AF0C09" w:rsidRPr="002C1480" w:rsidRDefault="00AF0C09" w:rsidP="00E477F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80" w:name="ver_30057571"/>
      <w:bookmarkEnd w:id="1280"/>
    </w:p>
    <w:p w14:paraId="36B6A8B9" w14:textId="69A86EE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2.8.2.2. Elaboración y publicación de Presupuestos. Las entidades administradoras de las contribuciones parafiscales a que se refiere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anterior elaborarán sus presupuestos, conforme a la normatividad que les aplique, los cuales deberán ser aprobados por sus órganos directivos en primera instancia, antes de ser sometidos a la aprobación del Consejo Superior de Política Fiscal - CONFIS. </w:t>
      </w:r>
    </w:p>
    <w:p w14:paraId="18739BB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29CBD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garantizar la publicidad y transparencia en la administración de las mencionadas contribuciones parafiscales, los órganos, a que se refiere este título, deberán enviar el presupuesto </w:t>
      </w:r>
    </w:p>
    <w:p w14:paraId="2C7EDE5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aprobado por sus órganos directivos, quince días antes de la sesión de aprobación que realice el CONFIS, con el fin de ser publicados en la página web del Ministerio de Hacienda y Crédito Público. </w:t>
      </w:r>
    </w:p>
    <w:p w14:paraId="5FFFA945"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81" w:name="ver_30057572"/>
      <w:bookmarkEnd w:id="1281"/>
    </w:p>
    <w:p w14:paraId="6E0DADCE" w14:textId="57604C1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2.8.2.3. Aprobación y modificación de presupuestos. Corresponde al Consejo Superior de Política Fiscal – CONFIS, establecer las normas y procedimientos para el trámite de aprobación y modificación de los presupuestos de los órganos a los que se refiere el inciso tercero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12 de la Ley 179 de 1994, modificado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81 de la Ley 1687 de 2013. </w:t>
      </w:r>
    </w:p>
    <w:p w14:paraId="23E139B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82" w:name="ver_30057573"/>
      <w:bookmarkEnd w:id="1282"/>
    </w:p>
    <w:p w14:paraId="126ED1B5" w14:textId="4D1EA018"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2.8.2.4. Responsabilidad de Gerentes, Presidentes y Directores. La responsabilidad de la presentación de los presupuestos aprobados por las entidades y su remisión al Consejo Superior de Política Fiscal - CONFIS para su posterior aprobación, será de los gerentes, presidentes o directores de los órganos a los que se refiere el inciso tercero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12 de la Ley 179 de 1994, modificado por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81 de la Ley 1687 de 2013. </w:t>
      </w:r>
    </w:p>
    <w:p w14:paraId="406FCC2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F7748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Asistirán, en calidad de invitados a las sesiones de aprobación, el Ministro o Director del órgano cabeza del sector y demás funcionarios de los órganos o entidades que el CONFIS considere pertinentes, quienes tendrán voz y no voto. </w:t>
      </w:r>
    </w:p>
    <w:p w14:paraId="7CADBF9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9CAD9F" w14:textId="77777777" w:rsidR="00AF0C09" w:rsidRPr="00E477F8" w:rsidRDefault="00AF0C09" w:rsidP="00E477F8">
      <w:pPr>
        <w:spacing w:after="0" w:line="293" w:lineRule="atLeast"/>
        <w:jc w:val="center"/>
        <w:rPr>
          <w:rFonts w:ascii="Arial" w:eastAsia="Times New Roman" w:hAnsi="Arial" w:cs="Arial"/>
          <w:b/>
          <w:bCs/>
          <w:color w:val="000000"/>
          <w:lang w:eastAsia="es-CO"/>
        </w:rPr>
      </w:pPr>
      <w:bookmarkStart w:id="1283" w:name="ver_30057574"/>
      <w:bookmarkEnd w:id="1283"/>
      <w:r w:rsidRPr="00E477F8">
        <w:rPr>
          <w:rFonts w:ascii="Arial" w:eastAsia="Times New Roman" w:hAnsi="Arial" w:cs="Arial"/>
          <w:b/>
          <w:bCs/>
          <w:color w:val="000000"/>
          <w:lang w:eastAsia="es-CO"/>
        </w:rPr>
        <w:t>TÍTULO 3</w:t>
      </w:r>
    </w:p>
    <w:p w14:paraId="05BD809C" w14:textId="77777777" w:rsidR="00AF0C09" w:rsidRPr="00E477F8" w:rsidRDefault="00AF0C09" w:rsidP="00E477F8">
      <w:pPr>
        <w:spacing w:after="0"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PRESUPUESTOS DE LAS EMPRESAS INDUSTRIALES Y COMERCIALES</w:t>
      </w:r>
    </w:p>
    <w:p w14:paraId="51FB9DF6" w14:textId="77777777" w:rsidR="00AF0C09" w:rsidRPr="00E477F8" w:rsidRDefault="00AF0C09" w:rsidP="00E477F8">
      <w:pPr>
        <w:spacing w:after="0"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DEL ESTADO Y DE LAS SOCIEDADES DE ECONOMÍA MIXTA SUJETAS AL</w:t>
      </w:r>
    </w:p>
    <w:p w14:paraId="3CE7D689" w14:textId="77777777" w:rsidR="00AF0C09" w:rsidRPr="00E477F8" w:rsidRDefault="00AF0C09" w:rsidP="00E477F8">
      <w:pPr>
        <w:spacing w:line="293" w:lineRule="atLeast"/>
        <w:jc w:val="center"/>
        <w:rPr>
          <w:rFonts w:ascii="Arial" w:eastAsia="Times New Roman" w:hAnsi="Arial" w:cs="Arial"/>
          <w:b/>
          <w:bCs/>
          <w:color w:val="000000"/>
          <w:lang w:eastAsia="es-CO"/>
        </w:rPr>
      </w:pPr>
      <w:r w:rsidRPr="00E477F8">
        <w:rPr>
          <w:rFonts w:ascii="Arial" w:eastAsia="Times New Roman" w:hAnsi="Arial" w:cs="Arial"/>
          <w:b/>
          <w:bCs/>
          <w:color w:val="000000"/>
          <w:lang w:eastAsia="es-CO"/>
        </w:rPr>
        <w:t>RÉGIMEN DE AQUELLAS, DEDICADAS A ACTIVIDADES NO FINANCIERAS</w:t>
      </w:r>
    </w:p>
    <w:p w14:paraId="251E1C63"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84" w:name="ver_30057575"/>
      <w:bookmarkEnd w:id="1284"/>
    </w:p>
    <w:p w14:paraId="0F33DAE8" w14:textId="7A20D8D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 Campo de aplicación. El presente título se aplica a las Empresas Industriales y Comerciales del Estado y a las Sociedades de Economía Mixta sujetas al régimen de aquellas, del orden nacional dedicadas a actividades no financieras, y a aquellas entidades del orden nacional que la ley les establezca para efectos presupuestales el régimen de Empresas Industriales y Comerciales del Estado. En adelante se denominarán empresas en este título. </w:t>
      </w:r>
    </w:p>
    <w:p w14:paraId="48508B73" w14:textId="6E04BFDB"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85" w:name="ver_30057576"/>
      <w:bookmarkEnd w:id="1285"/>
    </w:p>
    <w:p w14:paraId="550297D6" w14:textId="0A6E533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AF0C09" w:rsidRPr="002C1480">
        <w:rPr>
          <w:rFonts w:ascii="Arial" w:eastAsia="Times New Roman" w:hAnsi="Arial" w:cs="Arial"/>
          <w:color w:val="000000"/>
          <w:lang w:eastAsia="es-CO"/>
        </w:rPr>
        <w:t xml:space="preserve"> 2.8.3.2. Principios presupuestales. Los principios presupuestales son: la planificación, la anualidad, la universalidad, la unidad de caja, la programación integral, la de la Ley 52 de 1978). especialización, la coherencia macroeconómica y la sostenibilidad y estabilidad fiscal. </w:t>
      </w:r>
    </w:p>
    <w:p w14:paraId="5F87DD8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49AC39" w14:textId="2E8E781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Este último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 de la Ley 1473 de 2011. </w:t>
      </w:r>
    </w:p>
    <w:p w14:paraId="4AAF7C14" w14:textId="5C31D290"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86" w:name="ver_30057577"/>
      <w:bookmarkEnd w:id="1286"/>
    </w:p>
    <w:p w14:paraId="4937E627" w14:textId="619F9BB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 Planificación. El presupuesto deberá guardar concordancia con los contenidos del Plan Nacional de Desarrollo, del Plan de Inversiones, del Plan Financiero y del Plan Operativo Anual de Inversiones. </w:t>
      </w:r>
    </w:p>
    <w:p w14:paraId="36AF2FF8" w14:textId="246056E8" w:rsidR="00AF0C09" w:rsidRPr="002C1480" w:rsidRDefault="00AF0C09" w:rsidP="00B2714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87" w:name="ver_30057578"/>
      <w:bookmarkEnd w:id="1287"/>
    </w:p>
    <w:p w14:paraId="79D00968" w14:textId="6E324E5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2.8.3.4. Anualidad. El año fiscal comienza el 1 de enero y termina el 31 de diciembre de cada año. Después del 31 de diciembre no podrán asumirse compromisos con cargo a las apropiaciones del año fiscal que se cierra en esa fecha y los saldos de apropiación no afectados por compromisos caducarán sin excepción. </w:t>
      </w:r>
    </w:p>
    <w:p w14:paraId="07FA0E9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88" w:name="ver_30057579"/>
      <w:bookmarkEnd w:id="1288"/>
    </w:p>
    <w:p w14:paraId="1F0F7ED2" w14:textId="34081E1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2.8.3.5. Universalidad. El presupuesto contendrá la totalidad de los gastos públicos que se espere realizar durante la vigencia fiscal respectiva. En consecuencia ninguna autoridad podrá efectuar gastos públicos, erogaciones con cargo al Tesoro o transferir crédito alguno, que no figuren en el presupuesto. </w:t>
      </w:r>
    </w:p>
    <w:p w14:paraId="3F61A8B0" w14:textId="3C15E2CA"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89" w:name="ver_30057580"/>
      <w:bookmarkEnd w:id="1289"/>
    </w:p>
    <w:p w14:paraId="20913677" w14:textId="78E9669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2.8.3.6. Unidad de caja. Con el recaudo de todas las rentas y recursos de capital se atenderá el pago oportuno de las apropiaciones autorizadas en el presupuesto. </w:t>
      </w:r>
    </w:p>
    <w:p w14:paraId="0D68AE06"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90" w:name="ver_30057581"/>
      <w:bookmarkEnd w:id="1290"/>
    </w:p>
    <w:p w14:paraId="03E8CA31" w14:textId="16EC2CDD"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2.8.3.7. Programación integral. Todo programa presupuestal deberá contemplar simultáneamente los gastos de inversión y de funcionamiento que las exigencias técnicas y administrativas demanden como necesarios para su ejecución y operación, de conformidad con los procedimientos y normas vigentes. </w:t>
      </w:r>
    </w:p>
    <w:p w14:paraId="14A15B2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326DC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programa presupuestal incluye las obras complementarias que garanticen su cabal ejecución. </w:t>
      </w:r>
    </w:p>
    <w:p w14:paraId="5FA5046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91" w:name="ver_30057582"/>
      <w:bookmarkEnd w:id="1291"/>
    </w:p>
    <w:p w14:paraId="58A5BECD" w14:textId="76BFAF0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2.8.3.8. Especialización. Las apropiaciones deben referirse en cada empresa a su objeto y funciones, y se ejecutarán estrictamente conforme al fin para el cual fueron programadas. </w:t>
      </w:r>
    </w:p>
    <w:p w14:paraId="2A588D4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92" w:name="ver_30057583"/>
      <w:bookmarkEnd w:id="1292"/>
    </w:p>
    <w:p w14:paraId="22315E79" w14:textId="48AA964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2.8.3.9. Coherencia macroeconómica. El presupuesto debe ser compatible con las metas macroeconómicas fijadas por el Gobierno en coordinación con la Junta Directiva del Banco de la República. </w:t>
      </w:r>
    </w:p>
    <w:p w14:paraId="78311181" w14:textId="60BD477D"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93" w:name="ver_30057584"/>
      <w:bookmarkEnd w:id="1293"/>
    </w:p>
    <w:p w14:paraId="0D796F69" w14:textId="05321DF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2.8.3.9. Coherencia macroeconómica. El presupuesto debe ser compatible con las metas macroeconómicas fijadas por el Gobierno en coordinación con la Junta Directiva del Banco de la República. </w:t>
      </w:r>
    </w:p>
    <w:p w14:paraId="2E7FDF3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94" w:name="ver_30057585"/>
      <w:bookmarkEnd w:id="1294"/>
    </w:p>
    <w:p w14:paraId="7AA37B19" w14:textId="6C09CB8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2.8.3.10. Sostenibilidad y estabilidad fiscal. El presupuesto tendrá en cuenta que el crecimiento del gasto debe ser acorde con la evolución de los ingresos de largo plazo a estructurales de la economía y debe ser una herramienta de estabilización del ciclo económico, a través de una regla fiscal de conformidad con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7 de la Ley 1437 de 2011. </w:t>
      </w:r>
    </w:p>
    <w:p w14:paraId="6CB675C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AA924B" w14:textId="5973EC99" w:rsidR="00AF0C09" w:rsidRPr="002C1480" w:rsidRDefault="002C1480" w:rsidP="00C32F85">
      <w:pPr>
        <w:spacing w:after="0" w:line="254" w:lineRule="atLeast"/>
        <w:jc w:val="both"/>
        <w:rPr>
          <w:rFonts w:ascii="Arial" w:eastAsia="Times New Roman" w:hAnsi="Arial" w:cs="Arial"/>
          <w:color w:val="000000"/>
          <w:lang w:eastAsia="es-CO"/>
        </w:rPr>
      </w:pPr>
      <w:bookmarkStart w:id="1295" w:name="ver_30057586"/>
      <w:bookmarkEnd w:id="1295"/>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2.8.3.11. Autonomía Presupuestal. Las empresas tienen capacidad para contratar y ordenar el gasto en los términos previstos en 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110 del Estatuto Orgánico del Presupuesto. </w:t>
      </w:r>
    </w:p>
    <w:p w14:paraId="7C0A4FC3" w14:textId="47369BC4"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A2E932" w14:textId="77777777" w:rsidR="00AF0C09" w:rsidRPr="00A01E77" w:rsidRDefault="00AF0C09" w:rsidP="00A01E77">
      <w:pPr>
        <w:spacing w:after="0" w:line="293" w:lineRule="atLeast"/>
        <w:jc w:val="center"/>
        <w:rPr>
          <w:rFonts w:ascii="Arial" w:eastAsia="Times New Roman" w:hAnsi="Arial" w:cs="Arial"/>
          <w:b/>
          <w:bCs/>
          <w:color w:val="000000"/>
          <w:lang w:eastAsia="es-CO"/>
        </w:rPr>
      </w:pPr>
      <w:bookmarkStart w:id="1296" w:name="ver_30057587"/>
      <w:bookmarkEnd w:id="1296"/>
      <w:r w:rsidRPr="00A01E77">
        <w:rPr>
          <w:rFonts w:ascii="Arial" w:eastAsia="Times New Roman" w:hAnsi="Arial" w:cs="Arial"/>
          <w:b/>
          <w:bCs/>
          <w:color w:val="000000"/>
          <w:lang w:eastAsia="es-CO"/>
        </w:rPr>
        <w:lastRenderedPageBreak/>
        <w:t>CAPÍTULO 1</w:t>
      </w:r>
    </w:p>
    <w:p w14:paraId="2ED8F8A9" w14:textId="77777777" w:rsidR="00AF0C09" w:rsidRPr="00A01E77" w:rsidRDefault="00AF0C09" w:rsidP="00A01E77">
      <w:pPr>
        <w:spacing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PRESUPUESTO</w:t>
      </w:r>
    </w:p>
    <w:p w14:paraId="54C82889"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97" w:name="ver_30057588"/>
      <w:bookmarkEnd w:id="1297"/>
    </w:p>
    <w:p w14:paraId="1DC7F201" w14:textId="2F9E0D1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2.8.3.1.1. Presupuesto de Ingresos. El presupuesto de ingresos comprende la disponibilidad inicial, los ingresos corrientes que se esperan recaudar durante la vigencia fiscal y los recursos de capital. </w:t>
      </w:r>
    </w:p>
    <w:p w14:paraId="1A9BC8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75781C"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presupuesto de las empresas podrá incluir la totalidad de los cupos de endeudamiento autorizados por el Gobierno. </w:t>
      </w:r>
    </w:p>
    <w:p w14:paraId="4FC30FF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298" w:name="ver_30057589"/>
      <w:bookmarkEnd w:id="1298"/>
    </w:p>
    <w:p w14:paraId="0947A9C8" w14:textId="2EF3DFD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2.8.3.1.2. Presupuesto de Gastos. El presupuesto de gastos comprende las apropiaciones para gastos de funcionamiento, gastos de operación comercial, servicio de la deuda y gastos de inversión que se causen durante la vigencia fiscal respectiva. </w:t>
      </w:r>
    </w:p>
    <w:p w14:paraId="1D49229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C0D8E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causación del gasto debe contar con la apropiación presupuestal correspondiente. </w:t>
      </w:r>
    </w:p>
    <w:p w14:paraId="164D7B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78208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compromisos y obligaciones pendientes de pago a 31 de diciembre, deberán incluirse en el presupuesto del año siguiente como una cuenta por pagar y su pago deberá realizarse en dicha vigencia fiscal. </w:t>
      </w:r>
    </w:p>
    <w:p w14:paraId="217C7648" w14:textId="02FA42C9"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299" w:name="ver_30057590"/>
      <w:bookmarkEnd w:id="1299"/>
    </w:p>
    <w:p w14:paraId="3ED261B4" w14:textId="5FA1720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2.8.3.1.3. Títulos de gasto. En el presupuesto de gastos solo se podrán incluir apropiaciones que correspondan a: </w:t>
      </w:r>
    </w:p>
    <w:p w14:paraId="27FAFD0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CA9A3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Créditos judicialmente reconocidos; </w:t>
      </w:r>
    </w:p>
    <w:p w14:paraId="118AF63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1370D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Gastos decretados conforme a la ley anterior; </w:t>
      </w:r>
    </w:p>
    <w:p w14:paraId="53DCED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8C6793" w14:textId="4AB5DED0"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Las destinadas a dar cumplimiento a los planes y programas de desarrollo económico y social y a las obras públicas de que tratan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339 y 341 de la Constitución Política, que fueren aprobadas por el Congreso Nacional, y </w:t>
      </w:r>
    </w:p>
    <w:p w14:paraId="6E6E667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5DCAE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Las normas que organizan las empresas. </w:t>
      </w:r>
    </w:p>
    <w:p w14:paraId="2FB3F27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0" w:name="ver_30057591"/>
      <w:bookmarkEnd w:id="1300"/>
    </w:p>
    <w:p w14:paraId="25698BBC" w14:textId="126401C6"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2.8.3.1.4. Disponibilidad final. La disponibilidad final corresponde a la diferencia existente entre el presupuesto de ingresos y el presupuesto de gastos. </w:t>
      </w:r>
    </w:p>
    <w:p w14:paraId="479984D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1" w:name="ver_30057592"/>
      <w:bookmarkEnd w:id="1301"/>
    </w:p>
    <w:p w14:paraId="678AC4B6" w14:textId="4A12F9F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2.8.3.1.5. Envío de anteproyectos de presupuesto. Las empresas enviarán a la Dirección General del Presupuesto Nacional del Ministerio de Hacienda y al Departamento Nacional de Planeación el anteproyecto de presupuesto antes del 31 de octubre de cada año. </w:t>
      </w:r>
    </w:p>
    <w:p w14:paraId="3BF00D9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2" w:name="ver_30057593"/>
      <w:bookmarkEnd w:id="1302"/>
    </w:p>
    <w:p w14:paraId="034570BC" w14:textId="6507E19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2.8.3.1.6. Consulta y concepto favorable para la preparación del presupuesto. La Dirección General del Presupuesto Nacional, previa consulta con el Ministerio respectivo, preparará el presupuesto de ingresos y gastos y sus modificaciones, con base en los anteproyectos presentados por las empresas. Para los gastos de inversión se requiere del concepto favorable del Departamento Nacional de Planeación. </w:t>
      </w:r>
    </w:p>
    <w:p w14:paraId="1A0295D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3B462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concepto del Departamento Nacional de Planeación para las Empresas Industriales y Comerciales del Estado y las Sociedades de Economía Mixta sujetas al régimen de aquellas, </w:t>
      </w:r>
      <w:r w:rsidRPr="002C1480">
        <w:rPr>
          <w:rFonts w:ascii="Arial" w:eastAsia="Times New Roman" w:hAnsi="Arial" w:cs="Arial"/>
          <w:color w:val="000000"/>
          <w:lang w:eastAsia="es-CO"/>
        </w:rPr>
        <w:lastRenderedPageBreak/>
        <w:t>dedicadas a actividades no financieras, se emitirá en forma global y en ningún caso a nivel de proyectos de inversión. </w:t>
      </w:r>
    </w:p>
    <w:p w14:paraId="275C5A8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3" w:name="ver_30057594"/>
      <w:bookmarkEnd w:id="1303"/>
    </w:p>
    <w:p w14:paraId="1D0A3AE0" w14:textId="2A9C3DD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2.8.3.1.7. Marco Fiscal de Mediano Plazo. El Marco Fiscal de Mediano Plazo servirá de base para la aprobación y modificación del presupuesto de las Empresas en cada vigencia fiscal. Para tales efectos, la Secretaría Técnica del CONFIS comunicará a más tardar la primera semana de noviembre, los parámetros fijados en el Marco Fiscal de Mediano Plazo. </w:t>
      </w:r>
    </w:p>
    <w:p w14:paraId="0079A7E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4" w:name="ver_30057595"/>
      <w:bookmarkEnd w:id="1304"/>
    </w:p>
    <w:p w14:paraId="562AEA69" w14:textId="11AAABA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2.8.3.1.8. Presentación y aprobación del Presupuesto. La Dirección General del Presupuesto Público Nacional presentará al Consejo Superior de Política Fiscal, CONFIS, el proyecto de presupuesto de ingresos y gastos y sus modificaciones. </w:t>
      </w:r>
    </w:p>
    <w:p w14:paraId="476F9F6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430EE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CONFIS o quien éste delegue, aprobará por resolución el presupuesto y sus modificaciones. </w:t>
      </w:r>
    </w:p>
    <w:p w14:paraId="7EE4FFFC"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5" w:name="ver_30057596"/>
      <w:bookmarkEnd w:id="1305"/>
    </w:p>
    <w:p w14:paraId="323D507F" w14:textId="1554BD5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2.8.3.1.9. Delegación. El CONFIS podrá delegar en las Juntas o Consejos Directivos de las Empresas Industriales y Comerciales del Estado y Sociedades de Economía Mixta sometidas al régimen de aquellas la aprobación y modificación de sus presupuestos, conforme a las directrices generales que este establezca y siempre que cumplan con los siguientes requisitos: </w:t>
      </w:r>
    </w:p>
    <w:p w14:paraId="7545EBF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7ADFD7"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Desarrollen su objeto social en competencia con otros agentes o se desempeñen en mercados regulados. </w:t>
      </w:r>
    </w:p>
    <w:p w14:paraId="02EA051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D0F50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Cuenten con prácticas de Buen Gobierno Corporativo que garanticen, entre otros, la protección de sus accionistas minoritarios e inversionistas, la transparencia y revelación de información, el cumplimiento de los deberes y responsabilidades de los órganos sociales y administradores en materia presupuestal y financiera y una política de dividendos y constitución de reservas, derivadas de Códigos de Buen Gobierno adoptados en cumplimiento de estipulaciones estatutarias o legales que definirán su contenido mínimo. </w:t>
      </w:r>
    </w:p>
    <w:p w14:paraId="7953F80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60605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Acreditar una calificación anual de riesgo crediticio mayor o igual a AA-, o su equivalente, otorgada por una entidad calificadora de riesgo debidamente acreditada en el país. </w:t>
      </w:r>
    </w:p>
    <w:p w14:paraId="7D5CE46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B3852E" w14:textId="2410C53D"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CONFIS verificará el cumplimiento de lo previsto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 través de su Secretaría Ejecutiva. En caso que la empresa no cumpla con todos los requisitos establecidos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sujetará al régimen presupuestal previsto en el este título y demás normas expedidas en ejercicio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96 del Estatuto Orgánico del Presupuesto y en el plazo que el CONFIS señale. </w:t>
      </w:r>
    </w:p>
    <w:p w14:paraId="63F49AC7"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6" w:name="ver_30057597"/>
      <w:bookmarkEnd w:id="1306"/>
    </w:p>
    <w:p w14:paraId="39E2A6AD" w14:textId="5F74518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2.8.3.1.10. Desagregación del presupuesto. La responsabilidad de la desagregación del presupuesto de ingresos y gastos, conforme a las cuantías aprobadas por el CONFIS o quien éste delegue, será de los gerentes, presidentes o directores, quienes presentarán un informe de la desagregación a la Junta o Consejo Directivo, para sus observaciones, modificaciones y refrendación mediante resolución o acuerdo, antes del 1 de febrero de cada año. </w:t>
      </w:r>
    </w:p>
    <w:p w14:paraId="47210148"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3AF71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distribución se dará prioridad a los sueldos de personal, prestaciones sociales, servicios públicos, seguros, mantenimiento, sentencias, pensiones y transferencias asociadas a la nómina. </w:t>
      </w:r>
    </w:p>
    <w:p w14:paraId="6926996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D6FE8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ejecución del presupuesto podrá iniciarse con la desagregación efectuada por los gerentes, presidentes o directores de las empresas. El presupuesto distribuido se remitirá al Ministerio de </w:t>
      </w:r>
      <w:r w:rsidRPr="002C1480">
        <w:rPr>
          <w:rFonts w:ascii="Arial" w:eastAsia="Times New Roman" w:hAnsi="Arial" w:cs="Arial"/>
          <w:color w:val="000000"/>
          <w:lang w:eastAsia="es-CO"/>
        </w:rPr>
        <w:lastRenderedPageBreak/>
        <w:t>Hacienda y Crédito Público-Dirección General del Presupuesto Público Nacional y al Departamento Nacional de Planeación a más tardar el 15 de febrero de cada año. </w:t>
      </w:r>
    </w:p>
    <w:p w14:paraId="784EA56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7" w:name="ver_30057598"/>
      <w:bookmarkEnd w:id="1307"/>
    </w:p>
    <w:p w14:paraId="7C2D3CC2" w14:textId="3E8E503E"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2.8.3.1.11. Definición apropiación. Las apropiaciones son autorizaciones máximas de gasto que tienen como fin ser comprometidas durante la vigencia fiscal respectiva. </w:t>
      </w:r>
    </w:p>
    <w:p w14:paraId="6E80E07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3087DA"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Después del 31 de diciembre de cada año las autorizaciones expiran y en consecuencia no podrán adicionarse, ni transferirse, ni contracreditarse, ni comprometerse. </w:t>
      </w:r>
    </w:p>
    <w:p w14:paraId="1978EAE2" w14:textId="77777777" w:rsidR="00A01E77" w:rsidRDefault="00A01E77" w:rsidP="00C32F85">
      <w:pPr>
        <w:spacing w:after="0" w:line="293" w:lineRule="atLeast"/>
        <w:jc w:val="both"/>
        <w:rPr>
          <w:rFonts w:ascii="Arial" w:eastAsia="Times New Roman" w:hAnsi="Arial" w:cs="Arial"/>
          <w:color w:val="000000"/>
          <w:lang w:eastAsia="es-CO"/>
        </w:rPr>
      </w:pPr>
      <w:bookmarkStart w:id="1308" w:name="ver_30057599"/>
      <w:bookmarkEnd w:id="1308"/>
    </w:p>
    <w:p w14:paraId="3E8907B4" w14:textId="17545621" w:rsidR="00AF0C09" w:rsidRPr="00A01E77" w:rsidRDefault="00AF0C09" w:rsidP="00A01E77">
      <w:pPr>
        <w:spacing w:after="0"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CAPÍTULO 2</w:t>
      </w:r>
    </w:p>
    <w:p w14:paraId="29F9516B" w14:textId="77777777" w:rsidR="00AF0C09" w:rsidRPr="00A01E77" w:rsidRDefault="00AF0C09" w:rsidP="00A01E77">
      <w:pPr>
        <w:spacing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EJECUCION PRESUPUESTAL</w:t>
      </w:r>
    </w:p>
    <w:p w14:paraId="5CB54538"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09" w:name="ver_30057600"/>
      <w:bookmarkEnd w:id="1309"/>
    </w:p>
    <w:p w14:paraId="312D5CE5" w14:textId="1756A77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2.8.3.2.1. Disponibilidad y Registro Presupuestal. Todos los actos administrativos que afecten las apropiaciones presupuestales, deberán contar con los certificados de disponibilidad previos que garanticen la existencia de apropiación suficiente para atender estos gastos. </w:t>
      </w:r>
    </w:p>
    <w:p w14:paraId="3451981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441DC5"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estos compromisos deberán contar con registro presupuestal para que los recursos no sean desviados a ningún otro fin. En este registro se deberá indicar claramente el valor y el plazo de las prestaciones a las que haya lugar. Esta operación es un requisito de perfeccionamiento de estos actos administrativos. </w:t>
      </w:r>
    </w:p>
    <w:p w14:paraId="0536D4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87D19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no se podrán contraer obligaciones sobre apropiaciones inexistentes, o en exceso del saldo disponible, con anticipación a la apertura del crédito adicional correspondiente, o con cargo a recursos del crédito cuyos contratos no se encuentren perfeccionados, o sin que cuenten con el concepto de la Dirección General de Crédito Público y Tesoro Nacional para comprometerlos antes de su perfeccionamiento, o sin la autorización para comprometer vigencias futuras por el Consejo Superior de Política Fiscal, CONFIS o quien éste delegue. El funcionario que lo haga responderá personal y pecuniariamente de las obligaciones que se originen. </w:t>
      </w:r>
    </w:p>
    <w:p w14:paraId="24CBCA31"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10" w:name="ver_30057601"/>
      <w:bookmarkEnd w:id="1310"/>
    </w:p>
    <w:p w14:paraId="39187DFC" w14:textId="6FA763F5"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2.8.3.2.2. Autorización de Vigencias Futuras. El Consejo Superior de Política Fiscal -CONFIS, o quien éste delegue, previo concepto técnico-económico del Ministerio respectivo, podrá autorizar la asunción de obligaciones que afecten presupuestos de vigencias futuras, cuando su ejecución se inicie con presupuesto de la vigencia en curso. </w:t>
      </w:r>
    </w:p>
    <w:p w14:paraId="7BA6119F"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FF02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CONFIS, en casos excepcionales para las obras de infraestructura, energía, comunicaciones, aeronáutica, defensa y seguridad, así como para las garantías a las concesiones, podrá autorizar que se asuman obligaciones que afecten el presupuesto de vigencias futuras sin apropiación en el presupuesto del año en que se concede la autorización. </w:t>
      </w:r>
    </w:p>
    <w:p w14:paraId="4E05B33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B8B1F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las anteriores autorizaciones afecten el presupuesto de gastos de inversión, se requerirá el concepto previo y favorable del Departamento Nacional de Planeación. </w:t>
      </w:r>
    </w:p>
    <w:p w14:paraId="078F8B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F5C6A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contratos de empréstitos y las contrapartidas que en estos se estipulen no requerirán de la autorización del CONFIS para la asunción de obligaciones que afecten presupuestos de vigencias futuras. Estos contratos se regirán por las normas que regulan las operaciones de crédito público. </w:t>
      </w:r>
    </w:p>
    <w:p w14:paraId="77D1AF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3692FE"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necesarios para desarrollar estas actividades deberán ser incorporados en los presupuestos de la vigencia fiscal correspondiente. </w:t>
      </w:r>
    </w:p>
    <w:p w14:paraId="42B1F68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4ACA1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Los procesos de selección amparados con vigencias futuras excepcionales que no se adjudiquen en la vigencia fiscal en que se autorizaron, requerirán una nueva autorización, antes de su perfeccionamiento, sin que sea necesario reiniciar el proceso de selección. </w:t>
      </w:r>
    </w:p>
    <w:p w14:paraId="4B0F312E"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11" w:name="ver_30057602"/>
      <w:bookmarkEnd w:id="1311"/>
    </w:p>
    <w:p w14:paraId="20DE9CDC" w14:textId="76EF0EB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2.8.3.2.3. Modificación de Apropiaciones. El detalle de las apropiaciones podrá modificarse, mediante Acuerdo o Resolución de las Juntas o Consejos Directivos, siempre que no se modifique en cada caso el valor total de los gastos de funcionamiento, gastos de operación comercial, servicio de la deuda y gastos de inversión. </w:t>
      </w:r>
    </w:p>
    <w:p w14:paraId="17347406"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53C45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aprobada la modificación, deberá reportarse en los diez (10) días siguientes a la Dirección General del Presupuesto Público Nacional y al Departamento Nacional de Planeación. </w:t>
      </w:r>
    </w:p>
    <w:p w14:paraId="34FB121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12" w:name="ver_30057603"/>
      <w:bookmarkEnd w:id="1312"/>
    </w:p>
    <w:p w14:paraId="1EF15C83" w14:textId="56A4D29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2.8.3.2.4. Adiciones, traslados o reducciones. Las adiciones, traslados o reducciones que modifiquen el valor total de los gastos de funcionamiento, gastos de operación comercial, servicio de la deuda y gastos de inversión serán aprobados por el Consejo Superior de Política Fiscal, CONFIS, o quien éste delegue. Para estos efectos se requiere del concepto del Ministerio respectivo. Para los gastos de inversión se requiere adicionalmente el concepto favorable del Departamento Nacional de Planeación. </w:t>
      </w:r>
    </w:p>
    <w:p w14:paraId="2C76DFD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76E5B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Dirección General del Presupuesto Público Nacional y el Departamento Nacional de Planeación podrán solicitar la información que se requiera para su estudio y evaluación. </w:t>
      </w:r>
    </w:p>
    <w:p w14:paraId="1BCF893D"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13" w:name="ver_30057604"/>
      <w:bookmarkEnd w:id="1313"/>
    </w:p>
    <w:p w14:paraId="03D0984B" w14:textId="3ECDEAF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2.8.3.2.5. Requisitos para adiciones, traslados o reducciones y cruce de cuentas. Las adiciones, traslados o reducciones requerirán del certificado de disponibilidad que garantice la existencia de los recursos, expedido por el Jefe de Presupuesto o quien haga sus veces. </w:t>
      </w:r>
    </w:p>
    <w:p w14:paraId="746F326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ECE232"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las empresas industriales y comerciales del Estado y sociedades de economía mixta sujetas al régimen de aquellas, celebren convenios de reciprocidad comercial en desarrollo de su objeto social previsto en la ley de creación con entidades de derecho público o con entidades privadas, podrán realizar cruce de cuentas, los cuales deberán reflejarse en sus respectivos presupuestos. </w:t>
      </w:r>
    </w:p>
    <w:p w14:paraId="62AE7719"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1BD93D"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adelantar las operaciones de cruce de cuentas se requerirá además de los requisitos indicados en el inciso anterior, la autorización previa por parte de los ordenadores e gasto de las empresas industriales y comerciales del Estado y sociedades de economía mixta sujetas al régimen de aquellas. </w:t>
      </w:r>
    </w:p>
    <w:p w14:paraId="7BF6FD9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14" w:name="ver_30057605"/>
      <w:bookmarkEnd w:id="1314"/>
    </w:p>
    <w:p w14:paraId="4D6C01A5" w14:textId="28E7C691"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2.8.3.2.6. Asignaciones y/o Distribuciones. Cuando los órganos que hacen parte del Presupuesto General de la Nación efectúen asignaciones y/o distribuciones que afecten el presupuesto de las empresas, las juntas o consejos directivos harán los ajustes presupuestales correspondientes sin variar la destinación de los recursos, mediante acuerdo o resolución. Estos actos administrativos deben enviarse a la Dirección General del Presupuesto Público Nacional para su información y seguimiento, y además al Departamento Nacional de Planeación cuando se trate de proyectos de inversión. </w:t>
      </w:r>
    </w:p>
    <w:p w14:paraId="21170F11" w14:textId="1CD6A900"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15" w:name="ver_30057606"/>
      <w:bookmarkEnd w:id="1315"/>
    </w:p>
    <w:p w14:paraId="0CA9BEF1" w14:textId="0B1EF2AB"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2.8.3.2.7. Modificaciones al Presupuesto de Gastos cuya fuente de financiación sean recursos de crédito previamente autorizados. Las modificaciones al presupuesto de gastos de inversión que tengan como fuente de financiación recursos del crédito previamente autorizados, no requerirán de un nuevo concepto favorable del Departamento Nacional de Planeación para adelantar los trámites de incorporación al presupuesto. </w:t>
      </w:r>
    </w:p>
    <w:p w14:paraId="4D2A528D" w14:textId="7B4B3E3B"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bookmarkStart w:id="1316" w:name="ver_30057607"/>
      <w:bookmarkEnd w:id="1316"/>
    </w:p>
    <w:p w14:paraId="6BADDA44" w14:textId="4904B784"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2.8.3.2.8. Suspensión, reducción o modificación del presupuesto. El Consejo Superior de Política Fiscal, CONFIS, o quien éste delegue podrá suspender, reducir o modificar el presupuesto cuando la Dirección General del Presupuesto Público Nacional estime que los recaudos del año pueden ser inferiores al total de los gastos presupuestados; o cuando no se perfeccionen los recursos del crédito; o cuando la coherencia macroeconómica así lo exija; o cuando el Departamento Nacional de Planeación lo determine, de acuerdo con los niveles de ejecución de la inversión. </w:t>
      </w:r>
    </w:p>
    <w:p w14:paraId="5F902013" w14:textId="7E5436E7" w:rsidR="00AF0C09" w:rsidRPr="002C1480" w:rsidRDefault="00AF0C09" w:rsidP="00B27142">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17" w:name="ver_30057608"/>
      <w:bookmarkEnd w:id="1317"/>
    </w:p>
    <w:p w14:paraId="372B6B8B" w14:textId="24CBFFA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2.8.3.2.9. Prohibiciones. No se podrá tramitar o legalizar actos administrativos u obligaciones que afecten el presupuesto de gastos cuando no reúnan los requisitos legales o se configuren como hechos cumplidos. Los ordenadores de gastos responderán disciplinaria, fiscal y penalmente por incumplir lo establecido en esta norma. </w:t>
      </w:r>
    </w:p>
    <w:p w14:paraId="5D718DDD" w14:textId="77777777" w:rsidR="00A01E77" w:rsidRDefault="00A01E77" w:rsidP="00A01E77">
      <w:pPr>
        <w:spacing w:after="0" w:line="293" w:lineRule="atLeast"/>
        <w:jc w:val="center"/>
        <w:rPr>
          <w:rFonts w:ascii="Arial" w:eastAsia="Times New Roman" w:hAnsi="Arial" w:cs="Arial"/>
          <w:b/>
          <w:bCs/>
          <w:color w:val="000000"/>
          <w:lang w:eastAsia="es-CO"/>
        </w:rPr>
      </w:pPr>
      <w:bookmarkStart w:id="1318" w:name="ver_30057609"/>
      <w:bookmarkEnd w:id="1318"/>
    </w:p>
    <w:p w14:paraId="20EFFC6E" w14:textId="5E46CE9F" w:rsidR="00AF0C09" w:rsidRPr="00A01E77" w:rsidRDefault="00AF0C09" w:rsidP="00A01E77">
      <w:pPr>
        <w:spacing w:after="0"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CAPÍTULO 3</w:t>
      </w:r>
    </w:p>
    <w:p w14:paraId="31B3C4F4" w14:textId="77777777" w:rsidR="00AF0C09" w:rsidRPr="00A01E77" w:rsidRDefault="00AF0C09" w:rsidP="00A01E77">
      <w:pPr>
        <w:spacing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DISPOSICIONES VARIAS</w:t>
      </w:r>
    </w:p>
    <w:p w14:paraId="589798EF" w14:textId="77777777" w:rsidR="00AF0C09" w:rsidRPr="00A01E77" w:rsidRDefault="00AF0C09" w:rsidP="00A01E77">
      <w:pPr>
        <w:spacing w:after="0" w:line="240" w:lineRule="auto"/>
        <w:jc w:val="center"/>
        <w:rPr>
          <w:rFonts w:ascii="Arial" w:eastAsia="Times New Roman" w:hAnsi="Arial" w:cs="Arial"/>
          <w:b/>
          <w:bCs/>
          <w:color w:val="000000"/>
          <w:lang w:eastAsia="es-CO"/>
        </w:rPr>
      </w:pPr>
      <w:bookmarkStart w:id="1319" w:name="ver_30057610"/>
      <w:bookmarkEnd w:id="1319"/>
    </w:p>
    <w:p w14:paraId="4AD2EFED" w14:textId="65BC80B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2.8.3.3.1. Modificaciones a las plantas de personal. Las modificaciones a las plantas de personal requerirán de viabilidad presupuestal expedida por la Dirección General del Presupuesto Público Nacional, para lo cual podrá solicitar la información que considere necesaria. </w:t>
      </w:r>
    </w:p>
    <w:p w14:paraId="1F41ECD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20" w:name="ver_30057611"/>
      <w:bookmarkEnd w:id="1320"/>
    </w:p>
    <w:p w14:paraId="3F26A9E0" w14:textId="58CDBD0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2.8.3.3.2. Provisión de vacantes. Cuando se provean vacantes se requerirá de la certificación de su previsión en el presupuesto de la vigencia fiscal correspondiente. </w:t>
      </w:r>
    </w:p>
    <w:p w14:paraId="494FC6B3"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869014"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tal efecto, el jefe de presupuesto garantizará la existencia de los recursos del 1 de enero al 31 de diciembre de cada año fiscal. </w:t>
      </w:r>
    </w:p>
    <w:p w14:paraId="6ACEEACD" w14:textId="4BFA0963"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21" w:name="ver_30057612"/>
      <w:bookmarkEnd w:id="1321"/>
    </w:p>
    <w:p w14:paraId="1F12BA01" w14:textId="24E20049"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2.8.3.3.3. Rendición de Cuentas. Los resultados y desempeño de las Empresas Industriales y Comerciales del Estado y Sociedades de Economía Mixta sometidas al régimen de aquellas, serán de conocimiento público y se incorporarán en el informe anual al Congreso de la República del Ministro del sector al cual pertenezca dicha empresa. </w:t>
      </w:r>
    </w:p>
    <w:p w14:paraId="36CB5F06" w14:textId="7BF2D771"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22" w:name="ver_30057613"/>
      <w:bookmarkEnd w:id="1322"/>
    </w:p>
    <w:p w14:paraId="330927BF" w14:textId="490D8A0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2.8.3.3.4. Excedentes Financieros. Los excedentes financieros de las Empresas Industriales y Comerciales del Estado no societarias se liquidarán de acuerdo con el régimen previsto para las sociedades comerciales. </w:t>
      </w:r>
    </w:p>
    <w:p w14:paraId="5A5468E4"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23" w:name="ver_30057614"/>
      <w:bookmarkEnd w:id="1323"/>
    </w:p>
    <w:p w14:paraId="7348D9F7" w14:textId="4E42BB1F"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2.8.3.3.5. Convenios. Las entidades de carácter financiero, rendirán un informe trimestral al Ministerio de Hacienda y Crédito Público y al Departamento Nacional de Planeación, sobre la ejecución de los proyectos adelantados con órganos que ejecutan recursos del Presupuesto General de la Nación. </w:t>
      </w:r>
    </w:p>
    <w:p w14:paraId="4CDEC6E0"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8059D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en desarrollo de tales contratos o convenios se generen rendimientos financieros que correspondan al órgano contratante, la entidad de carácter financiero los consignará a más tardar el 28 de febrero de cada año en la Dirección General de Crédito Público y del Tesoro Nacional, y/o en las tesorerías de los órganos del Presupuesto General de la Nación cuando correspondan a recursos propios. </w:t>
      </w:r>
    </w:p>
    <w:p w14:paraId="356BE06C" w14:textId="43A5B988" w:rsidR="00AF0C09" w:rsidRPr="002C1480" w:rsidRDefault="002C1480" w:rsidP="00C32F85">
      <w:pPr>
        <w:spacing w:after="0" w:line="254" w:lineRule="atLeast"/>
        <w:jc w:val="both"/>
        <w:rPr>
          <w:rFonts w:ascii="Arial" w:eastAsia="Times New Roman" w:hAnsi="Arial" w:cs="Arial"/>
          <w:color w:val="000000"/>
          <w:lang w:eastAsia="es-CO"/>
        </w:rPr>
      </w:pPr>
      <w:bookmarkStart w:id="1324" w:name="ver_30057615"/>
      <w:bookmarkEnd w:id="1324"/>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2.8.3.3.6. Información presupuestal. Las empresas enviarán a la Dirección General del Presupuesto Público Nacional y a la Dirección de Inversiones y Finanzas Públicas del Departamento Nacional de Planeación toda la información que sea necesaria para la </w:t>
      </w:r>
      <w:r w:rsidR="00AF0C09" w:rsidRPr="002C1480">
        <w:rPr>
          <w:rFonts w:ascii="Arial" w:eastAsia="Times New Roman" w:hAnsi="Arial" w:cs="Arial"/>
          <w:color w:val="000000"/>
          <w:lang w:eastAsia="es-CO"/>
        </w:rPr>
        <w:lastRenderedPageBreak/>
        <w:t>programación, ejecución y seguimiento financiero de sus presupuestos, con la periodicidad y el detalle que determinen a este respecto. </w:t>
      </w:r>
    </w:p>
    <w:p w14:paraId="7B75B960" w14:textId="0A7053E0"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25" w:name="ver_30057616"/>
      <w:bookmarkEnd w:id="1325"/>
    </w:p>
    <w:p w14:paraId="6E55905B" w14:textId="645E5E62"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2.8.3.3.7. Suspensión de Trámites por incumplimientos. El Ministerio de Hacienda y Crédito Público -Dirección General del Presupuesto Público Nacional, podrá abstenerse de adelantar los trámites de cualquier operación presupuestal cuando las empresas no envíen los informes periódicos, la documentación complementaria que se le solicite o incumplan los objetivos y metas trazados en el Plan Financiero y en el Programa Macroeconómico del Gobierno Nacional. </w:t>
      </w:r>
    </w:p>
    <w:p w14:paraId="51736EFA"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26" w:name="ver_30057617"/>
      <w:bookmarkEnd w:id="1326"/>
    </w:p>
    <w:p w14:paraId="547545E9" w14:textId="27458477"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2.8.3.3.8. Recaudo de ingresos de otras entidades. Cuando una empresa esté facultada para recaudar ingresos que pertenecen a otras entidades no realizará operación presupuestal alguna, sin perjuicio de la vigilancia que deban ejercer los correspondientes órganos de control. </w:t>
      </w:r>
    </w:p>
    <w:p w14:paraId="23FB82E0"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27" w:name="ver_30057618"/>
      <w:bookmarkEnd w:id="1327"/>
    </w:p>
    <w:p w14:paraId="02D89422" w14:textId="2343E8BC"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2.8.3.3.9. Rendimientos Financieros. Los rendimientos financieros originados con recursos del presupuesto nacional, incluidos los negocios fiduciarios, deben ser consignados en la Dirección General de Crédito Público y Tesoro Nacional en el mes siguiente de su recaudo. Se exceptúan los rendimientos financieros generados con aportes destinados a la seguridad social. </w:t>
      </w:r>
    </w:p>
    <w:p w14:paraId="243EF9C5" w14:textId="61FD697C" w:rsidR="00AF0C09" w:rsidRPr="002C1480" w:rsidRDefault="00AF0C09"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28" w:name="ver_30057619"/>
      <w:bookmarkEnd w:id="1328"/>
    </w:p>
    <w:p w14:paraId="1F00B2D7" w14:textId="79513393"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2.8.3.3.10. Aportes de la Nación. La Nación podrá hacer aportes a las Empresas durante la vigencia fiscal para atender gastos relacionados con su objeto social. </w:t>
      </w:r>
    </w:p>
    <w:p w14:paraId="105CE456" w14:textId="77777777" w:rsidR="00B27142" w:rsidRDefault="00B27142" w:rsidP="00C32F85">
      <w:pPr>
        <w:spacing w:after="0" w:line="254" w:lineRule="atLeast"/>
        <w:jc w:val="both"/>
        <w:rPr>
          <w:rFonts w:ascii="Arial" w:eastAsia="Times New Roman" w:hAnsi="Arial" w:cs="Arial"/>
          <w:color w:val="000000"/>
          <w:lang w:eastAsia="es-CO"/>
        </w:rPr>
      </w:pPr>
    </w:p>
    <w:p w14:paraId="2D018A2B" w14:textId="727BBF0A"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2.8.3.3.11. Cajas Menores. Las empresas podrán constituir cajas menores y hacer avances previa autorización de los gerentes, siempre que se constituyan las fianzas y garantías que éstos consideren necesarias. </w:t>
      </w:r>
    </w:p>
    <w:p w14:paraId="2DBFEBC2" w14:textId="77777777" w:rsidR="00AF0C09" w:rsidRPr="002C1480" w:rsidRDefault="00AF0C09" w:rsidP="00C32F85">
      <w:pPr>
        <w:spacing w:after="0" w:line="240" w:lineRule="auto"/>
        <w:jc w:val="both"/>
        <w:rPr>
          <w:rFonts w:ascii="Arial" w:eastAsia="Times New Roman" w:hAnsi="Arial" w:cs="Arial"/>
          <w:color w:val="000000"/>
          <w:lang w:eastAsia="es-CO"/>
        </w:rPr>
      </w:pPr>
      <w:bookmarkStart w:id="1329" w:name="ver_30057621"/>
      <w:bookmarkEnd w:id="1329"/>
    </w:p>
    <w:p w14:paraId="36C43750" w14:textId="298C3470" w:rsidR="00AF0C09"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2.8.3.3.12. Destinación de utilidades. Para que en los términos del </w:t>
      </w:r>
      <w:r w:rsidRPr="002C1480">
        <w:rPr>
          <w:rFonts w:ascii="Arial" w:eastAsia="Times New Roman" w:hAnsi="Arial" w:cs="Arial"/>
          <w:color w:val="000000"/>
          <w:lang w:eastAsia="es-CO"/>
        </w:rPr>
        <w:t>ARTÍCULO</w:t>
      </w:r>
      <w:r w:rsidR="00AF0C09" w:rsidRPr="002C1480">
        <w:rPr>
          <w:rFonts w:ascii="Arial" w:eastAsia="Times New Roman" w:hAnsi="Arial" w:cs="Arial"/>
          <w:color w:val="000000"/>
          <w:lang w:eastAsia="es-CO"/>
        </w:rPr>
        <w:t xml:space="preserve"> 97 del Estatuto Orgánico del Presupuesto, el Consejo Nacional de Política Económica y Social, Conpes, imparta instrucciones respecto de la destinación que debe dársele a las utilidades que correspondan a las entidades estatales nacionales por su participación en el capital de las Empresas Industriales y Comerciales societarias del Estado y de las Sociedades de Economía Mixta con régimen de aquellas, del orden nacional, las mismas deberán enviar al Departamento Nacional de Planeación y a la Dirección General del Presupuesto Público Nacional del Ministerio de Hacienda y Crédito Público, a más tardar con un mes de antelación a la fecha de celebración de la respectiva asamblea, el proyecto de repartición de tales utilidades con base en estados financieros fidedignos cortados a 31 de diciembre del año precedente. </w:t>
      </w:r>
    </w:p>
    <w:p w14:paraId="208AB6A1"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48D0BA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en la fecha de celebración de la asamblea ordinaria de tales sociedades, el Consejo Nacional de Política Económica y Social no ha impartido las instrucciones de que trata el inciso anterior, las utilidades que correspondan por su participación a las entidades estatales nacionales, se registraran en el patrimonio social como utilidades de ejercicios anteriores, hasta que el CONPES decida sobre el particular y luego de haber apropiado los recursos correspondientes a la reserva legal y estatutaria, si fuere del caso. </w:t>
      </w:r>
    </w:p>
    <w:p w14:paraId="3205560B" w14:textId="77777777"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C2C34F" w14:textId="44B24586" w:rsidR="00AF0C09" w:rsidRPr="002C1480" w:rsidRDefault="00AF0C09"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proyecto de distribución de utilidades que remitan aquellas entidades que tengan más de un ejercicio contable deberá corresponder al periodo comprendido entre el 1º de enero y el 31 de diciembre y se enviara durante los dos primeros meses del año, con la misma antelación prevista en el primer inciso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respecto de la fecha de celebración de la asamblea. </w:t>
      </w:r>
    </w:p>
    <w:p w14:paraId="545083F9" w14:textId="2FE3DB5F" w:rsidR="005D0387" w:rsidRPr="002C1480" w:rsidRDefault="005D0387" w:rsidP="00C32F85">
      <w:pPr>
        <w:shd w:val="clear" w:color="auto" w:fill="FFFFFF" w:themeFill="background1"/>
        <w:spacing w:after="0" w:line="240" w:lineRule="auto"/>
        <w:jc w:val="both"/>
        <w:rPr>
          <w:rFonts w:ascii="Arial" w:eastAsia="Times New Roman" w:hAnsi="Arial" w:cs="Arial"/>
          <w:lang w:eastAsia="es-CO"/>
        </w:rPr>
      </w:pPr>
    </w:p>
    <w:p w14:paraId="099D4D4C" w14:textId="77777777" w:rsidR="00806282" w:rsidRPr="00A01E77" w:rsidRDefault="00806282" w:rsidP="00A01E77">
      <w:pPr>
        <w:shd w:val="clear" w:color="auto" w:fill="FFFFFF" w:themeFill="background1"/>
        <w:spacing w:after="0" w:line="240" w:lineRule="auto"/>
        <w:jc w:val="center"/>
        <w:rPr>
          <w:rFonts w:ascii="Arial" w:eastAsia="Times New Roman" w:hAnsi="Arial" w:cs="Arial"/>
          <w:b/>
          <w:bCs/>
          <w:lang w:eastAsia="es-CO"/>
        </w:rPr>
      </w:pPr>
      <w:r w:rsidRPr="00A01E77">
        <w:rPr>
          <w:rFonts w:ascii="Arial" w:eastAsia="Times New Roman" w:hAnsi="Arial" w:cs="Arial"/>
          <w:b/>
          <w:bCs/>
          <w:lang w:eastAsia="es-CO"/>
        </w:rPr>
        <w:t>TÍTULO 4</w:t>
      </w:r>
    </w:p>
    <w:p w14:paraId="2A9FEA9E" w14:textId="77777777" w:rsidR="00806282" w:rsidRPr="00A01E77" w:rsidRDefault="00806282" w:rsidP="00A01E77">
      <w:pPr>
        <w:shd w:val="clear" w:color="auto" w:fill="FFFFFF" w:themeFill="background1"/>
        <w:spacing w:after="0" w:line="240" w:lineRule="auto"/>
        <w:jc w:val="center"/>
        <w:rPr>
          <w:rFonts w:ascii="Arial" w:eastAsia="Times New Roman" w:hAnsi="Arial" w:cs="Arial"/>
          <w:b/>
          <w:bCs/>
          <w:lang w:eastAsia="es-CO"/>
        </w:rPr>
      </w:pPr>
      <w:r w:rsidRPr="00A01E77">
        <w:rPr>
          <w:rFonts w:ascii="Arial" w:eastAsia="Times New Roman" w:hAnsi="Arial" w:cs="Arial"/>
          <w:b/>
          <w:bCs/>
          <w:lang w:eastAsia="es-CO"/>
        </w:rPr>
        <w:lastRenderedPageBreak/>
        <w:t>MEDIDAS DE AUSTERIDAD DEL GASTO PÚBLICO</w:t>
      </w:r>
    </w:p>
    <w:p w14:paraId="53F88497" w14:textId="77777777" w:rsidR="00806282" w:rsidRPr="00A01E77" w:rsidRDefault="00806282" w:rsidP="00A01E77">
      <w:pPr>
        <w:shd w:val="clear" w:color="auto" w:fill="FFFFFF" w:themeFill="background1"/>
        <w:spacing w:after="0" w:line="240" w:lineRule="auto"/>
        <w:jc w:val="center"/>
        <w:rPr>
          <w:rFonts w:ascii="Arial" w:eastAsia="Times New Roman" w:hAnsi="Arial" w:cs="Arial"/>
          <w:b/>
          <w:bCs/>
          <w:lang w:eastAsia="es-CO"/>
        </w:rPr>
      </w:pPr>
    </w:p>
    <w:p w14:paraId="000382DB" w14:textId="77777777" w:rsidR="00806282" w:rsidRPr="00A01E77" w:rsidRDefault="00806282" w:rsidP="00A01E77">
      <w:pPr>
        <w:shd w:val="clear" w:color="auto" w:fill="FFFFFF" w:themeFill="background1"/>
        <w:spacing w:after="0" w:line="240" w:lineRule="auto"/>
        <w:jc w:val="center"/>
        <w:rPr>
          <w:rFonts w:ascii="Arial" w:eastAsia="Times New Roman" w:hAnsi="Arial" w:cs="Arial"/>
          <w:b/>
          <w:bCs/>
          <w:lang w:eastAsia="es-CO"/>
        </w:rPr>
      </w:pPr>
      <w:r w:rsidRPr="00A01E77">
        <w:rPr>
          <w:rFonts w:ascii="Arial" w:eastAsia="Times New Roman" w:hAnsi="Arial" w:cs="Arial"/>
          <w:b/>
          <w:bCs/>
          <w:lang w:eastAsia="es-CO"/>
        </w:rPr>
        <w:t>CAPÍTULO 1</w:t>
      </w:r>
    </w:p>
    <w:p w14:paraId="520B2538" w14:textId="77777777" w:rsidR="00806282" w:rsidRPr="00A01E77" w:rsidRDefault="00806282" w:rsidP="00A01E77">
      <w:pPr>
        <w:shd w:val="clear" w:color="auto" w:fill="FFFFFF" w:themeFill="background1"/>
        <w:spacing w:after="0" w:line="240" w:lineRule="auto"/>
        <w:jc w:val="center"/>
        <w:rPr>
          <w:rFonts w:ascii="Arial" w:eastAsia="Times New Roman" w:hAnsi="Arial" w:cs="Arial"/>
          <w:b/>
          <w:bCs/>
          <w:lang w:eastAsia="es-CO"/>
        </w:rPr>
      </w:pPr>
      <w:r w:rsidRPr="00A01E77">
        <w:rPr>
          <w:rFonts w:ascii="Arial" w:eastAsia="Times New Roman" w:hAnsi="Arial" w:cs="Arial"/>
          <w:b/>
          <w:bCs/>
          <w:lang w:eastAsia="es-CO"/>
        </w:rPr>
        <w:t>AMBITO DE APLICACIÓN</w:t>
      </w:r>
    </w:p>
    <w:p w14:paraId="109FC973" w14:textId="77777777" w:rsidR="00806282" w:rsidRPr="00A01E77" w:rsidRDefault="00806282" w:rsidP="00A01E77">
      <w:pPr>
        <w:shd w:val="clear" w:color="auto" w:fill="FFFFFF" w:themeFill="background1"/>
        <w:spacing w:after="0" w:line="240" w:lineRule="auto"/>
        <w:jc w:val="center"/>
        <w:rPr>
          <w:rFonts w:ascii="Arial" w:eastAsia="Times New Roman" w:hAnsi="Arial" w:cs="Arial"/>
          <w:b/>
          <w:bCs/>
          <w:lang w:eastAsia="es-CO"/>
        </w:rPr>
      </w:pPr>
    </w:p>
    <w:p w14:paraId="5CFFF261" w14:textId="5EB6B81F" w:rsidR="00806282" w:rsidRPr="002C1480" w:rsidRDefault="002C1480"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ARTÍCULO</w:t>
      </w:r>
      <w:r w:rsidR="00806282" w:rsidRPr="002C1480">
        <w:rPr>
          <w:rFonts w:ascii="Arial" w:eastAsia="Times New Roman" w:hAnsi="Arial" w:cs="Arial"/>
          <w:lang w:eastAsia="es-CO"/>
        </w:rPr>
        <w:t xml:space="preserve"> 2.8.4.1.1. Campo de aplicación. Se sujetan a la regulación de este título, salvo en lo expresamente aquí exceptuando, los organismos, entidades, entes públicos, y personas jurídicas que financien sus gastos con recursos del Tesoro Público.</w:t>
      </w:r>
    </w:p>
    <w:p w14:paraId="60E24885" w14:textId="77777777" w:rsidR="00806282" w:rsidRPr="002C1480" w:rsidRDefault="00806282" w:rsidP="00C32F85">
      <w:pPr>
        <w:shd w:val="clear" w:color="auto" w:fill="FFFFFF" w:themeFill="background1"/>
        <w:spacing w:after="0" w:line="240" w:lineRule="auto"/>
        <w:jc w:val="both"/>
        <w:rPr>
          <w:rFonts w:ascii="Arial" w:eastAsia="Times New Roman" w:hAnsi="Arial" w:cs="Arial"/>
          <w:lang w:eastAsia="es-CO"/>
        </w:rPr>
      </w:pPr>
    </w:p>
    <w:p w14:paraId="6404EEBB" w14:textId="19121E64" w:rsidR="00806282" w:rsidRPr="002C1480" w:rsidRDefault="002C1480" w:rsidP="00C32F85">
      <w:pPr>
        <w:shd w:val="clear" w:color="auto" w:fill="FFFFFF" w:themeFill="background1"/>
        <w:spacing w:after="0" w:line="240" w:lineRule="auto"/>
        <w:jc w:val="both"/>
        <w:rPr>
          <w:rFonts w:ascii="Arial" w:eastAsia="Times New Roman" w:hAnsi="Arial" w:cs="Arial"/>
          <w:lang w:eastAsia="es-CO"/>
        </w:rPr>
      </w:pPr>
      <w:r w:rsidRPr="002C1480">
        <w:rPr>
          <w:rFonts w:ascii="Arial" w:eastAsia="Times New Roman" w:hAnsi="Arial" w:cs="Arial"/>
          <w:lang w:eastAsia="es-CO"/>
        </w:rPr>
        <w:t>ARTÍCULO</w:t>
      </w:r>
      <w:r w:rsidR="00806282" w:rsidRPr="002C1480">
        <w:rPr>
          <w:rFonts w:ascii="Arial" w:eastAsia="Times New Roman" w:hAnsi="Arial" w:cs="Arial"/>
          <w:lang w:eastAsia="es-CO"/>
        </w:rPr>
        <w:t xml:space="preserve"> 2.8.4.1.2. Medidas para las entidades territoriales. Las entidades territoriales adoptarán medidas equivalentes a las aquí dispuestas en sus organizaciones administrativas.</w:t>
      </w:r>
    </w:p>
    <w:p w14:paraId="23417330" w14:textId="20ECBF19" w:rsidR="00B740DC" w:rsidRPr="002C1480" w:rsidRDefault="00B740DC" w:rsidP="00C32F85">
      <w:pPr>
        <w:shd w:val="clear" w:color="auto" w:fill="FFFFFF" w:themeFill="background1"/>
        <w:spacing w:after="0" w:line="240" w:lineRule="auto"/>
        <w:jc w:val="both"/>
        <w:rPr>
          <w:rFonts w:ascii="Arial" w:eastAsia="Times New Roman" w:hAnsi="Arial" w:cs="Arial"/>
          <w:lang w:eastAsia="es-CO"/>
        </w:rPr>
      </w:pPr>
    </w:p>
    <w:p w14:paraId="7BF3C21C" w14:textId="77777777" w:rsidR="00B740DC" w:rsidRPr="00A01E77" w:rsidRDefault="00B740DC" w:rsidP="00A01E77">
      <w:pPr>
        <w:spacing w:after="0"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CAPÍTULO 2</w:t>
      </w:r>
    </w:p>
    <w:p w14:paraId="516AA9E7" w14:textId="77777777" w:rsidR="00B740DC" w:rsidRPr="00A01E77" w:rsidRDefault="00B740DC" w:rsidP="00A01E77">
      <w:pPr>
        <w:spacing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COMISIONES AL EXTERIOR</w:t>
      </w:r>
    </w:p>
    <w:p w14:paraId="0404D4F8"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0" w:name="ver_30057626"/>
      <w:bookmarkEnd w:id="1330"/>
    </w:p>
    <w:p w14:paraId="486ADD99" w14:textId="01B09038"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2.8.4.2.1. Comisiones al exterior. Las comisiones de servicio al exterior de los servidores públicos de los órganos adscritos o vinculados serán conferidas por el jefe del órgano público respectivo. </w:t>
      </w:r>
    </w:p>
    <w:p w14:paraId="46C41691"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A2864D"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Todas las demás comisiones, incluidas las del jefe del órgano adscrito o vinculado a que hace referencia el inciso anterior, continuarán siendo otorgadas de conformidad con las disposiciones vigentes. </w:t>
      </w:r>
    </w:p>
    <w:p w14:paraId="4C0906FF"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1" w:name="ver_30057627"/>
      <w:bookmarkEnd w:id="1331"/>
    </w:p>
    <w:p w14:paraId="115E5136" w14:textId="30B23AA8"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2.8.4.2.2. Comisiones para cumplir compromisos en representación del gobierno.  </w:t>
      </w:r>
    </w:p>
    <w:p w14:paraId="6A5E3FA9"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BD1554"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comisiones para cumplir compromisos en representación del Gobierno colombiano, con organismos o entidades internacionales de las cuales Colombia haga parte, deberán comunicarse previamente al Ministerio de Relaciones Exteriores, con el fin de actuar coordinadamente en el exterior y mejorar la gestión diplomática del Gobierno. Las que tengan por objeto negociar o tramitar empréstitos requerirán autorización previa del Ministerio de Hacienda y Crédito Público. </w:t>
      </w:r>
    </w:p>
    <w:p w14:paraId="506FE8C6" w14:textId="13EF26D3" w:rsidR="00B740DC" w:rsidRDefault="00B740DC"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32" w:name="ver_30057628"/>
      <w:bookmarkEnd w:id="1332"/>
    </w:p>
    <w:p w14:paraId="7041D230" w14:textId="2FB5E1F3"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2.8.4.2.3. Reembolso de pasajes. El valor de los pasajes o de los viáticos no utilizados deberá reembolsarse, en forma inmediata, al órgano público. </w:t>
      </w:r>
    </w:p>
    <w:p w14:paraId="50AD046F" w14:textId="77777777" w:rsidR="00B27142" w:rsidRDefault="00B27142" w:rsidP="00A01E77">
      <w:pPr>
        <w:spacing w:after="0" w:line="293" w:lineRule="atLeast"/>
        <w:jc w:val="center"/>
        <w:rPr>
          <w:rFonts w:ascii="Arial" w:eastAsia="Times New Roman" w:hAnsi="Arial" w:cs="Arial"/>
          <w:b/>
          <w:bCs/>
          <w:color w:val="000000"/>
          <w:lang w:eastAsia="es-CO"/>
        </w:rPr>
      </w:pPr>
      <w:bookmarkStart w:id="1333" w:name="ver_30057629"/>
      <w:bookmarkEnd w:id="1333"/>
    </w:p>
    <w:p w14:paraId="08308449" w14:textId="5C62ADA9" w:rsidR="00B740DC" w:rsidRPr="00A01E77" w:rsidRDefault="00B740DC" w:rsidP="00A01E77">
      <w:pPr>
        <w:spacing w:after="0"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CAPÍTULO 3</w:t>
      </w:r>
    </w:p>
    <w:p w14:paraId="484F9C31" w14:textId="77777777" w:rsidR="00B740DC" w:rsidRPr="00A01E77" w:rsidRDefault="00B740DC" w:rsidP="00A01E77">
      <w:pPr>
        <w:spacing w:line="293" w:lineRule="atLeast"/>
        <w:jc w:val="center"/>
        <w:rPr>
          <w:rFonts w:ascii="Arial" w:eastAsia="Times New Roman" w:hAnsi="Arial" w:cs="Arial"/>
          <w:b/>
          <w:bCs/>
          <w:color w:val="000000"/>
          <w:lang w:eastAsia="es-CO"/>
        </w:rPr>
      </w:pPr>
      <w:r w:rsidRPr="00A01E77">
        <w:rPr>
          <w:rFonts w:ascii="Arial" w:eastAsia="Times New Roman" w:hAnsi="Arial" w:cs="Arial"/>
          <w:b/>
          <w:bCs/>
          <w:color w:val="000000"/>
          <w:lang w:eastAsia="es-CO"/>
        </w:rPr>
        <w:t>CONTRATACIÓN ADMINISTRATIVA</w:t>
      </w:r>
    </w:p>
    <w:p w14:paraId="3127DC11"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4" w:name="ver_30057630"/>
      <w:bookmarkEnd w:id="1334"/>
    </w:p>
    <w:p w14:paraId="613250F7" w14:textId="659848FC"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 Desembolsos sujetos al PAC. En los contratos no se podrán pactar desembolsos en cuantías que excedan el programa anual de caja aprobado por el Consejo Superior de Política Fiscal o las metas de pago establecidas por éste. </w:t>
      </w:r>
    </w:p>
    <w:p w14:paraId="275B92D7"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5" w:name="ver_30057631"/>
      <w:bookmarkEnd w:id="1335"/>
    </w:p>
    <w:p w14:paraId="7F1D18CB" w14:textId="6DEC05F0"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2.8.4.3.2. Reservas presupuestales y perfeccionamiento de contratos. Las reservas presupuéstales provenientes de relaciones contractuales sólo podrán constituirse con fundamento en los contratos debidamente perfeccionados, cuando se haya adjudicado una licitación, concurso de méritos o cualquier otro proceso de selección del contratista con todos los requerimientos legales, incluida la disponibilidad presupuestal, y su perfeccionamiento se efectúa en la vigencia fiscal siguiente, se atenderá con el presupuesto de esta última vigencia, previo el cumplimiento de los procedimientos presupuestales correspondientes. </w:t>
      </w:r>
    </w:p>
    <w:p w14:paraId="1A4D2A05"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1D51C87A"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efectos de la previsión contenida en el inciso precedente, constituirán compromisos debidamente perfeccionados la aceptación de oferta o la suscripción de LOA (letter of offer and acceptance), realizadas en desarrollo de convenios entre el Gobierno Colombiano y Gobiernos Extranjeros, con el propósito de adquirir equipos para la defensa y seguridad nacional por parte del Ministerio de Defensa Nacional con destino a la fuerza pública. </w:t>
      </w:r>
    </w:p>
    <w:p w14:paraId="7B8991F8"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6" w:name="ver_30057632"/>
      <w:bookmarkEnd w:id="1336"/>
    </w:p>
    <w:p w14:paraId="67B1DC64" w14:textId="08DE3E19"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2.8.4.3.3. Oferta más favorable. Sin perjuicio de lo dispuesto en la Ley 80 de 1993 y demás normas que lo modifiquen, para las compras que se realicen sin licitación o concurso de méritos, los órganos públicos tendrán en cuenta las condiciones que el mercado ofrezca y escogerán la más eficiente y favorable para el Tesoro Público. </w:t>
      </w:r>
    </w:p>
    <w:p w14:paraId="1F0987C4"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7" w:name="ver_30057633"/>
      <w:bookmarkEnd w:id="1337"/>
    </w:p>
    <w:p w14:paraId="4BAA2D1D" w14:textId="2C5242E0"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2.8.4.3.4. Prohibiciones para el suministro, adquisición, mantenimiento o reparación de bienes muebles. No se podrán iniciar trámites de licitación, contrataciones directas, o celebración de contratos, cuyo objeto sea la realización de cualquier trabajo material sobre bienes inmuebles, que implique mejoras útiles o suntuarias, tales como el embellecimiento, la ornamentación o la instalación o adecuación de acabados estéticos. </w:t>
      </w:r>
    </w:p>
    <w:p w14:paraId="5A91933E"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CA85F8"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sólo se podrán adelantar trámites de licitación y contrataciones para la realización de trabajos materiales sobre bienes inmuebles, cuando el contrato constituya una mejora necesaria para mantener la estructura física de dichos bienes. </w:t>
      </w:r>
    </w:p>
    <w:p w14:paraId="7D8249C4"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54D9C5" w14:textId="373F386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Ministerio de Relaciones Exteriores quedará exento de la aplicación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cuando se trate de la realización de obras que tiendan a la conservación, mantenimiento y/o adecuación de los salones de estado y de las oficinas, ya sea que se trate de inmuebles de propiedad del Fondo Rotatorio del Ministerio de Relaciones Exteriores o de inmuebles tomados en arrendamiento. Así mismo, quedará exento de la aplicación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cuando se trate de obras que tiendan a la conservación, mantenimiento y/o adecuación de los bienes inmuebles tomados en arrendamiento para el funcionamiento de las oficinas y residencias asignadas a las diferentes Misiones Diplomáticas y Oficinas Consulares de Colombia en el exterior. </w:t>
      </w:r>
    </w:p>
    <w:p w14:paraId="0E9D796A"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38" w:name="ver_30057634"/>
      <w:bookmarkEnd w:id="1338"/>
    </w:p>
    <w:p w14:paraId="4A4783F1" w14:textId="7B313E07"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2.8.4.3.5. Contratación o renovación de contratos de suministro, mantenimiento o reparación de bienes muebles. Sólo se podrán iniciar trámites para la contratación o renovación de contratos de suministro, mantenimiento o reparación de bienes muebles y para la adquisición de bienes inmuebles, cuando el Secretario General, o quien haga sus veces, determine en forma motivada que la contratación es indispensable para el normal funcionamiento de la entidad o para la prestación de los servicios a su cargo. </w:t>
      </w:r>
    </w:p>
    <w:p w14:paraId="55D65F76"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1915C0" w14:textId="5B8E2915" w:rsidR="00B740DC" w:rsidRPr="00B90184" w:rsidRDefault="00B90184" w:rsidP="00B90184">
      <w:pPr>
        <w:spacing w:line="293" w:lineRule="atLeast"/>
        <w:jc w:val="center"/>
        <w:rPr>
          <w:rFonts w:ascii="Arial" w:eastAsia="Times New Roman" w:hAnsi="Arial" w:cs="Arial"/>
          <w:b/>
          <w:bCs/>
          <w:color w:val="000000"/>
          <w:lang w:eastAsia="es-CO"/>
        </w:rPr>
      </w:pPr>
      <w:bookmarkStart w:id="1339" w:name="ver_30057635"/>
      <w:bookmarkEnd w:id="1339"/>
      <w:r w:rsidRPr="00B90184">
        <w:rPr>
          <w:rFonts w:ascii="Arial" w:eastAsia="Times New Roman" w:hAnsi="Arial" w:cs="Arial"/>
          <w:b/>
          <w:bCs/>
          <w:color w:val="000000"/>
          <w:lang w:eastAsia="es-CO"/>
        </w:rPr>
        <w:t>SECCIÓN 1. CONTRATOS O CONVENIOS CON TERCEROS PARA LA ADMINISTRACIÓN DE RECURSOS</w:t>
      </w:r>
    </w:p>
    <w:p w14:paraId="09641F1A"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40" w:name="ver_30057636"/>
      <w:bookmarkEnd w:id="1340"/>
    </w:p>
    <w:p w14:paraId="6109CC56" w14:textId="5845601F"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2.8.4.3.1.1. Envío de información de contratos y convenios con terceros para la administración de recursos. Los Secretarios Generales de los órganos que financien gastos con recursos del Tesoro Público, o quien haga sus veces, deberán enviar semestralmente a la Dirección General del Presupuesto del Ministerio de Hacienda y Crédito Público la información correspondiente a los contratos o convenios vigentes que hayan suscrito con terceros para la administración de recursos, incluyendo los convenios suscritos con entidades de derecho internacional y la información sobre el empleo de los recursos de tales convenios. </w:t>
      </w:r>
    </w:p>
    <w:p w14:paraId="4FF0D94E"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65CD6BE9"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información deberá incluir en forma discriminada para cada uno de los contratos o convenios lo siguiente: </w:t>
      </w:r>
    </w:p>
    <w:p w14:paraId="14B1BD09"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ADD19F"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fecha de convenio o contrato y su vigencia; </w:t>
      </w:r>
    </w:p>
    <w:p w14:paraId="044F81F4"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39222A"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fuente, fecha y el monto de los recursos entregados en administración; </w:t>
      </w:r>
    </w:p>
    <w:p w14:paraId="1FE0A2C1"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D09A43"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monto comprometido y el monto disponible; </w:t>
      </w:r>
    </w:p>
    <w:p w14:paraId="68BAAF24"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DDD7C3"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 lista de cada una de las personas contratadas con cargo a estos recursos, incluyendo para cada caso el valor, la vigencia y el objeto del respectivo contrato; </w:t>
      </w:r>
    </w:p>
    <w:p w14:paraId="45AB2BF5"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C220DB" w14:textId="77777777" w:rsidR="00B740DC" w:rsidRPr="002C1480" w:rsidRDefault="00B740DC"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Las solicitudes de contrataciones en curso dirigidas por los organismos que financien gastos con recursos del Tesoro Público a las entidades que administran los recursos. </w:t>
      </w:r>
    </w:p>
    <w:p w14:paraId="4B77E430" w14:textId="308FE5D9" w:rsidR="00B740DC" w:rsidRPr="002C1480" w:rsidRDefault="00B740DC"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41" w:name="ver_30057637"/>
      <w:bookmarkEnd w:id="1341"/>
    </w:p>
    <w:p w14:paraId="5179E472" w14:textId="2F00213B"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2.8.4.3.1.2. Envío de información a la DIAN. Los Secretarios Generales de los órganos que financien gastos con recursos del Tesoro Público, o quien haga sus veces deberán entregar semestralmente a la Dirección de Impuestos y Aduanas Nacionales la información correspondiente a los pagos efectuados en los dos últimos años con cargo a los recursos entregados para administración por terceros. La información se deberá entregar en forma discriminada para cada beneficiario de pagos, incluyendo la identificación de cada uno de ellos, el monto de cada pago y la fecha o fechas de pago. </w:t>
      </w:r>
    </w:p>
    <w:p w14:paraId="2B633533"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42" w:name="ver_30057638"/>
      <w:bookmarkEnd w:id="1342"/>
    </w:p>
    <w:p w14:paraId="17FCB627" w14:textId="48200BD4"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2.8.4.3.1.3. Autorizaciones. La celebración, perfeccionamiento, renovación, ampliación, modificación o prórroga de los contratos suscritos con las entidades administradoras de los recursos y la celebración, perfeccionamiento, renovación, ampliación modificación o prórroga de los contratos suscritos con cargo a los recursos administrados por terceros, deberá contar con la autorización escrita del jefe del respectivo órgano, entidad o persona jurídica que financie gastos con recursos del Tesoro Público. </w:t>
      </w:r>
    </w:p>
    <w:p w14:paraId="506DDF7F"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43" w:name="ver_30057639"/>
      <w:bookmarkEnd w:id="1343"/>
    </w:p>
    <w:p w14:paraId="2223E20E" w14:textId="15AC086D"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2.8.4.3.1.4. Cumplimiento de las disposiciones. Las dependencias encargadas del control interno en cada entidad velarán </w:t>
      </w:r>
    </w:p>
    <w:p w14:paraId="7A820568" w14:textId="21A5D82D" w:rsidR="00B740DC" w:rsidRPr="002C1480" w:rsidRDefault="00B740DC" w:rsidP="00A01E77">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44" w:name="ver_30057640"/>
      <w:bookmarkEnd w:id="1344"/>
    </w:p>
    <w:p w14:paraId="69165719" w14:textId="44421CAD"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2.8.4.3.1.5. Adopción de medidas. Los representantes del Presidente de la República y del Gobierno Nacional en las entidades descentralizadas que no estén comprendidas en la presente sección, deben proponer y propender a la mayor brevedad por la adopción de medidas similares a las dispuestas en la presente sección, a través de los órganos de dirección en los cuales tengan representación. </w:t>
      </w:r>
    </w:p>
    <w:p w14:paraId="48DA1D6D" w14:textId="77777777" w:rsidR="00B740DC" w:rsidRPr="002C1480" w:rsidRDefault="00B740DC" w:rsidP="00C32F85">
      <w:pPr>
        <w:spacing w:after="0" w:line="240" w:lineRule="auto"/>
        <w:jc w:val="both"/>
        <w:rPr>
          <w:rFonts w:ascii="Arial" w:eastAsia="Times New Roman" w:hAnsi="Arial" w:cs="Arial"/>
          <w:color w:val="000000"/>
          <w:lang w:eastAsia="es-CO"/>
        </w:rPr>
      </w:pPr>
      <w:bookmarkStart w:id="1345" w:name="ver_30057641"/>
      <w:bookmarkEnd w:id="1345"/>
    </w:p>
    <w:p w14:paraId="72A7BC68" w14:textId="0229F327" w:rsidR="00B740DC"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B740DC" w:rsidRPr="002C1480">
        <w:rPr>
          <w:rFonts w:ascii="Arial" w:eastAsia="Times New Roman" w:hAnsi="Arial" w:cs="Arial"/>
          <w:color w:val="000000"/>
          <w:lang w:eastAsia="es-CO"/>
        </w:rPr>
        <w:t xml:space="preserve"> 2.8.4.3.1.6. Contratos de Asistencia Técnica. Para todos los efectos previstos en esta sección entiéndase que los contratos de asistencia técnica con terceros que impliquen la contratación de personal son contratos para la administración de recursos. </w:t>
      </w:r>
    </w:p>
    <w:p w14:paraId="3BB0CCE0" w14:textId="77777777" w:rsidR="00B90184" w:rsidRDefault="00B90184" w:rsidP="00A01E77">
      <w:pPr>
        <w:shd w:val="clear" w:color="auto" w:fill="FFFFFF" w:themeFill="background1"/>
        <w:spacing w:after="0" w:line="240" w:lineRule="auto"/>
        <w:jc w:val="center"/>
        <w:rPr>
          <w:rFonts w:ascii="Arial" w:eastAsia="Times New Roman" w:hAnsi="Arial" w:cs="Arial"/>
          <w:b/>
          <w:bCs/>
          <w:lang w:eastAsia="es-CO"/>
        </w:rPr>
      </w:pPr>
    </w:p>
    <w:p w14:paraId="75ACB937" w14:textId="1336E30B" w:rsidR="004A324B" w:rsidRPr="00A01E77" w:rsidRDefault="004A324B" w:rsidP="00A01E77">
      <w:pPr>
        <w:shd w:val="clear" w:color="auto" w:fill="FFFFFF" w:themeFill="background1"/>
        <w:spacing w:after="0" w:line="240" w:lineRule="auto"/>
        <w:jc w:val="center"/>
        <w:rPr>
          <w:rFonts w:ascii="Arial" w:eastAsia="Times New Roman" w:hAnsi="Arial" w:cs="Arial"/>
          <w:b/>
          <w:bCs/>
          <w:lang w:eastAsia="es-CO"/>
        </w:rPr>
      </w:pPr>
      <w:r w:rsidRPr="00A01E77">
        <w:rPr>
          <w:rFonts w:ascii="Arial" w:eastAsia="Times New Roman" w:hAnsi="Arial" w:cs="Arial"/>
          <w:b/>
          <w:bCs/>
          <w:lang w:eastAsia="es-CO"/>
        </w:rPr>
        <w:t>CAPÍTULO 4</w:t>
      </w:r>
    </w:p>
    <w:p w14:paraId="06CA7F80" w14:textId="77777777" w:rsidR="004A324B" w:rsidRPr="00A01E77" w:rsidRDefault="004A324B" w:rsidP="00A01E77">
      <w:pPr>
        <w:shd w:val="clear" w:color="auto" w:fill="FFFFFF" w:themeFill="background1"/>
        <w:spacing w:after="0" w:line="240" w:lineRule="auto"/>
        <w:jc w:val="center"/>
        <w:rPr>
          <w:rFonts w:ascii="Arial" w:eastAsia="Times New Roman" w:hAnsi="Arial" w:cs="Arial"/>
          <w:b/>
          <w:bCs/>
          <w:lang w:eastAsia="es-CO"/>
        </w:rPr>
      </w:pPr>
      <w:r w:rsidRPr="00A01E77">
        <w:rPr>
          <w:rFonts w:ascii="Arial" w:eastAsia="Times New Roman" w:hAnsi="Arial" w:cs="Arial"/>
          <w:b/>
          <w:bCs/>
          <w:lang w:eastAsia="es-CO"/>
        </w:rPr>
        <w:t>ADMINISTRACIÓN DE PERSONAL, CONTRATACIÓN DE SERVICIOS PERSONALES</w:t>
      </w:r>
    </w:p>
    <w:p w14:paraId="218A0B1F" w14:textId="77777777" w:rsidR="00A76441" w:rsidRPr="002C1480" w:rsidRDefault="00A76441" w:rsidP="00C32F85">
      <w:pPr>
        <w:spacing w:after="0" w:line="240" w:lineRule="auto"/>
        <w:jc w:val="both"/>
        <w:rPr>
          <w:rFonts w:ascii="Arial" w:hAnsi="Arial" w:cs="Arial"/>
        </w:rPr>
      </w:pPr>
    </w:p>
    <w:p w14:paraId="47D971E3" w14:textId="732D263B"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2.8.4.4.1. Provisión de vacantes de personal. Cuando se provean vacantes de personal se requerirá de la certificación de disponibilidad suficiente de recursos por todos los conceptos en el presupuesto de la vigencia fiscal del respectivo año.</w:t>
      </w:r>
    </w:p>
    <w:p w14:paraId="35C7F135" w14:textId="77777777" w:rsidR="004A324B" w:rsidRPr="002C1480" w:rsidRDefault="004A324B" w:rsidP="00C32F85">
      <w:pPr>
        <w:spacing w:after="0" w:line="240" w:lineRule="auto"/>
        <w:jc w:val="both"/>
        <w:rPr>
          <w:rFonts w:ascii="Arial" w:hAnsi="Arial" w:cs="Arial"/>
        </w:rPr>
      </w:pPr>
    </w:p>
    <w:p w14:paraId="527D5685" w14:textId="26208844"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2.8.4.4.2. Convenciones o Pactos Colectivos. Las convenciones o pactos colectivos se ajustarán a las pautas generales fijadas por el Consejo Nacional de Política Económica y Social, Conpes.</w:t>
      </w:r>
    </w:p>
    <w:p w14:paraId="55F81FCF" w14:textId="77777777" w:rsidR="004A324B" w:rsidRPr="002C1480" w:rsidRDefault="004A324B" w:rsidP="00C32F85">
      <w:pPr>
        <w:spacing w:after="0" w:line="240" w:lineRule="auto"/>
        <w:jc w:val="both"/>
        <w:rPr>
          <w:rFonts w:ascii="Arial" w:hAnsi="Arial" w:cs="Arial"/>
        </w:rPr>
      </w:pPr>
    </w:p>
    <w:p w14:paraId="2AE9378B" w14:textId="1C01A417"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2.8.4.4.3. Horas extras y comisiones. La autorización de horas extras y comisiones sólo se hará cuando así lo impongan las necesidades reales e imprescindibles de los órganos públicos, de conformidad con las normas legales vigentes.</w:t>
      </w:r>
    </w:p>
    <w:p w14:paraId="081E9FFE" w14:textId="77777777" w:rsidR="004A324B" w:rsidRPr="002C1480" w:rsidRDefault="004A324B" w:rsidP="00C32F85">
      <w:pPr>
        <w:spacing w:after="0" w:line="240" w:lineRule="auto"/>
        <w:jc w:val="both"/>
        <w:rPr>
          <w:rFonts w:ascii="Arial" w:hAnsi="Arial" w:cs="Arial"/>
        </w:rPr>
      </w:pPr>
    </w:p>
    <w:p w14:paraId="19EC91C4" w14:textId="67A6325D"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2.8.4.4.4. Provisión y desvinculación de cargos. Los jefes de los órganos públicos velarán porque la provisión y desvinculación de cargos se haga de acuerdo con la norma vigente y previa el cumplimiento de los requisitos legales.</w:t>
      </w:r>
    </w:p>
    <w:p w14:paraId="23A0D26A" w14:textId="77777777" w:rsidR="004A324B" w:rsidRPr="002C1480" w:rsidRDefault="004A324B" w:rsidP="00C32F85">
      <w:pPr>
        <w:spacing w:after="0" w:line="240" w:lineRule="auto"/>
        <w:jc w:val="both"/>
        <w:rPr>
          <w:rFonts w:ascii="Arial" w:hAnsi="Arial" w:cs="Arial"/>
        </w:rPr>
      </w:pPr>
    </w:p>
    <w:p w14:paraId="6BB4E78D" w14:textId="77777777" w:rsidR="004A324B" w:rsidRPr="002C1480" w:rsidRDefault="004A324B" w:rsidP="00C32F85">
      <w:pPr>
        <w:spacing w:after="0" w:line="240" w:lineRule="auto"/>
        <w:jc w:val="both"/>
        <w:rPr>
          <w:rFonts w:ascii="Arial" w:hAnsi="Arial" w:cs="Arial"/>
        </w:rPr>
      </w:pPr>
      <w:r w:rsidRPr="002C1480">
        <w:rPr>
          <w:rFonts w:ascii="Arial" w:hAnsi="Arial" w:cs="Arial"/>
        </w:rPr>
        <w:t>En consecuencia, para los empleados de libre nombramiento y remoción quedan abolidas todas las autorizaciones previas para su provisión o su desvinculación.</w:t>
      </w:r>
    </w:p>
    <w:p w14:paraId="7984FFDE" w14:textId="77777777" w:rsidR="001C0F29" w:rsidRPr="002C1480" w:rsidRDefault="001C0F29" w:rsidP="00C32F85">
      <w:pPr>
        <w:spacing w:after="0" w:line="240" w:lineRule="auto"/>
        <w:jc w:val="both"/>
        <w:rPr>
          <w:rFonts w:ascii="Arial" w:hAnsi="Arial" w:cs="Arial"/>
        </w:rPr>
      </w:pPr>
    </w:p>
    <w:p w14:paraId="7E58F1BD" w14:textId="53F70670"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2.8.4.4.5. Condiciones para contratar la prestación de servicios. Los contratos de prestación de servicios con personas naturales o jurídicas, sólo se podrán celebrar cuando no exista personal de planta con capacidad para realizar las actividades que se contratarán.</w:t>
      </w:r>
    </w:p>
    <w:p w14:paraId="353ED6DF" w14:textId="77777777" w:rsidR="004A324B" w:rsidRPr="002C1480" w:rsidRDefault="004A324B" w:rsidP="00C32F85">
      <w:pPr>
        <w:spacing w:after="0" w:line="240" w:lineRule="auto"/>
        <w:jc w:val="both"/>
        <w:rPr>
          <w:rFonts w:ascii="Arial" w:hAnsi="Arial" w:cs="Arial"/>
        </w:rPr>
      </w:pPr>
    </w:p>
    <w:p w14:paraId="46C6028D" w14:textId="77777777" w:rsidR="004A324B" w:rsidRPr="002C1480" w:rsidRDefault="004A324B" w:rsidP="00C32F85">
      <w:pPr>
        <w:spacing w:after="0" w:line="240" w:lineRule="auto"/>
        <w:jc w:val="both"/>
        <w:rPr>
          <w:rFonts w:ascii="Arial" w:hAnsi="Arial" w:cs="Arial"/>
        </w:rPr>
      </w:pPr>
      <w:r w:rsidRPr="002C1480">
        <w:rPr>
          <w:rFonts w:ascii="Arial" w:hAnsi="Arial" w:cs="Arial"/>
        </w:rPr>
        <w:t>Se entiende que no existe personal de planta en el respectivo organismo, entidad, ente público o persona jurídica,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 la inexistencia de personal suficiente deberá acreditarse por el jefe del respectivo organismo.</w:t>
      </w:r>
    </w:p>
    <w:p w14:paraId="355CB763" w14:textId="77777777" w:rsidR="004A324B" w:rsidRPr="002C1480" w:rsidRDefault="004A324B" w:rsidP="00C32F85">
      <w:pPr>
        <w:spacing w:after="0" w:line="240" w:lineRule="auto"/>
        <w:jc w:val="both"/>
        <w:rPr>
          <w:rFonts w:ascii="Arial" w:hAnsi="Arial" w:cs="Arial"/>
        </w:rPr>
      </w:pPr>
    </w:p>
    <w:p w14:paraId="40F4147A" w14:textId="77777777" w:rsidR="004A324B" w:rsidRPr="002C1480" w:rsidRDefault="004A324B" w:rsidP="00C32F85">
      <w:pPr>
        <w:spacing w:after="0" w:line="240" w:lineRule="auto"/>
        <w:jc w:val="both"/>
        <w:rPr>
          <w:rFonts w:ascii="Arial" w:hAnsi="Arial" w:cs="Arial"/>
        </w:rPr>
      </w:pPr>
      <w:r w:rsidRPr="002C1480">
        <w:rPr>
          <w:rFonts w:ascii="Arial" w:hAnsi="Arial" w:cs="Arial"/>
        </w:rPr>
        <w:t>Tampoco se podrán celebrar estos contratos cuando existan relaciones contractuales vigentes con objeto igual al del contrato que se pretende suscribir, salvo autorización expresa del jefe del respectivo órgano, ente o entidad contratante. Esta autorización estará precedida de la sustentación sobre las especiales características y necesidades técnicas de las contrataciones a realizar</w:t>
      </w:r>
    </w:p>
    <w:p w14:paraId="1600B358" w14:textId="77777777" w:rsidR="00FC0E82" w:rsidRDefault="00FC0E82" w:rsidP="00C32F85">
      <w:pPr>
        <w:spacing w:after="0" w:line="240" w:lineRule="auto"/>
        <w:jc w:val="both"/>
        <w:rPr>
          <w:rFonts w:ascii="Arial" w:hAnsi="Arial" w:cs="Arial"/>
        </w:rPr>
      </w:pPr>
    </w:p>
    <w:p w14:paraId="4DF136CF" w14:textId="7BD6B274" w:rsidR="0A309A12" w:rsidRPr="002C1480" w:rsidRDefault="0A309A12" w:rsidP="6B06E71B">
      <w:pPr>
        <w:spacing w:after="0" w:line="240" w:lineRule="auto"/>
        <w:jc w:val="both"/>
        <w:rPr>
          <w:rFonts w:ascii="Arial" w:hAnsi="Arial" w:cs="Arial"/>
          <w:sz w:val="20"/>
          <w:szCs w:val="20"/>
        </w:rPr>
      </w:pPr>
      <w:r w:rsidRPr="6B06E71B">
        <w:rPr>
          <w:rFonts w:ascii="Arial" w:hAnsi="Arial" w:cs="Arial"/>
          <w:sz w:val="20"/>
          <w:szCs w:val="20"/>
        </w:rPr>
        <w:t xml:space="preserve">(ver conceptos: </w:t>
      </w:r>
      <w:hyperlink r:id="rId21">
        <w:r w:rsidRPr="6B06E71B">
          <w:rPr>
            <w:rStyle w:val="Hipervnculo"/>
            <w:rFonts w:ascii="Arial" w:hAnsi="Arial" w:cs="Arial"/>
            <w:sz w:val="20"/>
            <w:szCs w:val="20"/>
          </w:rPr>
          <w:t>C-047 del 18/2/2020</w:t>
        </w:r>
      </w:hyperlink>
      <w:r w:rsidR="00C64D8C" w:rsidRPr="6B06E71B">
        <w:rPr>
          <w:rStyle w:val="Hipervnculo"/>
          <w:rFonts w:ascii="Arial" w:hAnsi="Arial" w:cs="Arial"/>
          <w:sz w:val="20"/>
          <w:szCs w:val="20"/>
        </w:rPr>
        <w:t xml:space="preserve">, </w:t>
      </w:r>
      <w:hyperlink r:id="rId22">
        <w:r w:rsidR="00C64D8C" w:rsidRPr="6B06E71B">
          <w:rPr>
            <w:rStyle w:val="Hipervnculo"/>
            <w:rFonts w:ascii="Arial" w:hAnsi="Arial" w:cs="Arial"/>
            <w:sz w:val="20"/>
            <w:szCs w:val="20"/>
          </w:rPr>
          <w:t>C−106 del 7/04/2021</w:t>
        </w:r>
      </w:hyperlink>
      <w:r w:rsidR="00700D13">
        <w:rPr>
          <w:rFonts w:ascii="Arial" w:hAnsi="Arial" w:cs="Arial"/>
          <w:sz w:val="20"/>
          <w:szCs w:val="20"/>
        </w:rPr>
        <w:t xml:space="preserve">, </w:t>
      </w:r>
      <w:hyperlink r:id="rId23" w:history="1">
        <w:r w:rsidR="00700D13" w:rsidRPr="0092744A">
          <w:rPr>
            <w:rStyle w:val="Hipervnculo"/>
            <w:rFonts w:ascii="Arial" w:hAnsi="Arial" w:cs="Arial"/>
            <w:sz w:val="20"/>
            <w:szCs w:val="20"/>
          </w:rPr>
          <w:t>C-376 del</w:t>
        </w:r>
        <w:r w:rsidR="0092744A" w:rsidRPr="0092744A">
          <w:rPr>
            <w:rStyle w:val="Hipervnculo"/>
            <w:rFonts w:ascii="Arial" w:hAnsi="Arial" w:cs="Arial"/>
            <w:sz w:val="20"/>
            <w:szCs w:val="20"/>
          </w:rPr>
          <w:t xml:space="preserve"> 14/06/22</w:t>
        </w:r>
      </w:hyperlink>
    </w:p>
    <w:p w14:paraId="7557A545" w14:textId="77777777" w:rsidR="004A324B" w:rsidRPr="002C1480" w:rsidRDefault="004A324B" w:rsidP="00C32F85">
      <w:pPr>
        <w:spacing w:after="0" w:line="240" w:lineRule="auto"/>
        <w:jc w:val="both"/>
        <w:rPr>
          <w:rFonts w:ascii="Arial" w:hAnsi="Arial" w:cs="Arial"/>
        </w:rPr>
      </w:pPr>
    </w:p>
    <w:p w14:paraId="3E6C4ECA" w14:textId="35AE6A96"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2.8.4.4.6. Prohibición de contratar prestación de servicios de forma continúa. Está prohibido el pacto de remuneración para pago de servicios personales calificados con personas naturales, o jurídicas, encaminados a la prestación de servicios en forma continua para atender asuntos propios de la respectiva entidad, por valor mensual superior a la remuneración total mensual establecida para el jefe de la entidad.</w:t>
      </w:r>
    </w:p>
    <w:p w14:paraId="5C1765A3" w14:textId="77777777" w:rsidR="004A324B" w:rsidRPr="002C1480" w:rsidRDefault="004A324B" w:rsidP="00C32F85">
      <w:pPr>
        <w:spacing w:after="0" w:line="240" w:lineRule="auto"/>
        <w:jc w:val="both"/>
        <w:rPr>
          <w:rFonts w:ascii="Arial" w:hAnsi="Arial" w:cs="Arial"/>
        </w:rPr>
      </w:pPr>
    </w:p>
    <w:p w14:paraId="08A2F848" w14:textId="7F3BCD09" w:rsidR="004A324B" w:rsidRPr="002C1480" w:rsidRDefault="004A324B" w:rsidP="00C32F85">
      <w:pPr>
        <w:spacing w:after="0" w:line="240" w:lineRule="auto"/>
        <w:jc w:val="both"/>
        <w:rPr>
          <w:rFonts w:ascii="Arial" w:hAnsi="Arial" w:cs="Arial"/>
        </w:rPr>
      </w:pPr>
      <w:r w:rsidRPr="002C1480">
        <w:rPr>
          <w:rFonts w:ascii="Arial" w:hAnsi="Arial" w:cs="Arial"/>
        </w:rPr>
        <w:t>PARÁGRAFO 1º. Se entiende por remuneración total mensual del jefe de la entidad, la que corresponda a este en cada uno de dichos períodos, sin que en ningún caso puedan tenerse en consideración los factores prestacionales.</w:t>
      </w:r>
    </w:p>
    <w:p w14:paraId="6F1BA25E" w14:textId="77777777" w:rsidR="004A324B" w:rsidRPr="002C1480" w:rsidRDefault="004A324B" w:rsidP="00C32F85">
      <w:pPr>
        <w:spacing w:after="0" w:line="240" w:lineRule="auto"/>
        <w:jc w:val="both"/>
        <w:rPr>
          <w:rFonts w:ascii="Arial" w:hAnsi="Arial" w:cs="Arial"/>
        </w:rPr>
      </w:pPr>
    </w:p>
    <w:p w14:paraId="1230E38B" w14:textId="296445EA" w:rsidR="004A324B" w:rsidRPr="002C1480" w:rsidRDefault="004A324B" w:rsidP="00C32F85">
      <w:pPr>
        <w:spacing w:after="0" w:line="240" w:lineRule="auto"/>
        <w:jc w:val="both"/>
        <w:rPr>
          <w:rFonts w:ascii="Arial" w:hAnsi="Arial" w:cs="Arial"/>
        </w:rPr>
      </w:pPr>
      <w:r w:rsidRPr="002C1480">
        <w:rPr>
          <w:rFonts w:ascii="Arial" w:hAnsi="Arial" w:cs="Arial"/>
        </w:rPr>
        <w:t xml:space="preserve">PARÁGRAFO  2º. Los servicios a que hace referencia el presente </w:t>
      </w:r>
      <w:r w:rsidR="002C1480" w:rsidRPr="002C1480">
        <w:rPr>
          <w:rFonts w:ascii="Arial" w:hAnsi="Arial" w:cs="Arial"/>
        </w:rPr>
        <w:t>ARTÍCULO</w:t>
      </w:r>
      <w:r w:rsidRPr="002C1480">
        <w:rPr>
          <w:rFonts w:ascii="Arial" w:hAnsi="Arial" w:cs="Arial"/>
        </w:rPr>
        <w:t xml:space="preserve"> corresponden exclusivamente a aquellos comprendidos en el concepto de "remuneración servicios técnicos" desarrollado en el </w:t>
      </w:r>
      <w:r w:rsidR="008D6289">
        <w:rPr>
          <w:rFonts w:ascii="Arial" w:hAnsi="Arial" w:cs="Arial"/>
        </w:rPr>
        <w:t>DECRETO</w:t>
      </w:r>
      <w:r w:rsidRPr="002C1480">
        <w:rPr>
          <w:rFonts w:ascii="Arial" w:hAnsi="Arial" w:cs="Arial"/>
        </w:rPr>
        <w:t xml:space="preserve"> de liquidación del presupuesto general de la Nación, con independencia del presupuesto con cargo al cual se realice su pago.</w:t>
      </w:r>
    </w:p>
    <w:p w14:paraId="7895F47B" w14:textId="77777777" w:rsidR="004A324B" w:rsidRPr="002C1480" w:rsidRDefault="004A324B" w:rsidP="00C32F85">
      <w:pPr>
        <w:spacing w:after="0" w:line="240" w:lineRule="auto"/>
        <w:jc w:val="both"/>
        <w:rPr>
          <w:rFonts w:ascii="Arial" w:hAnsi="Arial" w:cs="Arial"/>
        </w:rPr>
      </w:pPr>
    </w:p>
    <w:p w14:paraId="2BD0FA3C" w14:textId="77777777" w:rsidR="004A324B" w:rsidRPr="002C1480" w:rsidRDefault="004A324B" w:rsidP="00C32F85">
      <w:pPr>
        <w:spacing w:after="0" w:line="240" w:lineRule="auto"/>
        <w:jc w:val="both"/>
        <w:rPr>
          <w:rFonts w:ascii="Arial" w:hAnsi="Arial" w:cs="Arial"/>
        </w:rPr>
      </w:pPr>
      <w:r w:rsidRPr="002C1480">
        <w:rPr>
          <w:rFonts w:ascii="Arial" w:hAnsi="Arial" w:cs="Arial"/>
        </w:rPr>
        <w:t>PARÁGRAFO  3º.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parafiscales a cargo del empleador. En estos eventos el Representante Legal de la entidad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p w14:paraId="0B1CAAD7" w14:textId="77777777" w:rsidR="004A324B" w:rsidRPr="002C1480" w:rsidRDefault="004A324B" w:rsidP="00C32F85">
      <w:pPr>
        <w:spacing w:after="0" w:line="240" w:lineRule="auto"/>
        <w:jc w:val="both"/>
        <w:rPr>
          <w:rFonts w:ascii="Arial" w:hAnsi="Arial" w:cs="Arial"/>
        </w:rPr>
      </w:pPr>
    </w:p>
    <w:p w14:paraId="65D2A1D1" w14:textId="77777777" w:rsidR="004A324B" w:rsidRPr="002C1480" w:rsidRDefault="004A324B" w:rsidP="00C32F85">
      <w:pPr>
        <w:spacing w:after="0" w:line="240" w:lineRule="auto"/>
        <w:jc w:val="both"/>
        <w:rPr>
          <w:rFonts w:ascii="Arial" w:hAnsi="Arial" w:cs="Arial"/>
        </w:rPr>
      </w:pPr>
      <w:r w:rsidRPr="002C1480">
        <w:rPr>
          <w:rFonts w:ascii="Arial" w:hAnsi="Arial" w:cs="Arial"/>
        </w:rPr>
        <w:t>PARÁGRAFO  4º. Se entiende por servicios altamente calificados aquellos requeridos en situaciones de alto nivel de especialidad, complejidad y detalle.</w:t>
      </w:r>
    </w:p>
    <w:p w14:paraId="72E8D7AC" w14:textId="77777777" w:rsidR="001C0F29" w:rsidRPr="002C1480" w:rsidRDefault="001C0F29" w:rsidP="00C32F85">
      <w:pPr>
        <w:spacing w:after="0" w:line="240" w:lineRule="auto"/>
        <w:jc w:val="both"/>
        <w:rPr>
          <w:rFonts w:ascii="Arial" w:hAnsi="Arial" w:cs="Arial"/>
        </w:rPr>
      </w:pPr>
    </w:p>
    <w:p w14:paraId="69A6E368" w14:textId="287EB162" w:rsidR="001C0F29" w:rsidRPr="002C1480" w:rsidRDefault="001C0F29" w:rsidP="3B4028A9">
      <w:pPr>
        <w:spacing w:after="0" w:line="240" w:lineRule="auto"/>
        <w:jc w:val="both"/>
        <w:rPr>
          <w:rFonts w:ascii="Arial" w:hAnsi="Arial" w:cs="Arial"/>
          <w:sz w:val="20"/>
          <w:szCs w:val="20"/>
        </w:rPr>
      </w:pPr>
      <w:r w:rsidRPr="3B4028A9">
        <w:rPr>
          <w:rFonts w:ascii="Arial" w:hAnsi="Arial" w:cs="Arial"/>
          <w:sz w:val="20"/>
          <w:szCs w:val="20"/>
        </w:rPr>
        <w:t xml:space="preserve">(Ver conceptos: </w:t>
      </w:r>
      <w:hyperlink r:id="rId24">
        <w:r w:rsidRPr="3B4028A9">
          <w:rPr>
            <w:rStyle w:val="Hipervnculo"/>
            <w:rFonts w:ascii="Arial" w:hAnsi="Arial" w:cs="Arial"/>
            <w:sz w:val="20"/>
            <w:szCs w:val="20"/>
          </w:rPr>
          <w:t>420191300000</w:t>
        </w:r>
        <w:r w:rsidR="00720937" w:rsidRPr="3B4028A9">
          <w:rPr>
            <w:rStyle w:val="Hipervnculo"/>
            <w:rFonts w:ascii="Arial" w:hAnsi="Arial" w:cs="Arial"/>
            <w:sz w:val="20"/>
            <w:szCs w:val="20"/>
          </w:rPr>
          <w:t>5089 del 06/08/2019</w:t>
        </w:r>
      </w:hyperlink>
      <w:r w:rsidR="00720937" w:rsidRPr="3B4028A9">
        <w:rPr>
          <w:rFonts w:ascii="Arial" w:hAnsi="Arial" w:cs="Arial"/>
          <w:sz w:val="20"/>
          <w:szCs w:val="20"/>
        </w:rPr>
        <w:t>,</w:t>
      </w:r>
      <w:r w:rsidR="30B8509F" w:rsidRPr="3B4028A9">
        <w:rPr>
          <w:rFonts w:ascii="Arial" w:hAnsi="Arial" w:cs="Arial"/>
          <w:sz w:val="20"/>
          <w:szCs w:val="20"/>
        </w:rPr>
        <w:t xml:space="preserve"> </w:t>
      </w:r>
      <w:hyperlink r:id="rId25">
        <w:r w:rsidR="30B8509F" w:rsidRPr="3B4028A9">
          <w:rPr>
            <w:rStyle w:val="Hipervnculo"/>
            <w:rFonts w:ascii="Arial" w:hAnsi="Arial" w:cs="Arial"/>
            <w:sz w:val="20"/>
            <w:szCs w:val="20"/>
          </w:rPr>
          <w:t>C – 359 del 04/06/2020</w:t>
        </w:r>
      </w:hyperlink>
      <w:r w:rsidR="30B8509F" w:rsidRPr="3B4028A9">
        <w:rPr>
          <w:rFonts w:ascii="Arial" w:hAnsi="Arial" w:cs="Arial"/>
          <w:sz w:val="20"/>
          <w:szCs w:val="20"/>
        </w:rPr>
        <w:t xml:space="preserve">, </w:t>
      </w:r>
      <w:hyperlink r:id="rId26">
        <w:r w:rsidR="00653379" w:rsidRPr="3B4028A9">
          <w:rPr>
            <w:rStyle w:val="Hipervnculo"/>
            <w:rFonts w:ascii="Arial" w:hAnsi="Arial" w:cs="Arial"/>
            <w:sz w:val="20"/>
            <w:szCs w:val="20"/>
          </w:rPr>
          <w:t>C-475 del 22/07/2020</w:t>
        </w:r>
      </w:hyperlink>
      <w:r w:rsidR="005B46C1" w:rsidRPr="3B4028A9">
        <w:rPr>
          <w:rFonts w:ascii="Arial" w:hAnsi="Arial" w:cs="Arial"/>
          <w:sz w:val="20"/>
          <w:szCs w:val="20"/>
        </w:rPr>
        <w:t xml:space="preserve">, </w:t>
      </w:r>
      <w:hyperlink r:id="rId27">
        <w:r w:rsidR="005B46C1" w:rsidRPr="3B4028A9">
          <w:rPr>
            <w:rStyle w:val="Hipervnculo"/>
            <w:rFonts w:ascii="Arial" w:hAnsi="Arial" w:cs="Arial"/>
            <w:sz w:val="20"/>
            <w:szCs w:val="20"/>
          </w:rPr>
          <w:t>C-418</w:t>
        </w:r>
        <w:r w:rsidR="008D702B" w:rsidRPr="3B4028A9">
          <w:rPr>
            <w:rStyle w:val="Hipervnculo"/>
            <w:rFonts w:ascii="Arial" w:hAnsi="Arial" w:cs="Arial"/>
            <w:sz w:val="20"/>
            <w:szCs w:val="20"/>
          </w:rPr>
          <w:t xml:space="preserve"> del 27/07/2020</w:t>
        </w:r>
      </w:hyperlink>
      <w:r w:rsidR="008D702B" w:rsidRPr="3B4028A9">
        <w:rPr>
          <w:rFonts w:ascii="Arial" w:hAnsi="Arial" w:cs="Arial"/>
          <w:sz w:val="20"/>
          <w:szCs w:val="20"/>
        </w:rPr>
        <w:t xml:space="preserve"> </w:t>
      </w:r>
      <w:r w:rsidR="005B46C1" w:rsidRPr="3B4028A9">
        <w:rPr>
          <w:rFonts w:ascii="Arial" w:hAnsi="Arial" w:cs="Arial"/>
          <w:sz w:val="20"/>
          <w:szCs w:val="20"/>
        </w:rPr>
        <w:t xml:space="preserve">, </w:t>
      </w:r>
      <w:hyperlink r:id="rId28">
        <w:r w:rsidR="005B46C1" w:rsidRPr="3B4028A9">
          <w:rPr>
            <w:rStyle w:val="Hipervnculo"/>
            <w:rFonts w:ascii="Arial" w:hAnsi="Arial" w:cs="Arial"/>
            <w:sz w:val="20"/>
            <w:szCs w:val="20"/>
          </w:rPr>
          <w:t>C-426</w:t>
        </w:r>
        <w:r w:rsidR="0088648E" w:rsidRPr="3B4028A9">
          <w:rPr>
            <w:rStyle w:val="Hipervnculo"/>
            <w:rFonts w:ascii="Arial" w:hAnsi="Arial" w:cs="Arial"/>
            <w:sz w:val="20"/>
            <w:szCs w:val="20"/>
          </w:rPr>
          <w:t xml:space="preserve"> del </w:t>
        </w:r>
        <w:r w:rsidR="00EE19A0" w:rsidRPr="3B4028A9">
          <w:rPr>
            <w:rStyle w:val="Hipervnculo"/>
            <w:rFonts w:ascii="Arial" w:hAnsi="Arial" w:cs="Arial"/>
            <w:sz w:val="20"/>
            <w:szCs w:val="20"/>
          </w:rPr>
          <w:t>27/07/2020</w:t>
        </w:r>
      </w:hyperlink>
      <w:r w:rsidR="005B46C1" w:rsidRPr="3B4028A9">
        <w:rPr>
          <w:rFonts w:ascii="Arial" w:hAnsi="Arial" w:cs="Arial"/>
          <w:sz w:val="20"/>
          <w:szCs w:val="20"/>
        </w:rPr>
        <w:t xml:space="preserve"> y </w:t>
      </w:r>
      <w:hyperlink r:id="rId29">
        <w:r w:rsidR="005B46C1" w:rsidRPr="3B4028A9">
          <w:rPr>
            <w:rStyle w:val="Hipervnculo"/>
            <w:rFonts w:ascii="Arial" w:hAnsi="Arial" w:cs="Arial"/>
            <w:sz w:val="20"/>
            <w:szCs w:val="20"/>
          </w:rPr>
          <w:t>C</w:t>
        </w:r>
        <w:r w:rsidR="00EE19A0" w:rsidRPr="3B4028A9">
          <w:rPr>
            <w:rStyle w:val="Hipervnculo"/>
            <w:rFonts w:ascii="Arial" w:hAnsi="Arial" w:cs="Arial"/>
            <w:sz w:val="20"/>
            <w:szCs w:val="20"/>
          </w:rPr>
          <w:t xml:space="preserve"> </w:t>
        </w:r>
        <w:r w:rsidR="005B46C1" w:rsidRPr="3B4028A9">
          <w:rPr>
            <w:rStyle w:val="Hipervnculo"/>
            <w:rFonts w:ascii="Arial" w:hAnsi="Arial" w:cs="Arial"/>
            <w:sz w:val="20"/>
            <w:szCs w:val="20"/>
          </w:rPr>
          <w:t>-</w:t>
        </w:r>
        <w:r w:rsidR="00EE19A0" w:rsidRPr="3B4028A9">
          <w:rPr>
            <w:rStyle w:val="Hipervnculo"/>
            <w:rFonts w:ascii="Arial" w:hAnsi="Arial" w:cs="Arial"/>
            <w:sz w:val="20"/>
            <w:szCs w:val="20"/>
          </w:rPr>
          <w:t xml:space="preserve"> </w:t>
        </w:r>
        <w:r w:rsidR="005B46C1" w:rsidRPr="3B4028A9">
          <w:rPr>
            <w:rStyle w:val="Hipervnculo"/>
            <w:rFonts w:ascii="Arial" w:hAnsi="Arial" w:cs="Arial"/>
            <w:sz w:val="20"/>
            <w:szCs w:val="20"/>
          </w:rPr>
          <w:t>486 27/07/2020</w:t>
        </w:r>
      </w:hyperlink>
      <w:r w:rsidR="00945465" w:rsidRPr="3B4028A9">
        <w:rPr>
          <w:rFonts w:ascii="Arial" w:hAnsi="Arial" w:cs="Arial"/>
          <w:sz w:val="20"/>
          <w:szCs w:val="20"/>
        </w:rPr>
        <w:t>)</w:t>
      </w:r>
    </w:p>
    <w:p w14:paraId="426F0BC9" w14:textId="77777777" w:rsidR="004A324B" w:rsidRPr="002C1480" w:rsidRDefault="004A324B" w:rsidP="00C32F85">
      <w:pPr>
        <w:spacing w:after="0" w:line="240" w:lineRule="auto"/>
        <w:jc w:val="both"/>
        <w:rPr>
          <w:rFonts w:ascii="Arial" w:hAnsi="Arial" w:cs="Arial"/>
        </w:rPr>
      </w:pPr>
    </w:p>
    <w:p w14:paraId="3923F34A" w14:textId="6D777D22" w:rsidR="004A324B" w:rsidRPr="002C1480" w:rsidRDefault="002C1480" w:rsidP="00C32F85">
      <w:pPr>
        <w:spacing w:after="0" w:line="240" w:lineRule="auto"/>
        <w:jc w:val="both"/>
        <w:rPr>
          <w:rFonts w:ascii="Arial" w:hAnsi="Arial" w:cs="Arial"/>
        </w:rPr>
      </w:pPr>
      <w:r w:rsidRPr="002C1480">
        <w:rPr>
          <w:rFonts w:ascii="Arial" w:hAnsi="Arial" w:cs="Arial"/>
        </w:rPr>
        <w:t>ARTÍCULO</w:t>
      </w:r>
      <w:r w:rsidR="004A324B" w:rsidRPr="002C1480">
        <w:rPr>
          <w:rFonts w:ascii="Arial" w:hAnsi="Arial" w:cs="Arial"/>
        </w:rPr>
        <w:t xml:space="preserve">  2.8.4.4.7. Vinculación de supernumerarios. La vinculación de supernumerarios sólo podrá hacerse cuando no exista personal de planta suficiente para atender las actividades requeridas. En este caso, deberá motivarse la vinculación, previo estudio de las vacantes disponibles en la planta de personal.</w:t>
      </w:r>
    </w:p>
    <w:p w14:paraId="6350A3D7" w14:textId="27AA58FB" w:rsidR="00404266" w:rsidRPr="002C1480" w:rsidRDefault="00404266" w:rsidP="00C32F85">
      <w:pPr>
        <w:spacing w:after="0" w:line="240" w:lineRule="auto"/>
        <w:jc w:val="both"/>
        <w:rPr>
          <w:rFonts w:ascii="Arial" w:hAnsi="Arial" w:cs="Arial"/>
        </w:rPr>
      </w:pPr>
    </w:p>
    <w:p w14:paraId="778915B9" w14:textId="77777777" w:rsidR="00404266" w:rsidRPr="009B1E3A" w:rsidRDefault="00404266" w:rsidP="009B1E3A">
      <w:pPr>
        <w:spacing w:after="0" w:line="293" w:lineRule="atLeast"/>
        <w:jc w:val="center"/>
        <w:rPr>
          <w:rFonts w:ascii="Arial" w:eastAsia="Times New Roman" w:hAnsi="Arial" w:cs="Arial"/>
          <w:b/>
          <w:bCs/>
          <w:color w:val="000000"/>
          <w:lang w:eastAsia="es-CO"/>
        </w:rPr>
      </w:pPr>
      <w:r w:rsidRPr="009B1E3A">
        <w:rPr>
          <w:rFonts w:ascii="Arial" w:eastAsia="Times New Roman" w:hAnsi="Arial" w:cs="Arial"/>
          <w:b/>
          <w:bCs/>
          <w:color w:val="000000"/>
          <w:lang w:eastAsia="es-CO"/>
        </w:rPr>
        <w:t>CAPÍTULO 5</w:t>
      </w:r>
    </w:p>
    <w:p w14:paraId="611364F9" w14:textId="77777777" w:rsidR="00404266" w:rsidRPr="009B1E3A" w:rsidRDefault="00404266" w:rsidP="009B1E3A">
      <w:pPr>
        <w:spacing w:line="293" w:lineRule="atLeast"/>
        <w:jc w:val="center"/>
        <w:rPr>
          <w:rFonts w:ascii="Arial" w:eastAsia="Times New Roman" w:hAnsi="Arial" w:cs="Arial"/>
          <w:b/>
          <w:bCs/>
          <w:color w:val="000000"/>
          <w:lang w:eastAsia="es-CO"/>
        </w:rPr>
      </w:pPr>
      <w:r w:rsidRPr="009B1E3A">
        <w:rPr>
          <w:rFonts w:ascii="Arial" w:eastAsia="Times New Roman" w:hAnsi="Arial" w:cs="Arial"/>
          <w:b/>
          <w:bCs/>
          <w:color w:val="000000"/>
          <w:lang w:eastAsia="es-CO"/>
        </w:rPr>
        <w:t>PUBLICIDAD Y PUBLICACIONES</w:t>
      </w:r>
    </w:p>
    <w:p w14:paraId="40158D95" w14:textId="77777777" w:rsidR="00404266" w:rsidRPr="009B1E3A" w:rsidRDefault="00404266" w:rsidP="009B1E3A">
      <w:pPr>
        <w:spacing w:after="0" w:line="240" w:lineRule="auto"/>
        <w:jc w:val="center"/>
        <w:rPr>
          <w:rFonts w:ascii="Arial" w:eastAsia="Times New Roman" w:hAnsi="Arial" w:cs="Arial"/>
          <w:b/>
          <w:bCs/>
          <w:color w:val="000000"/>
          <w:lang w:eastAsia="es-CO"/>
        </w:rPr>
      </w:pPr>
      <w:bookmarkStart w:id="1346" w:name="ver_30057651"/>
      <w:bookmarkEnd w:id="1346"/>
    </w:p>
    <w:p w14:paraId="15E560E7" w14:textId="5351412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2.8.4.5.1. Actividades de divulgación. De acuerdo con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10 de la Ley 1474 de 2011, las entidades públicas podrán adelantar directa o indirectamente, actividades de divulgación de sus programas y políticas, para dar cumplimiento a la finalidad de la respectiva entidad en un marco de austeridad en el gasto y reducción real de costos, acorde con los criterios de efectividad, transparencia y objetividad. </w:t>
      </w:r>
    </w:p>
    <w:p w14:paraId="6F5C9E0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47" w:name="ver_30057652"/>
      <w:bookmarkEnd w:id="1347"/>
    </w:p>
    <w:p w14:paraId="4F270247" w14:textId="107F4D7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2.8.4.5.2. Actividades no comprendidas. No se consideran actividades de divulgación de programas y políticas, ni publicidad oficial, aquellas que realicen las entidades públicas con la finalidad de promover o facilitar el cumplimiento de la Ley en relación con los asuntos de su competencia, la satisfacción del derecho a la información de los ciudadanos o el ejercicio de sus derechos, o aquellas que tiendan simplemente a brindar una información útil a la ciudadanía, como pueden ser entre otras: </w:t>
      </w:r>
    </w:p>
    <w:p w14:paraId="268F3D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3089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originadas en actividades o situaciones de riesgo, cuya difusión tiende a prevenir o disminuir la consumación de daños a la ciudadanía; </w:t>
      </w:r>
    </w:p>
    <w:p w14:paraId="411F44C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9DB1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notificaciones, comunicaciones o publicaciones legalmente dispuestas; </w:t>
      </w:r>
    </w:p>
    <w:p w14:paraId="27A2D80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454A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comunicación o publicación de los instrumentos y demás documentos que deba realizar, de acuerdo con el ordenamiento jurídico; </w:t>
      </w:r>
    </w:p>
    <w:p w14:paraId="565622C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8211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 información de orden legal que sea de interés general para la ciudadanía. </w:t>
      </w:r>
    </w:p>
    <w:p w14:paraId="189E4EC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48" w:name="ver_30098830"/>
      <w:bookmarkEnd w:id="1348"/>
    </w:p>
    <w:p w14:paraId="0C3FE7E1" w14:textId="4E94B0C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2.8.4.5.3.Papelería. La papelería de cada uno de los órganos públicos deberá ser uniforme en su calidad, preservando claros principios de austeridad en el gasto, excepto la que utiliza el jefe de cada órgano público, los miembros del Congreso de la República y los Magistrados de las Altas Cortes. </w:t>
      </w:r>
    </w:p>
    <w:p w14:paraId="0F946306" w14:textId="77777777" w:rsidR="008C2D31" w:rsidRDefault="008C2D31" w:rsidP="00C32F85">
      <w:pPr>
        <w:spacing w:after="0" w:line="254" w:lineRule="atLeast"/>
        <w:jc w:val="both"/>
        <w:rPr>
          <w:rFonts w:ascii="Arial" w:eastAsia="Times New Roman" w:hAnsi="Arial" w:cs="Arial"/>
          <w:color w:val="000000"/>
          <w:lang w:eastAsia="es-CO"/>
        </w:rPr>
      </w:pPr>
    </w:p>
    <w:p w14:paraId="2F32AA72" w14:textId="4CAFCE9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2.8.4.5.4. Avisos institucionales. Solamente se publicarán los avisos institucionales que sean requeridos por la ley. En estas publicaciones se procurará la mayor limitación, entre otros, en cuanto a contenido, extensión tamaño y medios de publicación, de tal manera que se logre la mayor austeridad en el gasto y la reducción real de costos. </w:t>
      </w:r>
    </w:p>
    <w:p w14:paraId="453A57B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49" w:name="ver_30057654"/>
      <w:bookmarkEnd w:id="1349"/>
    </w:p>
    <w:p w14:paraId="6A444EDD" w14:textId="206FDBB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2.8.4.5.5. Impresión de folletos, informes y textos institucionales. La impresión de informes, folletos o textos institucionales se deberá hacer con observancia del orden y prioridades establecidos en normas y directivas presidenciales en cuanto respecta a la utilización de la Imprenta Nacional y de otras instituciones prestatarias de estos servicios. </w:t>
      </w:r>
    </w:p>
    <w:p w14:paraId="59925B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C8BC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las entidades objeto de esta reglamentación podrán patrocinar, contratar o realizar directamente la edición, impresión o publicación de documentos que no estén relacionados con las funciones que legalmente deben cumplir, ni contratar o patrocinar la impresión de ediciones de lujo, ni de impresiones con policromías, salvo cuando se trate de cartografía básica y temática, de las campañas institucionales de comunicación de la U.A.E. Dirección de Impuestos y Aduanas Nacionales, y de las publicaciones que requieran efectuar las Empresas Industriales y Comerciales del Estado del orden nacional que tengan un intercambio económico frecuente con empresas extranjeras o cuyo desarrollo empresarial dependa de la inversión extranjera, cuando la finalidad de tales publicaciones sea la difusión y promoción de las perspectivas económicas y posibilidades de desarrollo que ofrece el país. </w:t>
      </w:r>
    </w:p>
    <w:p w14:paraId="55F0BAA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3536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Ministerio de Relaciones Exteriores podrá realizar publicaciones de lujo o con policromías, cuando se trate de publicaciones para promocionar la imagen de Colombia en el exterior o de impresos que se requieran para el cumplimiento de las funciones protocolarias del mismo. </w:t>
      </w:r>
    </w:p>
    <w:p w14:paraId="0769DF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A20B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Ministerio de Defensa Nacional podrá editar la Revista Defensa Nacional en policromía, teniendo en cuenta que es una publicación institucional de carácter cultural, educativa e informativa, que difunde la filosofía y las políticas del Gobierno Nacional, del Ministro y de los Mandos Militares, con el propósito de mejorar la imagen institucional ante la opinión nacional e internacional. </w:t>
      </w:r>
    </w:p>
    <w:p w14:paraId="7A8F84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E3056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El Departamento Administrativo de la Presidencia de la República podrá realizar publicaciones de lujo o con policromías, en atención al carácter especial de su misión y al ejercicio de la función pública, como también al Departamento Administrativo para la Prosperidad Social y la Agencia Presidencial para la Cooperación Internacional de Colombia para el cumplimiento de su función de promoción y coordinación de la Cooperación Internacional y, solo con policromías, para el desarrollo de programas de atención a la población vulnerable y vulnerada. </w:t>
      </w:r>
    </w:p>
    <w:p w14:paraId="1653C8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8EB139" w14:textId="1A0173B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2.8.4.5.6. Prohibición de aplausos y /o censura. Las entidades objeto de la regulación de este título no podrán en ningún caso difundir expresiones de aplauso, censura, solidaridad o similares, o publicitar o promover la imagen de la entidad o sus funcionarios con cargo a recursos públicos. </w:t>
      </w:r>
    </w:p>
    <w:p w14:paraId="3A31CE8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CD877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Lo dispuesto en el inciso anterior no será aplicable al Departamento Administrativo de la Presidencia de la República cuando en ejercicio de las actividades de protocolo inherentes al desempeño de la misión presidencial, requiera la ordenación de publicación de avisos de condolencia por el fallecimiento de altos dignatarios y personajes de la vida nacional o sus familiares y de dignatarios o personajes extranjeros. </w:t>
      </w:r>
    </w:p>
    <w:p w14:paraId="677F4868" w14:textId="4D420E4A" w:rsidR="00404266" w:rsidRPr="002C1480" w:rsidRDefault="00404266" w:rsidP="009B1E3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50" w:name="ver_30057656"/>
      <w:bookmarkEnd w:id="1350"/>
    </w:p>
    <w:p w14:paraId="19099AB2" w14:textId="55BA397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2.8.4.5.7. Tarjetas de navidad, presentación, conmemoración. Está prohibido a los organismos, entidades, entes públicos y entes autónomos que utilizan recursos públicos, la impresión, suministro y utilización, con cargo a dichos recursos, de tarjetas de navidad, tarjetas de presentación o tarjetas de conmemoraciones. Se excluyen de esta restricción al Presidente de la República y al Vicepresidente de la República. </w:t>
      </w:r>
    </w:p>
    <w:p w14:paraId="617F63ED" w14:textId="77777777" w:rsidR="009B1E3A" w:rsidRDefault="009B1E3A" w:rsidP="00C32F85">
      <w:pPr>
        <w:spacing w:after="0" w:line="293" w:lineRule="atLeast"/>
        <w:jc w:val="both"/>
        <w:rPr>
          <w:rFonts w:ascii="Arial" w:eastAsia="Times New Roman" w:hAnsi="Arial" w:cs="Arial"/>
          <w:color w:val="000000"/>
          <w:lang w:eastAsia="es-CO"/>
        </w:rPr>
      </w:pPr>
      <w:bookmarkStart w:id="1351" w:name="ver_30057657"/>
      <w:bookmarkEnd w:id="1351"/>
    </w:p>
    <w:p w14:paraId="45174205" w14:textId="7A2B12DB" w:rsidR="00404266" w:rsidRPr="009B1E3A" w:rsidRDefault="00404266" w:rsidP="009B1E3A">
      <w:pPr>
        <w:spacing w:after="0" w:line="293" w:lineRule="atLeast"/>
        <w:jc w:val="center"/>
        <w:rPr>
          <w:rFonts w:ascii="Arial" w:eastAsia="Times New Roman" w:hAnsi="Arial" w:cs="Arial"/>
          <w:b/>
          <w:bCs/>
          <w:color w:val="000000"/>
          <w:lang w:eastAsia="es-CO"/>
        </w:rPr>
      </w:pPr>
      <w:r w:rsidRPr="009B1E3A">
        <w:rPr>
          <w:rFonts w:ascii="Arial" w:eastAsia="Times New Roman" w:hAnsi="Arial" w:cs="Arial"/>
          <w:b/>
          <w:bCs/>
          <w:color w:val="000000"/>
          <w:lang w:eastAsia="es-CO"/>
        </w:rPr>
        <w:t>CAPÍTULO 6</w:t>
      </w:r>
    </w:p>
    <w:p w14:paraId="284C8EB6" w14:textId="77777777" w:rsidR="00404266" w:rsidRPr="009B1E3A" w:rsidRDefault="00404266" w:rsidP="009B1E3A">
      <w:pPr>
        <w:spacing w:line="293" w:lineRule="atLeast"/>
        <w:jc w:val="center"/>
        <w:rPr>
          <w:rFonts w:ascii="Arial" w:eastAsia="Times New Roman" w:hAnsi="Arial" w:cs="Arial"/>
          <w:b/>
          <w:bCs/>
          <w:color w:val="000000"/>
          <w:lang w:eastAsia="es-CO"/>
        </w:rPr>
      </w:pPr>
      <w:r w:rsidRPr="009B1E3A">
        <w:rPr>
          <w:rFonts w:ascii="Arial" w:eastAsia="Times New Roman" w:hAnsi="Arial" w:cs="Arial"/>
          <w:b/>
          <w:bCs/>
          <w:color w:val="000000"/>
          <w:lang w:eastAsia="es-CO"/>
        </w:rPr>
        <w:t>SERVICIOS ADMINISTRATIVOS</w:t>
      </w:r>
    </w:p>
    <w:p w14:paraId="1C0BAE3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52" w:name="ver_30057658"/>
      <w:bookmarkEnd w:id="1352"/>
    </w:p>
    <w:p w14:paraId="07283700" w14:textId="032E09D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2.8.4.6.1. Cuotas a clubes y pagos de tarjetas de crédito. Está prohibida la utilización de recursos públicos para relaciones públicas para afiliación o pago de cuotas de servidores públicos a clubes sociales o para el otorgamiento y pago de tarjetas de crédito a dichos servidores </w:t>
      </w:r>
    </w:p>
    <w:p w14:paraId="230A7F02" w14:textId="77777777" w:rsidR="008C2D31" w:rsidRDefault="008C2D31" w:rsidP="00C32F85">
      <w:pPr>
        <w:spacing w:after="0" w:line="254" w:lineRule="atLeast"/>
        <w:jc w:val="both"/>
        <w:rPr>
          <w:rFonts w:ascii="Arial" w:eastAsia="Times New Roman" w:hAnsi="Arial" w:cs="Arial"/>
          <w:color w:val="000000"/>
          <w:lang w:eastAsia="es-CO"/>
        </w:rPr>
      </w:pPr>
    </w:p>
    <w:p w14:paraId="4282C7B6" w14:textId="179750F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2.8.4.6.2. Alojamiento y alimentación. Las entidades objeto de la regulación de este título no podrán con recursos públicos celebrar contratos que tengan por objeto el alojamiento, alimentación, encaminadas a desarrollar, planear o revisar las actividades y funciones que normativa y funcionalmente le competen. </w:t>
      </w:r>
    </w:p>
    <w:p w14:paraId="2E3469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BE8D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reuniones con propósitos similares tengan ocurrencia en la sede de trabajo los servicios de alimentación podrán adquirirse exclusivamente dentro de las regulaciones vigentes en materia de cajas menores. </w:t>
      </w:r>
    </w:p>
    <w:p w14:paraId="483E22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BB7655" w14:textId="694EFF2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 previsto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se aplica a los seminarios o actividades de capacitación que de acuerdo con las normas vigentes se deban ofrecer u organizar, y que sea necesario desarrollar con la presencia de los funcionarios que pertenecen a las sedes o regionales de los organismos, entidades, entes públicos y personas jurídicas de otras partes del país. </w:t>
      </w:r>
    </w:p>
    <w:p w14:paraId="3CB7605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F7AB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este caso el ordenador del gasto deberá dejar constancia de dicha situación en forma previa a la autorización del gasto. </w:t>
      </w:r>
    </w:p>
    <w:p w14:paraId="758287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850C0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Tampoco se encuentran dentro del ámbito de regulación de esta disposición, las actividades necesarias para la negociación de pactos y convenciones colectivas, o aquellas actividades que se deban adelantar o programar cuando el país sea sede de un encuentro ceremonia, asamblea o reunión de organismos internacionales o de grupos de trabajo internacionales. </w:t>
      </w:r>
    </w:p>
    <w:p w14:paraId="0559CD7F" w14:textId="462510A1" w:rsidR="00404266" w:rsidRPr="002C1480" w:rsidRDefault="00404266" w:rsidP="00906B9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53" w:name="ver_30057660"/>
      <w:bookmarkEnd w:id="1353"/>
    </w:p>
    <w:p w14:paraId="612D2301" w14:textId="216F340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2.8.4.6.3. Celebración de recepciones, fiestas, agasajos o conmemoraciones. </w:t>
      </w:r>
    </w:p>
    <w:p w14:paraId="1BA4BB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AA90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Está prohibida la realización de recepciones, fiestas, agasajos o conmemoraciones de las entidades con cargo a los recursos del Tesoro Público. </w:t>
      </w:r>
    </w:p>
    <w:p w14:paraId="3F834B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E1BA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Se exceptúan de la anterior disposición, los gastos que efectúen el Departamento Administrativo de la Presidencia de la República, y los gastos para reuniones protocolarias o internacionales que requieran realizar los Ministerios de Relaciones Exteriores, de Comercio Exterior y de Defensa </w:t>
      </w:r>
      <w:r w:rsidRPr="002C1480">
        <w:rPr>
          <w:rFonts w:ascii="Arial" w:eastAsia="Times New Roman" w:hAnsi="Arial" w:cs="Arial"/>
          <w:color w:val="000000"/>
          <w:lang w:eastAsia="es-CO"/>
        </w:rPr>
        <w:lastRenderedPageBreak/>
        <w:t>Nacional y la Policía Nacional, lo mismo que aquellas conmemoraciones de aniversarios de creación o fundación de las empresas industriales y comerciales del Estado del orden nacional cuyo significado, en criterio del Departamento Administrativo de la Presidencia de la República, revista particular importancia para la historia del país. </w:t>
      </w:r>
    </w:p>
    <w:p w14:paraId="202B60AD" w14:textId="6C5F1DB3" w:rsidR="00404266" w:rsidRPr="002C1480" w:rsidRDefault="00404266" w:rsidP="00906B9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54" w:name="ver_30057661"/>
      <w:bookmarkEnd w:id="1354"/>
    </w:p>
    <w:p w14:paraId="3B28899D" w14:textId="2587738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2.8.4.6.4. Asignación de códigos para llamadas. Los organismos, entidades, entes públicos y entes autónomos sujetos a esta reglamentación deberán, a través del área administrativa correspondiente, asignar códigos para llamadas internacionales, nacionales y a líneas celulares. Los jefes de cada área, a los cuales se asignarán teléfonos con código, serán responsables del conocimiento de dichos códigos y, consecuentemente, de evitar el uso de teléfonos con código para fines personales por parte de los funcionarios de las respectivas dependencias. </w:t>
      </w:r>
    </w:p>
    <w:p w14:paraId="69CEC936" w14:textId="22F1DD85" w:rsidR="00404266" w:rsidRPr="002C1480" w:rsidRDefault="00404266" w:rsidP="00906B9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55" w:name="ver_30057662"/>
      <w:bookmarkEnd w:id="1355"/>
    </w:p>
    <w:p w14:paraId="3D0A1E3E" w14:textId="2CC2D32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2.8.4.6.5. Asignación de Teléfonos celulares. Se podrán asignar teléfonos celulares con cargo a los recursos del Tesoro Público exclusivamente a los siguientes servidores: </w:t>
      </w:r>
    </w:p>
    <w:p w14:paraId="483713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F413A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Presidente y Vicepresidente de la República. </w:t>
      </w:r>
    </w:p>
    <w:p w14:paraId="45A3CF8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5E50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Altos Comisionados. </w:t>
      </w:r>
    </w:p>
    <w:p w14:paraId="1535D2A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DEBB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Ministros Consejeros Presidenciales. </w:t>
      </w:r>
    </w:p>
    <w:p w14:paraId="17D32E2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9F22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Secretarios y Consejeros del Departamento Administrativo de la Presidencia de la República. </w:t>
      </w:r>
    </w:p>
    <w:p w14:paraId="430144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A40E1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Ministros del Despacho. </w:t>
      </w:r>
    </w:p>
    <w:p w14:paraId="0ABD3CB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CFAA8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Viceministros. </w:t>
      </w:r>
    </w:p>
    <w:p w14:paraId="71CCBE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C091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Secretarios Generales y Directores de Ministerios. </w:t>
      </w:r>
    </w:p>
    <w:p w14:paraId="348EF3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0DE8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Directores, Subdirectores, Secretarios Generales y Jefes de Unidad de Departamentos Administrativos y funcionarios que en estos últimos, de acuerdo con sus normas orgánicas, tengan rango de directores de Ministerio. </w:t>
      </w:r>
    </w:p>
    <w:p w14:paraId="0F8CF1E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28EC0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Embajadores y Cónsules Generales de Colombia con rango de Embajador. </w:t>
      </w:r>
    </w:p>
    <w:p w14:paraId="15F3C2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8603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Superintendentes, Superintendentes Delegados y Secretarios Generales de Superintendencias. </w:t>
      </w:r>
    </w:p>
    <w:p w14:paraId="073880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A59F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Directores y Subdirectores, Presidentes y Vicepresidentes de establecimientos públicos, Unidades Administrativas Especiales y Empresas Industriales y Comerciales del Estado, así como los Secretarios Generales de dichas entidades. </w:t>
      </w:r>
    </w:p>
    <w:p w14:paraId="75DD95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BC6C3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Rectores, Vicerrectores y Secretarios Generales de entes universitarios autónomos del nivel nacional. </w:t>
      </w:r>
    </w:p>
    <w:p w14:paraId="679086C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8F19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Senadores de la República y Representantes a la Cámara, Secretarios Generales de estas Corporaciones, Secretarios de Comisiones, Subsecretarios del Senado y de la Cámara de Representantes. </w:t>
      </w:r>
    </w:p>
    <w:p w14:paraId="42BFAC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45F8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14. Magistrados de la Corte Constitucional, Corte Suprema de Justicia, Consejo de Estado, Consejo Superior de la Judicatura, Consejo Nacional Electoral. </w:t>
      </w:r>
    </w:p>
    <w:p w14:paraId="6D5E4E0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E57E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Contralor General de la República, Vicecontralor y Secretario General de la Contraloría General de la República. </w:t>
      </w:r>
    </w:p>
    <w:p w14:paraId="603E40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4DEF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16. Procurador General de la Nación, Viceprocurador y Secretario General de la Procuraduría General de la Nación. </w:t>
      </w:r>
    </w:p>
    <w:p w14:paraId="7BD9E5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51B5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17. Defensor del Pueblo y Secretario General de la Defensoría del Pueblo. </w:t>
      </w:r>
    </w:p>
    <w:p w14:paraId="66BC1C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ACEC5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18. Registrador Nacional del Estado Civil y Secretario General de la Registraduría Nacional del Estado Civil. </w:t>
      </w:r>
    </w:p>
    <w:p w14:paraId="59F357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79C5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19. Fiscal General de la Nación, Vicefiscal y Secretario General de la Fiscalía General de la Nación. </w:t>
      </w:r>
    </w:p>
    <w:p w14:paraId="45A80E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2E96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20. Generales de la República. </w:t>
      </w:r>
    </w:p>
    <w:p w14:paraId="255B3C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322C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 Director General del Senado de la República. </w:t>
      </w:r>
    </w:p>
    <w:p w14:paraId="77D1E6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8700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22. Auditor General de la República, Auditor Auxiliar y Secretario General de la Auditoría General de la República. </w:t>
      </w:r>
    </w:p>
    <w:p w14:paraId="38252E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7C5C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existir regionales de los organismos antes señalados, podrá asignarse un teléfono celular al servidor que tenga a su cargo la dirección de la respectiva regional. </w:t>
      </w:r>
    </w:p>
    <w:p w14:paraId="0EEB95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D74867" w14:textId="3F47BFB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Se exceptúa de la aplicación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401833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14A3A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Al Departamento Administrativo de la Presidencia de la República y al Departamento Administrativo de la Prosperidad Social, entidades que asignarán, por intermedio de su Director, los teléfonos celulares a sus funcionarios teniendo en cuenta únicamente las necesidades del servicio y las condiciones para el ejercicio de la función pública; </w:t>
      </w:r>
    </w:p>
    <w:p w14:paraId="57D859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E79C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Al Ministerio de Relaciones Exteriores y se autoriza al Secretario General de dicho Ministerio para asignar teléfonos celulares, con cargo a los recursos del Tesoro Público, a las personas que por sus funciones de carácter diplomático o protocolario así lo requieran, teniendo en cuenta únicamente las necesidades del servicio y las condiciones para el ejercicio de la función pública; </w:t>
      </w:r>
    </w:p>
    <w:p w14:paraId="4D698C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39D8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 los organismos de investigación y fiscalización, entendidos por estos, la Fiscalía General de la Nación, la Procuraduría General de la Nación, la Defensoría del Pueblo, y la Contraloría General de la República, así como los de la Policía Nacional y de las Fuerzas Armadas, y se autoriza a los secretarios generales de los mismos, para asignar teléfonos celulares a otros servidores de manera exclusiva, para el desarrollo de actividades especiales de investigación y custodia, sin que dicha asignación pueda tener carácter permanente. </w:t>
      </w:r>
    </w:p>
    <w:p w14:paraId="77211F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C8B385" w14:textId="1CF1EF6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Así mismo, los secretarios generales de las entidades mencionadas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siguiente, o quienes hagan sus veces, podrán asignar teléfonos celulares para la custodia de los funcionarios públicos de la respectiva entidad, cuando así lo recomienden los estudios de seguridad aprobados en cada caso por la autoridad competente; </w:t>
      </w:r>
    </w:p>
    <w:p w14:paraId="4A9BCB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55D749A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 Radio Televisión Nacional de Colombia, RTVC y al Instituto Geográfico Agustín Codazzi, y se autoriza a los secretarios generales de los mismos o a quienes hagan sus veces para asignar, bajo su responsabilidad, teléfonos celulares para uso del personal técnico en actividades específicas; </w:t>
      </w:r>
    </w:p>
    <w:p w14:paraId="3F320C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1FDD3D" w14:textId="3D41F4F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 A la Unidad Administrativa Especial Dirección de Impuestos y Aduanas Nacionales, DIAN, y se autoriza a su Secretario General para asignar teléfonos celulares con cargo a recursos del Tesoro Público a los empleados públicos de la entidad, para el desarrollo de labores de investigación control, fiscalización y de ejecución de operativos tendientes a optimizar la gestión en la administración y en el control al debido cumplimiento de las obligaciones tributarias, aduaneras y cambiarias, y para garantizar la prestación eficiente del servicio público tributario, aduanero y cambiario de carácter esencial a cargo de la institución, de conformidad con lo establecido en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53 de la Ley 633 de 2000. Así mismo, se podrá asignar un teléfono celular al Defensor del Contribuyente y Usuario Aduanero de la Unidad Administrativa Especial Dirección de Impuestos y Aduanas Nacionales, así como a los servidores públicos del Ministerio de Transporte, que estén a cargo de una Inspección Fluvial permanente a nivel regional y cuyos costos y tarifa resulten menores a los consumos de líneas fijas debidamente demostrados en forma comparativa; </w:t>
      </w:r>
    </w:p>
    <w:p w14:paraId="277775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F30B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Al Servicio Nacional de Aprendizaje - Sena, y se autoriza al Director Administrativo y Financiero del mismo para asignar teléfono celular, con cargo a los recursos de la entidad, a los Subdirectores de los Centros de Formación y a los Jefes de Oficina del Sena, previa expedición del acto administrativo mediante el cual señale el monto máximo de uso de los mismos; </w:t>
      </w:r>
    </w:p>
    <w:p w14:paraId="03181B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DC27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A los Ministerios y Departamentos Administrativos, en cuanto sus competencias y funciones tengan relación con las actividades de prevención y atención de desastres, en particular el Ministerio del Interior y de Justicia, el Ministerio de Defensa Nacional, el Ministerio de Salud y Protección Social, Ministerio de Trabajo, el Ministerio de Transporte, el Ministerio de Educación Nacional, el Ministerio de Agricultura y Desarrollo Rural, el Ministerio de Tecnologías de la Información y las Comunicaciones y el Departamento Nacional de Planeación, en su calidad de integrantes del Sistema Nacional para la Prevención y Atención de Desastres. Tales entidades asignarán, por intermedio de su representante legal, los teléfonos celulares a sus funcionarios teniendo en cuenta únicamente las necesidades del servicio en la atención y prevención de desastres, y las condiciones para el ejercicio de la función pública. </w:t>
      </w:r>
    </w:p>
    <w:p w14:paraId="6EE13A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9D39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A la Unidad Administrativa Especial de Aeronáutica Civil (Aerocivil) y se autoriza a su Secretario General para asignar teléfonos celulares con cargo a recursos del Tesoro Público, a los empleados públicos de las dependencias misionales, directiva y de coordinación de la entidad, como son: los administradores aeroportuarios; los jefes y supervisores de torres de control y de centros de control; personal de soporte técnico, meteorología, AIS/COM/MET, planes de vuelo, seguridad aérea, seguridad aeroportuaria, bomberos aeronáuticos, búsqueda y rescate y atención al usuario. </w:t>
      </w:r>
    </w:p>
    <w:p w14:paraId="17BF93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7C96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entidades a que se refiere el parágrafo anterior, velaran por que exista una efectiva compensación en los gastos de adquisición de servicios, con la reducción de los costos en el servicio de telefonía básica conmutada de larga distancia. </w:t>
      </w:r>
    </w:p>
    <w:p w14:paraId="65B434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3D2D5D" w14:textId="3BF16D9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limitación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comprende únicamente el suministro de los equipos terminales y el pago del servicio por concepto de comunicaciones de voz móvil, denominado en el presente título indistintamente como celulares. </w:t>
      </w:r>
    </w:p>
    <w:p w14:paraId="3F0218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7037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Las entidades a las que se encuentran vinculados los servidores públicos a quienes les aplica el presente título podrán, con cargo a su presupuesto de servicios, asignar a sus empleados planes de datos o de acceso a internet móvil, para lo cual al interior de la entidad se deberán definir las condiciones para la asignación. Los planes asumidos por la entidad deberán ser de aquellos que no permitan consumos superiores a los contratados por la entidad, denominados comúnmente como planes controlados o cerrados. </w:t>
      </w:r>
    </w:p>
    <w:p w14:paraId="42099B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9A4D27" w14:textId="3D4D88F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todo caso, los destinatarios del servicio, salvo las personas que pueden ser beneficiarias de un servicio celular en los términos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deberán tener contratado por su cuenta el servicio móvil de voz y asumir integralmente su costo. De igual manera, deberán proporcionar el equipo terminal que permita el uso del servicio de datos. </w:t>
      </w:r>
    </w:p>
    <w:p w14:paraId="0B8E892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2FF7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director de la entidad responsable deberá adoptar las medidas necesarias para: </w:t>
      </w:r>
    </w:p>
    <w:p w14:paraId="294454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7887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Verificar que los planes autorizados a sus funcionarios no sean cedidos o transferidos por estos a personal ajeno a la misma. </w:t>
      </w:r>
    </w:p>
    <w:p w14:paraId="53E256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1A06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Verificar cuando menos semestralmente el uso que se está dando al servicio. </w:t>
      </w:r>
    </w:p>
    <w:p w14:paraId="5A6665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5D58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Verificar que una vez finalizada la relación laboral, el proveedor del servicio de comunicaciones con el cual tiene contratado el servicio, suspenda su prestación. </w:t>
      </w:r>
    </w:p>
    <w:p w14:paraId="1210DAC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56" w:name="ver_30057663"/>
      <w:bookmarkEnd w:id="1356"/>
    </w:p>
    <w:p w14:paraId="2BA6E309" w14:textId="5B20267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2.8.4.6.6. Asignación de vehículos. Se podrán asignar vehículos de uso oficial con cargo a los recursos del Tesoro Público exclusivamente a los siguientes servidores: </w:t>
      </w:r>
    </w:p>
    <w:p w14:paraId="3C608D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2956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Presidente de la República, Altos Comisionados, Ministros Consejeros Presidenciales, secretarios y consejeros del Departamento Administrativo de la Presidencia de la República, ministros del despacho, viceministros, secretarios generales y directores de ministerios; directores, subdirectores, secretarios generales y jefes de unidad de departamentos administrativos y funcionarios que en estos últimos, de acuerdo con sus normas orgánicas, tengan rango de directores de ministerio; embajadores y cónsules generales de Colombia con rango de embajador; superintendentes, superintendentes delegados, y secretarios generales de superintendencias; directores y subdirectores, presidentes y vicepresidentes de establecimientos públicos, unidades administrativas especiales y empresas industriales y comerciales del Estado, así como a los secretarios generales de dichas entidades; rectores, vicerrectores y secretarios generales de entes universitarios autónomos del nivel nacional; senadores de la República y representantes a la Cámara, y secretarios generales de estas corporaciones; magistrados de las altas cortes (Corte Constitucional, Corte Suprema de Justicia, Consejo de Estado, Consejo Superior de la Judicatura, Consejo Nacional Electoral); Contralor General de la República, Vicecontralor y Secretario General de la Contraloría General de la República; Procurador General de la Nación, Viceprocurador, Secretario General de la Procuraduría General de la Nación; Defensor del Pueblo y Secretario General de la Defensoría del Pueblo; Registrador Nacional del Estado Civil y secretario general de la Registraduría Nacional del Estado Civil; Fiscal General de la Nación, Vicefiscal y Secretario General de la Fiscalía General de la Nación y generales de la República; al Defensor del Contribuyente y Usuario Aduanero de la Unidad Administrativa Especial Dirección de Impuestos y Aduanas Nacionales. </w:t>
      </w:r>
    </w:p>
    <w:p w14:paraId="4FF604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0FB1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las altas cortes, el Congreso de la República, los organismos de investigación, los organismos de fiscalización y control y la organización electoral, se podrá asignar vehículo a quienes ocupen cargos del nivel directivo equivalente a los aquí señalados para los Ministerios. </w:t>
      </w:r>
    </w:p>
    <w:p w14:paraId="71119A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4B68F363" w14:textId="31D4DEF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caso de existir regionales de los organismos señalados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podrá asignarse vehículo al servidor que tenga a su cargo la dirección de la respectiva regional. </w:t>
      </w:r>
    </w:p>
    <w:p w14:paraId="144DEA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2AA3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las Fuerzas Armadas, la Policía Nacional, la Fiscalía General de la Nación, y el Departamento Administrativo de Seguridad -DAS-, la asignación de vehículos se hará de conformidad con sus necesidades operativas y con las normas vigentes. </w:t>
      </w:r>
    </w:p>
    <w:p w14:paraId="5AD794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6A9C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el evento de existir primas o préstamos económicos para adquisición de vehículo en los organismos antes señalados, la asignación de vehículos se sujetará a las normas vigentes que regulan tales primas o préstamos. </w:t>
      </w:r>
    </w:p>
    <w:p w14:paraId="63FDB65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49DD10" w14:textId="3ADA1BB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Se exceptúa de lo dispuesto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al Departamento Administrativo de la Presidencia de la República, entidad que asignará, por intermedio de su Director, los vehículos de uso oficial a sus funcionarios teniendo en cuenta únicamente las necesidades del servicio y las condiciones para el ejercicio de la función pública. </w:t>
      </w:r>
    </w:p>
    <w:p w14:paraId="07B269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7436EA" w14:textId="7295142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Exceptúase de la aplicación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teniendo en cuenta las funciones de carácter diplomático y protocolario que ejerce, al Ministerio de Relaciones Exteriores. </w:t>
      </w:r>
    </w:p>
    <w:p w14:paraId="1F6B95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45294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secretario general del Ministerio de Relaciones Exteriores podrá asignar vehículos de uso oficial con cargo a los recursos del tesoro público a las personas que por sus funciones ya sean de carácter diplomático o protocolarios así lo requieran, teniendo en cuenta las necesidades del servicio y las condiciones para el ejercicio de la función pública. </w:t>
      </w:r>
    </w:p>
    <w:p w14:paraId="29DB2F3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57" w:name="ver_30057664"/>
      <w:bookmarkEnd w:id="1357"/>
    </w:p>
    <w:p w14:paraId="58B04872" w14:textId="211CF64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2.8.4.6.7. Vehículos operativos. En los órganos, organismos, entes y entidades enumeradas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se constituirá un grupo de vehículos operativos administrados directamente por la dependencia administrativa que tenga a su cargo las actividades en materia de transportes. Su utilización se hará de manera exclusiva y precisa para atender necesidades ocasionales e indispensables propias de las funciones de cada órgano y en ningún caso se podrá destinar uno o más vehículos al uso habitual y permanente de un servidor público distinto de los mencionados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w:t>
      </w:r>
    </w:p>
    <w:p w14:paraId="7DD81EF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28FCF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Será responsabilidad de los secretarios generales, o quienes hagan sus veces, observar el cabal cumplimiento de esta disposición. De igual modo, será responsabilidad de cada conductor de vehículo, de acuerdo con las obligaciones de todo servidor público, poner en conocimiento de aquél la utilización de vehículos operativos no ajustada a estos parámetros. </w:t>
      </w:r>
    </w:p>
    <w:p w14:paraId="031C73C0" w14:textId="5BE484A6"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58" w:name="ver_30057665"/>
      <w:bookmarkEnd w:id="1358"/>
    </w:p>
    <w:p w14:paraId="759144DE" w14:textId="472719C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2.8.4.6.8. Traslado de servidores públicos fuera de la sede. Los servidores públicos que por razón de las labores de su cargo deban trasladarse fuera de su sede no podrán hacerlo con vehículos de ésta, salvo cuando se trate de localidades cercanas y resulte económico. </w:t>
      </w:r>
    </w:p>
    <w:p w14:paraId="610BFA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9E88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habrá lugar a la prohibición anterior cuando el desplazamiento tenga por objeto visitar obras para cuya inspección se requiera el uso continuo del vehículo. </w:t>
      </w:r>
    </w:p>
    <w:p w14:paraId="41FFB55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DD1524" w14:textId="77777777" w:rsidR="00404266" w:rsidRPr="00686CEE" w:rsidRDefault="00404266" w:rsidP="00686CEE">
      <w:pPr>
        <w:spacing w:after="0" w:line="293" w:lineRule="atLeast"/>
        <w:jc w:val="center"/>
        <w:rPr>
          <w:rFonts w:ascii="Arial" w:eastAsia="Times New Roman" w:hAnsi="Arial" w:cs="Arial"/>
          <w:b/>
          <w:bCs/>
          <w:color w:val="000000"/>
          <w:lang w:eastAsia="es-CO"/>
        </w:rPr>
      </w:pPr>
      <w:bookmarkStart w:id="1359" w:name="ver_30057666"/>
      <w:bookmarkEnd w:id="1359"/>
      <w:r w:rsidRPr="00686CEE">
        <w:rPr>
          <w:rFonts w:ascii="Arial" w:eastAsia="Times New Roman" w:hAnsi="Arial" w:cs="Arial"/>
          <w:b/>
          <w:bCs/>
          <w:color w:val="000000"/>
          <w:lang w:eastAsia="es-CO"/>
        </w:rPr>
        <w:t>CAPÍTULO 7</w:t>
      </w:r>
    </w:p>
    <w:p w14:paraId="0180B895" w14:textId="77777777" w:rsidR="00404266" w:rsidRPr="00686CEE" w:rsidRDefault="00404266" w:rsidP="00686CEE">
      <w:pPr>
        <w:spacing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OTRAS DISPOSICIONES</w:t>
      </w:r>
    </w:p>
    <w:p w14:paraId="4235EFF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60" w:name="ver_30057667"/>
      <w:bookmarkEnd w:id="1360"/>
    </w:p>
    <w:p w14:paraId="2A42B2CA" w14:textId="35CB52C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2.8.4.8.1. Pagos conciliaciones judiciales. Los apoderados de los órganos públicos deben garantizar que los pagos de las conciliaciones judiciales, las transacciones y todas las soluciones alternativas de conflictos sean oportunos, con el fin de evitar gastos adicionales para el Tesoro Público. </w:t>
      </w:r>
    </w:p>
    <w:p w14:paraId="2F7CB42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61" w:name="ver_30057668"/>
      <w:bookmarkEnd w:id="1361"/>
    </w:p>
    <w:p w14:paraId="5E172782" w14:textId="52EC232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2.8.4.8.2. Verificación de cumplimiento de disposiciones. Las oficinas de Control Interno verificarán en forma mensual el cumplimiento de estas disposiciones, como de las demás de restricción de gasto que continúan vigentes; estas dependencias prepararán y enviarán al representante legal de la entidad u organismo respectivo, un informe trimestral, que determine el grado de cumplimiento de estas disposiciones y las acciones que se deben tomar al respecto. </w:t>
      </w:r>
    </w:p>
    <w:p w14:paraId="3953980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FCB4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se requiere tomar medidas antes de la presentación del informe, así lo hará saber el responsable del control interno al jefe del organismo. </w:t>
      </w:r>
    </w:p>
    <w:p w14:paraId="37A404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4344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será responsabilidad de los secretarios generales, o quienes hagan sus veces, velar por el estricto cumplimiento de las disposiciones aquí contenidas. </w:t>
      </w:r>
    </w:p>
    <w:p w14:paraId="71B3E9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17A2C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informe de austeridad que presenten los Jefes de Control Interno podrá ser objeto de seguimiento por parte de la Contraloría General de la República a través del ejercicio de sus auditorías regulares. </w:t>
      </w:r>
    </w:p>
    <w:p w14:paraId="6FC12D83" w14:textId="1052EBC3"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62" w:name="ver_30057669"/>
      <w:bookmarkEnd w:id="1362"/>
    </w:p>
    <w:p w14:paraId="60FBE583" w14:textId="70E54FA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2.8.4.8.3. Responsabilidades asignadas a Secretarios Generales. Las responsabilidades asignadas a los secretarios generales referentes a la austeridad del gasto serán cumplidas por éstos, o por los funcionarios que hagan sus veces. </w:t>
      </w:r>
    </w:p>
    <w:p w14:paraId="422EBC2F" w14:textId="2F27C683" w:rsidR="00404266" w:rsidRPr="002C1480" w:rsidRDefault="00404266" w:rsidP="000A3D5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F629DF" w14:textId="77777777" w:rsidR="00404266" w:rsidRPr="00686CEE" w:rsidRDefault="00404266" w:rsidP="00686CEE">
      <w:pPr>
        <w:spacing w:after="0" w:line="293" w:lineRule="atLeast"/>
        <w:jc w:val="center"/>
        <w:rPr>
          <w:rFonts w:ascii="Arial" w:eastAsia="Times New Roman" w:hAnsi="Arial" w:cs="Arial"/>
          <w:b/>
          <w:bCs/>
          <w:color w:val="000000"/>
          <w:lang w:eastAsia="es-CO"/>
        </w:rPr>
      </w:pPr>
      <w:bookmarkStart w:id="1363" w:name="ver_30057670"/>
      <w:bookmarkEnd w:id="1363"/>
      <w:r w:rsidRPr="00686CEE">
        <w:rPr>
          <w:rFonts w:ascii="Arial" w:eastAsia="Times New Roman" w:hAnsi="Arial" w:cs="Arial"/>
          <w:b/>
          <w:bCs/>
          <w:color w:val="000000"/>
          <w:lang w:eastAsia="es-CO"/>
        </w:rPr>
        <w:t>TÍTULO 5</w:t>
      </w:r>
    </w:p>
    <w:p w14:paraId="1FB11ED7" w14:textId="77777777" w:rsidR="00404266" w:rsidRPr="00686CEE" w:rsidRDefault="00404266" w:rsidP="00686CEE">
      <w:pPr>
        <w:spacing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CONSTITUCIÓN Y FUNCIONAMIENTO DE LAS CAJAS MENORES</w:t>
      </w:r>
    </w:p>
    <w:p w14:paraId="68F8D4E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64" w:name="ver_30057671"/>
      <w:bookmarkEnd w:id="1364"/>
    </w:p>
    <w:p w14:paraId="2D0B8D1D" w14:textId="24FA683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 Campo de aplicación. Quedan sujetos a las disposiciones del presente título los órganos que conforman el Presupuesto General de la Nación y las entidades nacionales con régimen presupuestal de Empresa Industriales y Comerciales del Estado y Sociedades de Economía Mixta con el régimen de aquellas con carácter no financiero, respecto de los recursos que le asigna la Nación. </w:t>
      </w:r>
    </w:p>
    <w:p w14:paraId="088F609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65" w:name="ver_30057672"/>
      <w:bookmarkEnd w:id="1365"/>
    </w:p>
    <w:p w14:paraId="7F78E7D3" w14:textId="0207EC3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2.8.5.2. Constitución. Las cajas menores se constituirán, para cada vigencia fiscal, mediante resolución suscrita por el Jefe del respectivo órgano, en la cual se indique la cuantía, el responsable, la finalidad y la clase de gastos que se pueden realizar. Así mismo, se deberá indicar la unidad ejecutora y la cuantía de cada rubro presupuestal. </w:t>
      </w:r>
    </w:p>
    <w:p w14:paraId="5C6296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3812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 constitución y reembolso de las cajas menores se deberá contar con el respectivo Certificado de Disponibilidad Presupuestal. </w:t>
      </w:r>
    </w:p>
    <w:p w14:paraId="7B23AA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41B13E" w14:textId="34AC4ED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los Ministerios, las cajas menores podrán ser constituidas mediante resolución expedida por cada Director General, con arreglo a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110 del Estatuto Orgánico del Presupuesto. En el Ministerio de Defensa Nacional las cajas menores podrán ser constituidas por el Comandante General de las Fuerzas Militares, los Comandantes de cada una de las Fuerzas y los Directores de las respectivas Unidades Ejecutoras. </w:t>
      </w:r>
    </w:p>
    <w:p w14:paraId="4D394C7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388E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Las cajas menores deberán ajustarse a las necesidades de cada entidad, siendo responsabilidad de los ordenadores del gasto de dichas entidades el buen uso de las mismas y el cumplimiento de las reglas que aquí se establecen. </w:t>
      </w:r>
    </w:p>
    <w:p w14:paraId="1DD85D1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66" w:name="ver_30057673"/>
      <w:bookmarkEnd w:id="1366"/>
    </w:p>
    <w:p w14:paraId="10779E23" w14:textId="45B6F41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2.8.5.3. Número de Cajas Menores. El Representante Legal, de acuerdo con los requerimientos de la entidad, deberá establecer el número de cajas menores y autorizar su creación con base en las reglas aquí establecidas. </w:t>
      </w:r>
    </w:p>
    <w:p w14:paraId="57FA5E5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01D6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justificación técnica y económica deberá quedar anexa a la respectiva resolución de constitución de caja menor. </w:t>
      </w:r>
    </w:p>
    <w:p w14:paraId="3BF304B2" w14:textId="3329FEC9"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67" w:name="ver_30057674"/>
      <w:bookmarkEnd w:id="1367"/>
    </w:p>
    <w:p w14:paraId="750801B1" w14:textId="5B952FC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2.8.5.4. Cuantía. La cuantía de cada una de las cajas menores se establecerá de acuerdo con la siguiente clasificación de los órganos, dentro de cada vigencia fiscal: </w:t>
      </w:r>
    </w:p>
    <w:p w14:paraId="4F35EC1F" w14:textId="14324465" w:rsidR="00404266" w:rsidRPr="002C1480" w:rsidRDefault="00404266" w:rsidP="00C32F85">
      <w:pPr>
        <w:spacing w:after="0" w:line="254" w:lineRule="atLeast"/>
        <w:jc w:val="both"/>
        <w:rPr>
          <w:rFonts w:ascii="Arial" w:eastAsia="Times New Roman" w:hAnsi="Arial" w:cs="Arial"/>
          <w:color w:val="000000"/>
          <w:lang w:eastAsia="es-CO"/>
        </w:rPr>
      </w:pPr>
      <w:r>
        <w:rPr>
          <w:noProof/>
          <w:lang w:eastAsia="es-CO"/>
        </w:rPr>
        <w:drawing>
          <wp:inline distT="0" distB="0" distL="0" distR="0" wp14:anchorId="673BFC88" wp14:editId="4C834626">
            <wp:extent cx="4951732" cy="1555750"/>
            <wp:effectExtent l="0" t="0" r="127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0">
                      <a:extLst>
                        <a:ext uri="{28A0092B-C50C-407E-A947-70E740481C1C}">
                          <a14:useLocalDpi xmlns:a14="http://schemas.microsoft.com/office/drawing/2010/main" val="0"/>
                        </a:ext>
                      </a:extLst>
                    </a:blip>
                    <a:stretch>
                      <a:fillRect/>
                    </a:stretch>
                  </pic:blipFill>
                  <pic:spPr>
                    <a:xfrm>
                      <a:off x="0" y="0"/>
                      <a:ext cx="4951732" cy="1555750"/>
                    </a:xfrm>
                    <a:prstGeom prst="rect">
                      <a:avLst/>
                    </a:prstGeom>
                  </pic:spPr>
                </pic:pic>
              </a:graphicData>
            </a:graphic>
          </wp:inline>
        </w:drawing>
      </w:r>
      <w:r w:rsidRPr="660F8EF8">
        <w:rPr>
          <w:rFonts w:ascii="Arial" w:eastAsia="Times New Roman" w:hAnsi="Arial" w:cs="Arial"/>
          <w:color w:val="000000" w:themeColor="text1"/>
          <w:lang w:eastAsia="es-CO"/>
        </w:rPr>
        <w:t> </w:t>
      </w:r>
    </w:p>
    <w:p w14:paraId="62B02E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órganos que requieran una mayor cuantía deberán justificarlo mediante escrito motivado por el jefe de cada órgano, el cual deberá quedar anexo a la resolución. </w:t>
      </w:r>
    </w:p>
    <w:p w14:paraId="3B320C69" w14:textId="3F93C234"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68" w:name="ver_30057675"/>
      <w:bookmarkEnd w:id="1368"/>
    </w:p>
    <w:p w14:paraId="0A12E76C" w14:textId="4FB7B20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2.8.5.5. Destinación. El dinero que se entregue para la constitución de cajas menores debe ser utilizado para sufragar gastos identificados y definidos en los conceptos del Presupuesto General de la Nación que tengan el carácter de urgente. De igual forma los recursos podrán ser utilizados para el pago de viáticos y gastos de viaje, los cuales sólo requerirán de autorización del Ordenador del Gasto. </w:t>
      </w:r>
    </w:p>
    <w:p w14:paraId="1244D4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9745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dineros entregados para viáticos y gastos de viaje se legalizarán dentro de los cinco (5) días siguientes a la realización del gasto y, para las comisiones al exterior, en todo caso, antes del 29 de diciembre de cada año. </w:t>
      </w:r>
    </w:p>
    <w:p w14:paraId="4744A8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11A2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Podrán destinarse recursos de las cajas menores para los gastos de alimentación que sean indispensables con ocasión de reuniones de trabajo requeridas para la atención exclusiva de la Dirección Superior de cada órgano, Direcciones Generales de los Ministerios y Gerencias, Presidencias o Direcciones de los Establecimientos Públicos Nacionales, siempre que el titular del despacho correspondiente deba asistir y autorice el gasto por escrito. </w:t>
      </w:r>
    </w:p>
    <w:p w14:paraId="2F9311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0DFDF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Departamento Administrativo de la Presidencia de la República los gastos de alimentación que sean indispensables con ocasión de reuniones de trabajo de los Ministros Consejeros, Consejeros Presidenciales, el Alto Comisionado y los titulares de las Secretarías Presidenciales requerirán autorización previa del Director del Departamento Administrativo de la Presidencia de la República. </w:t>
      </w:r>
    </w:p>
    <w:p w14:paraId="2F87797D" w14:textId="5D25780E"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69" w:name="ver_30057676"/>
      <w:bookmarkEnd w:id="1369"/>
    </w:p>
    <w:p w14:paraId="7B4C7258" w14:textId="771839B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2.8.5.6. Fianzas y Garantías. El Ordenador del Gasto deberá constituir las fianzas y garantías que considere necesarias para proteger los recursos del Tesoro Público. </w:t>
      </w:r>
    </w:p>
    <w:p w14:paraId="294AF821" w14:textId="3C06EDB6"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bookmarkStart w:id="1370" w:name="ver_30057677"/>
      <w:bookmarkEnd w:id="1370"/>
    </w:p>
    <w:p w14:paraId="3C1DE34E" w14:textId="5A4D17B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2.8.5.7. Legalización. La legalización de los gastos de la caja menor deberá efectuarse durante los cinco (5) días siguientes a su realización. </w:t>
      </w:r>
    </w:p>
    <w:p w14:paraId="61A5EE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BF0D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se podrán entregar nuevos recursos a un funcionario, hasta tanto no se haya legalizado el gasto anterior. </w:t>
      </w:r>
    </w:p>
    <w:p w14:paraId="2BA3BBE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71" w:name="ver_30057678"/>
      <w:bookmarkEnd w:id="1371"/>
    </w:p>
    <w:p w14:paraId="436D46DE" w14:textId="19B8911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2.8.5.8. Prohibiciones. No se podrán realizar con fondos de cajas menores las siguientes operaciones: </w:t>
      </w:r>
    </w:p>
    <w:p w14:paraId="52448F5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3BA42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Fraccionar compras de un mismo elemento o servicio. </w:t>
      </w:r>
    </w:p>
    <w:p w14:paraId="2A15DB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A089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Realizar desembolsos con destino a gastos de órganos diferentes de su propia organización. </w:t>
      </w:r>
    </w:p>
    <w:p w14:paraId="60D143C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21BF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Efectuar pagos de contratos cuando de conformidad con el Estatuto de Contratación Administrativa y normas que lo reglamenten deban constar por escrito. </w:t>
      </w:r>
    </w:p>
    <w:p w14:paraId="44AFD6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BDF1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Reconocer y pagar gastos por concepto de servicios personales y las contribuciones que establece la ley sobre la nómina, cesantías y pensiones. </w:t>
      </w:r>
    </w:p>
    <w:p w14:paraId="19EFB35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C07F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Cambiar cheques o efectuar préstamos. </w:t>
      </w:r>
    </w:p>
    <w:p w14:paraId="42F2C75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D62A7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Adquirir elementos cuya existencia esté comprobada en el almacén o depósito de la entidad. </w:t>
      </w:r>
    </w:p>
    <w:p w14:paraId="112843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C342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Efectuar gastos de servicios públicos, salvo que se trate de pagos en seccionales o regionales del respectivo órgano, correspondiendo a la entidad evaluar la urgencia y las razones que la sustentan. </w:t>
      </w:r>
    </w:p>
    <w:p w14:paraId="6DD178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19EB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Pagar gastos que no contengan los documentos soporte exigidos para su legalización, tales como facturas, resoluciones de comisión, recibos de registradora o la elaboración de una planilla de control. </w:t>
      </w:r>
    </w:p>
    <w:p w14:paraId="355D22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0C206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por cualquier circunstancia una caja menor quede inoperante, no se podrá constituir otra o reemplazarla, hasta tanto la anterior haya sido legalizada en su totalidad. </w:t>
      </w:r>
    </w:p>
    <w:p w14:paraId="3D6448F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72" w:name="ver_30057679"/>
      <w:bookmarkEnd w:id="1372"/>
    </w:p>
    <w:p w14:paraId="4B5056CB" w14:textId="7CD7A08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2.8.5.9. Manejo del dinero. El manejo del dinero de caja menor se hará a través de una cuenta corriente de acuerdo con las normas legales vigentes. No obstante, se podrá manejar en efectivo hasta cinco (5) salarios mínimos legales mensuales vigentes. </w:t>
      </w:r>
    </w:p>
    <w:p w14:paraId="641E77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DC17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Están exceptuados de esta cuantía el Departamento Administrativo de la Presidencia de la República y el Ministerio de Relaciones Exteriores. </w:t>
      </w:r>
    </w:p>
    <w:p w14:paraId="399103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368CE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Estos recursos serán administrados por el funcionario facultado, debidamente afianzado. </w:t>
      </w:r>
    </w:p>
    <w:p w14:paraId="46C7A3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E1DA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el responsable de la caja menor se encuentre en vacaciones, licencia o comisión, el funcionario que haya constituido la respectiva caja menor, podrá mediante resolución, encargar a otro funcionario debidamente afianzado, para el manejo de la misma, mientras subsista la situación, para lo cual sólo se requiere de la entrega de los fondos y documentos mediante arqueo, al recibo y a la entrega de la misma, lo que deberá constar en el libro respectivo. </w:t>
      </w:r>
    </w:p>
    <w:p w14:paraId="3AFB904F" w14:textId="2C238C5E" w:rsidR="00404266" w:rsidRPr="002C1480" w:rsidRDefault="00404266" w:rsidP="000A3D5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73" w:name="ver_30057680"/>
      <w:bookmarkEnd w:id="1373"/>
    </w:p>
    <w:p w14:paraId="5FDC0C60" w14:textId="5E761E4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2.8.5.10. Registro de creación en el SIIF. Una vez suscrita la resolución de constitución de la caja menor, previa expedición del certificado de disponibilidad presupuestal, el órgano ejecutor procederá al registro de creación de la Caja Menor en el SIIF Nación, así como el registro de la gestión financiera que se realice a través de las mismas. </w:t>
      </w:r>
    </w:p>
    <w:p w14:paraId="08BC8E5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74" w:name="ver_30057681"/>
      <w:bookmarkEnd w:id="1374"/>
    </w:p>
    <w:p w14:paraId="44AD31AA" w14:textId="1606BC1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2.8.5.11. Primer giro. Se efectuará con base en los siguientes requisitos: </w:t>
      </w:r>
    </w:p>
    <w:p w14:paraId="435717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3FCE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Que exista resolución de constitución expedida de conformidad con el presente título. </w:t>
      </w:r>
    </w:p>
    <w:p w14:paraId="4DD388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2B5F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el funcionado encargado de su administración haya constituido o ampliado la fianza de manejo y esté debidamente aprobada, amparando el monto total del valor de la caja menor. </w:t>
      </w:r>
    </w:p>
    <w:p w14:paraId="2194D5D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75" w:name="ver_30057682"/>
      <w:bookmarkEnd w:id="1375"/>
    </w:p>
    <w:p w14:paraId="65DC1189" w14:textId="500D664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2.8.5.12. Registro de Operaciones. Todas las operaciones que se realicen a través de la caja menor deben ser registradas por el responsable de la caja menor en el SIIF Nación. Esto incluye los procesos relacionados con la apertura, ejecución, reembolso y de legalización para el cierre de la caja menor. </w:t>
      </w:r>
    </w:p>
    <w:p w14:paraId="4699A7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C3BD0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el fin de garantizar que las operaciones estén debidamente sustentadas, que los registros sean oportunos y adecuados y que los saldos correspondan, las oficinas de control interno, deberán efectuar arqueos periódicos y sorpresivos independientemente de la verificación por parte de las dependencias financieras de los diferentes órganos y de las oficinas de auditoría. En todas las revisiones se debe tener en cuenta que la información oficial es la que se encuentra registrada en el SIIF Nación. </w:t>
      </w:r>
    </w:p>
    <w:p w14:paraId="7A0C54A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76" w:name="ver_30057683"/>
      <w:bookmarkEnd w:id="1376"/>
    </w:p>
    <w:p w14:paraId="46191916" w14:textId="46A467D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2.8.5.13. Legalización. En la legalización de los gastos para efectos del reembolso, se exigirá el cumplimiento de los requisitos que a continuación se indican: </w:t>
      </w:r>
    </w:p>
    <w:p w14:paraId="4BE429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112D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Que se haya registrado una solicitud de reembolso en el SIIF Nación. </w:t>
      </w:r>
    </w:p>
    <w:p w14:paraId="2D0434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667A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los documentos presentados sean los originales y se encuentren firmados por los acreedores con identificación del nombre o razón social y el número del documento de identidad o NIT, objeto y cuantía. </w:t>
      </w:r>
    </w:p>
    <w:p w14:paraId="176F2D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27B01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Que la fecha del comprobante del gasto corresponda a la vigencia fiscal que se está legalizando. </w:t>
      </w:r>
    </w:p>
    <w:p w14:paraId="509B32E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FCAB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Que el gasto se haya efectuado después de haberse constituido o reembolsado la caja menor según el caso. </w:t>
      </w:r>
    </w:p>
    <w:p w14:paraId="345A6F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7B9F83" w14:textId="3BBA0C3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Que se haya expedido la resolución de reconocimiento del gasto, teniendo en cuenta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110 del Estatuto Orgánico del Presupuesto. </w:t>
      </w:r>
    </w:p>
    <w:p w14:paraId="7DA31F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0168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legalización definitiva de las cajas menores, constituidas durante la vigencia fiscal, se hará antes del 29 de diciembre, fecha en la cual se deberá reintegrar el saldo sobrante y el respectivo cuentadante responderá por el incumplimiento de su legalización oportuna y del manejo del dinero que se encuentre a su cargo, sin perjuicio de las demás acciones legales a que hubiese lugar. </w:t>
      </w:r>
    </w:p>
    <w:p w14:paraId="7F880D9A" w14:textId="1C1C98DE" w:rsidR="00404266" w:rsidRPr="002C1480" w:rsidRDefault="00404266" w:rsidP="000A3D5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77" w:name="ver_30057684"/>
      <w:bookmarkEnd w:id="1377"/>
    </w:p>
    <w:p w14:paraId="217ED864" w14:textId="485443C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2.8.5.14. Reembolso. Los reembolsos se harán en la cuantía de los gastos realizados, sin exceder el monto previsto en el respectivo rubro presupuestal, en forma mensual o cuando se </w:t>
      </w:r>
      <w:r w:rsidR="00404266" w:rsidRPr="002C1480">
        <w:rPr>
          <w:rFonts w:ascii="Arial" w:eastAsia="Times New Roman" w:hAnsi="Arial" w:cs="Arial"/>
          <w:color w:val="000000"/>
          <w:lang w:eastAsia="es-CO"/>
        </w:rPr>
        <w:lastRenderedPageBreak/>
        <w:t>haya consumido más de un setenta por ciento (70%), lo que ocurra primero, de algunos o todos los valores de los rubros presupuestales afectados. </w:t>
      </w:r>
    </w:p>
    <w:p w14:paraId="1A4029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7799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reembolso se deberán reportar los gastos realizados en todos los rubros presupuestales a fin de efectuar un corte de numeración y de fechas. </w:t>
      </w:r>
    </w:p>
    <w:p w14:paraId="3B30CB08" w14:textId="02370125"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78" w:name="ver_30057685"/>
      <w:bookmarkEnd w:id="1378"/>
    </w:p>
    <w:p w14:paraId="59E9CE24" w14:textId="4068836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2.8.5.15. Cambio de Responsable. Cuando se cambie el responsable de la caja menor, deberá hacerse una legalización efectuando el reembolso total de los gastos realizados con corte a la fecha. </w:t>
      </w:r>
    </w:p>
    <w:p w14:paraId="0AE274E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79" w:name="ver_30057686"/>
      <w:bookmarkEnd w:id="1379"/>
    </w:p>
    <w:p w14:paraId="2CAB4A50" w14:textId="03C70EE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2.8.5.16. Cancelación de la Caja menor. Cuando se decida la cancelación de una caja menor, su titular la legalizará en forma definitiva, reintegrando el saldo de los fondos que recibió. En este caso, se debe saldar la cuenta corriente. </w:t>
      </w:r>
    </w:p>
    <w:p w14:paraId="3F1449F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80" w:name="ver_30057687"/>
      <w:bookmarkEnd w:id="1380"/>
    </w:p>
    <w:p w14:paraId="08670BFC" w14:textId="155C0AB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2.8.5.17. Vigilancia. Corresponde a la Contraloría General de la República ejercer la vigilancia y el control posterior en los términos establecidos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268 de la Constitución Política. </w:t>
      </w:r>
    </w:p>
    <w:p w14:paraId="744388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D0F6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responsables de las cajas menores deberán adoptar los controles internos que garanticen el adecuado uso manejo de los recursos, independientemente de las evaluaciones y verificaciones que compete adelantar a las oficinas de auditoría o control interno. </w:t>
      </w:r>
    </w:p>
    <w:p w14:paraId="317E2D6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81" w:name="ver_30057688"/>
      <w:bookmarkEnd w:id="1381"/>
    </w:p>
    <w:p w14:paraId="50A10623" w14:textId="15D1ED1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2.8.5.18. Responsabilidad. Los funcionarios a quienes se les entregue recursos del Tesoro Público, para constituir cajas menores se harán responsables por el incumplimiento en la legalización oportuna y por el manejo de este dinero. </w:t>
      </w:r>
    </w:p>
    <w:p w14:paraId="3B3F7716" w14:textId="77777777" w:rsidR="00686CEE" w:rsidRDefault="00686CEE" w:rsidP="00C32F85">
      <w:pPr>
        <w:spacing w:after="0" w:line="293" w:lineRule="atLeast"/>
        <w:jc w:val="both"/>
        <w:rPr>
          <w:rFonts w:ascii="Arial" w:eastAsia="Times New Roman" w:hAnsi="Arial" w:cs="Arial"/>
          <w:color w:val="000000"/>
          <w:lang w:eastAsia="es-CO"/>
        </w:rPr>
      </w:pPr>
      <w:bookmarkStart w:id="1382" w:name="ver_30057689"/>
      <w:bookmarkEnd w:id="1382"/>
    </w:p>
    <w:p w14:paraId="68D7952D" w14:textId="133389F0" w:rsidR="00404266" w:rsidRPr="00686CEE" w:rsidRDefault="00404266"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TÍTULO 6</w:t>
      </w:r>
    </w:p>
    <w:p w14:paraId="3182C374" w14:textId="6360EF65" w:rsidR="00404266" w:rsidRDefault="00404266"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CUMPLIMIENTO DE SENTENCIAS Y CONCILIACIONES</w:t>
      </w:r>
    </w:p>
    <w:p w14:paraId="18CCEB55" w14:textId="77777777" w:rsidR="000A3D56" w:rsidRPr="00686CEE" w:rsidRDefault="000A3D56" w:rsidP="00686CEE">
      <w:pPr>
        <w:spacing w:after="0" w:line="293" w:lineRule="atLeast"/>
        <w:jc w:val="center"/>
        <w:rPr>
          <w:rFonts w:ascii="Arial" w:eastAsia="Times New Roman" w:hAnsi="Arial" w:cs="Arial"/>
          <w:b/>
          <w:bCs/>
          <w:color w:val="000000"/>
          <w:lang w:eastAsia="es-CO"/>
        </w:rPr>
      </w:pPr>
    </w:p>
    <w:p w14:paraId="00910665" w14:textId="0F72AE3E" w:rsidR="00404266" w:rsidRDefault="00404266"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CAPÍTULO 1</w:t>
      </w:r>
    </w:p>
    <w:p w14:paraId="56AF0E95" w14:textId="77777777" w:rsidR="00404266" w:rsidRPr="00686CEE" w:rsidRDefault="00404266"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PAGO DE SENTENCIAS CON RECURSOS DEL PRESUPUESTO</w:t>
      </w:r>
    </w:p>
    <w:p w14:paraId="14CF4552" w14:textId="77777777" w:rsidR="00404266" w:rsidRPr="00686CEE" w:rsidRDefault="00404266" w:rsidP="00686CEE">
      <w:pPr>
        <w:spacing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GENERAL DE LA NACIÓN</w:t>
      </w:r>
    </w:p>
    <w:p w14:paraId="6EA31BE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83" w:name="ver_30057690"/>
      <w:bookmarkEnd w:id="1383"/>
    </w:p>
    <w:p w14:paraId="027240D7" w14:textId="25797D7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2.8.6.1.1. Remisión al órgano condenado u obligado. A partir del 1 de marzo de 1995 los créditos judicialmente reconocidos, las conciliaciones y los laudos arbitrales deben ser remitidos por la autoridad judicial o la administrativa que los reciba, al órgano condenado u obligado. </w:t>
      </w:r>
    </w:p>
    <w:p w14:paraId="742E3C5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CEA7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dos o más entidades públicas resulten obligadas a pagar sumas de dinero y no se especifique en la respectiva providencia la forma y el porcentaje con que cada entidad deberá asumir el pago, la obligación dineraria será atendida conforme a las siguientes reglas: </w:t>
      </w:r>
    </w:p>
    <w:p w14:paraId="0F0984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2B03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En conflictos de naturaleza laboral, el pago deberá atenderse en su totalidad con cargo al presupuesto de la entidad en la que preste o prestó el servicio en forma personal y remunerada el servidor público beneficiario de la sentencia, laudo o conciliación derivada de la relación laboral. </w:t>
      </w:r>
    </w:p>
    <w:p w14:paraId="3C22AF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ACC3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 conflictos de naturaleza contractual, deberá afectarse el presupuesto de la entidad que liquidó el contrato o, en su defecto, de la que lo suscribió. </w:t>
      </w:r>
    </w:p>
    <w:p w14:paraId="13D579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FB2F37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causa de la condena proviniere del ejercicio de las potestades excepcionales al derecho común consagradas en la Ley 80 de 1993 o en normas posteriores que la modifiquen, adicionen o complementen, deberá afectarse el presupuesto de la entidad que expidió el respectivo acto administrativo. </w:t>
      </w:r>
    </w:p>
    <w:p w14:paraId="0F3377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80E2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falta de cualquiera de las anteriores hipótesis, el cumplimiento del pago de la condena deberá estar a cargo de la entidad que se benefició con la prestación contractual. </w:t>
      </w:r>
    </w:p>
    <w:p w14:paraId="1F8237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A9C888" w14:textId="5A1C2C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En conflictos de naturaleza extracontractual, deberá afectarse, en su orden, el presupuesto de la entidad responsable de la custodia y guarda del bien que produjo el hecho dañoso; o el de la entidad a la que prestaba sus servicios el servidor público que causó el perjuicio o incurrió en vía de hecho; o el de la entidad que omitió el deber legal que generó la condena; o el de la entidad que produjo la operación administrativa u ocupó inmuebles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140 del Código de Procedimiento Administrativo y de lo Contencioso Administrativo. Adhesión </w:t>
      </w:r>
    </w:p>
    <w:p w14:paraId="497F06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24DC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Cuando una entidad pública sea condenada al pago de una indemnización, bonificación, salario o cualquier otra prestación laboral en beneficio de un servidor público que no ha estado vinculado a su planta de personal, deberá afectarse el presupuesto de la entidad a la que presta o prestó los servicios personales relacionados con la causa de la condena, aún si la indemnización consiste en el pago de prestaciones periódicas. </w:t>
      </w:r>
    </w:p>
    <w:p w14:paraId="063B7B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ECD2E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los procesos de ejecución de sentencias en contra de entidades públicas de cualquier orden, los mandamientos de pago, medidas cautelares y providencias que ordenen seguir adelante la ejecución, deberán ceñirse a las reglas señaladas en el presente capítulo. </w:t>
      </w:r>
    </w:p>
    <w:p w14:paraId="329971D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84" w:name="ver_30057691"/>
      <w:bookmarkEnd w:id="1384"/>
    </w:p>
    <w:p w14:paraId="43B10F82" w14:textId="651CD3F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2.8.6.1.2. Trámite de las tutelas. Los fallos de tutela seguirán tramitándose y atendiéndose de la misma manera que se venía haciendo a 31 de diciembre de 1994. </w:t>
      </w:r>
    </w:p>
    <w:p w14:paraId="3ADD5C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378220" w14:textId="77777777" w:rsidR="00404266" w:rsidRPr="00686CEE" w:rsidRDefault="00404266" w:rsidP="00686CEE">
      <w:pPr>
        <w:spacing w:after="0" w:line="293" w:lineRule="atLeast"/>
        <w:jc w:val="center"/>
        <w:rPr>
          <w:rFonts w:ascii="Arial" w:eastAsia="Times New Roman" w:hAnsi="Arial" w:cs="Arial"/>
          <w:b/>
          <w:bCs/>
          <w:color w:val="000000"/>
          <w:lang w:eastAsia="es-CO"/>
        </w:rPr>
      </w:pPr>
      <w:bookmarkStart w:id="1385" w:name="ver_30057692"/>
      <w:bookmarkEnd w:id="1385"/>
      <w:r w:rsidRPr="00686CEE">
        <w:rPr>
          <w:rFonts w:ascii="Arial" w:eastAsia="Times New Roman" w:hAnsi="Arial" w:cs="Arial"/>
          <w:b/>
          <w:bCs/>
          <w:color w:val="000000"/>
          <w:lang w:eastAsia="es-CO"/>
        </w:rPr>
        <w:t>CAPÍTULO 2</w:t>
      </w:r>
    </w:p>
    <w:p w14:paraId="4187E635" w14:textId="77777777" w:rsidR="00404266" w:rsidRPr="00686CEE" w:rsidRDefault="00404266" w:rsidP="00686CEE">
      <w:pPr>
        <w:spacing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COMPENSACIÓN DE OBLIGACIONES</w:t>
      </w:r>
    </w:p>
    <w:p w14:paraId="15975E4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86" w:name="ver_30057693"/>
      <w:bookmarkEnd w:id="1386"/>
    </w:p>
    <w:p w14:paraId="6B081677" w14:textId="7D3463A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2.8.6.2.1. Sentencias y conciliaciones judiciales. Las oficinas encargadas en cada organismo de dar cumplimiento a las sentencias y conciliaciones judiciales de acuerdo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 de la Ley 344 de 1996, deberán informar sobre la existencia de la providencia o auto que aprueba la conciliación debidamente ejecutoriada, a la subdirección de Recaudación de la Dirección de Impuestos y Aduanas Nacionales, DIAN. </w:t>
      </w:r>
    </w:p>
    <w:p w14:paraId="3052C32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16573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la información enviada a la subdirección de Recaudación de la DIAN, se incluirán los siguientes datos: </w:t>
      </w:r>
    </w:p>
    <w:p w14:paraId="5E1C7F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53ECB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Nombres y apellidos o razón social completos, del beneficiario de la sentencia o conciliación; </w:t>
      </w:r>
    </w:p>
    <w:p w14:paraId="5CAC666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E102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Número de identificación personal, tarjeta de identidad, cédula de ciudadanía o el número de identificación tributaria si lo tiene disponible, según sea el caso; </w:t>
      </w:r>
    </w:p>
    <w:p w14:paraId="3F2D22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9C61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Dirección que se obtenga del respectivo expediente de los beneficiarios de las providencias o conciliaciones, así como el monto de la obligación a cargo de la Nación o del órgano que sea una sección del Presupuesto General de la Nación según sea el caso, y d. Número y fecha de la </w:t>
      </w:r>
      <w:r w:rsidRPr="002C1480">
        <w:rPr>
          <w:rFonts w:ascii="Arial" w:eastAsia="Times New Roman" w:hAnsi="Arial" w:cs="Arial"/>
          <w:color w:val="000000"/>
          <w:lang w:eastAsia="es-CO"/>
        </w:rPr>
        <w:lastRenderedPageBreak/>
        <w:t>providencia o auto de conciliación y fecha de la ejecutoria de la providencia, datos que se entenderán certificados para todos los efectos. </w:t>
      </w:r>
    </w:p>
    <w:p w14:paraId="274B7A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B172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información será remitida por el obligado al pago de la sentencia o conciliación, en un término máximo de un (1) día, una vez se disponga de la misma. </w:t>
      </w:r>
    </w:p>
    <w:p w14:paraId="622868B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87" w:name="ver_30057694"/>
      <w:bookmarkEnd w:id="1387"/>
    </w:p>
    <w:p w14:paraId="4345FD89" w14:textId="423B367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2.8.6.2.2. Trámite a cargo de la Dirección de Impuestos y Aduanas Nacionales. La Subdirección de Gestión de Recaudo y Cobranzas de la DIAN, luego de establecer el domicilio de los beneficiarios de las providencias o conciliaciones, remitirá toda la información descrita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a la Administración de Impuestos y Aduanas Nacionales, donde ésta exista, o en los demás casos, a la Administración de Impuestos Nacionales de la jurisdicción del beneficiario, con el objeto de que ésta realice las inspecciones necesarias tendientes a cuantificar el valor de las obligaciones tributarias, aduaneras o cambiarias exigibles, que puedan ser objeto de compensación. </w:t>
      </w:r>
    </w:p>
    <w:p w14:paraId="6F1C4E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F9AD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inspección consistirá en la verificación a nivel nacional, de las deudas tributarias, aduaneras o cambiarias a cargo de los beneficiarios de la sentencia o conciliación, realizada por la administración que corresponda de conformidad con lo dispuesto en el inciso anterior. </w:t>
      </w:r>
    </w:p>
    <w:p w14:paraId="430B3BDC" w14:textId="13B93A6E"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88" w:name="ver_30057695"/>
      <w:bookmarkEnd w:id="1388"/>
    </w:p>
    <w:p w14:paraId="210430BA" w14:textId="748495C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2.8.6.2.3. Obligaciones objeto de compensación. Las obligaciones tributarias, aduaneras o cambiarias objeto de compensación, serán aquellas que estén contenidas en liquidaciones privadas, liquidaciones oficiales y demás actos de la Dirección de Impuestos y Aduanas Nacionales, que fijen sumas líquidas de dinero a favor del fisco nacional, debidamente ejecutoriadas, y las garantías o cauciones prestadas a favor de la Nación para afianzar el pago de obligaciones tributarias, aduaneras o cambiarias, una vez ejecutoriada la providencia que declare su incumplimiento o la exigibilidad de las obligaciones garantizadas. </w:t>
      </w:r>
    </w:p>
    <w:p w14:paraId="024799F0" w14:textId="43466F32"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89" w:name="ver_30057696"/>
      <w:bookmarkEnd w:id="1389"/>
    </w:p>
    <w:p w14:paraId="0FE92F8F" w14:textId="3D139B8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2.8.6.2.4. Trámite. La administración respectiva, dispondrá del término máximo de veinte (20) días contados a partir del recibo de la información, para efectuar la inspección y para expedir la resolución de compensación por una sola vez cuando existan deudas exigibles, sin perjuicio de las facultades de cobro de las obligaciones pendientes de pago. </w:t>
      </w:r>
    </w:p>
    <w:p w14:paraId="7FD22A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AB33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resolución que ordene la compensación se notificará por correo certificado a la dirección informada en el respectivo proceso, a la que informe la entidad, o el beneficiario, o a la que establezca la Administración. </w:t>
      </w:r>
    </w:p>
    <w:p w14:paraId="0EF166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FDAA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Contra la resolución de compensación procederán los recursos de reposición y apelación, los cuales deberán ser interpuestos dentro de los diez (10) días siguientes a la notificación del acto y se resolverán dentro del término máximo de quince (15) días. </w:t>
      </w:r>
    </w:p>
    <w:p w14:paraId="678124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67951F" w14:textId="12C54D4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manera inmediata a la ejecutoria del acto de compensación, la administración respectiva informará a los organismos el valor en que fue afectada la sentencia o la conciliación por efecto de la compensación, remitiendo copia del acto administrativo debidamente notificado y ejecutoriado. Cuando de conformidad con la inspección realizada no haya lugar a la compensación, la administración así lo informará en el menor término posible y, en todo caso, dentro del plazo máximo establecido en el primer inciso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0D0B5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D0F2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base en la información anterior el órgano público encargado de dar cumplimiento a la sentencia o conciliación, dictará el acto administrativo correspondiente, el cual será notificado al beneficiario. </w:t>
      </w:r>
    </w:p>
    <w:p w14:paraId="27E5C0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40451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se compensen obligaciones exigibles por diferentes administraciones, la Administración que haya realizado la inspección deberá proferir la resolución por el total de la deuda a compensar. </w:t>
      </w:r>
    </w:p>
    <w:p w14:paraId="4E3738E0" w14:textId="77777777" w:rsidR="00FF5720" w:rsidRDefault="00FF5720" w:rsidP="00686CEE">
      <w:pPr>
        <w:spacing w:after="0" w:line="254" w:lineRule="atLeast"/>
        <w:jc w:val="center"/>
        <w:rPr>
          <w:rFonts w:ascii="Arial" w:eastAsia="Times New Roman" w:hAnsi="Arial" w:cs="Arial"/>
          <w:b/>
          <w:bCs/>
          <w:color w:val="000000"/>
          <w:lang w:eastAsia="es-CO"/>
        </w:rPr>
      </w:pPr>
      <w:bookmarkStart w:id="1390" w:name="ver_30057697"/>
      <w:bookmarkEnd w:id="1390"/>
    </w:p>
    <w:p w14:paraId="55193D00" w14:textId="452F9A17" w:rsidR="00404266" w:rsidRPr="00686CEE" w:rsidRDefault="00404266" w:rsidP="00686CEE">
      <w:pPr>
        <w:spacing w:after="0" w:line="254"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CAPÍTULO 3</w:t>
      </w:r>
    </w:p>
    <w:p w14:paraId="44461BA4" w14:textId="77777777" w:rsidR="00404266" w:rsidRPr="00686CEE" w:rsidRDefault="00404266" w:rsidP="00686CEE">
      <w:pPr>
        <w:spacing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PAGO DE SENTENCIAS Y CONCILIACIONES MEDIANTE BONOS</w:t>
      </w:r>
    </w:p>
    <w:p w14:paraId="509F38F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91" w:name="ver_30057698"/>
      <w:bookmarkEnd w:id="1391"/>
    </w:p>
    <w:p w14:paraId="07596C7F" w14:textId="3FEE3EE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2.8.6.3.1. Reconocimiento de sentencias y conciliaciones judiciales mediante bonos. Cuando el Ministerio de Hacienda y Crédito Público opte por reconocer como deuda pública las sentencias y conciliaciones judiciales en contra de la Nación y de los establecimientos públicos del orden nacional, las podrá, pagar mediante la emisión de bonos en condiciones de mercado siempre y cuando cuente con la aceptación del beneficiario. </w:t>
      </w:r>
    </w:p>
    <w:p w14:paraId="0CA3F4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F798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Sujeta a la posterior ratificación por parte de la Dirección General de Crédito Público y Tesoro Nacional y antes de la expedición de la resolución que haga el reconocimiento de deuda pública y ordene la emisión de los bonos, la entidad responsable del cumplimiento de la sentencia o conciliación judicial formulará una oferta al beneficiario del pago para que manifieste si acepta o no el pago mediante bonos por el valor total o parcial de la suma a cancelar. </w:t>
      </w:r>
    </w:p>
    <w:p w14:paraId="1D9CFC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7F72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beneficiario que desee recibir el pago mediante bonos deberá aceptar la oferta por escrito dentro de los diez (10) días hábiles siguientes al envío del requerimiento, expresando en forma clara y precisa el monto, máximo que acepta recibir mediante bonos. Vencido el término para contestar el requerimiento sin que el beneficiario, haya manifestado su voluntad de recibir bonos se entenderá que no ha aceptado. </w:t>
      </w:r>
    </w:p>
    <w:p w14:paraId="765357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5414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bonos que se emitan para el reconocimiento de las sentencias y conciliaciones judiciales como deuda pública se entregarán en condiciones de mercado de acuerdo con el mecanismo que disponga el Ministerio de Hacienda y Crédito Público. En todo caso, la emisión de dichos bonos deberá tener en cuenta las condiciones financieras del mercado primario de los títulos de deuda pública de la Nación. </w:t>
      </w:r>
    </w:p>
    <w:p w14:paraId="12ABC1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1E5EDE" w14:textId="4BCD492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bonos que el Ministerio de Hacienda y Crédito Público emita en desarrollo de lo previsto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podrán ser administrados directamente por la Nación o esta podrá celebrar con el Banco de la República o con otras entidades nacionales o extranjeras contratos de administración fiduciaria y todos aquellos necesarios para la agencia, administración y/o servicio de los respectivos títulos, en los cuales se podrá prever que la administración de los mismos y de los cupones que representan sus rendimientos se realice a través de depósitos centralizados de valores. </w:t>
      </w:r>
    </w:p>
    <w:p w14:paraId="422A59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A8BD84" w14:textId="22F1D77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Cuando en desarrollo de lo previsto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Ministerio de Hacienda y Crédito Público opte por reconocer como deuda pública de la Nación las sentencias y conciliaciones judiciales de los establecimientos públicos del orden nacional, éstos celebrarán acuerdos del pago en los cuales se establecerán los términos y condiciones para reintegrar a la Nación las sumas reconocidas a través de los bonos previstos en este capítulo. </w:t>
      </w:r>
    </w:p>
    <w:p w14:paraId="36F9703D" w14:textId="77777777" w:rsidR="00FF5720" w:rsidRDefault="00FF5720" w:rsidP="00686CEE">
      <w:pPr>
        <w:spacing w:after="0" w:line="293" w:lineRule="atLeast"/>
        <w:jc w:val="center"/>
        <w:rPr>
          <w:rFonts w:ascii="Arial" w:eastAsia="Times New Roman" w:hAnsi="Arial" w:cs="Arial"/>
          <w:b/>
          <w:bCs/>
          <w:color w:val="000000"/>
          <w:lang w:eastAsia="es-CO"/>
        </w:rPr>
      </w:pPr>
      <w:bookmarkStart w:id="1392" w:name="ver_30102998"/>
      <w:bookmarkEnd w:id="1392"/>
    </w:p>
    <w:p w14:paraId="4B4BDE4C" w14:textId="3BCCB2F0" w:rsidR="00404266" w:rsidRPr="00686CEE" w:rsidRDefault="00686CEE"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CAPÍTULO 4</w:t>
      </w:r>
    </w:p>
    <w:p w14:paraId="389BE7DF" w14:textId="1C615258" w:rsidR="00404266" w:rsidRPr="00686CEE" w:rsidRDefault="00686CEE"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TRÁMITE DE PAGO OFICIOSO</w:t>
      </w:r>
    </w:p>
    <w:p w14:paraId="3CE53CE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93" w:name="ver_30103600"/>
      <w:bookmarkStart w:id="1394" w:name="ver_30102999"/>
      <w:bookmarkEnd w:id="1393"/>
    </w:p>
    <w:p w14:paraId="415F4A15" w14:textId="0345C9C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2.8.6.4.1. Inicio del procedimiento de pago oficioso. El abogado que haya sido designado como apoderado deberá comunicar al ordenador del gasto de la entidad sobre la existencia de un crédito judicial, en un término no mayor a quince (15) días calendario, contados a partir de la ejecutoria del auto aprobatorio de la conciliación, sentencia o laudo arbitral, sin perjuicio de la comunicación que el despacho judicial efectúe a la entidad demandada. </w:t>
      </w:r>
    </w:p>
    <w:p w14:paraId="7FA9D6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921D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comunicación deberá contener la siguiente información: a) nombres y apellidos o razón social completos del beneficiario de la sentencia, laudo arbitral o conciliación; b) tipo y número de identificación del beneficiario; c) dirección de los beneficiarios de la providencia, laudo arbitral o conciliación que se obtenga del respectivo expediente; d) número de 23 dígitos que identifica el proceso judicial; e) copia de la sentencia, laudo arbitral o auto de aprobación de la conciliación con la correspondiente fecha de su ejecutoria. Con la anterior información la entidad deberá expedir la resolución de pago y proceder al mismo”. </w:t>
      </w:r>
    </w:p>
    <w:p w14:paraId="5F304171" w14:textId="55E57D5E" w:rsidR="00404266" w:rsidRPr="002C1480" w:rsidRDefault="00404266" w:rsidP="00686CE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395" w:name="ver_30103604"/>
      <w:bookmarkStart w:id="1396" w:name="ver_30103000"/>
      <w:bookmarkEnd w:id="1394"/>
      <w:bookmarkEnd w:id="1395"/>
    </w:p>
    <w:p w14:paraId="594B771F" w14:textId="2C5563F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2.8.6.4.2. Resolución de pago. Vencido el término anterior y en un término máximo de dos meses, contados a partir de la fecha en que el apoderado radique la comunicación con destino al ordenador del gasto, la entidad obligada procederá a expedir una resolución mediante la cual se liquiden las sumas adeudadas, se ordene su pago y se adopten las medidas para el cumplimiento de la resolución de pago según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65 de la Ley 179 de 1994, salvo los casos en los que exista la posibilidad de compensación. Dicha resolución deberá señalar expresamente en su parte resolutiva que se trata de un acto de ejecución no susceptible de recursos y será notificada al beneficiario de conformidad con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67 a 71 del Código de Procedimiento Administrativo y de lo Contencioso Administrativo.  </w:t>
      </w:r>
    </w:p>
    <w:p w14:paraId="3F25CF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A003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ningún caso la entidad deberá esperar a que el acreedor presente la solicitud de pago para cumplir con este trámite. Si durante la ejecución de este trámite el acreedor presenta la solicitud de pago, este se efectuará en la cuenta que el acreedor indique.  </w:t>
      </w:r>
    </w:p>
    <w:p w14:paraId="1DBC67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E2B8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caso de que la entidad no cuente con disponibilidad presupuestal para soportar el pago de la sentencia, laudo arbitral o conciliación, no expedirá la resolución de pago, pero deberá dejar constancia de la situación en el expediente y realizar las gestiones necesarias para apropiar los recursos a más tardar en la siguiente vigencia fiscal.  </w:t>
      </w:r>
    </w:p>
    <w:p w14:paraId="59042DE4" w14:textId="77777777" w:rsidR="00686CEE" w:rsidRDefault="00686CEE" w:rsidP="00C32F85">
      <w:pPr>
        <w:spacing w:after="0" w:line="293" w:lineRule="atLeast"/>
        <w:jc w:val="both"/>
        <w:rPr>
          <w:rFonts w:ascii="Arial" w:eastAsia="Times New Roman" w:hAnsi="Arial" w:cs="Arial"/>
          <w:color w:val="000000"/>
          <w:lang w:eastAsia="es-CO"/>
        </w:rPr>
      </w:pPr>
      <w:bookmarkStart w:id="1397" w:name="ver_30103001"/>
      <w:bookmarkEnd w:id="1396"/>
      <w:bookmarkEnd w:id="1397"/>
    </w:p>
    <w:p w14:paraId="41C978C4" w14:textId="0386CCF6" w:rsidR="00404266" w:rsidRPr="00686CEE" w:rsidRDefault="00686CEE"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CAPÍTULO 5</w:t>
      </w:r>
    </w:p>
    <w:p w14:paraId="692AC846" w14:textId="52182DA3" w:rsidR="00404266" w:rsidRPr="00686CEE" w:rsidRDefault="00686CEE" w:rsidP="00686CEE">
      <w:pPr>
        <w:spacing w:after="0" w:line="293" w:lineRule="atLeast"/>
        <w:jc w:val="center"/>
        <w:rPr>
          <w:rFonts w:ascii="Arial" w:eastAsia="Times New Roman" w:hAnsi="Arial" w:cs="Arial"/>
          <w:b/>
          <w:bCs/>
          <w:color w:val="000000"/>
          <w:lang w:eastAsia="es-CO"/>
        </w:rPr>
      </w:pPr>
      <w:r w:rsidRPr="00686CEE">
        <w:rPr>
          <w:rFonts w:ascii="Arial" w:eastAsia="Times New Roman" w:hAnsi="Arial" w:cs="Arial"/>
          <w:b/>
          <w:bCs/>
          <w:color w:val="000000"/>
          <w:lang w:eastAsia="es-CO"/>
        </w:rPr>
        <w:t>PAGO DE SENTENCIAS, LAUDOS ARBITRALES Y CONCILIACIONES POR SOLICITUD DEL BENEFICIARIO</w:t>
      </w:r>
    </w:p>
    <w:p w14:paraId="4CCE684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398" w:name="ver_30103002"/>
      <w:bookmarkEnd w:id="1398"/>
    </w:p>
    <w:p w14:paraId="25844118" w14:textId="6C337DB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2.8.6.5.1. Solicitud de pago. Sin perjuicio del pago de oficio por parte de la entidad pública, quien fuere beneficiario de una obligación dineraria a cargo de la nación establecida en una sentencia, laudo arbitral o conciliación, o su apoderado, podrá presentar la solicitud de pago ante la entidad condenada para que los dineros adeudados le sean consignados en su cuenta bancaria. Esta solicitud deberá ser presentada mediante escrito donde se afirme bajo la gravedad de juramento que no se ha presentado otra solicitud de pago por el mismo concepto, ni se ha intentado el cobro ejecutivo. Para tales efectos se anexará a la solicitud, la siguiente información:  </w:t>
      </w:r>
    </w:p>
    <w:p w14:paraId="5DC1F7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40FC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datos de identificación, teléfono, correo electrónico y dirección de los beneficiarios y sus apoderados;  </w:t>
      </w:r>
    </w:p>
    <w:p w14:paraId="591590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4BB0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Copia de la respectiva sentencia, laudo arbitral o conciliación con la correspondiente fecha de ejecutoria;  </w:t>
      </w:r>
    </w:p>
    <w:p w14:paraId="11B77E0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47697B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poder que se hubiere otorgado, de ser el caso, el cual deberá reunir los requisitos de ley, incluir explícitamente la facultad para recibir dinero y estar expresamente dirigido a la entidad condenada u obligada;  </w:t>
      </w:r>
    </w:p>
    <w:p w14:paraId="34B0CB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80C0D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Certificación bancaria, expedida por entidad financiera, donde se indique el número y tipo de cuenta del apoderado y la de aquellos beneficiarios mayores de edad que soliciten que el pago se les efectúe directamente;  </w:t>
      </w:r>
    </w:p>
    <w:p w14:paraId="4F7210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E6710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Copia del documento de identidad de la persona a favor de quien se ordena efectuar la consignación;  </w:t>
      </w:r>
    </w:p>
    <w:p w14:paraId="548B8E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DD5CF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Los demás documentos que por razón del contenido de la condena u obligación, sean necesarios para liquidar su valor y que no estén o no deban estar en poder de la entidad, incluidos todos los documentos requeridos por el Sistema Integrado de Información Financiera (SIIF)-Nación para realizar los pagos.  </w:t>
      </w:r>
    </w:p>
    <w:p w14:paraId="2F43FA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FA1FA2" w14:textId="53571CA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conformidad con lo señalado en el inciso quinto (5º)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192 de la Ley 1437 de 2011 la solicitud de pago presentada por los beneficiarios dentro de los tres (3) meses siguientes a la ejecutoria de la providencia judicial, impedirá la suspensión de la causación de intereses, siempre y cuando sea presentada con la totalidad de los requisitos y documentos anteriormente señalados. De igual manera, una vez suspendida la causación de intereses, la misma se reanudará solamente cuando la solicitud sea presentada con la totalidad de los requisitos y documentos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5F9C5F6B"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2599EC15" w14:textId="47F55166" w:rsidR="00404266" w:rsidRPr="009553BD" w:rsidRDefault="009553BD" w:rsidP="009553BD">
      <w:pPr>
        <w:spacing w:after="0" w:line="293" w:lineRule="atLeast"/>
        <w:jc w:val="center"/>
        <w:rPr>
          <w:rFonts w:ascii="Arial" w:eastAsia="Times New Roman" w:hAnsi="Arial" w:cs="Arial"/>
          <w:b/>
          <w:bCs/>
          <w:color w:val="000000"/>
          <w:lang w:eastAsia="es-CO"/>
        </w:rPr>
      </w:pPr>
      <w:bookmarkStart w:id="1399" w:name="ver_30103003"/>
      <w:bookmarkEnd w:id="1399"/>
      <w:r w:rsidRPr="009553BD">
        <w:rPr>
          <w:rFonts w:ascii="Arial" w:eastAsia="Times New Roman" w:hAnsi="Arial" w:cs="Arial"/>
          <w:b/>
          <w:bCs/>
          <w:color w:val="000000"/>
          <w:lang w:eastAsia="es-CO"/>
        </w:rPr>
        <w:t>CAPÍTULO 6</w:t>
      </w:r>
    </w:p>
    <w:p w14:paraId="1D029A80" w14:textId="5A479AB9" w:rsidR="00404266" w:rsidRPr="009553BD" w:rsidRDefault="009553BD" w:rsidP="009553BD">
      <w:pPr>
        <w:spacing w:after="0" w:line="293" w:lineRule="atLeast"/>
        <w:jc w:val="center"/>
        <w:rPr>
          <w:rFonts w:ascii="Arial" w:eastAsia="Times New Roman" w:hAnsi="Arial" w:cs="Arial"/>
          <w:b/>
          <w:bCs/>
          <w:color w:val="000000"/>
          <w:lang w:eastAsia="es-CO"/>
        </w:rPr>
      </w:pPr>
      <w:r w:rsidRPr="009553BD">
        <w:rPr>
          <w:rFonts w:ascii="Arial" w:eastAsia="Times New Roman" w:hAnsi="Arial" w:cs="Arial"/>
          <w:b/>
          <w:bCs/>
          <w:color w:val="000000"/>
          <w:lang w:eastAsia="es-CO"/>
        </w:rPr>
        <w:t>TASAS DE INTERÉS Y FÓRMULA DE CÁLCULO PARA EL PAGO DE SENTENCIAS, CONCILIACIONES Y LAUDOS ARBITRALES</w:t>
      </w:r>
    </w:p>
    <w:p w14:paraId="4EE3563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0" w:name="ver_30103605"/>
      <w:bookmarkStart w:id="1401" w:name="ver_30103005"/>
      <w:bookmarkEnd w:id="1400"/>
    </w:p>
    <w:p w14:paraId="026ECBBB" w14:textId="487092A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2.8.6.6.1.Tasa de interés moratorio. La tasa de interés moratorio que se aplicará dentro del plazo máximo con el que cuentan las entidades públicas para dar cumplimiento a condenas consistentes en el pago o devolución de una suma de dinero será la DTF mensual vigente certificada por el Banco de la República. Para liquidar el último mes o fracción se utilizará la DTF mensual del mes inmediatamente anterior. Luego de transcurridos los diez (10) meses señalados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192 del Código de Procedimiento Administrativo y de lo Contencioso Administrativo, se aplicará la tasa comercial, de conformidad con lo establecido en el numeral 4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195 del Código de Procedimiento Administrativo y de lo Contencioso Administrativo. </w:t>
      </w:r>
    </w:p>
    <w:p w14:paraId="6F8A79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5CA445" w14:textId="7F72245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todo caso, una vez liquidado el crédito y puesta a disposición del beneficiario la suma de dinero que provea el pago, cesa la causación de intereses. Si dentro de los tres (3) meses siguientes a la ejecutoria no se presenta solicitud de pago y no ha operado el pago oficioso, cesa el pago de intereses hasta tanto se reciba la solicitud de pago, de conformidad con el inciso 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192 del Código de Procedimiento Administrativo y de lo Contencioso Administrativo. </w:t>
      </w:r>
    </w:p>
    <w:p w14:paraId="3C3EBA5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2" w:name="ver_30103007"/>
      <w:bookmarkEnd w:id="1401"/>
      <w:bookmarkEnd w:id="1402"/>
    </w:p>
    <w:p w14:paraId="4D80AD72" w14:textId="7DC63E3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2.8.6.6.2.Tasas de interés y fórmula de cálculo de los intereses de mora. Para la liquidación de los intereses, sin perjuicio de la tasa de mora que se utilice para calcularlos, se deberán aplicar las siguientes fórmulas matemáticas:  </w:t>
      </w:r>
    </w:p>
    <w:p w14:paraId="5C8ACD9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FD4E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En primer lugar, la tasa efectiva anual publicada como un porcentaje deberá ser transformada a su forma decimal dividiendo por cien (100), así:  </w:t>
      </w:r>
    </w:p>
    <w:p w14:paraId="37AA23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132B45" w14:textId="0AE81F45" w:rsidR="00404266" w:rsidRPr="002C1480" w:rsidRDefault="00404266" w:rsidP="00C32F85">
      <w:pPr>
        <w:spacing w:after="0" w:line="254" w:lineRule="atLeast"/>
        <w:jc w:val="both"/>
        <w:rPr>
          <w:rFonts w:ascii="Arial" w:eastAsia="Times New Roman" w:hAnsi="Arial" w:cs="Arial"/>
          <w:color w:val="000000"/>
          <w:lang w:eastAsia="es-CO"/>
        </w:rPr>
      </w:pPr>
      <w:r>
        <w:rPr>
          <w:noProof/>
          <w:lang w:eastAsia="es-CO"/>
        </w:rPr>
        <w:drawing>
          <wp:inline distT="0" distB="0" distL="0" distR="0" wp14:anchorId="0353C9CC" wp14:editId="61DDC885">
            <wp:extent cx="1353820" cy="7004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31">
                      <a:extLst>
                        <a:ext uri="{28A0092B-C50C-407E-A947-70E740481C1C}">
                          <a14:useLocalDpi xmlns:a14="http://schemas.microsoft.com/office/drawing/2010/main" val="0"/>
                        </a:ext>
                      </a:extLst>
                    </a:blip>
                    <a:stretch>
                      <a:fillRect/>
                    </a:stretch>
                  </pic:blipFill>
                  <pic:spPr>
                    <a:xfrm>
                      <a:off x="0" y="0"/>
                      <a:ext cx="1353820" cy="700405"/>
                    </a:xfrm>
                    <a:prstGeom prst="rect">
                      <a:avLst/>
                    </a:prstGeom>
                  </pic:spPr>
                </pic:pic>
              </a:graphicData>
            </a:graphic>
          </wp:inline>
        </w:drawing>
      </w:r>
      <w:r w:rsidRPr="660F8EF8">
        <w:rPr>
          <w:rFonts w:ascii="Arial" w:eastAsia="Times New Roman" w:hAnsi="Arial" w:cs="Arial"/>
          <w:color w:val="000000" w:themeColor="text1"/>
          <w:lang w:eastAsia="es-CO"/>
        </w:rPr>
        <w:t> </w:t>
      </w:r>
    </w:p>
    <w:p w14:paraId="1B6FAD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71A3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 tasa efectiva anual  </w:t>
      </w:r>
    </w:p>
    <w:p w14:paraId="709BB1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F79F4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continuación, la tasa efectiva anual de la tasa de interés aplicable deberá ser transformada a su equivalente nominal capitalizable diariamente a través de la siguiente fórmula:  </w:t>
      </w:r>
    </w:p>
    <w:p w14:paraId="79A649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4C4A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 = [(1 + i)1/365 - 1] * 365 </w:t>
      </w:r>
    </w:p>
    <w:p w14:paraId="38C139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D9E54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Donde i tasa efectiva anual del interés aplicable  </w:t>
      </w:r>
    </w:p>
    <w:p w14:paraId="2D3E2DF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7512CC" w14:textId="77777777" w:rsidR="00404266" w:rsidRPr="002C1480" w:rsidRDefault="00404266" w:rsidP="00C32F85">
      <w:pPr>
        <w:spacing w:after="0" w:line="254" w:lineRule="atLeast"/>
        <w:ind w:left="3"/>
        <w:jc w:val="both"/>
        <w:rPr>
          <w:rFonts w:ascii="Arial" w:eastAsia="Times New Roman" w:hAnsi="Arial" w:cs="Arial"/>
          <w:color w:val="000000"/>
          <w:lang w:eastAsia="es-CO"/>
        </w:rPr>
      </w:pPr>
      <w:r w:rsidRPr="002C1480">
        <w:rPr>
          <w:rFonts w:ascii="Arial" w:eastAsia="Times New Roman" w:hAnsi="Arial" w:cs="Arial"/>
          <w:color w:val="000000"/>
          <w:lang w:eastAsia="es-CO"/>
        </w:rPr>
        <w:t>t tasa nominal anual  </w:t>
      </w:r>
    </w:p>
    <w:p w14:paraId="375F08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CE7D4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esta tasa se calcularán los intereses moratorias totales y reconocidos diariamente de la siguiente manera:  </w:t>
      </w:r>
    </w:p>
    <w:p w14:paraId="33A866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7FA306" w14:textId="33F2BE6A" w:rsidR="00404266" w:rsidRPr="002C1480" w:rsidRDefault="00404266" w:rsidP="00C32F85">
      <w:pPr>
        <w:spacing w:after="0" w:line="254" w:lineRule="atLeast"/>
        <w:jc w:val="both"/>
        <w:rPr>
          <w:rFonts w:ascii="Arial" w:eastAsia="Times New Roman" w:hAnsi="Arial" w:cs="Arial"/>
          <w:color w:val="000000"/>
          <w:lang w:eastAsia="es-CO"/>
        </w:rPr>
      </w:pPr>
      <w:r>
        <w:rPr>
          <w:noProof/>
          <w:lang w:eastAsia="es-CO"/>
        </w:rPr>
        <w:drawing>
          <wp:inline distT="0" distB="0" distL="0" distR="0" wp14:anchorId="40714929" wp14:editId="69E8AC87">
            <wp:extent cx="1353820" cy="70040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32">
                      <a:extLst>
                        <a:ext uri="{28A0092B-C50C-407E-A947-70E740481C1C}">
                          <a14:useLocalDpi xmlns:a14="http://schemas.microsoft.com/office/drawing/2010/main" val="0"/>
                        </a:ext>
                      </a:extLst>
                    </a:blip>
                    <a:stretch>
                      <a:fillRect/>
                    </a:stretch>
                  </pic:blipFill>
                  <pic:spPr>
                    <a:xfrm>
                      <a:off x="0" y="0"/>
                      <a:ext cx="1353820" cy="700405"/>
                    </a:xfrm>
                    <a:prstGeom prst="rect">
                      <a:avLst/>
                    </a:prstGeom>
                  </pic:spPr>
                </pic:pic>
              </a:graphicData>
            </a:graphic>
          </wp:inline>
        </w:drawing>
      </w:r>
      <w:r w:rsidRPr="660F8EF8">
        <w:rPr>
          <w:rFonts w:ascii="Arial" w:eastAsia="Times New Roman" w:hAnsi="Arial" w:cs="Arial"/>
          <w:color w:val="000000" w:themeColor="text1"/>
          <w:lang w:eastAsia="es-CO"/>
        </w:rPr>
        <w:t> </w:t>
      </w:r>
    </w:p>
    <w:p w14:paraId="619DFC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Intereses causados y no pagados  </w:t>
      </w:r>
    </w:p>
    <w:p w14:paraId="04EC23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0962D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Capital adeudado  </w:t>
      </w:r>
    </w:p>
    <w:p w14:paraId="6D20D57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AB66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 Tasa nominal anual  </w:t>
      </w:r>
    </w:p>
    <w:p w14:paraId="0D9344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C14CC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 Número de días en mora </w:t>
      </w:r>
    </w:p>
    <w:p w14:paraId="43AB054C"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29965319" w14:textId="77777777" w:rsidR="00404266" w:rsidRPr="009553BD" w:rsidRDefault="00404266" w:rsidP="009553BD">
      <w:pPr>
        <w:spacing w:after="0" w:line="293" w:lineRule="atLeast"/>
        <w:jc w:val="center"/>
        <w:rPr>
          <w:rFonts w:ascii="Arial" w:eastAsia="Times New Roman" w:hAnsi="Arial" w:cs="Arial"/>
          <w:b/>
          <w:bCs/>
          <w:color w:val="000000"/>
          <w:lang w:eastAsia="es-CO"/>
        </w:rPr>
      </w:pPr>
      <w:bookmarkStart w:id="1403" w:name="ver_30057699"/>
      <w:bookmarkEnd w:id="1403"/>
      <w:r w:rsidRPr="009553BD">
        <w:rPr>
          <w:rFonts w:ascii="Arial" w:eastAsia="Times New Roman" w:hAnsi="Arial" w:cs="Arial"/>
          <w:b/>
          <w:bCs/>
          <w:color w:val="000000"/>
          <w:lang w:eastAsia="es-CO"/>
        </w:rPr>
        <w:t>TÍTULO 7</w:t>
      </w:r>
    </w:p>
    <w:p w14:paraId="06FEBF66" w14:textId="77777777" w:rsidR="00404266" w:rsidRPr="009553BD" w:rsidRDefault="00404266" w:rsidP="009553BD">
      <w:pPr>
        <w:spacing w:line="293" w:lineRule="atLeast"/>
        <w:jc w:val="center"/>
        <w:rPr>
          <w:rFonts w:ascii="Arial" w:eastAsia="Times New Roman" w:hAnsi="Arial" w:cs="Arial"/>
          <w:b/>
          <w:bCs/>
          <w:color w:val="000000"/>
          <w:lang w:eastAsia="es-CO"/>
        </w:rPr>
      </w:pPr>
      <w:r w:rsidRPr="009553BD">
        <w:rPr>
          <w:rFonts w:ascii="Arial" w:eastAsia="Times New Roman" w:hAnsi="Arial" w:cs="Arial"/>
          <w:b/>
          <w:bCs/>
          <w:color w:val="000000"/>
          <w:lang w:eastAsia="es-CO"/>
        </w:rPr>
        <w:t>INCLUSION EN EL PRESUPUESTO GENERAL DE LA NACIÓN DE LOS RECURSOS NECESARIOS PARA INGRESO DE COLOMBIA A LA OCDE</w:t>
      </w:r>
    </w:p>
    <w:p w14:paraId="7601734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4" w:name="ver_30057700"/>
      <w:bookmarkEnd w:id="1404"/>
    </w:p>
    <w:p w14:paraId="30B193F0" w14:textId="1B4BBD0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2.8.7.1. Recursos necesarios para el ingreso a la OCDE. En desarrollo de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47 de la Ley 1450 de 2011, el Gobierno Nacional incluirá en el Presupuesto General de la Nación los recursos necesarios para sufragar los gastos que requieran las entidades técnicas responsables para el ingreso de Colombia en la OCDE, en particular los necesarios para participar o pertenecer a sus grupos y comités y para cumplir las obligaciones derivadas de la preparación para el ingreso y aceptación como miembro. </w:t>
      </w:r>
    </w:p>
    <w:p w14:paraId="278529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A6CE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Tales erogaciones incluyen, entre otras, las destinadas a sufragar: </w:t>
      </w:r>
    </w:p>
    <w:p w14:paraId="2C4DF1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46E5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 Las revisiones de pares y demás revisiones, estudios y auditorías (“peer reviews”, “assessments”, entre otros) sobre el Estado Colombiano, su legislación y funcionamiento, que sean necesarios para y dentro de los procesos tendientes al acceso de Colombia a la OCDE. </w:t>
      </w:r>
    </w:p>
    <w:p w14:paraId="4BE3B40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7ED5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revisiones de pares y demás revisiones, estudios y auditorías (“peer reviews”, “assessments”, entre otros) en relación con otros Estados, su legislación y funcionamiento, en los que deba participar Colombia como parte de los compromisos adquiridos en virtud de su participación en los distintos foros y grupos de trabajo de los que haga parte el país en desarrollo de los procesos tendientes a su acceso a la OCDE. </w:t>
      </w:r>
    </w:p>
    <w:p w14:paraId="11C113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24F18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misiones de los funcionarios de la OCDE o sus grupos y comités a Colombia, incluidos los gastos de traslado, estadía y alojamiento, entre otros. </w:t>
      </w:r>
    </w:p>
    <w:p w14:paraId="1F5206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D818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Las misiones de funcionarios y contratistas del Estado colombiano a la sede o lugares de reunión permanente o esporádica de la OCDE, incluidos los gastos de traslado, estadía y alojamiento, entre otros. </w:t>
      </w:r>
    </w:p>
    <w:p w14:paraId="0534DDC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2C21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Las misiones de trabajo permanente de funcionarios y contratistas del Estado colombiano que deban desarrollarse por un lapso superior a un mes (secondment) en alguna de las sedes de la OCDE o de los foros o cuerpos de los que la OCDE haga la secretaría o coordinación, incluidos los gastos de traslado, estadía y alojamiento, entre otros. </w:t>
      </w:r>
    </w:p>
    <w:p w14:paraId="2FFE19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1287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La traducción de textos normativos, documentos de trabajo, cuestionarios, formularios, publicaciones y demás material producido por la OCDE o por el Estado colombiano dentro de los procesos tendientes al acceso. </w:t>
      </w:r>
    </w:p>
    <w:p w14:paraId="5BF7F7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DC473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La interpretación oficial al español en los eventos de la OCDE a los que asistan funcionarios o contratistas del Estado colombiano. </w:t>
      </w:r>
    </w:p>
    <w:p w14:paraId="67A43C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A863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Los eventos que deba realizar el Estado colombiano dentro de los procesos tendientes al acceso a la OCDE, incluidos los que se celebren en sus sedes de representación en el exterior. </w:t>
      </w:r>
    </w:p>
    <w:p w14:paraId="30FC2A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0346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Las contribuciones para la adhesión, participación o membresía en los comités o grupos de la OCDE, así como en los foros, grupos, convenciones y demás instrumentos patrocinados, y/o administrados, y/o coordinados por la OCDE, de los que Colombia deba hacer parte para efectos de los procesos tendientes al acceso a la OCDE. </w:t>
      </w:r>
    </w:p>
    <w:p w14:paraId="79C5CC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512C6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Los eventos de capacitación de los funcionarios colombianos por parte de la OCDE en relación con los temas trabajados por la Organización, así como los manuales, recomendaciones, convenciones y demás instrumentos a los que Colombia deba adherir o que deba adoptar como parte de los procesos tendientes a lograr su acceso a la Organización. </w:t>
      </w:r>
    </w:p>
    <w:p w14:paraId="6AECC8F0" w14:textId="77777777" w:rsidR="00FF5720" w:rsidRDefault="00FF5720" w:rsidP="00C32F85">
      <w:pPr>
        <w:spacing w:after="0" w:line="254" w:lineRule="atLeast"/>
        <w:jc w:val="both"/>
        <w:rPr>
          <w:rFonts w:ascii="Arial" w:eastAsia="Times New Roman" w:hAnsi="Arial" w:cs="Arial"/>
          <w:color w:val="000000"/>
          <w:lang w:eastAsia="es-CO"/>
        </w:rPr>
      </w:pPr>
    </w:p>
    <w:p w14:paraId="707B80A7" w14:textId="430D290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2.8.7.2. Certificado de disponibilidad presupuestal. Con cargo al rubro que se especifique para los efectos atrás descritos, se atenderán los gastos establecidos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del presente título, para lo cual al inicio de cada vigencia fiscal se expedirá el correspondiente certificado de disponibilidad presupuestal que amparará los compromisos necesarios para el cumplimiento de la preparación para el ingreso y aceptación de Colombia en dicha Organización. </w:t>
      </w:r>
    </w:p>
    <w:p w14:paraId="19A7DE37" w14:textId="5E4F1BD1" w:rsidR="00404266" w:rsidRPr="002C1480" w:rsidRDefault="00404266" w:rsidP="00FF572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154577" w14:textId="77777777" w:rsidR="00AF2398" w:rsidRDefault="00AF2398" w:rsidP="00C32F85">
      <w:pPr>
        <w:spacing w:after="0" w:line="293" w:lineRule="atLeast"/>
        <w:jc w:val="both"/>
        <w:rPr>
          <w:rFonts w:ascii="Arial" w:eastAsia="Times New Roman" w:hAnsi="Arial" w:cs="Arial"/>
          <w:color w:val="000000"/>
          <w:lang w:eastAsia="es-CO"/>
        </w:rPr>
      </w:pPr>
      <w:bookmarkStart w:id="1405" w:name="ver_30057702"/>
      <w:bookmarkEnd w:id="1405"/>
    </w:p>
    <w:p w14:paraId="58049F79" w14:textId="3BFDD65B" w:rsidR="00404266" w:rsidRPr="00AF2398" w:rsidRDefault="00404266" w:rsidP="00AF2398">
      <w:pPr>
        <w:spacing w:after="0" w:line="293" w:lineRule="atLeast"/>
        <w:jc w:val="center"/>
        <w:rPr>
          <w:rFonts w:ascii="Arial" w:eastAsia="Times New Roman" w:hAnsi="Arial" w:cs="Arial"/>
          <w:b/>
          <w:bCs/>
          <w:color w:val="000000"/>
          <w:lang w:eastAsia="es-CO"/>
        </w:rPr>
      </w:pPr>
      <w:r w:rsidRPr="00AF2398">
        <w:rPr>
          <w:rFonts w:ascii="Arial" w:eastAsia="Times New Roman" w:hAnsi="Arial" w:cs="Arial"/>
          <w:b/>
          <w:bCs/>
          <w:color w:val="000000"/>
          <w:lang w:eastAsia="es-CO"/>
        </w:rPr>
        <w:lastRenderedPageBreak/>
        <w:t>PARTE 9</w:t>
      </w:r>
    </w:p>
    <w:p w14:paraId="4466C757" w14:textId="0F16A8FF" w:rsidR="00404266" w:rsidRDefault="00404266" w:rsidP="00AF2398">
      <w:pPr>
        <w:spacing w:after="0" w:line="293" w:lineRule="atLeast"/>
        <w:jc w:val="center"/>
        <w:rPr>
          <w:rFonts w:ascii="Arial" w:eastAsia="Times New Roman" w:hAnsi="Arial" w:cs="Arial"/>
          <w:b/>
          <w:bCs/>
          <w:color w:val="000000"/>
          <w:lang w:eastAsia="es-CO"/>
        </w:rPr>
      </w:pPr>
      <w:r w:rsidRPr="00AF2398">
        <w:rPr>
          <w:rFonts w:ascii="Arial" w:eastAsia="Times New Roman" w:hAnsi="Arial" w:cs="Arial"/>
          <w:b/>
          <w:bCs/>
          <w:color w:val="000000"/>
          <w:lang w:eastAsia="es-CO"/>
        </w:rPr>
        <w:t>SISTEMA INTEGRADO DE INFORMACIÓN FINANCIERA – SIIF – NACIÓN</w:t>
      </w:r>
    </w:p>
    <w:p w14:paraId="735DEC0A" w14:textId="77777777" w:rsidR="00AF2398" w:rsidRPr="00AF2398" w:rsidRDefault="00AF2398" w:rsidP="00AF2398">
      <w:pPr>
        <w:spacing w:after="0" w:line="293" w:lineRule="atLeast"/>
        <w:jc w:val="center"/>
        <w:rPr>
          <w:rFonts w:ascii="Arial" w:eastAsia="Times New Roman" w:hAnsi="Arial" w:cs="Arial"/>
          <w:b/>
          <w:bCs/>
          <w:color w:val="000000"/>
          <w:lang w:eastAsia="es-CO"/>
        </w:rPr>
      </w:pPr>
    </w:p>
    <w:p w14:paraId="35FA1B0A" w14:textId="77777777" w:rsidR="00404266" w:rsidRPr="00AF2398" w:rsidRDefault="00404266" w:rsidP="00AF2398">
      <w:pPr>
        <w:spacing w:after="0" w:line="293" w:lineRule="atLeast"/>
        <w:jc w:val="center"/>
        <w:rPr>
          <w:rFonts w:ascii="Arial" w:eastAsia="Times New Roman" w:hAnsi="Arial" w:cs="Arial"/>
          <w:b/>
          <w:bCs/>
          <w:color w:val="000000"/>
          <w:lang w:eastAsia="es-CO"/>
        </w:rPr>
      </w:pPr>
      <w:r w:rsidRPr="00AF2398">
        <w:rPr>
          <w:rFonts w:ascii="Arial" w:eastAsia="Times New Roman" w:hAnsi="Arial" w:cs="Arial"/>
          <w:b/>
          <w:bCs/>
          <w:color w:val="000000"/>
          <w:lang w:eastAsia="es-CO"/>
        </w:rPr>
        <w:t>TÍTULO 1</w:t>
      </w:r>
    </w:p>
    <w:p w14:paraId="56EC1E95" w14:textId="75353EAE" w:rsidR="00404266" w:rsidRDefault="00404266" w:rsidP="00AF2398">
      <w:pPr>
        <w:spacing w:after="0" w:line="293" w:lineRule="atLeast"/>
        <w:jc w:val="center"/>
        <w:rPr>
          <w:rFonts w:ascii="Arial" w:eastAsia="Times New Roman" w:hAnsi="Arial" w:cs="Arial"/>
          <w:b/>
          <w:bCs/>
          <w:color w:val="000000"/>
          <w:lang w:eastAsia="es-CO"/>
        </w:rPr>
      </w:pPr>
      <w:r w:rsidRPr="00AF2398">
        <w:rPr>
          <w:rFonts w:ascii="Arial" w:eastAsia="Times New Roman" w:hAnsi="Arial" w:cs="Arial"/>
          <w:b/>
          <w:bCs/>
          <w:color w:val="000000"/>
          <w:lang w:eastAsia="es-CO"/>
        </w:rPr>
        <w:t>SISTEMA INTEGRADO DE INFORMACIÓN FINANCIERA – SIIF NACIÓN</w:t>
      </w:r>
    </w:p>
    <w:p w14:paraId="16B28D94" w14:textId="77777777" w:rsidR="00AF2398" w:rsidRPr="00AF2398" w:rsidRDefault="00AF2398" w:rsidP="00AF2398">
      <w:pPr>
        <w:spacing w:after="0" w:line="293" w:lineRule="atLeast"/>
        <w:jc w:val="center"/>
        <w:rPr>
          <w:rFonts w:ascii="Arial" w:eastAsia="Times New Roman" w:hAnsi="Arial" w:cs="Arial"/>
          <w:b/>
          <w:bCs/>
          <w:color w:val="000000"/>
          <w:lang w:eastAsia="es-CO"/>
        </w:rPr>
      </w:pPr>
    </w:p>
    <w:p w14:paraId="3B5E0CB3" w14:textId="77777777" w:rsidR="00404266" w:rsidRPr="00AF2398" w:rsidRDefault="00404266" w:rsidP="00AF2398">
      <w:pPr>
        <w:spacing w:after="0" w:line="293" w:lineRule="atLeast"/>
        <w:jc w:val="center"/>
        <w:rPr>
          <w:rFonts w:ascii="Arial" w:eastAsia="Times New Roman" w:hAnsi="Arial" w:cs="Arial"/>
          <w:b/>
          <w:bCs/>
          <w:color w:val="000000"/>
          <w:lang w:eastAsia="es-CO"/>
        </w:rPr>
      </w:pPr>
      <w:r w:rsidRPr="00AF2398">
        <w:rPr>
          <w:rFonts w:ascii="Arial" w:eastAsia="Times New Roman" w:hAnsi="Arial" w:cs="Arial"/>
          <w:b/>
          <w:bCs/>
          <w:color w:val="000000"/>
          <w:lang w:eastAsia="es-CO"/>
        </w:rPr>
        <w:t>CAPÍTULO 1</w:t>
      </w:r>
    </w:p>
    <w:p w14:paraId="221A0F50" w14:textId="77777777" w:rsidR="00404266" w:rsidRPr="00AF2398" w:rsidRDefault="00404266" w:rsidP="00AF2398">
      <w:pPr>
        <w:spacing w:line="293" w:lineRule="atLeast"/>
        <w:jc w:val="center"/>
        <w:rPr>
          <w:rFonts w:ascii="Arial" w:eastAsia="Times New Roman" w:hAnsi="Arial" w:cs="Arial"/>
          <w:b/>
          <w:bCs/>
          <w:color w:val="000000"/>
          <w:lang w:eastAsia="es-CO"/>
        </w:rPr>
      </w:pPr>
      <w:r w:rsidRPr="00AF2398">
        <w:rPr>
          <w:rFonts w:ascii="Arial" w:eastAsia="Times New Roman" w:hAnsi="Arial" w:cs="Arial"/>
          <w:b/>
          <w:bCs/>
          <w:color w:val="000000"/>
          <w:lang w:eastAsia="es-CO"/>
        </w:rPr>
        <w:t>CARACTERÍSTICAS GENERALES Y ESTRUCTURA DEL SIIF</w:t>
      </w:r>
    </w:p>
    <w:p w14:paraId="5CCA333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6" w:name="ver_30057703"/>
      <w:bookmarkEnd w:id="1406"/>
    </w:p>
    <w:p w14:paraId="541AFBC6" w14:textId="430D479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 Objeto. El presente título determina el marco para la administración, implantación, operatividad, uso y aplicabilidad del Sistema Integrado de Información Financiera (SIIF) Nación. </w:t>
      </w:r>
    </w:p>
    <w:p w14:paraId="4537AC7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7" w:name="ver_30057704"/>
      <w:bookmarkEnd w:id="1407"/>
    </w:p>
    <w:p w14:paraId="03E0D336" w14:textId="362FC05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2.9.1.1.2. Definición. El Sistema Integrado de Información Financiera (SIIF) Nación es un sistema que coordina, integra, centraliza y estandariza la gestión financiera pública nacional, con el fin de propiciar una mayor eficiencia y seguridad en el uso de los recursos del Presupuesto General de la Nación y de brindar información oportuna y confiable. </w:t>
      </w:r>
    </w:p>
    <w:p w14:paraId="4BF929F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8" w:name="ver_30057705"/>
      <w:bookmarkEnd w:id="1408"/>
    </w:p>
    <w:p w14:paraId="30CB8E6C" w14:textId="722E6A4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2.9.1.1.3. Campo de aplicación. El presente título aplica a todas las entidades y órganos que hacen parte del Presupuesto General de la Nación. </w:t>
      </w:r>
    </w:p>
    <w:p w14:paraId="0C2386B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F437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las Corporaciones Autónomas Regionales y las Empresas Industriales y Comerciales del Estado y las Sociedades de Economía Mixta sujetas al régimen de aquellas, que reciban recursos de la Nación a través del Presupuesto General de la Nación, solo aplicará en lo relacionado con la gestión presupuestal del gasto para el giro de dichos recursos. </w:t>
      </w:r>
    </w:p>
    <w:p w14:paraId="2818674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09" w:name="ver_30057706"/>
      <w:bookmarkEnd w:id="1409"/>
    </w:p>
    <w:p w14:paraId="4B3F3D00" w14:textId="030B1F7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2.9.1.1.4. Información del Sistema. El SIIF Nación reflejará el detalle, la secuencia y el resultado de la gestión financiera pública registrada por las entidades y órganos que conforman el Presupuesto General de la Nación, especialmente la relacionada con la programación, liquidación, modificación y ejecución del presupuesto; la programación, modificación y ejecución del Programa Anual Mensualizado de Caja (PAC), la gestión contable y los recaudos y pagos realizados por la Cuenta Única Nacional y demás tesorerías. </w:t>
      </w:r>
    </w:p>
    <w:p w14:paraId="4B551B1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10" w:name="ver_30057707"/>
      <w:bookmarkEnd w:id="1410"/>
    </w:p>
    <w:p w14:paraId="1AFCB273" w14:textId="5C804CA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2.9.1.1.5. Obligatoriedad de utilización del Sistema. Las entidades y órganos ejecutores del Presupuesto General de la Nación, las Direcciones Generales del Presupuesto Público Nacional y de Crédito Público y Tesoro Nacional del Ministerio de Hacienda y Crédito Público y la Contaduría General de la Nación, o quienes hagan sus veces, deberán efectuar y registrar en el SIIF Nación las operaciones y la información asociada con su área de negocio, dentro del horario establecido, conforme con los instructivos que para el efecto expida el Administrador del Sistema. </w:t>
      </w:r>
    </w:p>
    <w:p w14:paraId="6B5693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6A8DFB" w14:textId="0C63089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Comité Directivo del SIIF Nación,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2.9.1.1.8 del presente capítulo, determinará qué entidades y órganos ejecutores, por conveniencia de carácter técnico y misional, podrán registrar la gestión financiera pública a través de aplicativos misionales, los cuales deberán interoperar en línea y tiempo real con el SIIF Nación, de acuerdo al estándar, la seguridad y las condiciones tecnológicas que para tal fin defina el Ministerio de Hacienda y Crédito Público. </w:t>
      </w:r>
    </w:p>
    <w:p w14:paraId="59D5D82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D362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Para efectos del presente título se entiende por línea y tiempo real, que las aplicaciones se puedan conectar directamente al SIIF Nación y que los registros se efectúen cuando los hechos económicos y financieros se generen. </w:t>
      </w:r>
    </w:p>
    <w:p w14:paraId="18D4F36F" w14:textId="1F0FF487" w:rsidR="00404266" w:rsidRPr="002C1480" w:rsidRDefault="00404266" w:rsidP="00AF239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11" w:name="ver_30057708"/>
      <w:bookmarkEnd w:id="1411"/>
    </w:p>
    <w:p w14:paraId="3C8BB8D3" w14:textId="2A7A002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2.9.1.1.6. Alcance de la información registrada en el SIIF Nación. La información registrada en el Sistema es fuente válida para: </w:t>
      </w:r>
    </w:p>
    <w:p w14:paraId="573E45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07B5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desarrollo de los procesos operativos relacionados con: </w:t>
      </w:r>
    </w:p>
    <w:p w14:paraId="41DB9F7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80711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programación del Presupuesto General de la Nación. </w:t>
      </w:r>
    </w:p>
    <w:p w14:paraId="577E69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ADA2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administración de apropiaciones. </w:t>
      </w:r>
    </w:p>
    <w:p w14:paraId="4B2DEE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2211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ejecución presupuestal de ingresos y de gastos en sus diferentes clasificaciones. </w:t>
      </w:r>
    </w:p>
    <w:p w14:paraId="020F56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793A3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solicitudes, autorizaciones, modificaciones y compromisos de vigencias futuras. </w:t>
      </w:r>
    </w:p>
    <w:p w14:paraId="42BB30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45DA3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 distribución y administración del Programa Anual Mensualizado de Caja (PAC). </w:t>
      </w:r>
    </w:p>
    <w:p w14:paraId="6CD089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289B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La tramitación de las órdenes de pago para el abono en cuenta a través del sistema de Cuenta Única Nacional y de las tesorerías de las entidades que administran rentas parafiscales. </w:t>
      </w:r>
    </w:p>
    <w:p w14:paraId="0BE5AE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55B2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La gestión contable. </w:t>
      </w:r>
    </w:p>
    <w:p w14:paraId="43BE1B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3FF1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La expedición de certificados de disponibilidad presupuestal, la asunción de compromisos, el registro de obligaciones y el pago de los mismos con cargo a las apropiaciones autorizadas en el Presupuesto General de la Nación. </w:t>
      </w:r>
    </w:p>
    <w:p w14:paraId="031EFF3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3239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La constitución de las reservas presupuestales y de las cuentas por pagar. </w:t>
      </w:r>
    </w:p>
    <w:p w14:paraId="3CCD01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C5943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generación de información presupuestal básica y la elaboración de informes de seguimiento presupuestal; </w:t>
      </w:r>
    </w:p>
    <w:p w14:paraId="79D340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55657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generación de información contable básica y la obtención de consultas, reportes e informes contables requeridos por la Contaduría General de la Nación; </w:t>
      </w:r>
    </w:p>
    <w:p w14:paraId="3F2179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4DF1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 generación de informes de tesorería, presupuestales y contables; </w:t>
      </w:r>
    </w:p>
    <w:p w14:paraId="033694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FABD0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 evaluación financiera de la Inversión Pública; </w:t>
      </w:r>
    </w:p>
    <w:p w14:paraId="3133A4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4787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control de resultados financieros que realicen las autoridades públicas; </w:t>
      </w:r>
    </w:p>
    <w:p w14:paraId="44213B5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EEBE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La obtención de los informes requeridos por las entidades de control; </w:t>
      </w:r>
    </w:p>
    <w:p w14:paraId="670EB6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7FE8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aplicaciones administradas por las entidades y órganos que hacen parte del Presupuesto General de la Nación, empleadas para registrar negocios no previstos en el SIIF Nación, servirán como auxiliares de los códigos contables que conforman los estados contables. Dicha información hará parte integral del Sistema Integrado de Información Financiera (SIIF) Nación. </w:t>
      </w:r>
    </w:p>
    <w:p w14:paraId="7F32141A" w14:textId="6BDA37FD" w:rsidR="00404266" w:rsidRPr="002C1480" w:rsidRDefault="00404266" w:rsidP="00AF239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12" w:name="ver_30057709"/>
      <w:bookmarkEnd w:id="1412"/>
    </w:p>
    <w:p w14:paraId="3F3A29DF" w14:textId="7DAC96E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2.9.1.1.7. Estructura del SIIF Nación. El Sistema Integrado de Información Financiera, (SIIF) Nación estará conformado por los siguientes órganos de dirección y administración: </w:t>
      </w:r>
    </w:p>
    <w:p w14:paraId="356536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F1CB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Un Comité Directivo; </w:t>
      </w:r>
    </w:p>
    <w:p w14:paraId="051D80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CD3FB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Un Comité Operativo y de Seguridad; </w:t>
      </w:r>
    </w:p>
    <w:p w14:paraId="7812E3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A0BF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Un Administrador del Sistema; </w:t>
      </w:r>
    </w:p>
    <w:p w14:paraId="3CE859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B4D0C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Un funcionario responsable del SIIF en cada entidad usuaria del aplicativo. </w:t>
      </w:r>
    </w:p>
    <w:p w14:paraId="51D5963E" w14:textId="4E932306" w:rsidR="00404266" w:rsidRPr="002C1480" w:rsidRDefault="00404266" w:rsidP="00AF239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13" w:name="ver_30057710"/>
      <w:bookmarkEnd w:id="1413"/>
    </w:p>
    <w:p w14:paraId="09F19BEC" w14:textId="287D52A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2.9.1.1.8. Composición del Comité Directivo del SIIF Nación. El Comité Directivo del SIIF Nación estará conformado por: </w:t>
      </w:r>
    </w:p>
    <w:p w14:paraId="14F766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271E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Viceministro General de Hacienda quien lo presidirá; </w:t>
      </w:r>
    </w:p>
    <w:p w14:paraId="61C21DF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04EE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Contador General de la Nación; </w:t>
      </w:r>
    </w:p>
    <w:p w14:paraId="2B2CD6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3CB9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Director General del Presupuesto Público Nacional; </w:t>
      </w:r>
    </w:p>
    <w:p w14:paraId="1EB77A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EEA8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Director General de Crédito Público y Tesoro Nacional; </w:t>
      </w:r>
    </w:p>
    <w:p w14:paraId="01D509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CD466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Director de Tecnología del Ministerio de Hacienda y Crédito Público; </w:t>
      </w:r>
    </w:p>
    <w:p w14:paraId="3213D0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2B82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Administrador del SIIF Nación quien será el Secretario Técnico. </w:t>
      </w:r>
    </w:p>
    <w:p w14:paraId="0D60B173" w14:textId="1E462F65"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14" w:name="ver_30057711"/>
      <w:bookmarkEnd w:id="1414"/>
    </w:p>
    <w:p w14:paraId="51844D56" w14:textId="73DE2D5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2.9.1.1.9. Funciones del Comité Directivo. Corresponde al Comité Directivo del SIIF Nación, desarrollar las siguientes funciones: </w:t>
      </w:r>
    </w:p>
    <w:p w14:paraId="5B97BD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5927F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Aprobar políticas respecto al funcionamiento, la seguridad, la funcionalidad y cobertura del Sistema, de conformidad con las normas vigentes y de acuerdo con las características del mismo; </w:t>
      </w:r>
    </w:p>
    <w:p w14:paraId="625F9F1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6776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Aprobar y establecer el reglamento de uso del Sistema; </w:t>
      </w:r>
    </w:p>
    <w:p w14:paraId="61490F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F1DD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Aprobar el modelo conceptual del sistema y los cambios en la funcionalidad, la cobertura y/o los aspectos tecnológicos, propuestos por cualquiera de sus miembros, previo concepto funcional emitido por el Administrador del Sistema; </w:t>
      </w:r>
    </w:p>
    <w:p w14:paraId="3BD7303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612B3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Autorizar la actualización de los requerimientos e instalación de la infraestructura tecnológica necesaria, cuando haya lugar a modificaciones en los componentes tecnológicos sobre los cuales opera el Sistema; </w:t>
      </w:r>
    </w:p>
    <w:p w14:paraId="2FC374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64F9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Determinar qué entidades y órganos que conforman el Presupuesto General de la Nación, por conveniencia de carácter técnico y misional, podrán registrar la gestión financiera pública a través de aplicativos misionales que deberán interoperar en línea y tiempo real con el SIIF Nación; </w:t>
      </w:r>
    </w:p>
    <w:p w14:paraId="54D3B8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49DB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Reglamentar los mecanismos de coordinación que sean necesarios para la definición y operación de las funcionalidades nuevas que el Comité incorpore al sistema; </w:t>
      </w:r>
    </w:p>
    <w:p w14:paraId="0165E2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9E2C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Establecer su propio reglamento. </w:t>
      </w:r>
    </w:p>
    <w:p w14:paraId="1B2B3A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6476EC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decisiones adoptadas por el Comité Directivo, respecto al SIIF Nación, son de obligatorio cumplimiento por parte de las entidades, dependencias y órganos que conforman el Sistema. </w:t>
      </w:r>
    </w:p>
    <w:p w14:paraId="76093D9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15" w:name="ver_30057712"/>
      <w:bookmarkEnd w:id="1415"/>
    </w:p>
    <w:p w14:paraId="5B8C54B8" w14:textId="3A4C988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2.9.1.1.10. Composición del Comité Operativo y de Seguridad del SIIF Nación. </w:t>
      </w:r>
    </w:p>
    <w:p w14:paraId="319AFD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0464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Comité Operativo y de Seguridad del SIIF Nación, estará conformado por: </w:t>
      </w:r>
    </w:p>
    <w:p w14:paraId="1D99B2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582A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Administrador del SIIF Nación, quien lo presidirá; </w:t>
      </w:r>
    </w:p>
    <w:p w14:paraId="4D5B98C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00C4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Subdirector de Análisis y Consolidación Presupuestal de la Dirección General de Presupuesto Público Nacional; </w:t>
      </w:r>
    </w:p>
    <w:p w14:paraId="0E8854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1375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Subdirector de Operaciones de la Dirección General de Crédito Público y Tesoro Nacional; </w:t>
      </w:r>
    </w:p>
    <w:p w14:paraId="488AFB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D7BC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Subdirector de Ingeniería de Software de la Dirección de Tecnología del Ministerio de Hacienda y Crédito Público; </w:t>
      </w:r>
    </w:p>
    <w:p w14:paraId="6D749E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F86E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Subcontador de Centralización de la Información de la Contaduría General de la Nación; </w:t>
      </w:r>
    </w:p>
    <w:p w14:paraId="2EC15B9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E290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Asesor de Seguridad del SIIF Nación quien ejercerá las funciones de Secretario del Comité, quien tendrá voz pero no voto. </w:t>
      </w:r>
    </w:p>
    <w:p w14:paraId="70C511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4B15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Contralor Delegado para Economía y Finanzas de la Contraloría General de la República será invitado, con voz pero sin voto, a las sesiones del Comité Operativo y de Seguridad en donde se traten los temas relacionados con el proceso de cierres de fin de año y apertura del nuevo año. </w:t>
      </w:r>
    </w:p>
    <w:p w14:paraId="028909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2DB3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igual manera, asistirá el Jefe de la Oficina de Control Interno del Ministerio de Hacienda y Crédito Público con voz pero sin voto. </w:t>
      </w:r>
    </w:p>
    <w:p w14:paraId="7DB3324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16" w:name="ver_30057713"/>
      <w:bookmarkEnd w:id="1416"/>
    </w:p>
    <w:p w14:paraId="5E9D44D4" w14:textId="77E52F1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2.9.1.1.11. Funciones del Comité Operativo y de Seguridad del SIIF Nación. Corresponde al Comité Operativo y de Seguridad del SIIF Nación, desarrollar las siguientes funciones: </w:t>
      </w:r>
    </w:p>
    <w:p w14:paraId="526674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8773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Proponer al Comité Directivo las políticas y los estándares que constituyen el modelo de seguridad del SIIF Nación; </w:t>
      </w:r>
    </w:p>
    <w:p w14:paraId="4A68C50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5CAC5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Determinar pautas para la implantación, complementación y mejoramiento permanente del modelo de seguridad del SIIF Nación; </w:t>
      </w:r>
    </w:p>
    <w:p w14:paraId="6E4B470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F20E0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Trazar directrices para la divulgación e implantación de estándares de seguridad por parte de las entidades usuarias; </w:t>
      </w:r>
    </w:p>
    <w:p w14:paraId="5910D4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B5D2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Solicitar al Administrador del SIIF Nación informes de seguimiento sobre el modelo de seguridad del sistema; </w:t>
      </w:r>
    </w:p>
    <w:p w14:paraId="5B4901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DE0D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Evaluar el informe anual de riesgos del SIIF Nación presentado por el Administrador del aplicativo; </w:t>
      </w:r>
    </w:p>
    <w:p w14:paraId="53C1184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1CCF3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Mantener actualizado al Comité Directivo acerca del estado del modelo de seguridad del SIIF Nación; </w:t>
      </w:r>
    </w:p>
    <w:p w14:paraId="1EA24B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449B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Determinar los eventos en que por motivos técnicos u operativos no se deba realizar el pago directo al beneficiario a través del SIIF Nación; </w:t>
      </w:r>
    </w:p>
    <w:p w14:paraId="0A16E48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4993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Tomar las medidas que considere pertinentes cuando el Administrador del Sistema le informe del mal uso del aplicativo por parte de los usuarios; </w:t>
      </w:r>
    </w:p>
    <w:p w14:paraId="40B68A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F35C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Presentar a consideración de la autoridad competente propuestas de modificación a las normas presupuestales, contables o tributarias que permitan un registro integral de la gestión financiera de los usuarios en el sistema; </w:t>
      </w:r>
    </w:p>
    <w:p w14:paraId="543171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E2AA0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Coordinar la parametrización del aplicativo y las acciones de los órganos rectores en materia contable, presupuestal y de tesorería, que sean necesarias para el buen funcionamiento del sistema; </w:t>
      </w:r>
    </w:p>
    <w:p w14:paraId="1DA1A08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97B6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Coordinar el proceso de cierres de fin de año y apertura de nuevo año; </w:t>
      </w:r>
    </w:p>
    <w:p w14:paraId="434EAD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5B303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 Aprobar los cambios que no modifiquen el modelo conceptual aprobado por el Comité Directivo que presente el Administrador del SIIF Nación; </w:t>
      </w:r>
    </w:p>
    <w:p w14:paraId="1155DE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575E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m) Deshabilitar o inactivar a los usuarios cuando tenga evidencias de que no atiende las medidas de seguridad implementadas; </w:t>
      </w:r>
    </w:p>
    <w:p w14:paraId="00D3499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BB4E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 Establecer su propio reglamento; </w:t>
      </w:r>
    </w:p>
    <w:p w14:paraId="60C019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96EA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o) Las demás que le determine el Comité Directivo respecto de la seguridad y operación del sistema. </w:t>
      </w:r>
    </w:p>
    <w:p w14:paraId="4C14456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17" w:name="ver_30057714"/>
      <w:bookmarkEnd w:id="1417"/>
    </w:p>
    <w:p w14:paraId="40B6FA93" w14:textId="584AFCE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2.9.1.1.12. Administrador del SIIF Nación. El Viceministerio General del Ministerio de Hacienda y Crédito Público es la dependencia encargada de la administración del SIIF Nación. Para tal fin, el Viceministro General de Hacienda designará a un funcionario de alto nivel de la planta de personal de su despacho como Administrador del Sistema, quien tendrá a su cargo un grupo de apoyo. </w:t>
      </w:r>
    </w:p>
    <w:p w14:paraId="44433A60" w14:textId="794AB255"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18" w:name="ver_30057715"/>
      <w:bookmarkEnd w:id="1418"/>
    </w:p>
    <w:p w14:paraId="62233C94" w14:textId="17152D3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2.9.1.1.13. Funciones del Administrador del SIIF Nación. El Ministerio de Hacienda y Crédito Público determinará las funciones que ejercerá el Administrador del SIIF Nación, quien como mínimo deberá: </w:t>
      </w:r>
    </w:p>
    <w:p w14:paraId="7CD7F3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A35C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Ejecutar las decisiones adoptadas por el Comité Directivo del SIIF Nación; </w:t>
      </w:r>
    </w:p>
    <w:p w14:paraId="2D0DEC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2A7B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Definir la priorización de los desarrollos requeridos para mantener actualizada la funcionalidad del aplicativo de acuerdo con la normatividad vigente, en coordinación con los órganos rectores; </w:t>
      </w:r>
    </w:p>
    <w:p w14:paraId="1AD762F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FC12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Definir las funcionalidades que posibiliten la integridad de los distintos módulos que conforman el sistema; </w:t>
      </w:r>
    </w:p>
    <w:p w14:paraId="086F7B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DDB5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d) Verificar que las funcionalidades del aplicativo operen adecuadamente y registren la información de manera correcta; </w:t>
      </w:r>
    </w:p>
    <w:p w14:paraId="4F82E1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03D2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Proponer mejoras y cambios a la funcionalidad del aplicativo que no modifiquen el modelo conceptual aprobado por el Comité Directivo, para aprobación del Comité Operativo y de Seguridad del SIIF Nación; </w:t>
      </w:r>
    </w:p>
    <w:p w14:paraId="0CA8DF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9F46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Evaluar y aprobar las propuestas de mejoras y cambios que hagan los órganos rectores y las entidades usuarias, para presentarlas al Comité Operativo y de Seguridad del SIIF Nación; </w:t>
      </w:r>
    </w:p>
    <w:p w14:paraId="0A52BE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6406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Definir y ejecutar la estrategia de capacitación y acompañamiento a los usuarios en el uso del Sistema; </w:t>
      </w:r>
    </w:p>
    <w:p w14:paraId="4F6004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A0D3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Establecer procedimientos para el buen uso de la aplicación; </w:t>
      </w:r>
    </w:p>
    <w:p w14:paraId="01EBBB4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7C09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Velar por el cumplimiento del modelo de seguridad aprobado por el Comité Directivo; </w:t>
      </w:r>
    </w:p>
    <w:p w14:paraId="70883F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F8B5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Prestar soporte funcional y conceptual sobre el aplicativo a los usuarios del SIIF y a las entidades y dependencias miembros del Comité Directivo; </w:t>
      </w:r>
    </w:p>
    <w:p w14:paraId="215C37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BCBB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Coordinar con los órganos rectores y con las entidades los procesos administrativos que se requieran para el buen funcionamiento del aplicativo; </w:t>
      </w:r>
    </w:p>
    <w:p w14:paraId="086AFE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B9DE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 Emitir concepto para el Comité Directivo cuando se propongan cambios al aplicativo que modifiquen o adicionen el modelo conceptual; </w:t>
      </w:r>
    </w:p>
    <w:p w14:paraId="749C035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3A0A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m) Hacer propuestas de cambios normativos que permitan apoyar los negocios a través de la aplicación; </w:t>
      </w:r>
    </w:p>
    <w:p w14:paraId="6DBD83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5CAA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 Presentar al Comité Directivo propuestas de cambios funcionales que modifiquen o adicionen el modelo conceptual del Sistema para su aprobación. </w:t>
      </w:r>
    </w:p>
    <w:p w14:paraId="512974CA" w14:textId="2E4C2AC1"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19" w:name="ver_30057716"/>
      <w:bookmarkEnd w:id="1419"/>
    </w:p>
    <w:p w14:paraId="3E724911" w14:textId="7361D7F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2.9.1.1.14. Funcionario responsable del SIIF en la entidad. Los Secretarios Generales o quien haga sus veces, designarán un funcionario del nivel directivo o asesor para que ejerza las funciones de Coordinador SIIF Entidad, quien será el enlace oficial entre la Entidad y el Administrador del Sistema. </w:t>
      </w:r>
    </w:p>
    <w:p w14:paraId="4169E9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27AD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que la entidad tenga más de una unidad ejecutora, se podrá designar un Coordinador SIIF Entidad por cada una de ellas. </w:t>
      </w:r>
    </w:p>
    <w:p w14:paraId="4F686F7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20" w:name="ver_30057717"/>
      <w:bookmarkEnd w:id="1420"/>
    </w:p>
    <w:p w14:paraId="748974DB" w14:textId="42445BA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2.9.1.1.15. Responsabilidades de la coordinación del SIIF en la Entidad. El Coordinador SIIF Entidad será responsable de la implantación de las medidas de seguridad señaladas por el Comité Operativo y de Seguridad y de la administración de los usuarios de la Entidad. Para tal fin deberá: </w:t>
      </w:r>
    </w:p>
    <w:p w14:paraId="5854F8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BE27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Responder por la creación de usuarios; </w:t>
      </w:r>
    </w:p>
    <w:p w14:paraId="70040C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59EA7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Replicar oportunamente a los usuarios del SIIF Nación, todas la comunicaciones emitidas e informadas por el Administrador del Sistema; </w:t>
      </w:r>
    </w:p>
    <w:p w14:paraId="22851C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AF573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c) Verificar las restricciones de uso del aplicativo; </w:t>
      </w:r>
    </w:p>
    <w:p w14:paraId="4CB2AC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9B44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Brindar soporte funcional y técnico a los usuarios de la entidad; </w:t>
      </w:r>
    </w:p>
    <w:p w14:paraId="48A0E1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E4EE3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Mantener actualizado al administrador del sistema respecto a las novedades de los usuarios y del funcionario responsable del sistema; </w:t>
      </w:r>
    </w:p>
    <w:p w14:paraId="0F9330F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CB033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Capacitar a los usuarios nuevos, previa su creación en el aplicativo; </w:t>
      </w:r>
    </w:p>
    <w:p w14:paraId="334672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98E5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Mantener un archivo documental de los usuarios y cumplir con las políticas y estándares de seguridad del sistema SIIF Nación. </w:t>
      </w:r>
    </w:p>
    <w:p w14:paraId="74A83A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EAA75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Las entidades usuarias del SIIF Nación que ejecuten su presupuesto a través de dependencias, subunidades, seccionales o regionales, deberán conformar al interior de las entidades, bajo la coordinación del responsable del SIIF Nación de la entidad, un equipo que preste soporte y capacitación básica a los usuarios de las mismas. </w:t>
      </w:r>
    </w:p>
    <w:p w14:paraId="3DF44311" w14:textId="77777777" w:rsidR="00945465" w:rsidRDefault="00945465" w:rsidP="00C32F85">
      <w:pPr>
        <w:spacing w:after="0" w:line="293" w:lineRule="atLeast"/>
        <w:jc w:val="both"/>
        <w:rPr>
          <w:rFonts w:ascii="Arial" w:eastAsia="Times New Roman" w:hAnsi="Arial" w:cs="Arial"/>
          <w:color w:val="000000"/>
          <w:lang w:eastAsia="es-CO"/>
        </w:rPr>
      </w:pPr>
      <w:bookmarkStart w:id="1421" w:name="ver_30057718"/>
      <w:bookmarkEnd w:id="1421"/>
    </w:p>
    <w:p w14:paraId="7A2F3FBE" w14:textId="3B10F0E0" w:rsidR="00404266" w:rsidRPr="007C22B0" w:rsidRDefault="00404266" w:rsidP="007C22B0">
      <w:pPr>
        <w:spacing w:after="0"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CAPÍTULO 2</w:t>
      </w:r>
    </w:p>
    <w:p w14:paraId="01AD5D6E" w14:textId="77777777" w:rsidR="00404266" w:rsidRPr="007C22B0" w:rsidRDefault="00404266" w:rsidP="007C22B0">
      <w:pPr>
        <w:spacing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REGLAS SOBRE LA UTILIZACIÓN DEL SIIF</w:t>
      </w:r>
    </w:p>
    <w:p w14:paraId="72E5ECB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22" w:name="ver_30057719"/>
      <w:bookmarkEnd w:id="1422"/>
    </w:p>
    <w:p w14:paraId="79B84689" w14:textId="5CC01C2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 Pago a beneficiario final. Las entidades y órganos ejecutores del SIIF Nación efectuarán el pago de sus obligaciones directamente a los beneficiarios a través de dicho aplicativo con abono a una cuenta bancaria previamente registrada y validada en el mismo. </w:t>
      </w:r>
    </w:p>
    <w:p w14:paraId="2D76DC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070E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los casos que expresamente determine el Comité Operativo y de Seguridad del SIIF Nación, el pago se efectuará a través de la pagaduría de la Entidad. </w:t>
      </w:r>
    </w:p>
    <w:p w14:paraId="0C7DA0F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23" w:name="ver_30057720"/>
      <w:bookmarkEnd w:id="1423"/>
    </w:p>
    <w:p w14:paraId="4A941524" w14:textId="6119C71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2.9.1.2.2. Registro de cuentas bancarias de beneficiarios. Las entidades y órganos deberán registrar previamente en el SIIF Nación, la cuenta bancaria a través de la cual efectuarán el pago de las obligaciones reconocidas a favor de cada beneficiario, para que sean prenotificadas a través del sistema Cenit del Banco de la República. Dicha cuenta se requerirá para el cumplimiento del acto administrativo que afecte las apropiaciones presupuestales. </w:t>
      </w:r>
    </w:p>
    <w:p w14:paraId="2DFBEC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BB55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Comité Directivo del SIIF Nación reglamentará el procedimiento y los requisitos para el registro de las cuentas bancarias en el SIIF Nación. </w:t>
      </w:r>
    </w:p>
    <w:p w14:paraId="779F356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24" w:name="ver_30057721"/>
      <w:bookmarkEnd w:id="1424"/>
    </w:p>
    <w:p w14:paraId="31D00C61" w14:textId="1887555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2.9.1.2.3. Responsabilidad del pago a beneficiario final. Todo pago que se haga a beneficiario final en las cuentas registradas por las entidades usuarias del SIIF Nación, se hará de conformidad con el acto administrativo que lo ordena. Los usuarios que intervinieron en el mismo, serán responsables por las imprecisiones e inexactitudes de la información registrada. </w:t>
      </w:r>
    </w:p>
    <w:p w14:paraId="1577B0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CDCC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pago en el exterior por concepto de servicio de la deuda o de proveedores, la validación de las cuentas será responsabilidad del ordenador del gasto de la entidad que efectúa el pago o del funcionario en quien este haya delegado dicha operación. </w:t>
      </w:r>
    </w:p>
    <w:p w14:paraId="112194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3CB0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Secretario General de las entidades usuarias del SIIF Nación, o quien haga sus veces, debe adoptar las medidas necesarias para mitigar que se hagan pagos no debidos a través del SIIF Nación. </w:t>
      </w:r>
    </w:p>
    <w:p w14:paraId="435A30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0968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La Dirección General de Crédito Público y Tesoro Nacional, o quien haga sus veces, no será responsable por los pagos ordenados por las entidades con cargo a la Cuenta Única Nacional. </w:t>
      </w:r>
    </w:p>
    <w:p w14:paraId="61EBD4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3708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no serán responsables las Tesorerías o Pagadurías de las entidades, o quien haga sus veces, por los pagos ordenados por los funcionarios competentes, distintos a tales dependencias, con cargo a los recursos que no hagan parte de la Cuenta Única Nacional. </w:t>
      </w:r>
    </w:p>
    <w:p w14:paraId="4E97992A" w14:textId="11D60C75" w:rsidR="00404266" w:rsidRPr="002C1480" w:rsidRDefault="00404266" w:rsidP="00FF572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25" w:name="ver_30057722"/>
      <w:bookmarkEnd w:id="1425"/>
    </w:p>
    <w:p w14:paraId="28DBACD6" w14:textId="473C7AD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2.9.1.2.4. Exclusividad del pago a beneficiario final. El pago a beneficiario final se efectuará únicamente al beneficiario y a la cuenta bancaria registrados por medio de la cual se afectan las apropiaciones presupuestales, salvo en los eventos definidos por el Comité Operativo y de Seguridad del SIIF Nación, en cumplimiento de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2.9.1.1.11 del presente título. </w:t>
      </w:r>
    </w:p>
    <w:p w14:paraId="0E8259A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B5E8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usuarias del SIIF Nación son responsables por las modificaciones que se hagan al beneficiario de un compromiso, en virtud de una cesión de contratos o en los demás eventos permitidos por la ley. Para tal fin, estas deberán contar con autorización del ordenador del gasto. </w:t>
      </w:r>
    </w:p>
    <w:p w14:paraId="54BB57B5" w14:textId="1435DA10" w:rsidR="00404266" w:rsidRPr="002C1480" w:rsidRDefault="00404266" w:rsidP="00FF572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26" w:name="ver_30057723"/>
      <w:bookmarkEnd w:id="1426"/>
    </w:p>
    <w:p w14:paraId="3220A96D" w14:textId="74F24BB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2.9.1.2.5. Requisitos para el registro de usuarios. El Comité Operativo y de Seguridad del SIIF Nación reglamentará el procedimiento y los requisitos para la creación de los usuarios de la aplicación. </w:t>
      </w:r>
    </w:p>
    <w:p w14:paraId="730DFAE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27" w:name="ver_30057724"/>
      <w:bookmarkEnd w:id="1427"/>
    </w:p>
    <w:p w14:paraId="7A60A75E" w14:textId="678C21B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2.9.1.2.6. Registro del anexo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de liquidación del Presupuesto General de la Nación y de sus modificaciones. La Dirección General de Presupuesto Público Nacional del Ministerio de Hacienda y Crédito Público registrará en el SIIF Nación el anexo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de liquidación y el anexo de la composición del presupuesto de rentas de la vigencia fiscal que se inicia antes del 31 de diciembre del año en que se aprobó. </w:t>
      </w:r>
    </w:p>
    <w:p w14:paraId="6901CD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4095FA" w14:textId="5031789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modificaciones al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liquidación se realizarán conforme a lo dispuesto en el 2.8.1.5.6. sobre modificaciones al gasto contenido en la Parte 8 del Título 1 del Capítulo 5 o la norma que lo modifique o sustituya. </w:t>
      </w:r>
    </w:p>
    <w:p w14:paraId="276656A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28" w:name="ver_30145243"/>
      <w:bookmarkStart w:id="1429" w:name="ver_30057725"/>
      <w:bookmarkEnd w:id="1428"/>
    </w:p>
    <w:p w14:paraId="1C16472A" w14:textId="2A4502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2.9.1.2.7.Desagregación para la ejecución del presupuesto a través del SIIF Nación. Con el fin de vincular la gestión presupuestal de los ingresos y de los gastos a la gestión contable, las entidades usuarias del SIIF Nación deberán desagregar el presupuesto, al máximo nivel de detalle del Catálogo de Clasificación Presupuestal CCP establecido por la Dirección General del Presupuesto Público Nacional.  </w:t>
      </w:r>
    </w:p>
    <w:p w14:paraId="1DB4E6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FEB12E" w14:textId="0E24F59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una entidad usuaria requiera para su gestión el empleo de un mayor detalle al Catálogo de Clasificación Presupuestal (CCP) establecido por dicha Dirección, deberá realizar la solicitud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2.8.1.5.9, sobre Administración del Catálogo de Clasificación Presupuestal (CCP) y los procedimientos que se establezcan para el efecto.  </w:t>
      </w:r>
    </w:p>
    <w:bookmarkEnd w:id="1429"/>
    <w:p w14:paraId="3FFB24C2" w14:textId="77777777" w:rsidR="007C22B0" w:rsidRDefault="007C22B0" w:rsidP="00C32F85">
      <w:pPr>
        <w:spacing w:after="0" w:line="254" w:lineRule="atLeast"/>
        <w:jc w:val="both"/>
        <w:rPr>
          <w:rFonts w:ascii="Arial" w:eastAsia="Times New Roman" w:hAnsi="Arial" w:cs="Arial"/>
          <w:color w:val="000000"/>
          <w:lang w:eastAsia="es-CO"/>
        </w:rPr>
      </w:pPr>
    </w:p>
    <w:p w14:paraId="7098CD38" w14:textId="185CECF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2.9.1.2.8. Registro de la distribución inicial del Programa Anual Mensualizado de Caja con recursos de la Nación y de sus modificaciones. La distribución inicial del Programa Anual Mensualizado de Caja (PAC), con recursos Nación de cada entidad y órgano ejecutor, será registrada en el SIIF Nación por la Dirección General de Crédito Público y Tesoro Nacional del Ministerio de Hacienda y Crédito Público, antes de iniciarla ejecución presupuestal de cada vigencia fiscal. </w:t>
      </w:r>
    </w:p>
    <w:p w14:paraId="3105DBD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CEF8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apropiación presupuestal de la vigencia soportará el PAC de la vigencia actual y del rezago del año siguiente, y la constitución de las reservas presupuestales y de las cuentas por pagar soportarán el PAC del rezago del año anterior. </w:t>
      </w:r>
    </w:p>
    <w:p w14:paraId="472058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E8BA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base en la información de las reservas presupuestales y de las cuentas por pagar resultantes del cierre calendario y definitivo del SIIF Nación, la Dirección General de Crédito Público y Tesoro Nacional del Ministerio de Hacienda y Crédito Público asignará el PAC del rezago en cada vigencia fiscal. </w:t>
      </w:r>
    </w:p>
    <w:p w14:paraId="5446275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30" w:name="ver_30057727"/>
      <w:bookmarkEnd w:id="1430"/>
    </w:p>
    <w:p w14:paraId="2261102A" w14:textId="08602FF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2.9.1.2.9. Del registro de los ingresos en el SIIF Nación. Los órganos encargados de generar la información sobre los ingresos de las entidades y órganos que conforman el Presupuesto General de la Nación deberán reconocer y clasificar a través del SIIF Nación, los recaudos por cada uno de los conceptos que los originen de conformidad con las normas presupuestales y contables vigentes, dentro de las fechas que defina la Dirección General del Presupuesto Público Nacional. </w:t>
      </w:r>
    </w:p>
    <w:p w14:paraId="143F5A31" w14:textId="2DB0671C" w:rsidR="00404266" w:rsidRPr="002C1480" w:rsidRDefault="00404266" w:rsidP="002079AD">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31" w:name="ver_30057728"/>
      <w:bookmarkEnd w:id="1431"/>
    </w:p>
    <w:p w14:paraId="5D73C4FE" w14:textId="6DA10C9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2.9.1.2.10. Soportes documentales para el registro de la gestión financiera en el SIIF Nación. Todo registro que realicen las entidades usuarias en el SIIF Nación, asociado con la gestión financiera y presupuestal, debe estar soportado en documentos legalmente expedidos, los cuales serán parte integral del acto administrativo o del contrato por medio del cual se causan los ingresos y se comprometen las apropiaciones. </w:t>
      </w:r>
    </w:p>
    <w:p w14:paraId="3E88AADF" w14:textId="79F7BABD" w:rsidR="00404266" w:rsidRPr="002C1480" w:rsidRDefault="00404266" w:rsidP="002079AD">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32" w:name="ver_30057729"/>
      <w:bookmarkEnd w:id="1432"/>
    </w:p>
    <w:p w14:paraId="1C100DAC" w14:textId="5695A92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2.9.1.2.11. Obligaciones del Ministerio de Hacienda y Crédito Público como Administrador del SIIF Nación. Son obligaciones del Ministerio de Hacienda y Crédito Público como Administrador del SIIF Nación las siguientes: </w:t>
      </w:r>
    </w:p>
    <w:p w14:paraId="2EE93F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26841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Administrar adecuadamente el Sistema para que funcione conforme al reglamento que expida el Comité Directivo; </w:t>
      </w:r>
    </w:p>
    <w:p w14:paraId="71A630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982B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Custodiar la información registrada por las entidades usuarias; </w:t>
      </w:r>
    </w:p>
    <w:p w14:paraId="5BC02D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9CE1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Gestionar los mecanismos necesarios que permitan el funcionamiento ininterrumpido y la recuperación automática del Sistema durante el horario establecido; </w:t>
      </w:r>
    </w:p>
    <w:p w14:paraId="7B7D4F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4F53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Poner a disposición del usuario el Sistema de acuerdo con los desarrollos que se presenten, siempre y cuando este cumpla con el reglamento y las especificaciones técnicas exigidas por la Administración del Sistema; </w:t>
      </w:r>
    </w:p>
    <w:p w14:paraId="2B475B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7D7B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Informar al usuario sobre problemas y fallas técnicas que se presenten en el SIIF Nación; </w:t>
      </w:r>
    </w:p>
    <w:p w14:paraId="47F341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Actualizar el sistema de acuerdo a los cambios normativos que se hagan a los negocios que lo componen; </w:t>
      </w:r>
    </w:p>
    <w:p w14:paraId="5A1689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B125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Ministerio de Hacienda y Crédito Público, como Administrador del SIIF Nación, no será responsable, por: </w:t>
      </w:r>
    </w:p>
    <w:p w14:paraId="00035F3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68C0F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mal uso de las funcionalidades de la aplicación que hagan los usuarios autorizados por las entidades; </w:t>
      </w:r>
    </w:p>
    <w:p w14:paraId="79BF5A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F1BDE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registro de los datos que hagan los usuarios en el Sistema ni las consecuencias judiciales que estos genere; </w:t>
      </w:r>
    </w:p>
    <w:p w14:paraId="211021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02D509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veracidad y validez de los datos registrados por los usuarios autorizados por las entidades; </w:t>
      </w:r>
    </w:p>
    <w:p w14:paraId="7B0E8541" w14:textId="6A8AE60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uso del Sistema en las entidades por parte de funcionarios o contratistas que no están autorizados para tal fin; </w:t>
      </w:r>
    </w:p>
    <w:p w14:paraId="771B12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AC92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Las aperturas de períodos presupuestales y contables que realicen y autoricen los órganos rectores a través de las funcionalidades definidas para tal fin; </w:t>
      </w:r>
    </w:p>
    <w:p w14:paraId="4B8668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5A48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Las demás actividades realizadas por los usuarios del Sistema que no sean de competencia del Administrador del mismo. </w:t>
      </w:r>
    </w:p>
    <w:p w14:paraId="0A05CA1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33" w:name="ver_30057730"/>
      <w:bookmarkEnd w:id="1433"/>
    </w:p>
    <w:p w14:paraId="1B265D46" w14:textId="359BE7E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2.9.1.2.12. Obligaciones de las entidades y de los usuarios del SIIF Nación. Con el fin de propender por un registro de la gestión financiera pública, basado en criterios de oportunidad, veracidad, confiabilidad, confidencialidad e integridad, son obligaciones del representante legal y de los usuarios del SIIF Nación las siguientes: </w:t>
      </w:r>
    </w:p>
    <w:p w14:paraId="29D511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0D82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Registrar la gestión financiera pública en línea y tiempo real acorde con la operación realizada; </w:t>
      </w:r>
    </w:p>
    <w:p w14:paraId="174957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B20D0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Dar cumplimiento al presente título y a los reglamentos que expida el Comité Directivo; </w:t>
      </w:r>
    </w:p>
    <w:p w14:paraId="10A9AE5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92047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Acatar las instrucciones que expida la Administración del Sistema para el buen uso de la aplicación; </w:t>
      </w:r>
    </w:p>
    <w:p w14:paraId="74C220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5DDFF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Tener a su disposición y mantener en adecuado funcionamiento los equipos de cómputo, los canales de comunicaciones, las redes internas y los equipos de firma digital que se requieran para la conexión y utilización del SIIF Nación; </w:t>
      </w:r>
    </w:p>
    <w:p w14:paraId="6A6712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2F43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Usar de forma adecuada y con responsabilidad la aplicación, las claves y demás elementos de seguridad, por parte de las personas autorizadas para hacer registros y consultas de información en el SIIF Nación; </w:t>
      </w:r>
    </w:p>
    <w:p w14:paraId="233677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9849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Cumplir con las condiciones y especificaciones de orden técnico que establezca la Administración del Sistema; </w:t>
      </w:r>
    </w:p>
    <w:p w14:paraId="1C4226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D1E0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Cumplir con las directrices generales de seguridad que determine el Comité Operativo y de Seguridad del Sistema; </w:t>
      </w:r>
    </w:p>
    <w:p w14:paraId="7EA66C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93AD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Establecer los procedimientos de control interno, administrativos, financieros y contables, que garanticen la aplicación de los requerimientos técnicos y de seguridad previstos para el adecuado funcionamiento del Sistema. </w:t>
      </w:r>
    </w:p>
    <w:p w14:paraId="4475EAF6" w14:textId="77777777" w:rsidR="002079AD"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34" w:name="ver_30057731"/>
      <w:bookmarkEnd w:id="1434"/>
    </w:p>
    <w:p w14:paraId="333BEAB5" w14:textId="08F89B9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2.9.1.2.13. Responsabilidades de las entidades y de los usuarios del SIIF Nación. El representante legal de las entidades y los usuarios del SIIF Nación serán responsables por: </w:t>
      </w:r>
    </w:p>
    <w:p w14:paraId="1CA7E5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274D8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creación de los usuarios que harán registros o consultas en el Sistema a nombre de la entidad; </w:t>
      </w:r>
    </w:p>
    <w:p w14:paraId="2ED5F1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8CBA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uso adecuado del Sistema; </w:t>
      </w:r>
    </w:p>
    <w:p w14:paraId="6B4246BA" w14:textId="2EDE3F0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veracidad de los datos; </w:t>
      </w:r>
    </w:p>
    <w:p w14:paraId="68A04D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CBD6F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d) El registro oportuno de la gestión financiera pública de la entidad; </w:t>
      </w:r>
    </w:p>
    <w:p w14:paraId="6F038D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5E7F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uso de las claves y firmas digitales asignados; </w:t>
      </w:r>
    </w:p>
    <w:p w14:paraId="225BF1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4574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El registro de los beneficiarios y de las cuentas bancarias que se requieran para efectuar pagos a través del SIIF Nación. </w:t>
      </w:r>
    </w:p>
    <w:p w14:paraId="4127342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35" w:name="ver_30057732"/>
      <w:bookmarkEnd w:id="1435"/>
    </w:p>
    <w:p w14:paraId="18079335" w14:textId="5CBE584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2.9.1.2.14. Obligatoriedad de adopción del modelo de seguridad para la interoperación de aplicaciones con el SIIF Nación. Las entidades y órganos que hacen parte del Presupuesto General de la Nación a las que el Comité Directivo les haya aprobado el uso de aplicaciones misionales que deban interoperar con el SIIF Nación, deberán adoptar el modelo de seguridad que el Comité Directivo defina para tal fin. </w:t>
      </w:r>
    </w:p>
    <w:p w14:paraId="3F8D9D5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36" w:name="ver_30145249"/>
      <w:bookmarkStart w:id="1437" w:name="ver_30057733"/>
      <w:bookmarkEnd w:id="1436"/>
    </w:p>
    <w:p w14:paraId="36DAA7B1" w14:textId="3F76A4F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2.9.1.2.15.Del período de ajustes previos al cierre definitivo del sistema.El Sistema Integrado de Información Financiera (SIIF) Nación tendrá un período de transición al inicio de cada año, con el fin de que las entidades hagan ajustes a los compromisos y obligaciones a que haya lugar para la constitución de las reservas presupuestales y de las cuentas por pagar, de conformidad con lo señalado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89 del Estatuto Orgánico del Presupuesto, el cual durará hasta el día anterior al de la constitución legal de estas, de forma que puedan obtener del sistema la información requerida para tal fin. En todo caso, en concordancia con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14 y 71 de dicho estatuto, en este período no se pondrán asumir compromisos ni obligaciones con cargo a las apropiaciones del año que se cerró. Como máximo, las reservas presupuestales corresponderán a la diferencia entre los compromisos y las obligaciones, y las cuentas por pagar por la diferencia entre las obligaciones y los pagos.  </w:t>
      </w:r>
    </w:p>
    <w:p w14:paraId="7D5FFF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E909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el sistema tendrá un período de transición contable, con el fin de que las entidades efectúen los ajustes respectivos a la contabilidad del año que se cierra, el cual durará hasta la fecha en que las entidades deban reportar la información solicitada por la Contaduría General de la Nación.  </w:t>
      </w:r>
    </w:p>
    <w:p w14:paraId="4ECCC79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38" w:name="ver_30057734"/>
      <w:bookmarkEnd w:id="1437"/>
      <w:bookmarkEnd w:id="1438"/>
    </w:p>
    <w:p w14:paraId="2111E0E5" w14:textId="4A33EBE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2.9.1.2.16. Cumplimiento de las normas que rigen la gestión financiera pública. El uso del SIIF Nación no exime a los usuarios de las responsabilidades en el cumplimiento de las disposiciones orgánicas, legales y reglamentarias en relación con la programación, aprobación, modificación y ejecución de sus presupuestos, así como de la aplicación de las normas contables vigentes. </w:t>
      </w:r>
    </w:p>
    <w:p w14:paraId="54E4E1AE" w14:textId="747C8FEB" w:rsidR="00404266" w:rsidRPr="002C1480" w:rsidRDefault="00404266" w:rsidP="002079AD">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39" w:name="ver_30057735"/>
      <w:bookmarkEnd w:id="1439"/>
    </w:p>
    <w:p w14:paraId="6BB2B5F6" w14:textId="4B4D0F3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2.9.1.2.17. Solicitud de información. Cuando los entes de control y seguimiento soliciten información que esté registrada en el SIIF Nación, las entidades en línea la extraerán del mismo para su presentación. Tales entes si lo consideran conveniente, podrán solicitar, de acuerdo a los procedimientos establecidos, su vinculación como usuarios del Sistema con un perfil especial de consulta, con el fin de obtener la información requerida. </w:t>
      </w:r>
    </w:p>
    <w:p w14:paraId="7BE88BDE" w14:textId="2AC71A87" w:rsidR="00404266" w:rsidRPr="002C1480" w:rsidRDefault="002C1480" w:rsidP="00C32F85">
      <w:pPr>
        <w:spacing w:after="0" w:line="254" w:lineRule="atLeast"/>
        <w:jc w:val="both"/>
        <w:rPr>
          <w:rFonts w:ascii="Arial" w:eastAsia="Times New Roman" w:hAnsi="Arial" w:cs="Arial"/>
          <w:color w:val="000000"/>
          <w:lang w:eastAsia="es-CO"/>
        </w:rPr>
      </w:pPr>
      <w:bookmarkStart w:id="1440" w:name="ver_30057736"/>
      <w:bookmarkEnd w:id="1440"/>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2.9.1.2.18. Restricciones a la adquisición y utilización de software financiero. Las entidades y órganos usuarios del SIIF Nación no podrán adquirir ningún software financiero que contemple la funcionalidad incorporada en tal aplicativo y que implique la duplicidad del registro de información presupuestal y contable. </w:t>
      </w:r>
    </w:p>
    <w:p w14:paraId="234ACD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B563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exceptúan las entidades que a criterio del Comité Directivo del SIIF Nación posean sistemas misionales que puedan interactuar en línea y tiempo real con dicho aplicativo. </w:t>
      </w:r>
    </w:p>
    <w:p w14:paraId="2DCE61F2" w14:textId="50FD06A4" w:rsidR="00404266" w:rsidRPr="007C22B0" w:rsidRDefault="00404266" w:rsidP="007C22B0">
      <w:pPr>
        <w:spacing w:after="0" w:line="254" w:lineRule="atLeast"/>
        <w:jc w:val="center"/>
        <w:rPr>
          <w:rFonts w:ascii="Arial" w:eastAsia="Times New Roman" w:hAnsi="Arial" w:cs="Arial"/>
          <w:b/>
          <w:bCs/>
          <w:color w:val="000000"/>
          <w:lang w:eastAsia="es-CO"/>
        </w:rPr>
      </w:pPr>
    </w:p>
    <w:p w14:paraId="61903DAE" w14:textId="77777777" w:rsidR="00404266" w:rsidRPr="007C22B0" w:rsidRDefault="00404266" w:rsidP="007C22B0">
      <w:pPr>
        <w:spacing w:after="0" w:line="293" w:lineRule="atLeast"/>
        <w:jc w:val="center"/>
        <w:rPr>
          <w:rFonts w:ascii="Arial" w:eastAsia="Times New Roman" w:hAnsi="Arial" w:cs="Arial"/>
          <w:b/>
          <w:bCs/>
          <w:color w:val="000000"/>
          <w:lang w:eastAsia="es-CO"/>
        </w:rPr>
      </w:pPr>
      <w:bookmarkStart w:id="1441" w:name="ver_30057737"/>
      <w:bookmarkEnd w:id="1441"/>
      <w:r w:rsidRPr="007C22B0">
        <w:rPr>
          <w:rFonts w:ascii="Arial" w:eastAsia="Times New Roman" w:hAnsi="Arial" w:cs="Arial"/>
          <w:b/>
          <w:bCs/>
          <w:color w:val="000000"/>
          <w:lang w:eastAsia="es-CO"/>
        </w:rPr>
        <w:t>PARTE 10</w:t>
      </w:r>
    </w:p>
    <w:p w14:paraId="759B21F6" w14:textId="15F4A29D" w:rsidR="00404266" w:rsidRDefault="00404266" w:rsidP="007C22B0">
      <w:pPr>
        <w:spacing w:after="0"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lastRenderedPageBreak/>
        <w:t>POLÍTICA MACROECONÓMICA</w:t>
      </w:r>
    </w:p>
    <w:p w14:paraId="650F1D20" w14:textId="77777777" w:rsidR="007C22B0" w:rsidRPr="007C22B0" w:rsidRDefault="007C22B0" w:rsidP="007C22B0">
      <w:pPr>
        <w:spacing w:after="0" w:line="293" w:lineRule="atLeast"/>
        <w:jc w:val="center"/>
        <w:rPr>
          <w:rFonts w:ascii="Arial" w:eastAsia="Times New Roman" w:hAnsi="Arial" w:cs="Arial"/>
          <w:b/>
          <w:bCs/>
          <w:color w:val="000000"/>
          <w:lang w:eastAsia="es-CO"/>
        </w:rPr>
      </w:pPr>
    </w:p>
    <w:p w14:paraId="5B72CDD5" w14:textId="77777777" w:rsidR="00404266" w:rsidRPr="007C22B0" w:rsidRDefault="00404266" w:rsidP="007C22B0">
      <w:pPr>
        <w:spacing w:after="0"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TÍTULO 1</w:t>
      </w:r>
    </w:p>
    <w:p w14:paraId="5E4F3AC5" w14:textId="77777777" w:rsidR="00404266" w:rsidRPr="007C22B0" w:rsidRDefault="00404266" w:rsidP="007C22B0">
      <w:pPr>
        <w:spacing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FONDO PARA LA ESTABILIZACIÓN DE LA CARTERA HIPOTECARIA (FRECH)</w:t>
      </w:r>
    </w:p>
    <w:p w14:paraId="208E81F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42" w:name="ver_30057738"/>
      <w:bookmarkEnd w:id="1442"/>
    </w:p>
    <w:p w14:paraId="161CB7E0" w14:textId="590C852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 Disposición aclaratoria de vigencia. Las normas de los Capítulos 4 y 5 de este título se compilan para efectos de aplicarlas, según corresponda, a las coberturas previamente otorgadas en su oportunidad y que se encuentran vigentes. </w:t>
      </w:r>
    </w:p>
    <w:p w14:paraId="66C6C95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27EF71" w14:textId="77777777" w:rsidR="00404266" w:rsidRPr="007C22B0" w:rsidRDefault="00404266" w:rsidP="007C22B0">
      <w:pPr>
        <w:spacing w:after="0" w:line="293" w:lineRule="atLeast"/>
        <w:jc w:val="center"/>
        <w:rPr>
          <w:rFonts w:ascii="Arial" w:eastAsia="Times New Roman" w:hAnsi="Arial" w:cs="Arial"/>
          <w:b/>
          <w:bCs/>
          <w:color w:val="000000"/>
          <w:lang w:eastAsia="es-CO"/>
        </w:rPr>
      </w:pPr>
      <w:bookmarkStart w:id="1443" w:name="ver_30057739"/>
      <w:bookmarkEnd w:id="1443"/>
      <w:r w:rsidRPr="007C22B0">
        <w:rPr>
          <w:rFonts w:ascii="Arial" w:eastAsia="Times New Roman" w:hAnsi="Arial" w:cs="Arial"/>
          <w:b/>
          <w:bCs/>
          <w:color w:val="000000"/>
          <w:lang w:eastAsia="es-CO"/>
        </w:rPr>
        <w:t>CAPÍTULO 1</w:t>
      </w:r>
    </w:p>
    <w:p w14:paraId="5E19A927" w14:textId="77777777" w:rsidR="00404266" w:rsidRPr="007C22B0" w:rsidRDefault="00404266" w:rsidP="007C22B0">
      <w:pPr>
        <w:spacing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FONDO PARA LA ESTABILIZACIÓN DE LA CARTERA HIPOTECARIA (FRECH) PARA COBERTURA DE TASA DTF Y UVR</w:t>
      </w:r>
    </w:p>
    <w:p w14:paraId="197B149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44" w:name="ver_30057740"/>
      <w:bookmarkEnd w:id="1444"/>
    </w:p>
    <w:p w14:paraId="21D27D8A" w14:textId="2FBAE69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2.10.1.1.1. Fondo de Reserva para la Estabilización de la Cartera Hipotecaria (FRECH). En desarrollo de la autorización prevista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546 de 1999, créase el Fondo de Reserva para la Estabilización de la Cartera Hipotecaria - FRECH, administrado por el Banco de la República, como un fondo-cuenta de la Nación. </w:t>
      </w:r>
    </w:p>
    <w:p w14:paraId="71C95CD9" w14:textId="11DDA6B9"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45" w:name="ver_30057741"/>
      <w:bookmarkEnd w:id="1445"/>
    </w:p>
    <w:p w14:paraId="54FBE27F" w14:textId="24C27B5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2.10.1.1.2. Manejo presupuestal de los recursos del FRECH. El manejo de los recursos del Frech se realizará teniendo en cuenta las siguientes consideraciones: </w:t>
      </w:r>
    </w:p>
    <w:p w14:paraId="5E2D11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F61307" w14:textId="7048D9E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Los recursos provenientes del impuesto a la remuneración del encaje establecido en el numeral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 la Ley 546 de 1999, serán retenidos al momento del pago al respectivo establecimiento y consignados directamente en el FRECH. </w:t>
      </w:r>
    </w:p>
    <w:p w14:paraId="58449B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07D0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recursos aportados al FRECH por los establecimientos de crédito de conformidad con el mecanismo establecido en este capítulo, los cuales deberán apropiarse para su ejecución. </w:t>
      </w:r>
    </w:p>
    <w:p w14:paraId="55DCF0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10FF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ingresos provenientes de los rendimientos financieros de los recursos que conformen el FRECH deberán apropiarse para su ejecución. </w:t>
      </w:r>
    </w:p>
    <w:p w14:paraId="5F216BA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2BA9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Banco de la República, en su calidad de administrador, deberá separar en dos cuentas los recursos del FRECH. Una de las cuentas se utilizará para registrar los recursos efectivamente apropiados, los cuales pueden ser ejecutados por el FRECH para el cumplimiento de su finalidad. La otra cuenta se utilizará para registrar las sumas no apropiadas, hasta el momento en que se surta dicho procedimiento por el Gobierno Nacional a través del Ministerio de Hacienda y Crédito Público. </w:t>
      </w:r>
    </w:p>
    <w:p w14:paraId="461195E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B1481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movimientos que se realicen solo pueden corresponder a la operación del FRECH, previo el cumplimiento de las normas legales respectivas. </w:t>
      </w:r>
    </w:p>
    <w:p w14:paraId="1867AE89" w14:textId="2157CACE"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46" w:name="ver_30057742"/>
      <w:bookmarkEnd w:id="1446"/>
    </w:p>
    <w:p w14:paraId="5C9F69AD" w14:textId="06A69CE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2.10.1.1.3. Administración de los recursos del FRECH. Para la debida administración del FRECH, el Ministerio de Hacienda y Crédito Público y el Banco de la República convendrán la forma como se darán las instrucciones para su administración, mediante la suscripción de un convenio en donde se establecerán las condiciones específicas para tal efecto, teniendo en cuenta los siguientes lineamientos: </w:t>
      </w:r>
    </w:p>
    <w:p w14:paraId="6AA5FC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D933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Los recursos del FRECH serán administrados con criterios de seguridad, liquidez y rentabilidad apropiados al cumplimiento de sus fines. </w:t>
      </w:r>
    </w:p>
    <w:p w14:paraId="3395055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FB23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operaciones que debe llevar a cabo el FRECH dentro del giro ordinario de sus actividades de tesorería se sujetarán a las normas legales vigentes. </w:t>
      </w:r>
    </w:p>
    <w:p w14:paraId="1B9E8A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39E1D7" w14:textId="5E514A8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Las operaciones de reporto o repo, simultáneas y de transferencias temporales de valores se sujetarán a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2.36.3.1.1 y subsiguientes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demás normas que lo sustituyan, modifiquen o subroguen. </w:t>
      </w:r>
    </w:p>
    <w:p w14:paraId="4399BF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4C26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gastos en que incurra el Banco da la República por la administración del FRECH se reconocerán con cargo a los recursos de este, previo el cumplimiento de las normas legales correspondientes. </w:t>
      </w:r>
    </w:p>
    <w:p w14:paraId="65B9A398" w14:textId="0546FB51"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47" w:name="ver_30057743"/>
      <w:bookmarkEnd w:id="1447"/>
    </w:p>
    <w:p w14:paraId="1DC5FD99" w14:textId="2A3F592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2.10.1.1.4. Contabilidad. El Banco de la República llevará una contabilidad separada del FRECH, sujetándose a los principios y normas que rigen para el Banco, que pondrá a disposición de la Nación, Ministerio de Hacienda y Crédito Público, luego de finalizar cada semestre calendario. Aunque los pagos de las obligaciones generadas en los contratos a los que se refiere el presente capítulo se realicen anualmente, cada mes se contabilizarán las posiciones pasivas o activas de cada una de las partes. </w:t>
      </w:r>
    </w:p>
    <w:p w14:paraId="388C217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48" w:name="ver_30057744"/>
      <w:bookmarkEnd w:id="1448"/>
    </w:p>
    <w:p w14:paraId="72ED37CF" w14:textId="0EB6C61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2.10.1.1.5. Inversión de los recursos del FRECH. El Banco de la República invertirá los recursos del FRECH con criterios de seguridad, liquidez y rentabilidad, en los términos y condiciones que establezca el Comité de Inversiones del FRECH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siguiente. </w:t>
      </w:r>
    </w:p>
    <w:p w14:paraId="200F7077" w14:textId="1E325754"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49" w:name="ver_30057745"/>
      <w:bookmarkEnd w:id="1449"/>
    </w:p>
    <w:p w14:paraId="0B5A3663" w14:textId="2A86E7E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2.10.1.1.6. Comité de Inversiones. De acuerdo con el inciso 1º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546 de 1999, la administración del FRECH le corresponde al Banco de la República. Para el cumplimiento de esta finalidad, contará con un Comité de Inversiones cuya función será dar las instrucciones en materia de inversiones que deben ser adoptadas por el Banco de la República. </w:t>
      </w:r>
    </w:p>
    <w:p w14:paraId="1EE52D7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0CE1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Comité de Inversiones se compondrá por tres personas: el Viceministro Técnico del Ministerio de Hacienda y Crédito Público o su delegado, el Director General de Crédito Público y Tesoro Nacional del Ministerio de Hacienda y Crédito Público o su delegado y el Director de la Unidad Especial, Unidad de Proyección Normativa y Estudios de Regulación Financiera - URF o su delegado. A dicho comité asistirá como invitado el Gerente General del Banco de la República o su delegado. </w:t>
      </w:r>
    </w:p>
    <w:p w14:paraId="5E2F08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73590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secretaría técnica del Comité de Inversiones del FRECH será efectuada por el funcionario designado por el Banco de la República. El Comité de Inversiones se reunirá ordinariamente, por lo menos una vez cada tres (3) meses y extraordinariamente cuando sea convocada por cualquiera de sus miembros o por su Secretario. </w:t>
      </w:r>
    </w:p>
    <w:p w14:paraId="7DC8ACA1" w14:textId="77777777" w:rsidR="007C22B0" w:rsidRDefault="007C22B0" w:rsidP="00C32F85">
      <w:pPr>
        <w:spacing w:after="0" w:line="293" w:lineRule="atLeast"/>
        <w:jc w:val="both"/>
        <w:rPr>
          <w:rFonts w:ascii="Arial" w:eastAsia="Times New Roman" w:hAnsi="Arial" w:cs="Arial"/>
          <w:color w:val="000000"/>
          <w:lang w:eastAsia="es-CO"/>
        </w:rPr>
      </w:pPr>
      <w:bookmarkStart w:id="1450" w:name="ver_30057746"/>
      <w:bookmarkEnd w:id="1450"/>
    </w:p>
    <w:p w14:paraId="6070BEA3" w14:textId="0C4CEA64" w:rsidR="00404266" w:rsidRPr="007C22B0" w:rsidRDefault="00404266" w:rsidP="007C22B0">
      <w:pPr>
        <w:spacing w:after="0"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CAPÍTULO 2</w:t>
      </w:r>
    </w:p>
    <w:p w14:paraId="604E5286" w14:textId="77777777" w:rsidR="00404266" w:rsidRPr="007C22B0" w:rsidRDefault="00404266" w:rsidP="007C22B0">
      <w:pPr>
        <w:spacing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FRECH SUBCUENTA FONDO DE GARANTÍAS DE INSTITUCIONES FINANCIERAS - FOGAFÍN</w:t>
      </w:r>
    </w:p>
    <w:p w14:paraId="37C0BA5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51" w:name="ver_30057747"/>
      <w:bookmarkEnd w:id="1451"/>
    </w:p>
    <w:p w14:paraId="77B894E2" w14:textId="240D9F6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2.10.1.2.1. Subcuenta especial del Fondo de Reserva para la Estabilización de la Cartera Hipotecaria - FRECH. De conformidad con el parágrafo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96 de la Ley 795 </w:t>
      </w:r>
      <w:r w:rsidR="00404266" w:rsidRPr="002C1480">
        <w:rPr>
          <w:rFonts w:ascii="Arial" w:eastAsia="Times New Roman" w:hAnsi="Arial" w:cs="Arial"/>
          <w:color w:val="000000"/>
          <w:lang w:eastAsia="es-CO"/>
        </w:rPr>
        <w:lastRenderedPageBreak/>
        <w:t xml:space="preserve">de 2003, el Banco de la República, en su calidad de Administrador del Fondo de Reserva para la Estabilización de la Cartera Hipotecaria - FRECH mantendrá una subcuenta especial en el citado Fondo por valor de cincuenta mil millones de pesos ($50.000.000.000), cuyos recursos se utilizarán por Fondo de Garantías de Instituciones Financieras - Fogafín para otorgar la cobertura a los créditos individuales de vivienda a largo plazo frente al riesgo de variación de la UVR respecto a una tasa determinada, cuya reglamentación se prevé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11.3.3.1.1 y subsiguientes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y demás normas que lo modifiquen o adicionen. La subcuenta deberá estar separada y totalmente diferenciada de los demás recursos del FRECH. </w:t>
      </w:r>
    </w:p>
    <w:p w14:paraId="7F348B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DF43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Banco de la República, en su calidad de administrador del FRECH continuará administrando los recursos de la subcuenta. </w:t>
      </w:r>
    </w:p>
    <w:p w14:paraId="082EDB0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52" w:name="ver_30057748"/>
      <w:bookmarkEnd w:id="1452"/>
    </w:p>
    <w:p w14:paraId="0895B90C" w14:textId="19AA3D4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2.10.1.2.2. Inversión y utilización de los recursos. El Banco de la República invertirá los recursos de la subcuenta conforme a las instrucciones que reciba del Ministerio de Hacienda y Crédito Público. Dichas instrucciones versarán sobre la inversión, liquidación, redención, reinversión y entrega al Fondo de Garantías de Instituciones Financieras - FOGAFÍN, de los recursos de la subcuenta. </w:t>
      </w:r>
    </w:p>
    <w:p w14:paraId="72E8AD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549416" w14:textId="4356BB6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Las instrucciones que deba dar el Ministerio de Hacienda y Crédito Público para efectos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podrán canalizar a través del Fondo de Garantías de Instituciones Financieras - FOGAFÍN. </w:t>
      </w:r>
    </w:p>
    <w:p w14:paraId="3EC1FD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2B3FE9" w14:textId="29E9E9D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administrador deberá abonar en la subcuenta los rendimientos generados por los recursos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w:t>
      </w:r>
    </w:p>
    <w:p w14:paraId="1D3F99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E6EA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La afectación de la subcuenta será realizada hasta el agotamiento de los cincuenta mil millones de pesos ($50.000.000.000) destinados por la Ley 795 de 2003, más los rendimientos generados. Una vez agotados los recursos de la subcuenta, cesará la obligación del Banco de la República de entregar recursos al Fondo de Garantías de Instituciones Financieras - FOGAFÍN. </w:t>
      </w:r>
    </w:p>
    <w:p w14:paraId="54B702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D4DA80" w14:textId="296BE15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4°. El Banco de la República en su calidad de administrador del Fondo de Reserva para la Estabilización de la Cartera Hipotecaria - FRECH con corte al 31 de diciembre de cada anualidad, trasladará de la Subcuenta Especial del FRECH creada en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96 de la Ley 795 de 2003 a la cuenta principal de dicho fondo, los recursos generados por las inversiones de la Subcuenta Especial, cuyo monto exceda la suma establecida en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96 de la Ley 795 de 2003, para lo cual el Banco de la República podrá trasladar títulos o dinero. </w:t>
      </w:r>
    </w:p>
    <w:p w14:paraId="7FCF16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AB6A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 realización de estas operaciones, se han de contemplar las siguientes reglas: </w:t>
      </w:r>
    </w:p>
    <w:p w14:paraId="392486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35D73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títulos que se trasladen a la cuenta principal del FRECH se tomarán por el valor por el que se encuentren registrados en la contabilidad el día anterior al que se realice la transferencia de los mismos. El Ministerio de Hacienda y Crédito Público dará las instrucciones correspondientes respecto a los títulos a transferir. </w:t>
      </w:r>
    </w:p>
    <w:p w14:paraId="318D2BD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D6F9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diferencia resultante entre el valor total de los recursos a transferir y el monto de los títulos transferidos de conformidad con lo previsto en el literal anterior, será cubierto mediante traslado de efectivo. </w:t>
      </w:r>
    </w:p>
    <w:p w14:paraId="453DA1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6AA1FD" w14:textId="619B763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5°. La verificación del monto de los recursos de que trata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96 de la Ley 795 de 2003 será realizada por el Banco de la República en su condición de administrador del FRECH con corte al mes de diciembre de cada año. Si, descontadas la transferencia de recursos a FOGAFÍN, se encuentra un defecto en el monto originado en variaciones en los precios de mercado del portafolio de inversiones de la Subcuenta Especial del FRECH, se informará de este hecho al Ministerio de Hacienda y Crédito Público, quien autorizará, si a ello hay lugar, el traslado de los recursos de la cuenta principal del FRECH a la Subcuenta Especial y dará las instrucciones correspondientes. </w:t>
      </w:r>
    </w:p>
    <w:p w14:paraId="3964B33C" w14:textId="77777777" w:rsidR="007C22B0" w:rsidRDefault="007C22B0" w:rsidP="00C32F85">
      <w:pPr>
        <w:spacing w:after="0" w:line="293" w:lineRule="atLeast"/>
        <w:jc w:val="both"/>
        <w:rPr>
          <w:rFonts w:ascii="Arial" w:eastAsia="Times New Roman" w:hAnsi="Arial" w:cs="Arial"/>
          <w:color w:val="000000"/>
          <w:lang w:eastAsia="es-CO"/>
        </w:rPr>
      </w:pPr>
      <w:bookmarkStart w:id="1453" w:name="ver_30057749"/>
      <w:bookmarkEnd w:id="1453"/>
    </w:p>
    <w:p w14:paraId="3C98009C" w14:textId="1693A66F" w:rsidR="00404266" w:rsidRPr="007C22B0" w:rsidRDefault="00404266" w:rsidP="007C22B0">
      <w:pPr>
        <w:spacing w:after="0"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CAPÍTULO 3</w:t>
      </w:r>
    </w:p>
    <w:p w14:paraId="2E5C368B" w14:textId="77777777" w:rsidR="00404266" w:rsidRPr="007C22B0" w:rsidRDefault="00404266" w:rsidP="007C22B0">
      <w:pPr>
        <w:spacing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FRECH MEJORAMIENTO DE VIVIENDA CON GARANTÍA DEL FNG</w:t>
      </w:r>
    </w:p>
    <w:p w14:paraId="22A52C1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54" w:name="ver_30057750"/>
      <w:bookmarkEnd w:id="1454"/>
    </w:p>
    <w:p w14:paraId="359A4886" w14:textId="5794EDC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2.10.1.3.1. Garantía de créditos destinados al mejoramiento de vivienda. El Banco de la República en su calidad de administrador de los recursos del Fondo de Reserva para la Estabilización de Cartera Hipotecaria – FRECH - transferirá al Fondo Nacional de Garantías, con cargo a los recursos del FRECH, doce mil quinientos millones de pesos ($12.500.000.000), para que garantice créditos otorgados por establecimientos de crédito dirigidos a financiar el mejoramiento de vivienda en los términos del presente capítulo. </w:t>
      </w:r>
    </w:p>
    <w:p w14:paraId="7ADD1D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BE32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tal efecto, el Banco de la República como administrador del FRECH transferirá los mencionados recursos al Fondo Nacional de Garantías de conformidad con las instrucciones que imparta el Viceministerio Técnico del Ministerio de Hacienda y Crédito Público. </w:t>
      </w:r>
    </w:p>
    <w:p w14:paraId="0E947A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2826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ejecución del programa se hará de acuerdo con las políticas generales que para el efecto defina la Junta Directiva del Fondo Nacional de Garantías. </w:t>
      </w:r>
    </w:p>
    <w:p w14:paraId="303B25F2" w14:textId="5A7C205F" w:rsidR="00404266" w:rsidRPr="002C1480" w:rsidRDefault="00404266" w:rsidP="007C22B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55" w:name="ver_30057751"/>
      <w:bookmarkEnd w:id="1455"/>
    </w:p>
    <w:p w14:paraId="682B8BFB" w14:textId="3B8525A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2.10.1.3.2. Condiciones de los créditos garantizados. Los créditos individuales de vivienda objeto de la presente garantía, deberán cumplir las siguientes condiciones: </w:t>
      </w:r>
    </w:p>
    <w:p w14:paraId="69A5F89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3DD1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destinación del crédito será exclusivamente el mejoramiento de unidades habitacionales; rurales o urbanas. </w:t>
      </w:r>
    </w:p>
    <w:p w14:paraId="219935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B460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monto del crédito no podrá superar la suma de treinta millones de pesos ($30.000.000.00) al momento de su desembolso. </w:t>
      </w:r>
    </w:p>
    <w:p w14:paraId="5BEB2E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5603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créditos a que se refiere esta disposición podrán estar cubiertos por garantías diferentes a las hipotecarias. </w:t>
      </w:r>
    </w:p>
    <w:p w14:paraId="46CC74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8E2D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Para el pago de las obligaciones contraídas podrá utilizarse el sistema de descuento por nómina por parte del empleador (libranza), en cuyo caso podrá accederse a una cobertura del 70% del saldo del crédito. </w:t>
      </w:r>
    </w:p>
    <w:p w14:paraId="656C13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2E2D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tal efecto, el empleador está obligado a descontar por nómina y a girar mensualmente los recursos correspondientes a la entidad respectiva. </w:t>
      </w:r>
    </w:p>
    <w:p w14:paraId="4C9EB7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F2C1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Respecto de aquellos créditos que tengan una modalidad de pago diferente de la libranza, la garantía a otorgarse será equivalente al 50 % del saldo del crédito. </w:t>
      </w:r>
    </w:p>
    <w:p w14:paraId="1EE607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C2BD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 Las garantías previstas en el presente capítulo se aplicarán por una sola vez, a un crédito de mejoramiento de vivienda por sujeto de crédito en calidad de deudor principal o solidario. En ningún caso, una misma persona podrá tener más de un crédito objeto de la garantía del presente programa. </w:t>
      </w:r>
    </w:p>
    <w:p w14:paraId="3EE2AB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CB95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Serán objeto de garantía los créditos destinados al mejoramiento de vivienda que hubiesen sido otorgados a partir del 1° de abril de 2009 y hasta el agotamiento de los recursos destinados para este programa. </w:t>
      </w:r>
    </w:p>
    <w:p w14:paraId="553B2B9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048D8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1º. El Fondo Nacional de Garantías definirá mediante Resolución a los establecimientos de crédito dispuestos a colocar créditos de manera directa o por intermedio de otras entidades especializadas, los controles que permitan verificar claramente las condiciones de acceso a la garantía, así como la correcta destinación de los recursos desembolsados con tal propósito. </w:t>
      </w:r>
    </w:p>
    <w:p w14:paraId="7BB68B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0E9E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2º. La Junta Directiva del Fondo Nacional de Garantías establecerá los términos y condiciones de las garantías de que trata el presente capítulo. </w:t>
      </w:r>
    </w:p>
    <w:p w14:paraId="06D8EE0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56" w:name="ver_30057752"/>
      <w:bookmarkEnd w:id="1456"/>
    </w:p>
    <w:p w14:paraId="4B30E99F" w14:textId="7468435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2.10.1.3.3. Direccionamiento del crédito cubierto por la garantía. La utilización de los recursos de crédito otorgados con la garantía contemplada en el presente capítulo en propósitos distintos del mejoramiento de vivienda, conllevará la terminación inmediata de la garantía, así como las consecuencias previstas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311 del Código Penal, sobre “Aplicación fraudulenta de crédito oficialmente regulado”. </w:t>
      </w:r>
    </w:p>
    <w:p w14:paraId="1BFC27B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57" w:name="ver_30057753"/>
      <w:bookmarkEnd w:id="1457"/>
    </w:p>
    <w:p w14:paraId="338CFB43" w14:textId="0A92C6D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2.10.1.3.4. Restitución de recursos. El Viceministerio Técnico del Ministerio de Hacienda y Crédito Público, definirá en su oportunidad, la forma de restitución al FRECH tanto de los recursos que no sean utilizados en desarrollo de la ejecución del presente Capítulo, así como los rendimientos que se generen sobre los mismos. </w:t>
      </w:r>
    </w:p>
    <w:p w14:paraId="0C71FC85" w14:textId="77777777" w:rsidR="007C22B0" w:rsidRDefault="007C22B0" w:rsidP="00C32F85">
      <w:pPr>
        <w:spacing w:after="0" w:line="293" w:lineRule="atLeast"/>
        <w:jc w:val="both"/>
        <w:rPr>
          <w:rFonts w:ascii="Arial" w:eastAsia="Times New Roman" w:hAnsi="Arial" w:cs="Arial"/>
          <w:color w:val="000000"/>
          <w:lang w:eastAsia="es-CO"/>
        </w:rPr>
      </w:pPr>
      <w:bookmarkStart w:id="1458" w:name="ver_30057754"/>
      <w:bookmarkEnd w:id="1458"/>
    </w:p>
    <w:p w14:paraId="06D64780" w14:textId="66F2D212" w:rsidR="00404266" w:rsidRPr="007C22B0" w:rsidRDefault="00404266" w:rsidP="007C22B0">
      <w:pPr>
        <w:spacing w:after="0"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CAPÍTULO 4</w:t>
      </w:r>
    </w:p>
    <w:p w14:paraId="65819EF6" w14:textId="77777777" w:rsidR="00404266" w:rsidRPr="007C22B0" w:rsidRDefault="00404266" w:rsidP="007C22B0">
      <w:pPr>
        <w:spacing w:line="293" w:lineRule="atLeast"/>
        <w:jc w:val="center"/>
        <w:rPr>
          <w:rFonts w:ascii="Arial" w:eastAsia="Times New Roman" w:hAnsi="Arial" w:cs="Arial"/>
          <w:b/>
          <w:bCs/>
          <w:color w:val="000000"/>
          <w:lang w:eastAsia="es-CO"/>
        </w:rPr>
      </w:pPr>
      <w:r w:rsidRPr="007C22B0">
        <w:rPr>
          <w:rFonts w:ascii="Arial" w:eastAsia="Times New Roman" w:hAnsi="Arial" w:cs="Arial"/>
          <w:b/>
          <w:bCs/>
          <w:color w:val="000000"/>
          <w:lang w:eastAsia="es-CO"/>
        </w:rPr>
        <w:t>FRECH I - COBERTURA CONDICIONADA A LA TASA DE INTERES PARA CRÉDITOS INDIVIDUALES DE VIVIENDA</w:t>
      </w:r>
    </w:p>
    <w:p w14:paraId="38BC3CA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59" w:name="ver_30057755"/>
      <w:bookmarkEnd w:id="1459"/>
    </w:p>
    <w:p w14:paraId="2870959C" w14:textId="73978E9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2.10.1.4.1. Cobertura para créditos individuales de vivienda. El Banco de la República es quien estaba autorizado, en su calidad de administrador del FRECH para ofrecer con recursos de este fondo una cobertura condicionada para facilitar la financiación de vivienda. Dicha cobertura consiste en una permuta financiera calculada sobre la tasa de interés pactada en créditos nuevos que fueron otorgados por establecimientos de crédito a deudores individuales de crédito hipotecario de vivienda nueva que cumplieran las condiciones que se establecían en el presente capítulo y, en todo caso, únicamente durante los primeros siete (7) años de vida del crédito. </w:t>
      </w:r>
    </w:p>
    <w:p w14:paraId="0228569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8DCA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deudores individuales de crédito hipotecario de vivienda nueva que optaron por la cobertura prevista en el presente capítulo, debían manifestar por escrito al establecimiento de crédito su intención de recibirla, con un señalamiento expreso de conocer los términos de su otorgamiento y pérdida. La vigencia de dicha cobertura estará condicionada a que en los primeros siete (7) años de vida del crédito no se incurra en mora por más de tres (3) meses consecutivos. </w:t>
      </w:r>
    </w:p>
    <w:p w14:paraId="3AA9D0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C1C6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este evento, es decir de presentarse una mora en la atención de un crédito beneficiario de la cobertura por más de tres (3) meses consecutivos, el beneficio de la cobertura se perderá definitivamente. </w:t>
      </w:r>
    </w:p>
    <w:p w14:paraId="67F3AB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0A0A9D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obstante, el tratamiento en caso de retraso o mora inferiores al término señalado en precedencia será objeto de instrucción por parte del Ministerio de Hacienda y Crédito Público, como parte del procedimiento de acceso y vigencia de la cobertura. </w:t>
      </w:r>
    </w:p>
    <w:p w14:paraId="54580C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D4CD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Resolución 954 de 2009 expedida por el Ministerio de Hacienda y Crédito Público y todas aquéllas que la modifiquen, sustituyan o adicionen, establece las instrucciones al Banco de la República, en su calidad de administrador del FRECH, relativas al procedimiento que deben cumplir los deudores individuales de vivienda beneficiarios de la cobertura y la forma como los establecimientos de crédito certifican el cumplimiento de la condición a cargo de los deudores referida al pago oportuno, así como los demás aspectos procedimentales derivados de la aplicación del presente capítulo. </w:t>
      </w:r>
    </w:p>
    <w:p w14:paraId="0EDCD7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4183A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el Banco de la República, en su calidad de administrador del FRECH, podrá contratar con un tercero la operación del esquema de cobertura previsto en el presente capítulo, con cargo a los recursos del FRECH. </w:t>
      </w:r>
    </w:p>
    <w:p w14:paraId="38AA8AC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60" w:name="ver_30057756"/>
      <w:bookmarkEnd w:id="1460"/>
    </w:p>
    <w:p w14:paraId="019AC1EC" w14:textId="447C554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2.10.1.4.2. Condiciones generales para quienes accedieron a la cobertura. Deberán cumplirse las siguientes condiciones: </w:t>
      </w:r>
    </w:p>
    <w:p w14:paraId="290E35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1813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Solo aplicaba a un crédito individual de vivienda nueva por sujeto de crédito, siempre que sea otorgado por los establecimientos de crédito: </w:t>
      </w:r>
    </w:p>
    <w:p w14:paraId="33ACCC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366176" w14:textId="0574294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Créditos que no hubiesen sido desembolsados a 1 de abril de 2009, pero que se hayan desembolsado antes del 31 de marzo de 2012 o hasta la fecha en que se agotaron el número de cupos establecidos por el Ministerio de Hacienda y Crédito Público y que cumplen las demás condiciones previstas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4C45A6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228784" w14:textId="39C7997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Créditos aprobados con posterioridad al 1 de abril de 2009, y que se hubiesen desembolsado antes del 31 de marzo de 2012 o hasta la fecha en que se agotaron el número de cupos establecidos por el Ministerio de Hacienda y Crédito Público y que cumplen las demás condiciones contempladas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72B59C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4E74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subrogación de un crédito objeto de la cobertura descrita en el presente capítulo, genera la pérdida de la misma. </w:t>
      </w:r>
    </w:p>
    <w:p w14:paraId="28E9FC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8D58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recursos de los créditos de que trata el presente capítulo deben destinarse exclusivamente para financiar la construcción de vivienda propia, o la compra de vivienda nueva. </w:t>
      </w:r>
    </w:p>
    <w:p w14:paraId="507F45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A2A6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cobertura opera de acuerdo con la siguiente graduación, según los valores de la re3.1. Vivienda cuyo valor de venta o comercial, de acuerdo con el avalúo del establecimiento de crédito, sea de hasta ciento treinta y cinco (135) salarios mínimos mensuales legales vigentes (SMMLV): La entidad otorgante del crédito se compromete a entregar al FRECH el equivalente mensual de la tasa de interés pactada en el crédito, convertida a su equivalente en pesos cuando ésta se encuentre referida a la UVR, menos el equivalente mensual de cinco (5) puntos porcentuales, liquidados sobre el saldo remanente del crédito, a su vez convertido en pesos cuando se encuentre referido a la UVR. Por su parte, el FRECH se compromete a entregar el equivalente mensual de la tasa de interés pactada en el crédito, convertida a su equivalente en pesos cuando ésta se encuentre referida a la UVR, liquidada sobre el saldo remanente del crédito, a su vez convertido en pesos cuando se encuentre referido a la UVR. </w:t>
      </w:r>
    </w:p>
    <w:p w14:paraId="23C9CE8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100561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Durante la vigencia de la cobertura el deudor pagará mensualmente el equivalente mensual de la tasa de interés pactada, convertida a su equivalente en pesos cuando ésta se encuentre referida a la UVR, menos el equivalente mensual de cinco (5) puntos porcentuales, liquidada sobre el saldo remanente del crédito, a su vez convertido en pesos cuando se encuentre referido a la UVR. </w:t>
      </w:r>
    </w:p>
    <w:p w14:paraId="397445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93C7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3.2. Vivienda cuyo valor de venta o comercial, de acuerdo con el avalúo del establecimiento de crédito, sea mayor a ciento treinta y cinco (135) SMMLV y hasta doscientos treinta y cinco (235) SMMLV: La entidad otorgante del crédito se compromete a entregar al FRECH el equivalente mensual de la tasa de interés pactada en el crédito, convertida a su equivalente en pesos cuando ésta se encuentre referida a la UVR, menos el equivalente mensual de cuatro (4) puntos porcentuales, liquidados sobre el saldo remanente del crédito, a su vez convertido en pesos cuando se encuentre referido a la UVR. Por su parte, el FRECH se compromete a entregar el equivalente mensual de la tasa de interés pactada en el crédito, convertida a su equivalente en pesos cuando ésta se encuentre referida a la UVR, liquidada sobre el saldo remanente del crédito, a su vez convertido en pesos cuando se encuentre referido a la UVR. </w:t>
      </w:r>
    </w:p>
    <w:p w14:paraId="0C57B2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6B11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Durante la vigencia de la cobertura el deudor pagará mensualmente el equivalente mensual de la tasa de interés pactada, convertida a su equivalente en pesos cuando ésta se encuentre referida a la UVR, menos el equivalente mensual de cuatro (4) puntos porcentuales, liquidada sobre el saldo remanente del crédito, a su vez convertido en pesos cuando se encuentre referido a la UVR. </w:t>
      </w:r>
    </w:p>
    <w:p w14:paraId="758E935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B64C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3.3. Vivienda cuyo valor de venta o comercial, de acuerdo con el avalúo del establecimiento de crédito, sea mayor a doscientos treinta y cinco (235) SMMLV y hasta trescientos treinta y cinco (335) SMMLV: La entidad otorgante del crédito se compromete a entregar al FRECH el equivalente mensual de la tasa de interés pactada en el crédito, convertida a su equivalente en pesos cuando ésta se encuentre referida a la UVR, menos el equivalente mensual de tres (3) puntos porcentuales, liquidados sobre el saldo remanente del crédito, a su vez convertido en pesos cuando se encuentre referido a la UVR. Por su parte, el FRECH se compromete a entregar el equivalente mensual de la tasa de interés pactada en el crédito, convertida a su equivalente en pesos cuando ésta se encuentre referida a la UVR, liquidada sobre el saldo remanente del crédito, a su vez convertido en pesos cuando se encuentre referido a la UVR. </w:t>
      </w:r>
    </w:p>
    <w:p w14:paraId="61A21F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A01A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Durante la vigencia de la cobertura el deudor pagará mensualmente el equivalente mensual de la tasa de interés pactada, convertida a su equivalente en pesos cuando ésta se encuentre referida a la UVR, menos el equivalente mensual de tres (3) puntos porcentuales, liquidada sobre el saldo remanente del crédito, a su vez convertido en pesos cuando se encuentre referido a la UVR. </w:t>
      </w:r>
    </w:p>
    <w:p w14:paraId="502EB4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C7E0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pago producto de la permuta descrita en los numerales anteriores se hará por el monto neto de las obligaciones generadas mes a mes. Parágrafo 2. Los locatarios en contratos nuevos de leasing habitacional podían optar por la cobertura aquí prevista, la cual se aplica sobre el valor del canon mensual y sólo en el evento en el que efectivamente se ejerza la opción de compra por parte del locatario. </w:t>
      </w:r>
    </w:p>
    <w:p w14:paraId="50FDDD8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297F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contrario, es decir, de no ejercer la mencionada opción, deberá restituirse el valor de la cobertura de la que fue beneficiario. Estos contratos de leasing habitacional deben cumplir con los mismos requisitos previstos para los créditos individuales de vivienda de que trata el presente capítulo. </w:t>
      </w:r>
    </w:p>
    <w:p w14:paraId="70FE05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28BF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3. Dado que la cobertura prevista está dirigida a los nuevos deudores individuales de crédito de vivienda, en los procesos de titularización, cesión, venta o enajenación de cualquier especie de la cartera por parte de la entidad financiera, el mismo se mantendrá vigente. </w:t>
      </w:r>
    </w:p>
    <w:p w14:paraId="223EEFC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811E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El Ministerio de Hacienda y Crédito Público al establecer las condiciones de cumplimiento de las obligaciones a cargo de las partes intervinientes en el mecanismo de la cobertura, podrá señalar eventos de terminación anticipada de los beneficios de la cobertura para los deudores, así como la imposibilidad de presentar las cuentas de cobro para los establecimientos de crédito en caso de tramitación indebida y/o inoportuna de las mismas o de sus soportes, en cuyo caso no se verá afectado el derecho del deudor. </w:t>
      </w:r>
    </w:p>
    <w:p w14:paraId="3234D1A5" w14:textId="466FB02F" w:rsidR="00404266" w:rsidRPr="009058F0" w:rsidRDefault="00404266" w:rsidP="009058F0">
      <w:pPr>
        <w:spacing w:after="0" w:line="254" w:lineRule="atLeast"/>
        <w:jc w:val="center"/>
        <w:rPr>
          <w:rFonts w:ascii="Arial" w:eastAsia="Times New Roman" w:hAnsi="Arial" w:cs="Arial"/>
          <w:b/>
          <w:bCs/>
          <w:color w:val="000000"/>
          <w:lang w:eastAsia="es-CO"/>
        </w:rPr>
      </w:pPr>
    </w:p>
    <w:p w14:paraId="2F5B6DE6" w14:textId="78198438" w:rsidR="00404266" w:rsidRPr="009058F0" w:rsidRDefault="009058F0" w:rsidP="009058F0">
      <w:pPr>
        <w:spacing w:after="0" w:line="293" w:lineRule="atLeast"/>
        <w:jc w:val="center"/>
        <w:rPr>
          <w:rFonts w:ascii="Arial" w:eastAsia="Times New Roman" w:hAnsi="Arial" w:cs="Arial"/>
          <w:b/>
          <w:bCs/>
          <w:color w:val="000000"/>
          <w:lang w:eastAsia="es-CO"/>
        </w:rPr>
      </w:pPr>
      <w:bookmarkStart w:id="1461" w:name="ver_30057757"/>
      <w:bookmarkEnd w:id="1461"/>
      <w:r w:rsidRPr="009058F0">
        <w:rPr>
          <w:rFonts w:ascii="Arial" w:eastAsia="Times New Roman" w:hAnsi="Arial" w:cs="Arial"/>
          <w:b/>
          <w:bCs/>
          <w:color w:val="000000"/>
          <w:lang w:eastAsia="es-CO"/>
        </w:rPr>
        <w:t>CAPÍTULO 5</w:t>
      </w:r>
    </w:p>
    <w:p w14:paraId="6193EAEB" w14:textId="3CEE2806" w:rsidR="00404266" w:rsidRPr="009058F0" w:rsidRDefault="009058F0"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FRECH III – CONTRACÍCLICO 2013 PARA LA</w:t>
      </w:r>
    </w:p>
    <w:p w14:paraId="02A81576" w14:textId="7B6DE0DB" w:rsidR="00404266" w:rsidRPr="009058F0" w:rsidRDefault="009058F0"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FINANCIACIÓN DE VIVIENDA NUEVA</w:t>
      </w:r>
    </w:p>
    <w:p w14:paraId="054C0C6A" w14:textId="677D681D" w:rsidR="00404266" w:rsidRPr="009058F0" w:rsidRDefault="009058F0" w:rsidP="009058F0">
      <w:pPr>
        <w:spacing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SECCIÓN 1.COBERTURA DE TASA DE INTERÉS PARA LA FINANCIACIÓN DE VIVIENDA NUEVA</w:t>
      </w:r>
    </w:p>
    <w:p w14:paraId="5184E8F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62" w:name="ver_30057758"/>
      <w:bookmarkEnd w:id="1462"/>
    </w:p>
    <w:p w14:paraId="72EB48BB" w14:textId="6FD444B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2.10.1.5.1.1. Cobertura de tasa de interés para la financiación de vivienda nueva. El Gobierno Nacional, a través del Fondo de Reserva para la Estabilización de Cartera Hipotecaria (FRECH), administrado por el Banco de la República, ofreció coberturas de tasa de interés para facilitar la financiación de vivienda nueva, a través de créditos paraspectiva vivienda: la compra de vivienda y contratos de leasing habitacional, de acuerdo con la focalización, condiciones y términos establecidos en el presente capítulo, y la reglamentación que para el efecto ha expedido el Ministerio de Hacienda y Crédito Público. </w:t>
      </w:r>
    </w:p>
    <w:p w14:paraId="475211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685870" w14:textId="77777777" w:rsidR="00404266" w:rsidRPr="002C1480" w:rsidRDefault="00404266" w:rsidP="00C32F85">
      <w:pPr>
        <w:spacing w:after="0" w:line="254" w:lineRule="atLeast"/>
        <w:ind w:left="1"/>
        <w:jc w:val="both"/>
        <w:rPr>
          <w:rFonts w:ascii="Arial" w:eastAsia="Times New Roman" w:hAnsi="Arial" w:cs="Arial"/>
          <w:color w:val="000000"/>
          <w:lang w:eastAsia="es-CO"/>
        </w:rPr>
      </w:pPr>
      <w:r w:rsidRPr="002C1480">
        <w:rPr>
          <w:rFonts w:ascii="Arial" w:eastAsia="Times New Roman" w:hAnsi="Arial" w:cs="Arial"/>
          <w:color w:val="000000"/>
          <w:lang w:eastAsia="es-CO"/>
        </w:rPr>
        <w:t>El Banco de la República, como administrador del FRECH, creó una subcuenta para el manejo de los recursos requeridos para la cobertura que por el presente capítulo se establece, separada y diferenciada presupuestal y contablemente de los demás recursos del FRECH, la cual se denomina FRECH – Contracíclico 2013. </w:t>
      </w:r>
    </w:p>
    <w:p w14:paraId="681589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4F3BD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cobertura consiste en una permuta financiera calculada sobre la tasa de interés pactada en créditos o contratos de leasing habitacional, otorgados por los establecimientos de crédito a deudores que cumplan las condiciones que se establecen en el presente capítulo y en la normativa aplicable. La cobertura solo será aplicable durante los primeros siete (7) años de vigencia contados a partir del desembolso del crédito o de la fecha de inicio del contrato de leasing habitacional. </w:t>
      </w:r>
    </w:p>
    <w:p w14:paraId="03B67A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853A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permuta financiera consiste en un intercambio de flujos que se presenta cuando el establecimiento de crédito entrega al FRECH – Contracíclico 2013 el equivalente mensual de la tasa de interés pactada en el crédito o contrato de leasing habitacional, descontando lo correspondiente a la cobertura y el FRECH – Contracíclico 2013 a su vez entrega al establecimiento de crédito el equivalente mensual de la tasa de interés pactada en el crédito o contrato de leasing habitacional. Cuando se trate de operaciones en UVR, el equivalente mensual de la tasa de interés pactada en el crédito o contrato de leasing habitacional se convertirá a su equivalente en pesos. </w:t>
      </w:r>
    </w:p>
    <w:p w14:paraId="34267D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B85A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pago producto de la permuta financiera por parte del FRECH – Contracíclico 2013 a los establecimientos de crédito se realizará por el monto neto de las obligaciones generadas mes a mes, derivadas del intercambio de flujos. </w:t>
      </w:r>
    </w:p>
    <w:p w14:paraId="1262EC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1E87C7" w14:textId="1F4450A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El Ministerio de Hacienda y Crédito Público, por medio de la Resolución 1263 del 24 de abril de 2013 y todas aquéllas que la modifiquen, sustituyan o adicionen, ha señalado al Banco de la República y a los establecimientos de crédito, entre otras cosas, los términos y condiciones para realizar el intercambio de flujos derivados de la cobertura y precisa el alcance y contenido de los contratos marco de cobertura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2.10.1.5.5.1. de este capítulo, así mismo ha señalado a los Establecimientos de Crédito los aspectos derivados de la aplicación del presente capítulo. </w:t>
      </w:r>
    </w:p>
    <w:p w14:paraId="5C3A5691" w14:textId="4C7F716F" w:rsidR="00404266" w:rsidRPr="002C1480" w:rsidRDefault="00404266" w:rsidP="00D65A99">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63" w:name="ver_30057759"/>
      <w:bookmarkEnd w:id="1463"/>
    </w:p>
    <w:p w14:paraId="4517D942" w14:textId="24F4750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2.10.1.5.1.2. Graduación de la cobertura. La cobertura prevista en el presente capítulo es graduada de acuerdo con el valor de la vivienda financiada a los deudores del crédito o locatarios del leasing habitacional que la soliciten, según los siguientes segmentos: </w:t>
      </w:r>
    </w:p>
    <w:p w14:paraId="3EF697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3184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Para viviendas cuyo valor, de acuerdo con el avalúo del establecimiento de crédito, sea mayor a ciento treinta y cinco salarios mínimos mensuales legales vigentes (135 SMMLV) y hasta doscientos treinta y cinco salarios mínimos mensuales legales vigentes (235 SMMLV), la cobertura es equivalente a 2,5 puntos porcentuales, liquidados sobre el saldo remanente del crédito o del contrato de leasing habitacional. </w:t>
      </w:r>
    </w:p>
    <w:p w14:paraId="27BBAA6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85FF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Para viviendas cuyo valor, de acuerdo con el avalúo del establecimiento de crédito, sea mayor a doscientos treinta y cinco salarios mínimos mensuales legales vigentes (235 SMMLV) y hasta trescientos treinta y cinco salarios mínimos mensuales legales vigentes (335 SMMLV), la cobertura es equivalente a 2,5 puntos porcentuales, liquidados sobre el saldo remanente del crédito o del contrato de leasing habitacional. </w:t>
      </w:r>
    </w:p>
    <w:p w14:paraId="60AE4E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11650A" w14:textId="532DD29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deudor del crédito o locatario del leasing habitacional beneficiarios de la cobertura, durante la vigencia de la misma, pagará mensualmente a los establecimientos de crédito, el equivalente mensual de la tasa de interés pactada para el respectivo período, descontando lo correspondiente a la cobertura, de acuerdo con la graduación establecida en los numerales 1 y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Cuando se trate de operaciones en UVR, el equivalente mensual de la tasa de interés pactada en el crédito o contrato de leasing habitacional se convertirá a pesos. </w:t>
      </w:r>
    </w:p>
    <w:p w14:paraId="285DF9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3253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que por cualquier circunstancia el establecimiento de crédito cobre al deudor una tasa de interés diferente a la pactada, la tasa de interés efectivamente cobrada será la utilizada para el cálculo del intercambio de flujos derivado de la cobertura. En ningún caso la cobertura resultante podrá ser superior a la tasa pactada del crédito o a la efectivamente cobrada al deudor según sea el caso </w:t>
      </w:r>
    </w:p>
    <w:p w14:paraId="5FE38965" w14:textId="6264BD7F"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64" w:name="ver_30057760"/>
      <w:bookmarkEnd w:id="1464"/>
    </w:p>
    <w:p w14:paraId="371AC474" w14:textId="7A5E9F5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2.10.1.5.1.3. Condiciones para quienes accedieron a la cobertura. Los deudores del crédito o locatarios del contrato de leasing habitacional, para acceder a la cobertura debían cumplir la siguiente condición, además de las previstas en este capítulo y en la reglamentación que se ha expedido para el efecto. </w:t>
      </w:r>
    </w:p>
    <w:p w14:paraId="18EF6B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EA0A64" w14:textId="607D6CE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No haber sido beneficiario a cualquier título de las coberturas establecidas en el presente capítulo o de aquellas otorgadas en desarrollo de lo dispuesto en el Capítulo 4 del presente título y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1190 de 2012 compilado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del Sector Administrativo de Vivienda, Ciudad y Territorio y las normas que los reglamenten, modifiquen, adicionen, complementen o sustituyan. </w:t>
      </w:r>
    </w:p>
    <w:p w14:paraId="349D7B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8AD6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beneficiarios deben haber manifestado por escrito al establecimiento de crédito, su intención de recibirla, antes del desembolso del crédito o de la suscripción del respectivo contrato de leasing </w:t>
      </w:r>
      <w:r w:rsidRPr="002C1480">
        <w:rPr>
          <w:rFonts w:ascii="Arial" w:eastAsia="Times New Roman" w:hAnsi="Arial" w:cs="Arial"/>
          <w:color w:val="000000"/>
          <w:lang w:eastAsia="es-CO"/>
        </w:rPr>
        <w:lastRenderedPageBreak/>
        <w:t>habitacional, señalando expresamente que conocen y aceptan los términos y condiciones para el acceso, vigencia y terminación anticipada de la cobertura, en particular que el beneficio de la cobertura estaba sujeto a la disponibilidad de coberturas para los créditos y contratos de leasing al momento del desembolso del crédito o del inicio del contrato de leasing. </w:t>
      </w:r>
    </w:p>
    <w:p w14:paraId="214531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7FB48C" w14:textId="5540871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establecimientos de crédito deben verificar y controlar lo relativo a la condición de acceso a la cobertura establecida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 conformidad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2.10.1.5.6.1 del presente capítulo. </w:t>
      </w:r>
    </w:p>
    <w:p w14:paraId="2E6E9A7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65" w:name="ver_30057761"/>
      <w:bookmarkEnd w:id="1465"/>
    </w:p>
    <w:p w14:paraId="6429BCBF" w14:textId="20A99AE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2.10.1.5.1.4. Créditos o Contratos de Leasing Habitacional que eran elegibles. La cobertura se aplica a los créditos o contratos de leasing habitacional que cumplen, como mínimo, con las condiciones que a continuación se relacionan y, las demás que se prevean en las normas que reglamenten, modifiquen, adicionen, sustituyan o complementen el presente capítulo. </w:t>
      </w:r>
    </w:p>
    <w:p w14:paraId="303AD7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6D540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Financiación objeto de la cobertura: Créditos o contratos de leasing habitacional que se otorgaron por los establecimientos de crédito para financiar el acceso a una vivienda nueva. </w:t>
      </w:r>
    </w:p>
    <w:p w14:paraId="693E90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3F27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vivienda nueva, se entenderá la que se encuentre en proyecto, en etapa de preventa, en construcción y la que estando terminada no haya sido habitada. </w:t>
      </w:r>
    </w:p>
    <w:p w14:paraId="31D7C6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E52B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cualquier caso, no se consideran elegibles para efectos de la cobertura los siguientes créditos o contratos de leasing habitacional: </w:t>
      </w:r>
    </w:p>
    <w:p w14:paraId="1BCD50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9FBF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otorgados para la reparación, subdivisión o ampliación del inmueble. </w:t>
      </w:r>
    </w:p>
    <w:p w14:paraId="417BAA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43C27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originados en las reestructuraciones, refinanciaciones o consolidaciones. </w:t>
      </w:r>
    </w:p>
    <w:p w14:paraId="02886C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A9157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Fecha de desembolso: Créditos que se hayan desembolsado o contratos de leasing habitacional que hayan iniciado a partir del 6 de mayo de 2013 y hasta la fecha en que se agotaron el número de coberturas establecidas por el Ministerio de Hacienda y Crédito Público. </w:t>
      </w:r>
    </w:p>
    <w:p w14:paraId="5FA94A2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8E95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Unicidad: La cobertura se aplica a un crédito individual de vivienda nueva o contrato de leasing habitacional nuevo por sujeto de crédito, a cualquier título. </w:t>
      </w:r>
    </w:p>
    <w:p w14:paraId="05077F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C418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Tasa de interés pactada: Corresponderá a la tasa de interés remuneratoria de los créditos y contratos de leasing habitacional. </w:t>
      </w:r>
    </w:p>
    <w:p w14:paraId="7CEA835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BE583B" w14:textId="34B5121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Para las viviendas de que trata el numeral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2.10.1.5.1.2 del presente capítulo, cuando se trata de créditos y contratos de leasing habitacional denominados en moneda legal, la tasa de interés pactada no puede exceder de 9,5 puntos porcentuales efectivos anuales. </w:t>
      </w:r>
    </w:p>
    <w:p w14:paraId="604BBA5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3916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se trata de créditos y contratos de leasing habitacional denominados en UVR, la tasa de interés pactada no puede exceder de 6,5 puntos porcentuales efectivos anuales, calculados sobre la UVR; </w:t>
      </w:r>
    </w:p>
    <w:p w14:paraId="2D2571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8FA834" w14:textId="341C9F3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Para las viviendas de que trata 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2.10.1.5.1.2 del presente capítulo, cuando se trate de créditos y contratos de leasing habitacional denominados en moneda legal, la tasa de interés pactada no puede exceder de 10,5 puntos porcentuales efectivos anuales. </w:t>
      </w:r>
    </w:p>
    <w:p w14:paraId="72347A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5EA9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Cuando se trate de créditos y contratos de leasing habitacional denominados en UVR, la tasa de interés pactada no puede exceder de 7,5 puntos porcentuales efectivos anuales, calculados sobre el UVR. </w:t>
      </w:r>
    </w:p>
    <w:p w14:paraId="3712C72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66" w:name="ver_30057762"/>
      <w:bookmarkEnd w:id="1466"/>
    </w:p>
    <w:p w14:paraId="666E48A7" w14:textId="4B1C2DC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2.10.1.5.1.5. Límite de Coberturas. El número de coberturas disponibles definidas por el Ministerio de Hacienda y Crédito Público, al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2.10.1.5.1.2. de la presente sección, que podían ser objeto del beneficio previsto en este Capítulo 5, no podía superar 12.600 coberturas para los créditos desembolsados o contratos de leasing habitacional iniciados a partir de febrero 5 de 2014, siempre y cuando existiera disponibilidad presupuestal para el efecto. </w:t>
      </w:r>
    </w:p>
    <w:p w14:paraId="43DAFB54" w14:textId="77777777" w:rsidR="00D65A99" w:rsidRDefault="00D65A99" w:rsidP="00C32F85">
      <w:pPr>
        <w:spacing w:line="293" w:lineRule="atLeast"/>
        <w:jc w:val="both"/>
        <w:rPr>
          <w:rFonts w:ascii="Arial" w:eastAsia="Times New Roman" w:hAnsi="Arial" w:cs="Arial"/>
          <w:color w:val="000000"/>
          <w:lang w:eastAsia="es-CO"/>
        </w:rPr>
      </w:pPr>
      <w:bookmarkStart w:id="1467" w:name="ver_30057763"/>
      <w:bookmarkEnd w:id="1467"/>
    </w:p>
    <w:p w14:paraId="2A21A495" w14:textId="697986DC" w:rsidR="00404266" w:rsidRPr="00D65A99" w:rsidRDefault="00D65A99" w:rsidP="00D65A99">
      <w:pPr>
        <w:spacing w:line="293" w:lineRule="atLeast"/>
        <w:jc w:val="center"/>
        <w:rPr>
          <w:rFonts w:ascii="Arial" w:eastAsia="Times New Roman" w:hAnsi="Arial" w:cs="Arial"/>
          <w:b/>
          <w:bCs/>
          <w:color w:val="000000"/>
          <w:lang w:eastAsia="es-CO"/>
        </w:rPr>
      </w:pPr>
      <w:r w:rsidRPr="00D65A99">
        <w:rPr>
          <w:rFonts w:ascii="Arial" w:eastAsia="Times New Roman" w:hAnsi="Arial" w:cs="Arial"/>
          <w:b/>
          <w:bCs/>
          <w:color w:val="000000"/>
          <w:lang w:eastAsia="es-CO"/>
        </w:rPr>
        <w:t>SECCIÓN 2. TERMINACIÓN ANTICIPADA DE LA COBERTURA</w:t>
      </w:r>
    </w:p>
    <w:p w14:paraId="67B3B22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68" w:name="ver_30219293"/>
      <w:bookmarkStart w:id="1469" w:name="ver_30057764"/>
      <w:bookmarkEnd w:id="1468"/>
    </w:p>
    <w:p w14:paraId="73C694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2.10.1.5.2.1. Terminación anticipada de la cobertura. La cobertura se terminará en forma anticipada en los siguientes eventos: </w:t>
      </w:r>
    </w:p>
    <w:p w14:paraId="242AA9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BBAA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Por pago anticipado del crédito o hacer uso de la opción de compra tratándose de contratos de leasing habitacional. </w:t>
      </w:r>
    </w:p>
    <w:p w14:paraId="2194AF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0C56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Por mora en el pago de tres (3) cuotas o cánones consecutivos a cargo del deudor o locatario del leasing habitacional. En este caso, la cobertura se perderá a partir del día siguiente al vencimiento de la última cuota o canon incumplido. </w:t>
      </w:r>
    </w:p>
    <w:p w14:paraId="5450B9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E0C6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Por petición del deudor o locatario. </w:t>
      </w:r>
    </w:p>
    <w:p w14:paraId="45341F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B742C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Por cesión del crédito por parte del deudor. </w:t>
      </w:r>
    </w:p>
    <w:p w14:paraId="40893F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46C9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Por cesión del contrato de leasing habitacional, por parte del locatario. </w:t>
      </w:r>
    </w:p>
    <w:p w14:paraId="72BA57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CB43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Por reestructuración del crédito o del contrato de leasing habitacional que implique el incremento de los montos o saldos de las obligaciones o ampliación del plazo de los créditos o los contratos. </w:t>
      </w:r>
    </w:p>
    <w:p w14:paraId="1DED99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3611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Por aceleración del plazo conforme a los términos contractuales. </w:t>
      </w:r>
    </w:p>
    <w:p w14:paraId="1857B75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21EBC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Las demás que establezca el Ministerio de Hacienda y Crédito Público de acuerdo a la naturaleza y finalidad de la cobertura. </w:t>
      </w:r>
    </w:p>
    <w:p w14:paraId="485E592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8FFC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cobertura se mantendrá vigente en los casos de cesión, venta o enajenación de la cartera con cobertura, entre establecimientos de crédito, y en los procesos derivados de titularización de cartera con cobertura. </w:t>
      </w:r>
    </w:p>
    <w:p w14:paraId="4BBF6A60" w14:textId="77777777" w:rsidR="00BC542B" w:rsidRDefault="00BC542B" w:rsidP="00C32F85">
      <w:pPr>
        <w:spacing w:after="0" w:line="254" w:lineRule="atLeast"/>
        <w:jc w:val="both"/>
        <w:rPr>
          <w:rFonts w:ascii="Arial" w:eastAsia="Times New Roman" w:hAnsi="Arial" w:cs="Arial"/>
          <w:color w:val="000000"/>
          <w:lang w:eastAsia="es-CO"/>
        </w:rPr>
      </w:pPr>
    </w:p>
    <w:p w14:paraId="794E0FBA" w14:textId="0960CC81" w:rsidR="00404266" w:rsidRPr="00BC542B" w:rsidRDefault="00404266" w:rsidP="00BC542B">
      <w:pPr>
        <w:spacing w:after="0" w:line="254" w:lineRule="atLeast"/>
        <w:jc w:val="center"/>
        <w:rPr>
          <w:rFonts w:ascii="Arial" w:eastAsia="Times New Roman" w:hAnsi="Arial" w:cs="Arial"/>
          <w:b/>
          <w:bCs/>
          <w:color w:val="000000"/>
          <w:lang w:eastAsia="es-CO"/>
        </w:rPr>
      </w:pPr>
      <w:r w:rsidRPr="002C1480">
        <w:rPr>
          <w:rFonts w:ascii="Arial" w:eastAsia="Times New Roman" w:hAnsi="Arial" w:cs="Arial"/>
          <w:color w:val="000000"/>
          <w:lang w:eastAsia="es-CO"/>
        </w:rPr>
        <w:t>Parágrafo transitorio. El otorgamiento de periodos de gracia en capital e intereses en los créditos para adquisición de vivienda o contratos de leasing habitacional que cuenten con el beneficio de cobertura de tasa de interés, que se pacten entre los beneficiarios y la respectiva entidad en el marco de las instrucciones impartidas por la Superintendencia Financiera mediante circular externa 007 de 2020, no se entenderá como causal de terminación anticipada de la cobertura.</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 xml:space="preserve">Las entidades que otorguen periodos de gracia en capital e intereses a los beneficiarios de las coberturas de tasa de interés deberán informar dicha circunstancia al Banco de la República </w:t>
      </w:r>
      <w:r w:rsidRPr="002C1480">
        <w:rPr>
          <w:rFonts w:ascii="Arial" w:eastAsia="Times New Roman" w:hAnsi="Arial" w:cs="Arial"/>
          <w:color w:val="000000"/>
          <w:lang w:eastAsia="es-CO"/>
        </w:rPr>
        <w:lastRenderedPageBreak/>
        <w:t>como administrador del Fondo de Reserva para la Estabilización de la Cartera Hipotecaria - FRECH."</w:t>
      </w:r>
      <w:r w:rsidRPr="002C1480">
        <w:rPr>
          <w:rFonts w:ascii="Arial" w:eastAsia="Times New Roman" w:hAnsi="Arial" w:cs="Arial"/>
          <w:color w:val="000000"/>
          <w:lang w:eastAsia="es-CO"/>
        </w:rPr>
        <w:br/>
      </w:r>
    </w:p>
    <w:p w14:paraId="42BE50D3" w14:textId="6E314850" w:rsidR="00404266" w:rsidRPr="00BC542B" w:rsidRDefault="00BC542B" w:rsidP="00BC542B">
      <w:pPr>
        <w:spacing w:after="0" w:line="293" w:lineRule="atLeast"/>
        <w:jc w:val="center"/>
        <w:rPr>
          <w:rFonts w:ascii="Arial" w:eastAsia="Times New Roman" w:hAnsi="Arial" w:cs="Arial"/>
          <w:b/>
          <w:bCs/>
          <w:color w:val="000000"/>
          <w:lang w:eastAsia="es-CO"/>
        </w:rPr>
      </w:pPr>
      <w:bookmarkStart w:id="1470" w:name="ver_30057765"/>
      <w:bookmarkEnd w:id="1469"/>
      <w:bookmarkEnd w:id="1470"/>
      <w:r w:rsidRPr="00BC542B">
        <w:rPr>
          <w:rFonts w:ascii="Arial" w:eastAsia="Times New Roman" w:hAnsi="Arial" w:cs="Arial"/>
          <w:b/>
          <w:bCs/>
          <w:color w:val="000000"/>
          <w:lang w:eastAsia="es-CO"/>
        </w:rPr>
        <w:t>SECCIÓN 3. RECURSOS PARA LA COBERTURA</w:t>
      </w:r>
    </w:p>
    <w:p w14:paraId="1A2F8B0B" w14:textId="77777777" w:rsidR="00404266" w:rsidRPr="002C1480" w:rsidRDefault="00404266" w:rsidP="009058F0">
      <w:pPr>
        <w:spacing w:after="0" w:line="240" w:lineRule="auto"/>
        <w:jc w:val="both"/>
        <w:rPr>
          <w:rFonts w:ascii="Arial" w:eastAsia="Times New Roman" w:hAnsi="Arial" w:cs="Arial"/>
          <w:color w:val="000000"/>
          <w:lang w:eastAsia="es-CO"/>
        </w:rPr>
      </w:pPr>
      <w:bookmarkStart w:id="1471" w:name="ver_30057766"/>
      <w:bookmarkEnd w:id="1471"/>
    </w:p>
    <w:p w14:paraId="2CF5D70D" w14:textId="77777777"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2.10.1.5.3.1. Recursos para la cobertura. Los recursos del FRECH que fueron comprometidos para las coberturas otorgadas en el Capítulo 4 del Título 1 de la presente parte, de acuerdo con el documento elaborado por el Viceministerio Técnico del Ministerio de Hacienda y Crédito Público de fecha 19 de marzo de 2013, fueron utilizados para el otorgamiento y pago de las coberturas previstas en este capítulo y transferidos a la subcuenta denominada FRECH – Contracíclico 2013 Los recursos adicionales requeridos para el otorgamiento y pago de las coberturas previstas en este capítulo, fueron apropiados en el Presupuesto General de la Nación, y comprometidos con cargo al presupuesto del Ministerio de Hacienda y Crédito Público a favor del FRECH – Contracíclico 2013, dando cumplimiento a las disposiciones en materia presupuestal. </w:t>
      </w:r>
    </w:p>
    <w:p w14:paraId="6E47CE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B9FCF4" w14:textId="77777777"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apropiación de estos recursos debió guardar concordancia con la disponibilidad fiscal establecida tanto en el Marco de Gasto de Mediano Plazo del sector, así como en el Marco Fiscal de Mediano Plazo. </w:t>
      </w:r>
    </w:p>
    <w:p w14:paraId="16A2D989" w14:textId="5F4A34DE"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72" w:name="ver_30057767"/>
      <w:bookmarkEnd w:id="1472"/>
    </w:p>
    <w:p w14:paraId="00801F89" w14:textId="59A9A430"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2.10.1.5.3.2. Giro de los recursos. Los recursos asignados para financiar la cobertura de que trata el presente capítulo, que no hagan parte de los que se transfieran del FRECH,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serán girados a la subcuenta denominada FRECH – Contracíclico 2013 en la oportunidad que establezca el Ministerio de Hacienda y Crédito Público de conformidad con los compromisos que se deriven del otorgamiento, ejecución y vencimiento de dichas coberturas. </w:t>
      </w:r>
    </w:p>
    <w:p w14:paraId="4E46782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7D33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Viceministerio Técnico del Ministerio de Hacienda y Crédito Público definirá el procedimiento, oportunidad, plazo y cuantías requeridas para el giro al FRECH – Contracíclico 2013 de los recursos líquidos necesarios para el cubrimiento y pago de las coberturas de que trata el presente capítulo. </w:t>
      </w:r>
    </w:p>
    <w:p w14:paraId="5E1BB9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AE56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Banco de la República, como administrador del FRECH, no será responsable por el cubrimiento y pago de las coberturas de que trata este capítulo cuando el Ministerio de Hacienda y Crédito Público no haya realizado las apropiaciones presupuestales necesarias para el pago de estas coberturas y cuando el Ministerio no haya hecho la entrega y giro de los recursos correspondientes al FRECH – Contracíclico 2013. </w:t>
      </w:r>
    </w:p>
    <w:p w14:paraId="033DE8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1FA9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trámites de apropiación, ejecución, registro y desembolso presupuestales estarán a cargo del Ministerio de Hacienda y Crédito Público. </w:t>
      </w:r>
    </w:p>
    <w:p w14:paraId="4EA8C0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F245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gastos en que incurra el Banco de la República en la realización de la permuta financiera se harán con cargo a los recursos del FRECH. </w:t>
      </w:r>
    </w:p>
    <w:p w14:paraId="671A6040" w14:textId="791847A6"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73" w:name="ver_30057768"/>
      <w:bookmarkEnd w:id="1473"/>
    </w:p>
    <w:p w14:paraId="79EB5E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2.10.1.5.3.3. Restitución de los recursos de la cobertura. Las sumas provenientes de las restituciones de recursos que deban realizar los establecimientos de crédito al FRECH – Contracíclico 2013 respecto de créditos cuyos deudores o locatarios no tengan derecho a la cobertura o que se haya entregado en exceso, o por haber perdido la posibilidad de realizar el intercambio de flujos de la cobertura, o cualquier otra suma que deba restituirse, serán trasladadas a la subcuenta FRECH – Contracíclico 2013. El Viceministerio Técnico del Ministerio de Hacienda y Crédito Público impartirá las instrucciones para la restitución de estos recursos. </w:t>
      </w:r>
    </w:p>
    <w:p w14:paraId="44248D2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74" w:name="ver_30102995"/>
      <w:bookmarkEnd w:id="1474"/>
    </w:p>
    <w:p w14:paraId="49478328" w14:textId="77777777"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2.10.1.5.3.4 Nuevos recursos para la cobertura. Los recursos del FRECH que no fueron comprometidos para el pago de las coberturas otorgadas en el Capítulo 4 del Título 1 de la presente parte 10, podrán ser utilizados para el pago de las coberturas previstas en este capítulo y transferidos a la subcuenta denominada FRECH–Contracíclico 2013 </w:t>
      </w:r>
    </w:p>
    <w:p w14:paraId="120AF3E8" w14:textId="77777777" w:rsidR="00404266" w:rsidRPr="002C1480" w:rsidRDefault="00404266" w:rsidP="009058F0">
      <w:pPr>
        <w:spacing w:after="0" w:line="240" w:lineRule="auto"/>
        <w:jc w:val="both"/>
        <w:rPr>
          <w:rFonts w:ascii="Arial" w:eastAsia="Times New Roman" w:hAnsi="Arial" w:cs="Arial"/>
          <w:color w:val="000000"/>
          <w:lang w:eastAsia="es-CO"/>
        </w:rPr>
      </w:pPr>
      <w:bookmarkStart w:id="1475" w:name="ver_30057769"/>
      <w:bookmarkStart w:id="1476" w:name="ver_30057770"/>
      <w:bookmarkEnd w:id="1475"/>
      <w:bookmarkEnd w:id="1476"/>
    </w:p>
    <w:p w14:paraId="493BC187" w14:textId="6C300DFD"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2.10.1.5.4.1. Inversión de los recursos del FRECH. El Banco de la República invertirá los recursos del FRECH con criterios de seguridad, liquidez y rentabilidad, en los términos y condiciones que establezca el Comité de Inversiones del FRECH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2.10.1.1.6 del Capítulo 1 del presente Título. </w:t>
      </w:r>
    </w:p>
    <w:p w14:paraId="1260CFFE" w14:textId="77777777" w:rsidR="009058F0" w:rsidRDefault="009058F0" w:rsidP="009058F0">
      <w:pPr>
        <w:spacing w:after="0" w:line="293" w:lineRule="atLeast"/>
        <w:jc w:val="both"/>
        <w:rPr>
          <w:rFonts w:ascii="Arial" w:eastAsia="Times New Roman" w:hAnsi="Arial" w:cs="Arial"/>
          <w:color w:val="000000"/>
          <w:lang w:eastAsia="es-CO"/>
        </w:rPr>
      </w:pPr>
      <w:bookmarkStart w:id="1477" w:name="ver_30057771"/>
      <w:bookmarkEnd w:id="1477"/>
    </w:p>
    <w:p w14:paraId="3D4D1CE4" w14:textId="472F2D63" w:rsidR="00404266" w:rsidRPr="009058F0" w:rsidRDefault="00BC542B"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SECCIÓN 5. CONTRATOS MARCO DE PERMUTA FINANCIERA DE TASAS DE INTERÉS</w:t>
      </w:r>
    </w:p>
    <w:p w14:paraId="525A39CF" w14:textId="77777777" w:rsidR="00404266" w:rsidRPr="002C1480" w:rsidRDefault="00404266" w:rsidP="009058F0">
      <w:pPr>
        <w:spacing w:after="0" w:line="240" w:lineRule="auto"/>
        <w:jc w:val="both"/>
        <w:rPr>
          <w:rFonts w:ascii="Arial" w:eastAsia="Times New Roman" w:hAnsi="Arial" w:cs="Arial"/>
          <w:color w:val="000000"/>
          <w:lang w:eastAsia="es-CO"/>
        </w:rPr>
      </w:pPr>
      <w:bookmarkStart w:id="1478" w:name="ver_30057772"/>
      <w:bookmarkEnd w:id="1478"/>
    </w:p>
    <w:p w14:paraId="6A689203" w14:textId="77777777"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2.10.1.5.5.1. Contratos marco de permuta financiera de tasas de interés. Los establecimientos de crédito que accedieron a la cobertura ofrecida por el Gobierno Nacional a través del FRECH – Contracíclico 2013, debieron celebrar con el Banco de la República, como administrador del FRECH, un contrato marco de permuta financiera de tasas de interés para realizar el intercambio de flujos derivado de la cobertura prevista en este capítulo. </w:t>
      </w:r>
    </w:p>
    <w:p w14:paraId="48B678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44FF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Dichos contratos marco deben tener en cuenta de conformidad con lo dispuesto en este capítulo y demás normas que lo reglamenten, modifiquen, adicionen, complementen o sustituyan, entre otras, las siguientes obligaciones: </w:t>
      </w:r>
    </w:p>
    <w:p w14:paraId="41117A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8E79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Para los establecimientos de crédito: </w:t>
      </w:r>
    </w:p>
    <w:p w14:paraId="32E74B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5359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Informar al FRECH – Contracíclico 2013, para su registro, los créditos y contratos de leasing habitacional elegibles con derecho a la cobertura, de acuerdo con lo dispuesto en este capítulo. </w:t>
      </w:r>
    </w:p>
    <w:p w14:paraId="0E8C2B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6612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Presentar al FRECH – Contracíclico 2013, la cuenta de cobro correspondiente a los créditos desembolsados o a los contratos de leasing habitacional con derecho a la cobertura, registrados en el FRECH – Contracíclico 2013, por el valor neto del intercambio de flujos derivado de la permuta financiera, de acuerdo con lo dispuesto en este capítulo. </w:t>
      </w:r>
    </w:p>
    <w:p w14:paraId="10D6DC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D987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Certificar al Banco de la República, como administrador del FRECH: </w:t>
      </w:r>
    </w:p>
    <w:p w14:paraId="3D3653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2B9885" w14:textId="2586309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 Que los créditos o contratos de leasing habitacional objeto de la cobertura cumplen los requisitos y condiciones establecidos para el acceso y vigencia de la cobertura de tasa de interés, señalados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2.10.1.5.1.2, 2.10.1.5.1.3, 2.10.1.5.1.4, 2.10.1.5.3.3. y 2.10.1.5.6.1 de este capítulo. </w:t>
      </w:r>
    </w:p>
    <w:p w14:paraId="3AD4EE60" w14:textId="2DAF57E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La veracidad de toda la información enviada al FRECH – Contracíclico 2013, en concordancia con los requisitos y condiciones para el acceso, vigencia, terminación anticipada, de la cobertura de tasa de interés y aquella relacionada con el intercambio de flujos, establecidos en este capítulo y en la normativa aplicable. </w:t>
      </w:r>
    </w:p>
    <w:p w14:paraId="15C9BE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A5D3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Los créditos o contratos de leasing habitacional registrados en el FRECH – Contracíclico 2013, que no tengan el derecho a la cobertura y las terminaciones anticipadas de la misma, de acuerdo con lo dispuesto en este capítulo. </w:t>
      </w:r>
    </w:p>
    <w:p w14:paraId="2FAE281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43D1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Suministrar la información que requiera el Banco de la República para la realización de la permuta financiera en la oportunidad que se establezca para el efecto. </w:t>
      </w:r>
    </w:p>
    <w:p w14:paraId="0FD0520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E70758" w14:textId="682D8CF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e) Restituir a la subcuenta FRECH – Contracíclico 2013 los recursos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2.10.1.5.3.3 del presente capítulo </w:t>
      </w:r>
    </w:p>
    <w:p w14:paraId="4B11950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8F3A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Para el Banco de la República: </w:t>
      </w:r>
    </w:p>
    <w:p w14:paraId="1DC374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48CC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Validar que el contenido de la información remitida por los establecimientos de crédito al FRECH – Contracíclico 2013, para efectos del registro de los créditos desembolsados o contratos de leasing habitacional con derecho a la cobertura y para el pago de la misma, sea consistente con el presente capítulo y su reglamentación. </w:t>
      </w:r>
    </w:p>
    <w:p w14:paraId="79D09A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CF85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Registrar en el FRECH – Contracíclico 2013, atendiendo la fecha de recibo en el Banco de la República en orden de llegada, los créditos desembolsados o contratos de leasing habitacional con derecho a la cobertura, teniendo en cuenta el número de coberturas disponibles para los créditos y contratos de leasing establecidos por el Ministerio de Hacienda y Crédito Público y el número de créditos y contratos de leasing habitacional con cobertura registrados en el FRECH – Contracíclico 2013, de acuerdo con lo informado por los establecimientos de crédito. </w:t>
      </w:r>
    </w:p>
    <w:p w14:paraId="7E41C0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8BFD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Pagar el valor neto del intercambio de flujos derivado de la permuta financiera, de acuerdo con las instrucciones que para el efecto imparta el Ministerio de Hacienda y Crédito Público. </w:t>
      </w:r>
    </w:p>
    <w:p w14:paraId="0494BE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5B09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Excluir de la cobertura los créditos o contratos de leasing habitacional registrados en el FRECH – Contracíclico 2013, que no tengan derecho a esta y registrar las terminaciones anticipadas de la misma, así como los créditos o contratos respecto de los cuales no sea posible realizar el intercambio de flujos, de conformidad con la información presentada por los establecimientos de crédito. </w:t>
      </w:r>
    </w:p>
    <w:p w14:paraId="14960C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72D9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Informar mensualmente a los establecimientos de crédito y al Viceministerio Técnico del Ministerio de Hacienda y Crédito Público, el número de créditos desembolsados y los contratos de leasing habitacional con derecho a la cobertura registrados en el FRECH – Contracíclico 2013. </w:t>
      </w:r>
    </w:p>
    <w:p w14:paraId="601BF5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AB0A3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los contratos marco se estipulará que los establecimientos de crédito perderán la posibilidad de realizar el intercambio de flujos de la cobertura en los eventos que defina el Ministerio de Hacienda y Crédito Público, cuando haya lugar a ello, de acuerdo con la naturaleza y propósito de dicho mecanismo. </w:t>
      </w:r>
    </w:p>
    <w:p w14:paraId="5BB49D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0936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todo caso el registro y pago de la cobertura estará condicionada a la suscripción de los contratos marco aquí establecidos, entre los establecimientos de crédito y el Banco de la República. </w:t>
      </w:r>
    </w:p>
    <w:p w14:paraId="0B84F1EE" w14:textId="5CF332EF" w:rsidR="00404266" w:rsidRPr="002C1480" w:rsidRDefault="00404266" w:rsidP="00BC542B">
      <w:pPr>
        <w:spacing w:after="0" w:line="254" w:lineRule="atLeast"/>
        <w:jc w:val="both"/>
        <w:rPr>
          <w:rFonts w:ascii="Arial" w:eastAsia="Times New Roman" w:hAnsi="Arial" w:cs="Arial"/>
          <w:color w:val="000000"/>
          <w:lang w:eastAsia="es-CO"/>
        </w:rPr>
      </w:pPr>
      <w:bookmarkStart w:id="1479" w:name="ver_30057773"/>
      <w:bookmarkEnd w:id="1479"/>
      <w:r w:rsidRPr="002C1480">
        <w:rPr>
          <w:rFonts w:ascii="Arial" w:eastAsia="Times New Roman" w:hAnsi="Arial" w:cs="Arial"/>
          <w:color w:val="000000"/>
          <w:lang w:eastAsia="es-CO"/>
        </w:rPr>
        <w:t>SECCIÓN 6. Responsabilidad de los establecimientos de crédito.</w:t>
      </w:r>
    </w:p>
    <w:p w14:paraId="0641F6C7" w14:textId="77777777" w:rsidR="00404266" w:rsidRPr="002C1480" w:rsidRDefault="00404266" w:rsidP="009058F0">
      <w:pPr>
        <w:spacing w:after="0" w:line="240" w:lineRule="auto"/>
        <w:jc w:val="both"/>
        <w:rPr>
          <w:rFonts w:ascii="Arial" w:eastAsia="Times New Roman" w:hAnsi="Arial" w:cs="Arial"/>
          <w:color w:val="000000"/>
          <w:lang w:eastAsia="es-CO"/>
        </w:rPr>
      </w:pPr>
      <w:bookmarkStart w:id="1480" w:name="ver_30057774"/>
      <w:bookmarkEnd w:id="1480"/>
    </w:p>
    <w:p w14:paraId="2BA4F66D" w14:textId="77777777"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2.10.1.5.6.1. Responsabilidad de los establecimientos de crédito. Los establecimientos de crédito son los únicos responsables de verificar el cumplimiento de los requisitos y condiciones establecidos para el acceso, vigencia, y terminación anticipada de la cobertura de tasa de interés a los créditos o contratos de leasing habitacional de que trata el presente capítulo; así como de la veracidad de la información presentada al FRECH – Contracíclico 2013 y del cumplimiento de las obligaciones contenidas en el contrato marco que suscriba con el Banco de la República. </w:t>
      </w:r>
    </w:p>
    <w:p w14:paraId="728E8E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1EBD2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establecimientos de crédito debían informar a los potenciales deudores de créditos de vivienda y locatarios de contratos de leasing habitacional acerca de las condiciones de acceso, vigencia, y terminación anticipada de la cobertura, en las condiciones establecidas en el presente capítulo y </w:t>
      </w:r>
      <w:r w:rsidRPr="002C1480">
        <w:rPr>
          <w:rFonts w:ascii="Arial" w:eastAsia="Times New Roman" w:hAnsi="Arial" w:cs="Arial"/>
          <w:color w:val="000000"/>
          <w:lang w:eastAsia="es-CO"/>
        </w:rPr>
        <w:lastRenderedPageBreak/>
        <w:t>demás normas que lo reglamenten, complementen, adicionen, modifiquen o sustituyan, así como las demás condiciones que establezca la Superintendencia Financiera de Colombia. </w:t>
      </w:r>
    </w:p>
    <w:p w14:paraId="2EF099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2DC026" w14:textId="1BD78CB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establecimientos de crédito no podían desembolsar créditos o suscribir contratos de leasing con derecho a la cobertura, sin haber recibido de parte de los potenciales deudores de los créditos y locatarios de leasing habitacional, la manifestación escrita prevista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2.10.1.5.1.3 de este capítulo. </w:t>
      </w:r>
    </w:p>
    <w:p w14:paraId="793165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1DDD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los establecimientos de crédito, deberán haber informado al deudor o locatario: </w:t>
      </w:r>
    </w:p>
    <w:p w14:paraId="4FC188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9144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que su cobertura se encuentra sujeta a que en el momento del desembolso o al inicio del contrato de leasing no se hayan agotado las coberturas disponibles y, </w:t>
      </w:r>
    </w:p>
    <w:p w14:paraId="360BC6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C80B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en el extracto de la obligación, el cálculo y aplicación de la cobertura, y remitir dentro de la proyección anual de los créditos individuales de vivienda lo que corresponda a la discriminación de los valores del beneficio. </w:t>
      </w:r>
    </w:p>
    <w:p w14:paraId="217D81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E28F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establecimientos de crédito debieron implementar un mecanismo que les permitiera verificar al momento de efectuar el desembolso del crédito o del inicio del contrato de leasing habitacional: </w:t>
      </w:r>
    </w:p>
    <w:p w14:paraId="1CA3FF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878A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La disponibilidad de coberturas para cada uno de los segmentos de vivienda establecidos y, en esa medida, no podían desembolsar créditos o dar inicio del contrato de leasing habitacional con derecho a la cobertura, en exceso del número de coberturas que estableció el Ministerio de Hacienda y Crédito Público, so pena de asumir el pago de la misma con sus propios recursos. </w:t>
      </w:r>
    </w:p>
    <w:p w14:paraId="1CE44D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814409" w14:textId="2CED620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 Que la cobertura se hubiere otorgado únicamente a un crédito o contrato de leasing habitacional y que aquella se aplique a los deudores del crédito o locatarios del contrato de leasing habitacional, a cualquier título. Así mismo, debieron verificar que los potenciales deudores o locatarios no habían sido beneficiarios, a cualquier título, de la cobertura establecida en el presente capítulo o de aquellas otorgadas en desarrollo de lo dispuesto en el Capítulo 4 de la presente parte y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1190 de 2012 compilado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del Sector Administrativo de Vivienda, Ciudad y Territorio y las normas que lo reglamenten, modifiquen, adicionen, complementen o sustituyan. </w:t>
      </w:r>
    </w:p>
    <w:p w14:paraId="631C17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C1BB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Corresponde a los establecimientos de crédito determinar al momento del inicio del contrato de leasing o del desembolso del crédito si tienen derecho a la cobertura y en este evento, informarlo al Banco de la República para efectos de su registro y pago de la cobertura y comunicar lo pertinente a los deudores de los créditos o a los locatarios del contrato según sea el caso. </w:t>
      </w:r>
    </w:p>
    <w:p w14:paraId="6E3C0C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C6261F" w14:textId="09DC752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uso de los recursos otorgados como cobertura no puede destinarse a propósitos diferentes a los indicados en el presente capítulo y las normas que lo reglamenten, complementen, modifiquen, adicionen o sustituyan, so pena de incurrir en la conducta descrita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311 del Código Penal. </w:t>
      </w:r>
    </w:p>
    <w:p w14:paraId="54A92100" w14:textId="338D1894" w:rsidR="00404266" w:rsidRPr="002C1480" w:rsidRDefault="00404266" w:rsidP="00BC542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63ED9D" w14:textId="5B35219C" w:rsidR="00404266" w:rsidRPr="009058F0" w:rsidRDefault="00404266" w:rsidP="009058F0">
      <w:pPr>
        <w:spacing w:after="0" w:line="293" w:lineRule="atLeast"/>
        <w:jc w:val="center"/>
        <w:rPr>
          <w:rFonts w:ascii="Arial" w:eastAsia="Times New Roman" w:hAnsi="Arial" w:cs="Arial"/>
          <w:b/>
          <w:bCs/>
          <w:color w:val="000000"/>
          <w:lang w:eastAsia="es-CO"/>
        </w:rPr>
      </w:pPr>
      <w:bookmarkStart w:id="1481" w:name="ver_30057775"/>
      <w:bookmarkEnd w:id="1481"/>
      <w:r w:rsidRPr="009058F0">
        <w:rPr>
          <w:rFonts w:ascii="Arial" w:eastAsia="Times New Roman" w:hAnsi="Arial" w:cs="Arial"/>
          <w:b/>
          <w:bCs/>
          <w:color w:val="000000"/>
          <w:lang w:eastAsia="es-CO"/>
        </w:rPr>
        <w:t>CAPÍTULO 6</w:t>
      </w:r>
    </w:p>
    <w:p w14:paraId="4F9FA076" w14:textId="77777777" w:rsidR="00404266" w:rsidRPr="009058F0" w:rsidRDefault="00404266" w:rsidP="009058F0">
      <w:pPr>
        <w:spacing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ACCESO A MECANISMOS DE LIQUIDEZ CON CARGO A RECURSOS DEL FRECH</w:t>
      </w:r>
    </w:p>
    <w:p w14:paraId="39DBB59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82" w:name="ver_30057776"/>
      <w:bookmarkEnd w:id="1482"/>
    </w:p>
    <w:p w14:paraId="3CD2632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2.10.1.6.1. Nuevas entidades que pueden realizar operaciones de tesorería con los recursos del FRECH. Las Sociedades Fiduciarias, Sociedades Comisionistas de Bolsa y Sociedades </w:t>
      </w:r>
      <w:r w:rsidRPr="002C1480">
        <w:rPr>
          <w:rFonts w:ascii="Arial" w:eastAsia="Times New Roman" w:hAnsi="Arial" w:cs="Arial"/>
          <w:color w:val="000000"/>
          <w:lang w:eastAsia="es-CO"/>
        </w:rPr>
        <w:lastRenderedPageBreak/>
        <w:t>Administradoras de Inversión, así como los fondos de inversión colectiva por ellas administrados, podrán realizar operaciones de tesorería, con cargo a los recursos disponibles del Fondo de Reserva para la Estabilización de la Cartera Hipotecaria - FRECH. </w:t>
      </w:r>
    </w:p>
    <w:p w14:paraId="6E33C9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B9D203" w14:textId="0F5E73E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términos y condiciones de estas operaciones serán definidas por el Comité de Inversiones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2.10.1.1.6.del Capítulo 1 del presente título. </w:t>
      </w:r>
    </w:p>
    <w:p w14:paraId="3917AD75" w14:textId="77777777" w:rsidR="009058F0" w:rsidRDefault="009058F0" w:rsidP="00C32F85">
      <w:pPr>
        <w:spacing w:after="0" w:line="293" w:lineRule="atLeast"/>
        <w:jc w:val="both"/>
        <w:rPr>
          <w:rFonts w:ascii="Arial" w:eastAsia="Times New Roman" w:hAnsi="Arial" w:cs="Arial"/>
          <w:color w:val="000000"/>
          <w:lang w:eastAsia="es-CO"/>
        </w:rPr>
      </w:pPr>
      <w:bookmarkStart w:id="1483" w:name="ver_30102892"/>
      <w:bookmarkEnd w:id="1483"/>
    </w:p>
    <w:p w14:paraId="5F53AC7D" w14:textId="4F77918D" w:rsidR="00404266" w:rsidRPr="009058F0"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CAPÍTULO 7</w:t>
      </w:r>
    </w:p>
    <w:p w14:paraId="280D0E08" w14:textId="33956654" w:rsidR="00404266"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FRECH PARA LA FINANCIACIÓN DE VIVIENDA URBANA NUEVA – FRECH NO VIS</w:t>
      </w:r>
    </w:p>
    <w:p w14:paraId="05838254" w14:textId="77777777" w:rsidR="00BC542B" w:rsidRPr="009058F0" w:rsidRDefault="00BC542B" w:rsidP="009058F0">
      <w:pPr>
        <w:spacing w:after="0" w:line="293" w:lineRule="atLeast"/>
        <w:jc w:val="center"/>
        <w:rPr>
          <w:rFonts w:ascii="Arial" w:eastAsia="Times New Roman" w:hAnsi="Arial" w:cs="Arial"/>
          <w:b/>
          <w:bCs/>
          <w:color w:val="000000"/>
          <w:lang w:eastAsia="es-CO"/>
        </w:rPr>
      </w:pPr>
    </w:p>
    <w:p w14:paraId="02E89D4C" w14:textId="30E71752" w:rsidR="00BC542B"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SECCIÓN 1</w:t>
      </w:r>
    </w:p>
    <w:p w14:paraId="0A320720" w14:textId="68B1AA8C" w:rsidR="00404266" w:rsidRPr="009058F0"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COBERTURA CONDICIONADA DE TASA DE INTERÉS PARA CRÉDITOS DE VIVIENDA Y CONTRATOS DE LEASING HABITACIONAL EN EL MARCO DEL PROGRAMA FRECH NO VIS</w:t>
      </w:r>
    </w:p>
    <w:p w14:paraId="3470255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84" w:name="ver_30102893"/>
      <w:bookmarkEnd w:id="1484"/>
    </w:p>
    <w:p w14:paraId="4D54F68F" w14:textId="2FBBAB9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2.10.1.7.1.1. Cobertura condicionada de Tasa de Interés para créditos de vivienda y contratos de leasing habitacional FRECH NO VIS. El Gobierno nacional, a través del Fondo de Reserva para la Estabilización de Cartera Hipotecaria (FRECH), administrado por el Banco de la República, ofrecerá coberturas de tasa de interés que faciliten la financiación de vivienda urbana nueva NO VIS, a través de créditos otorgados por establecimientos de crédito para la compra de vivienda y contratos de leasing habita</w:t>
      </w:r>
      <w:r w:rsidR="00404266" w:rsidRPr="002C1480">
        <w:rPr>
          <w:rFonts w:ascii="Arial" w:eastAsia="Times New Roman" w:hAnsi="Arial" w:cs="Arial"/>
          <w:color w:val="000000"/>
          <w:lang w:eastAsia="es-CO"/>
        </w:rPr>
        <w:softHyphen/>
        <w:t>cional, de acuerdo con la focalización, condiciones y términos establecidos en el presente capítulo, y sus modificaciones, y la reglamentación que para el efecto expida el Ministerio de Hacienda y Crédito Público. </w:t>
      </w:r>
    </w:p>
    <w:p w14:paraId="4F83AD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95BB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Banco de la República, como administrador del FRECH, creará una subcuenta para el manejo de los recursos requeridos para la cobertura que por el presente Capítulo se es</w:t>
      </w:r>
      <w:r w:rsidRPr="002C1480">
        <w:rPr>
          <w:rFonts w:ascii="Arial" w:eastAsia="Times New Roman" w:hAnsi="Arial" w:cs="Arial"/>
          <w:color w:val="000000"/>
          <w:lang w:eastAsia="es-CO"/>
        </w:rPr>
        <w:softHyphen/>
        <w:t>tablece, separada y diferenciada contablemente de los demás recursos del FRECH, la cual se denominará FRECH NO VIS.  </w:t>
      </w:r>
    </w:p>
    <w:p w14:paraId="504263C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F9FC6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cobertura consistirá en una permuta financiera calculada sobre la tasa de interés pactada en créditos o contratos de leasing habitacional, otorgados y/o celebrados respectivamente, por los establecimientos de crédito, a deudores y locatarios que cumplan las condiciones que se establecen en el presente capítulo y en la normativa aplicable. La cobertura solo será aplicable durante los primeros siete (7) años de vigencia contados a partir del desembolso del crédito o de la fecha de inicio del contrato de leasing habitacional.  </w:t>
      </w:r>
    </w:p>
    <w:p w14:paraId="1A5560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6E65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permuta financiera consiste en un intercambio de flujos que se presenta cuando el establecimiento de crédito entrega al FRECH NO VIS el equivalente mensual de la tasa de interés pactada en el crédito o contrato de leasing habitacional, descontando lo correspondiente a la cobertura y el FRECH NO VIS a su vez entrega al establecimiento de crédito el equivalente mensual de la tasa de interés pactada en el crédito o contrato de leasing habitacional. Cuando se trate de operaciones en UVR, el equivalente mensual de la tasa de interés pactada en el crédito o contrato de leasing habitacional se convertirá a su equivalente en pesos.  </w:t>
      </w:r>
    </w:p>
    <w:p w14:paraId="1E45E8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E64F7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pago producto de la permuta financiera por parte del FRECH NO VIS a los estableci</w:t>
      </w:r>
      <w:r w:rsidRPr="002C1480">
        <w:rPr>
          <w:rFonts w:ascii="Arial" w:eastAsia="Times New Roman" w:hAnsi="Arial" w:cs="Arial"/>
          <w:color w:val="000000"/>
          <w:lang w:eastAsia="es-CO"/>
        </w:rPr>
        <w:softHyphen/>
        <w:t>mientos de crédito se realizará por el monto neto de las obligaciones generadas mes a mes, derivadas del intercambio de flujos, bajo el procedimiento y las condiciones que establezca para el efecto el Ministerio de Hacienda y Crédito Público.  </w:t>
      </w:r>
    </w:p>
    <w:p w14:paraId="708270A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287EF9" w14:textId="69A7E50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El Ministerio de Hacienda y Crédito Público, señalará al Banco de la Re</w:t>
      </w:r>
      <w:r w:rsidRPr="002C1480">
        <w:rPr>
          <w:rFonts w:ascii="Arial" w:eastAsia="Times New Roman" w:hAnsi="Arial" w:cs="Arial"/>
          <w:color w:val="000000"/>
          <w:lang w:eastAsia="es-CO"/>
        </w:rPr>
        <w:softHyphen/>
        <w:t xml:space="preserve">pública y a los establecimientos de crédito, entre otros, los términos y condiciones para realizar el intercambio de flujos derivados de la cobertura, así como los aspectos derivados de la aplicación del presente capítulo y el alcance y contenido de los contratos marco de cobertura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2.10.1.7.3.1 de este capítulo.  </w:t>
      </w:r>
    </w:p>
    <w:p w14:paraId="5888B89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85" w:name="ver_30132223"/>
      <w:bookmarkStart w:id="1486" w:name="ver_30102894"/>
      <w:bookmarkEnd w:id="1485"/>
    </w:p>
    <w:p w14:paraId="101E0AB1" w14:textId="74EAFF7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2.10.1.7.1.2. Cobertura y segmentos de vivienda. La cobertura prevista en el presente Capítulo será de dos punto cinco (2.5) puntos porcentuales, liquidados sobre el saldo remanente del crédito otorgado o del contrato de leasing habitacional celebrado por el establecimiento de crédito, para la financiación con destino a la adquisición de vivienda urbana nueva NO VIS, en los siguientes segmentos:  </w:t>
      </w:r>
    </w:p>
    <w:p w14:paraId="6B8CE4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2B63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Viviendas cuyo valor, de acuerdo con el avalúo del establecimiento de crédito, sea mayor a ciento treinta y cinco salarios mínimos mensuales legales vigentes (135 SMMLV) y hasta doscientos treinta y cinco salarios mínimos mensuales legales vigentes (235 SMMLV).  </w:t>
      </w:r>
    </w:p>
    <w:p w14:paraId="769CD6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D2F6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Viviendas cuyo valor, de acuerdo con el avalúo del establecimiento de crédito, sea mayor a doscientos treinta y cinco salarios mínimos mensuales legales vigentes (235 SMMLV) y hasta trescientos treinta y cinco salarios mínimos mensuales legales vigentes (335 SMMLV).  </w:t>
      </w:r>
    </w:p>
    <w:p w14:paraId="2D4412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94270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deudor del crédito o locatario del leasing habitacional beneficiario de la cobertura, durante la vigencia de la misma, pagará mensualmente a los establecimientos de crédito, el equivalente mensual de la tasa de interés pactada para el respectivo período, descontando lo correspondiente a la cobertura. Cuando se trate de operaciones en UVR, el equivalente mensual de la tasa de interés pactada en el crédito o contrato de leasing habitacional se convertirá a pesos.  </w:t>
      </w:r>
    </w:p>
    <w:p w14:paraId="79A9748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E95C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que por cualquier circunstancia el establecimiento de crédito cobre al deudor o locatario una tasa de interés diferente a la pactada, la tasa de interés efectivamente cobrada será la utilizada para el cálculo del intercambio de flujos derivado de la cobertura. En ningún caso la cobertura resultante podrá ser superior a la tasa pactada o a la efectiva</w:t>
      </w:r>
      <w:r w:rsidRPr="002C1480">
        <w:rPr>
          <w:rFonts w:ascii="Arial" w:eastAsia="Times New Roman" w:hAnsi="Arial" w:cs="Arial"/>
          <w:color w:val="000000"/>
          <w:lang w:eastAsia="es-CO"/>
        </w:rPr>
        <w:softHyphen/>
        <w:t>mente cobrada al deudor o locatario según sea el caso.  </w:t>
      </w:r>
    </w:p>
    <w:p w14:paraId="379FCF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F14A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Para los efectos previstos en este capítulo, por vivienda urbana nueva, se entenderá la que se encuentre en proyecto, en etapa de preventa, en construcción y la que estando terminada no haya sido habitada.  </w:t>
      </w:r>
    </w:p>
    <w:p w14:paraId="780FA856" w14:textId="77777777" w:rsidR="009058F0" w:rsidRDefault="009058F0" w:rsidP="00C32F85">
      <w:pPr>
        <w:spacing w:after="0" w:line="254" w:lineRule="atLeast"/>
        <w:jc w:val="both"/>
        <w:rPr>
          <w:rFonts w:ascii="Arial" w:eastAsia="Times New Roman" w:hAnsi="Arial" w:cs="Arial"/>
          <w:color w:val="000000"/>
          <w:lang w:eastAsia="es-CO"/>
        </w:rPr>
      </w:pPr>
      <w:bookmarkStart w:id="1487" w:name="ver_30102895"/>
      <w:bookmarkEnd w:id="1486"/>
      <w:bookmarkEnd w:id="1487"/>
    </w:p>
    <w:p w14:paraId="454EAF92" w14:textId="4E1789D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2.10.1.7.1.3. Condiciones para el acceso a la cobertura. Para acceder a la cobertura, los potenciales deudores del crédito o locatarios del contrato de leasing habita</w:t>
      </w:r>
      <w:r w:rsidR="00404266" w:rsidRPr="002C1480">
        <w:rPr>
          <w:rFonts w:ascii="Arial" w:eastAsia="Times New Roman" w:hAnsi="Arial" w:cs="Arial"/>
          <w:color w:val="000000"/>
          <w:lang w:eastAsia="es-CO"/>
        </w:rPr>
        <w:softHyphen/>
        <w:t>cional, además de lo previsto en este Capítulo y la reglamentación que se expida para el efecto por el Ministerio de Hacienda y Crédito Público, se sujetarán a lo siguiente:  </w:t>
      </w:r>
    </w:p>
    <w:p w14:paraId="76B252F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25F99E" w14:textId="20678C3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No haber sido beneficiarios a cualquier título, de las coberturas establecidas en el presente Capítulo o en los Capítulos 4 y 5 de este título o de aquellas previstas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1077 de 2015 y las normas que los reglamenten, modifiquen, adicionen, complementen o sustituyan.  </w:t>
      </w:r>
    </w:p>
    <w:p w14:paraId="75E5F0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3E96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Deberán manifestar por escrito al establecimiento de crédito, su intención de recibir</w:t>
      </w:r>
      <w:r w:rsidRPr="002C1480">
        <w:rPr>
          <w:rFonts w:ascii="Arial" w:eastAsia="Times New Roman" w:hAnsi="Arial" w:cs="Arial"/>
          <w:color w:val="000000"/>
          <w:lang w:eastAsia="es-CO"/>
        </w:rPr>
        <w:softHyphen/>
        <w:t xml:space="preserve">la, antes del desembolso del crédito o de la suscripción del respectivo contrato de leasing habitacional, señalando expresamente que conocen y aceptan los términos y condiciones para el acceso, vigencia y terminación anticipada de la cobertura, y en particular que el beneficio de la cobertura </w:t>
      </w:r>
      <w:r w:rsidRPr="002C1480">
        <w:rPr>
          <w:rFonts w:ascii="Arial" w:eastAsia="Times New Roman" w:hAnsi="Arial" w:cs="Arial"/>
          <w:color w:val="000000"/>
          <w:lang w:eastAsia="es-CO"/>
        </w:rPr>
        <w:lastRenderedPageBreak/>
        <w:t>estará sujeto a la disponibilidad de coberturas para los créditos o contratos de leasing habitacional al momento del desembolso del crédito o del inicio del contrato de leasing.  </w:t>
      </w:r>
    </w:p>
    <w:p w14:paraId="292173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5570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derecho a la cobertura se adquirirá al momento del respectivo desembolso del crédito o al inicio del contrato de leasing, por lo que su acceso se encontrará sujeto a la disponibi</w:t>
      </w:r>
      <w:r w:rsidRPr="002C1480">
        <w:rPr>
          <w:rFonts w:ascii="Arial" w:eastAsia="Times New Roman" w:hAnsi="Arial" w:cs="Arial"/>
          <w:color w:val="000000"/>
          <w:lang w:eastAsia="es-CO"/>
        </w:rPr>
        <w:softHyphen/>
        <w:t>lidad de las coberturas en dicho momento.  </w:t>
      </w:r>
    </w:p>
    <w:p w14:paraId="7FBA003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A814DB" w14:textId="797CE8B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establecimientos de crédito deberán verificar y controlar lo relativo a la condición de acceso a la cobertura establecida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 conformidad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2.10.1.7.3.2 del presente Capítulo.  </w:t>
      </w:r>
    </w:p>
    <w:p w14:paraId="1D8825C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88" w:name="ver_30132224"/>
      <w:bookmarkStart w:id="1489" w:name="ver_30102896"/>
      <w:bookmarkEnd w:id="1488"/>
    </w:p>
    <w:p w14:paraId="0B1DC2B2" w14:textId="4C3B731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2.10.1.7.1.4. Créditos o Contratos de Leasing Habitacional elegibles. La cobertura se aplicará a los créditos o contratos de leasing habitacional que cumplan, como mínimo, con las condiciones que a continuación se relacionan y las demás que se prevean en el presente Capítulo y demás normas que lo reglamenten, modifiquen, adicionen, sus</w:t>
      </w:r>
      <w:r w:rsidR="00404266" w:rsidRPr="002C1480">
        <w:rPr>
          <w:rFonts w:ascii="Arial" w:eastAsia="Times New Roman" w:hAnsi="Arial" w:cs="Arial"/>
          <w:color w:val="000000"/>
          <w:lang w:eastAsia="es-CO"/>
        </w:rPr>
        <w:softHyphen/>
        <w:t>tituyan o complementen.  </w:t>
      </w:r>
    </w:p>
    <w:p w14:paraId="0FC2EF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5C448A" w14:textId="7A1DF90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Financiación objeto de la cobertura: Créditos o contratos de leasing habitacional que otorguen los establecimientos de crédito para financiar el acceso a una vivienda urbana nueva en los términos indicados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2.10.1.7.1.2 de este Capítulo.  </w:t>
      </w:r>
    </w:p>
    <w:p w14:paraId="22BE38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8B57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cualquier caso, no se considerarán elegibles para efectos de la cobertura los siguientes créditos o contratos de leasing habitacional.  </w:t>
      </w:r>
    </w:p>
    <w:p w14:paraId="5A9871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4386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otorgados para la reparación, subdivisión o ampliación del inmueble;  </w:t>
      </w:r>
    </w:p>
    <w:p w14:paraId="2A80A0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A8BA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originados en las reestructuraciones, refinanciaciones o consolidaciones.  </w:t>
      </w:r>
    </w:p>
    <w:p w14:paraId="1B0FFC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5CB4BD" w14:textId="5E46F75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Fecha de desembolso: Créditos que se desembolsen o contratos de leasing habitacional que inicien en las fechas que determine el Ministerio de Hacienda y Crédito Público y que no podrán ir en ningún caso más allá del 31 de diciembre de 2019 o hasta el agotamiento del número de coberturas 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2.10.1.7.2.4 de este Capítulo </w:t>
      </w:r>
    </w:p>
    <w:p w14:paraId="328E8C3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A677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Unicidad: La cobertura se otorgará por una sola vez y se aplicará a todos los deudores del crédito o locatarios, a cualquier título.  </w:t>
      </w:r>
    </w:p>
    <w:p w14:paraId="07BC074B" w14:textId="1A9F698E"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90" w:name="ver_30219294"/>
      <w:bookmarkStart w:id="1491" w:name="ver_30102897"/>
      <w:bookmarkEnd w:id="1489"/>
      <w:bookmarkEnd w:id="1490"/>
    </w:p>
    <w:p w14:paraId="53707A72" w14:textId="62B68AB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2.10.1.7.1.5. Terminación anticipada de la cobertura. La cobertura se termi</w:t>
      </w:r>
      <w:r w:rsidR="00404266" w:rsidRPr="002C1480">
        <w:rPr>
          <w:rFonts w:ascii="Arial" w:eastAsia="Times New Roman" w:hAnsi="Arial" w:cs="Arial"/>
          <w:color w:val="000000"/>
          <w:lang w:eastAsia="es-CO"/>
        </w:rPr>
        <w:softHyphen/>
        <w:t>nará en forma anticipada en los siguientes eventos.  </w:t>
      </w:r>
    </w:p>
    <w:p w14:paraId="1D165C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D73D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Por pago anticipado del crédito o hacer uso de la opción de compra tratándose de contratos de leasing habitacional.  </w:t>
      </w:r>
    </w:p>
    <w:p w14:paraId="4571DA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E272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Por mora en el pago de tres (3) cuotas o cánones consecutivos a cargo del deudor o locatario del leasing habitacional. En este caso, la cobertura se perderá a partir del día siguiente al vencimiento de la última cuota o canon incumplido.  </w:t>
      </w:r>
    </w:p>
    <w:p w14:paraId="7950C9B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5814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Por petición del deudor o locatario.  </w:t>
      </w:r>
    </w:p>
    <w:p w14:paraId="6D1A3F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F620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Por cesión del crédito por parte del deudor.  </w:t>
      </w:r>
    </w:p>
    <w:p w14:paraId="5747AE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06CB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Por cesión del contrato de leasing habitacional, por parte del locatario.  </w:t>
      </w:r>
    </w:p>
    <w:p w14:paraId="43CBBDF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A4465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Por reestructuración del crédito o del contrato de leasing habitacional que implique el incremento de los montos o saldos de las obligaciones o ampliación del plazo de los créditos o los contratos.  </w:t>
      </w:r>
    </w:p>
    <w:p w14:paraId="2CE7A0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097E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Por aceleración del plazo conforme a los términos contractuales.  </w:t>
      </w:r>
    </w:p>
    <w:p w14:paraId="005166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DC87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Las demás que establezca el Ministerio de Hacienda y Crédito Público de acuerdo a la naturaleza y finalidad de la cobertura.  </w:t>
      </w:r>
    </w:p>
    <w:p w14:paraId="2052FA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5925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cobertura se mantendrá vigente en los casos de cesión, venta o enajenación de la cartera con cobertura, entre establecimientos de crédito, y en los procesos derivados de titularización de cartera con cobertura.  </w:t>
      </w:r>
    </w:p>
    <w:p w14:paraId="2E021CDE" w14:textId="2CF8760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transitorio. El otorgamiento de periodos de gracia en capital e intereses en los créditos para adquisición de vivienda o contratos de leasing habitacional que cuenten con el beneficio de cobertura de tasa de interés, que se pacten entre los beneficiarios y la respectiva entidad en el marco de las instrucciones impartidas por la Superintendencia Financiera mediante circular externa 007 de 2020, no se entenderá como causal de terminación anticipada de la cobertura.</w:t>
      </w:r>
      <w:r w:rsidRPr="002C1480">
        <w:rPr>
          <w:rFonts w:ascii="Arial" w:eastAsia="Times New Roman" w:hAnsi="Arial" w:cs="Arial"/>
          <w:color w:val="000000"/>
          <w:lang w:eastAsia="es-CO"/>
        </w:rPr>
        <w:br/>
      </w:r>
      <w:r w:rsidRPr="002C1480">
        <w:rPr>
          <w:rFonts w:ascii="Arial" w:eastAsia="Times New Roman" w:hAnsi="Arial" w:cs="Arial"/>
          <w:color w:val="000000"/>
          <w:lang w:eastAsia="es-CO"/>
        </w:rPr>
        <w:br/>
        <w:t>Las entidades que otorguen periodos de gracia en capital e intereses a los beneficiarios de las coberturas de tasa de interés deberán informar dicha circunstancia al Banco de la República como administrador del Fondo de Reserva para la Estabilización de la Cartera Hipotecaria - FRECH.</w:t>
      </w:r>
      <w:r w:rsidRPr="002C1480">
        <w:rPr>
          <w:rFonts w:ascii="Arial" w:eastAsia="Times New Roman" w:hAnsi="Arial" w:cs="Arial"/>
          <w:color w:val="000000"/>
          <w:lang w:eastAsia="es-CO"/>
        </w:rPr>
        <w:br/>
      </w:r>
    </w:p>
    <w:p w14:paraId="221A35CF" w14:textId="2C766CCD" w:rsidR="00404266" w:rsidRPr="009058F0" w:rsidRDefault="00404266" w:rsidP="009058F0">
      <w:pPr>
        <w:spacing w:after="0" w:line="293" w:lineRule="atLeast"/>
        <w:jc w:val="center"/>
        <w:rPr>
          <w:rFonts w:ascii="Arial" w:eastAsia="Times New Roman" w:hAnsi="Arial" w:cs="Arial"/>
          <w:b/>
          <w:bCs/>
          <w:color w:val="000000"/>
          <w:lang w:eastAsia="es-CO"/>
        </w:rPr>
      </w:pPr>
      <w:bookmarkStart w:id="1492" w:name="ver_30102898"/>
      <w:bookmarkEnd w:id="1491"/>
      <w:bookmarkEnd w:id="1492"/>
      <w:r w:rsidRPr="009058F0">
        <w:rPr>
          <w:rFonts w:ascii="Arial" w:eastAsia="Times New Roman" w:hAnsi="Arial" w:cs="Arial"/>
          <w:b/>
          <w:bCs/>
          <w:color w:val="000000"/>
          <w:lang w:eastAsia="es-CO"/>
        </w:rPr>
        <w:t>SECCIÓN 2</w:t>
      </w:r>
    </w:p>
    <w:p w14:paraId="628F12C6" w14:textId="5638ADF1" w:rsidR="00404266"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RECURSOS PARA LA COBERTURA</w:t>
      </w:r>
    </w:p>
    <w:p w14:paraId="5775DC9A" w14:textId="77777777" w:rsidR="00BC542B" w:rsidRPr="009058F0" w:rsidRDefault="00BC542B" w:rsidP="009058F0">
      <w:pPr>
        <w:spacing w:after="0" w:line="293" w:lineRule="atLeast"/>
        <w:jc w:val="center"/>
        <w:rPr>
          <w:rFonts w:ascii="Arial" w:eastAsia="Times New Roman" w:hAnsi="Arial" w:cs="Arial"/>
          <w:b/>
          <w:bCs/>
          <w:color w:val="000000"/>
          <w:lang w:eastAsia="es-CO"/>
        </w:rPr>
      </w:pPr>
    </w:p>
    <w:p w14:paraId="2C7B37E8" w14:textId="76E65F9D" w:rsidR="00404266" w:rsidRPr="002C1480" w:rsidRDefault="002C1480" w:rsidP="00C32F85">
      <w:pPr>
        <w:spacing w:after="0" w:line="254" w:lineRule="atLeast"/>
        <w:jc w:val="both"/>
        <w:rPr>
          <w:rFonts w:ascii="Arial" w:eastAsia="Times New Roman" w:hAnsi="Arial" w:cs="Arial"/>
          <w:color w:val="000000"/>
          <w:lang w:eastAsia="es-CO"/>
        </w:rPr>
      </w:pPr>
      <w:bookmarkStart w:id="1493" w:name="ver_30102899"/>
      <w:bookmarkEnd w:id="1493"/>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2.10.1.7.2.1. Recursos para la cobertura. Los recursos requeridos para el otorgamiento y pago de las coberturas previstas en este Capítulo así como los gastos de gestión en que incurra el Banco de la República en la realización de la permuta financiera, serán apropiados en el Presupuesto General de la Nación, y serán comprometidos con cargo al presupuesto del Ministerio de Hacienda y Crédito Público a favor del FRECH NO VIS, dando cumplimiento a las disposiciones legales aplicables en materia presupuestal.  </w:t>
      </w:r>
    </w:p>
    <w:p w14:paraId="0E1C948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7BB3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apropiación de estos recursos deberá guardar concordancia con la disponibilidad fiscal establecida tanto en el Marco de Gasto de Mediano Plazo del sector, así como en el Marco Fiscal de Mediano Plazo.  </w:t>
      </w:r>
    </w:p>
    <w:p w14:paraId="1FFC896A" w14:textId="77FE7AF3" w:rsidR="00404266" w:rsidRPr="002C1480" w:rsidRDefault="00404266" w:rsidP="009058F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494" w:name="ver_30102900"/>
      <w:bookmarkEnd w:id="1494"/>
    </w:p>
    <w:p w14:paraId="363062DA" w14:textId="3112B2C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2.10.1.7.2.2. Giro de los recursos. Los recursos asignados para financiar la cobertura de que trata el presente Capítulo, serán girados a la subcuenta denominada FRECH NO VIS de conformidad con los compromisos que se deriven del otorgamiento, ejecución y vencimiento de dichas coberturas.  </w:t>
      </w:r>
    </w:p>
    <w:p w14:paraId="794D19A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DD77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Viceministerio Técnico del Ministerio de Hacienda y Crédito Público definirá el procedimiento, oportunidad y plazo requeridos para el giro al FRECH NO VIS, de los recursos líquidos necesarios para el cubrimiento y pago de las coberturas de que trata el presente Capítulo.  </w:t>
      </w:r>
    </w:p>
    <w:p w14:paraId="5434C7F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E80FE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girará al Banco de la República, como administrador del FRECH, los recursos líquidos necesarios para el cubrimiento y pago de estas coberturas, previa solicitud que en tal sentido le presente el Banco de la República a dicho Ministerio de conformidad con las obligaciones generadas mes a mes derivadas de la permuta financiera.  </w:t>
      </w:r>
    </w:p>
    <w:p w14:paraId="6CB785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801B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El Banco de la República, como administrador del FRECH, no será responsable por el cubrimiento y pago de las coberturas de que trata este Capítulo cuando el Ministerio de Hacienda y Crédito Público no haya realizado las apropiaciones presupuestales necesarias para el pago de estas coberturas y cuando el Ministerio no haya hecho la entrega y giro de los recursos correspondientes al FRECH NO VIS.  </w:t>
      </w:r>
    </w:p>
    <w:p w14:paraId="68AB03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BB637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trámites de apropiación, ejecución, registro y desembolso presupuestales estarán a cargo del Ministerio de Hacienda y Crédito Público.  </w:t>
      </w:r>
    </w:p>
    <w:p w14:paraId="46E4BF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A4AB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gastos en que incurra el Banco de la República en la realización de la permuta financiera se harán con cargo a los recursos del FRECH NO VIS.  </w:t>
      </w:r>
    </w:p>
    <w:p w14:paraId="7ADD0B8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95" w:name="ver_30102901"/>
      <w:bookmarkEnd w:id="1495"/>
    </w:p>
    <w:p w14:paraId="0D1121B4" w14:textId="1D67366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2.10.1.7.2.3. Restitución de los recursos de la cobertura. Las sumas prove</w:t>
      </w:r>
      <w:r w:rsidR="00404266" w:rsidRPr="002C1480">
        <w:rPr>
          <w:rFonts w:ascii="Arial" w:eastAsia="Times New Roman" w:hAnsi="Arial" w:cs="Arial"/>
          <w:color w:val="000000"/>
          <w:lang w:eastAsia="es-CO"/>
        </w:rPr>
        <w:softHyphen/>
        <w:t>nientes de las restituciones de recursos que deban realizar los establecimientos de crédito al FRECH NO VIS respecto de créditos cuyos deudores o locatarios no tengan derecho a la cobertura o que se haya entregado en exceso, o por haber perdido la posibilidad de realizar el intercambio de flujos de la cobertura, o cualquier otra suma que deba restituirse, serán reintegradas a la Dirección General de Crédito Público y Tesoro Nacional del Ministerio de Hacienda y Crédito Público. El Viceministerio Técnico del Ministerio de Hacienda y Crédito Público impartirá las instrucciones para el reintegro de estos recursos.  </w:t>
      </w:r>
    </w:p>
    <w:p w14:paraId="1C29EFF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96" w:name="ver_30102902"/>
      <w:bookmarkEnd w:id="1496"/>
    </w:p>
    <w:p w14:paraId="0FE77754" w14:textId="31F35A7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2.10.1.7.2.4. Límite de Coberturas. El Ministerio de Hacienda y Crédito Público definirá el número de coberturas disponibles para los créditos y contratos de leasing en cada uno de los segmentos de vivienda señalados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2.10.1.7.1.2 de este Capítulo, conforme a la disponibilidad presupuestal que exista para el efecto.  </w:t>
      </w:r>
    </w:p>
    <w:p w14:paraId="3DD9858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E3F5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de acuerdo con las condiciones del mercado en general y de las particula</w:t>
      </w:r>
      <w:r w:rsidRPr="002C1480">
        <w:rPr>
          <w:rFonts w:ascii="Arial" w:eastAsia="Times New Roman" w:hAnsi="Arial" w:cs="Arial"/>
          <w:color w:val="000000"/>
          <w:lang w:eastAsia="es-CO"/>
        </w:rPr>
        <w:softHyphen/>
        <w:t>res en las que los establecimientos de crédito otorguen los créditos o contratos objeto de la cobertura, el Ministerio de Hacienda y Crédito Público podrá optar por ampliar, restringir, modificar o suspender el número de coberturas elegibles.  </w:t>
      </w:r>
    </w:p>
    <w:p w14:paraId="786CB1C1" w14:textId="77777777" w:rsidR="009058F0" w:rsidRDefault="009058F0" w:rsidP="00C32F85">
      <w:pPr>
        <w:spacing w:after="0" w:line="293" w:lineRule="atLeast"/>
        <w:jc w:val="both"/>
        <w:rPr>
          <w:rFonts w:ascii="Arial" w:eastAsia="Times New Roman" w:hAnsi="Arial" w:cs="Arial"/>
          <w:color w:val="000000"/>
          <w:lang w:eastAsia="es-CO"/>
        </w:rPr>
      </w:pPr>
      <w:bookmarkStart w:id="1497" w:name="ver_30102903"/>
      <w:bookmarkEnd w:id="1497"/>
    </w:p>
    <w:p w14:paraId="4091F7A6" w14:textId="5F9CE8EB" w:rsidR="00404266" w:rsidRPr="009058F0"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SECCIÓN 3</w:t>
      </w:r>
    </w:p>
    <w:p w14:paraId="3AD67080" w14:textId="77777777" w:rsidR="00404266" w:rsidRPr="009058F0" w:rsidRDefault="00404266" w:rsidP="009058F0">
      <w:pPr>
        <w:spacing w:after="0" w:line="293" w:lineRule="atLeast"/>
        <w:jc w:val="center"/>
        <w:rPr>
          <w:rFonts w:ascii="Arial" w:eastAsia="Times New Roman" w:hAnsi="Arial" w:cs="Arial"/>
          <w:b/>
          <w:bCs/>
          <w:color w:val="000000"/>
          <w:lang w:eastAsia="es-CO"/>
        </w:rPr>
      </w:pPr>
      <w:r w:rsidRPr="009058F0">
        <w:rPr>
          <w:rFonts w:ascii="Arial" w:eastAsia="Times New Roman" w:hAnsi="Arial" w:cs="Arial"/>
          <w:b/>
          <w:bCs/>
          <w:color w:val="000000"/>
          <w:lang w:eastAsia="es-CO"/>
        </w:rPr>
        <w:t>CONTRATOS MARCO, OBLIGACIONES Y RESPONSABILIDADES</w:t>
      </w:r>
    </w:p>
    <w:p w14:paraId="474032B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98" w:name="ver_30102904"/>
      <w:bookmarkEnd w:id="1498"/>
    </w:p>
    <w:p w14:paraId="04E600C1" w14:textId="689918A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2.10.1.7.3.1. Contratos marco de permuta financiera de tasas de interés. Los establecimientos de crédito interesados en acceder a la cobertura que ofrece el Gobierno nacional a través del FRECH NO VIS deberán celebrar con el Banco de la República, como administrador del FRECH, un contrato marco de permuta financiera de tasas de interés para realizar el intercambio de flujos derivado de la cobertura prevista en este Capítulo.  </w:t>
      </w:r>
    </w:p>
    <w:p w14:paraId="06B7AC0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4F600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Dichos contratos marco deberán tener en cuenta de conformidad con lo dispuesto en este Capítulo y demás normas que lo reglamenten, modifiquen, adicionen, complementen o sustituyan, entre otras, las siguientes obligaciones:  </w:t>
      </w:r>
    </w:p>
    <w:p w14:paraId="3324FF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62533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Para los establecimientos de crédito.  </w:t>
      </w:r>
    </w:p>
    <w:p w14:paraId="301F013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7EFA4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Informar al FRECH NO VIS, para su registro, los créditos y contratos de leasing habi</w:t>
      </w:r>
      <w:r w:rsidRPr="002C1480">
        <w:rPr>
          <w:rFonts w:ascii="Arial" w:eastAsia="Times New Roman" w:hAnsi="Arial" w:cs="Arial"/>
          <w:color w:val="000000"/>
          <w:lang w:eastAsia="es-CO"/>
        </w:rPr>
        <w:softHyphen/>
        <w:t>tacional elegibles con derecho a la cobertura, de acuerdo con lo dispuesto en este Capítulo;  </w:t>
      </w:r>
    </w:p>
    <w:p w14:paraId="1253E7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E9FF0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b) Presentar al FRECH NO VIS, la cuenta de cobro correspondiente a los créditos des</w:t>
      </w:r>
      <w:r w:rsidRPr="002C1480">
        <w:rPr>
          <w:rFonts w:ascii="Arial" w:eastAsia="Times New Roman" w:hAnsi="Arial" w:cs="Arial"/>
          <w:color w:val="000000"/>
          <w:lang w:eastAsia="es-CO"/>
        </w:rPr>
        <w:softHyphen/>
        <w:t>embolsados o a los contratos de leasing habitacional con derecho a la cobertura, registrados en el FRECH NO VIS, por el valor neto del intercambio de flujos derivado de la permuta financiera, de acuerdo con lo dispuesto en este Capítulo;  </w:t>
      </w:r>
    </w:p>
    <w:p w14:paraId="26E98C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CC80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Certificar al Banco de la República, como administrador del FRECH:  </w:t>
      </w:r>
    </w:p>
    <w:p w14:paraId="0863CB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8DE3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Que los créditos o contratos de leasing habitacional objeto de la cobertura cumplen los requisitos y condiciones establecidos para el acceso y vigencia de la cobertura de tasa de interés, señalados en este Capítulo.  </w:t>
      </w:r>
    </w:p>
    <w:p w14:paraId="196A98A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7022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La veracidad de toda la información enviada al FRECH NO VIS, en concordancia con los requisitos y condiciones para el acceso, vigencia, terminación anticipada de la cobertura de tasa de interés y aquella relacionada con el intercambio de flujos, establecidos en este Capítulo y en la normativa aplicable.  </w:t>
      </w:r>
    </w:p>
    <w:p w14:paraId="4DE879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952C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Los créditos o contratos de leasing habitacional registrados en el FRECH NO VIS que no tengan el derecho a la cobertura y las terminaciones anticipadas de la misma, de acuerdo con lo dispuesto en este Capítulo;  </w:t>
      </w:r>
    </w:p>
    <w:p w14:paraId="77E475F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8E2EC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Suministrar la información que requiera el Banco de la República para la realización de la permuta financiera en la oportunidad que se establezca para el efecto;  </w:t>
      </w:r>
    </w:p>
    <w:p w14:paraId="73A4EB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E39123" w14:textId="2CA2F91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Reintegrar a la Dirección General de Crédito Público y Tesoro Nacional del Minis</w:t>
      </w:r>
      <w:r w:rsidRPr="002C1480">
        <w:rPr>
          <w:rFonts w:ascii="Arial" w:eastAsia="Times New Roman" w:hAnsi="Arial" w:cs="Arial"/>
          <w:color w:val="000000"/>
          <w:lang w:eastAsia="es-CO"/>
        </w:rPr>
        <w:softHyphen/>
        <w:t xml:space="preserve">terio de Hacienda y Crédito Público los recursos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2.10.1.7.2.3. del presente Capítulo.  </w:t>
      </w:r>
    </w:p>
    <w:p w14:paraId="584FD4AD" w14:textId="7146A86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Para el Banco de la República.  </w:t>
      </w:r>
    </w:p>
    <w:p w14:paraId="099ED3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2004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Validar operativamente que el contenido de la información remitida por los estable</w:t>
      </w:r>
      <w:r w:rsidRPr="002C1480">
        <w:rPr>
          <w:rFonts w:ascii="Arial" w:eastAsia="Times New Roman" w:hAnsi="Arial" w:cs="Arial"/>
          <w:color w:val="000000"/>
          <w:lang w:eastAsia="es-CO"/>
        </w:rPr>
        <w:softHyphen/>
        <w:t>cimientos de crédito al FRECH NO VIS, para efectos del registro de los créditos desem</w:t>
      </w:r>
      <w:r w:rsidRPr="002C1480">
        <w:rPr>
          <w:rFonts w:ascii="Arial" w:eastAsia="Times New Roman" w:hAnsi="Arial" w:cs="Arial"/>
          <w:color w:val="000000"/>
          <w:lang w:eastAsia="es-CO"/>
        </w:rPr>
        <w:softHyphen/>
        <w:t>bolsados o contratos de leasing habitacional con derecho a la cobertura y para el pago de la misma, sea consistente con el presente Capítulo y su reglamentación;  </w:t>
      </w:r>
    </w:p>
    <w:p w14:paraId="405D9C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4508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Registrar en el FRECH NO VIS, atendiendo la fecha de recibo en el Banco de la Re</w:t>
      </w:r>
      <w:r w:rsidRPr="002C1480">
        <w:rPr>
          <w:rFonts w:ascii="Arial" w:eastAsia="Times New Roman" w:hAnsi="Arial" w:cs="Arial"/>
          <w:color w:val="000000"/>
          <w:lang w:eastAsia="es-CO"/>
        </w:rPr>
        <w:softHyphen/>
        <w:t>pública en orden de llegada, los créditos desembolsados o contratos de leasing habitacional con derecho a la cobertura, teniendo en cuenta el número de coberturas disponibles para los créditos y contratos de leasing establecidos por el Ministerio de Hacienda y Crédito Público y el número de créditos y contratos de leasing habitacional con cobertura registrados en el FRECH NO VIS, de acuerdo con lo informado por los establecimientos de crédito;  </w:t>
      </w:r>
    </w:p>
    <w:p w14:paraId="0D662F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2D2B1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Pagar el valor neto del intercambio de flujos derivado de la permuta financiera, de acuerdo con las instrucciones que para el efecto imparta el Ministerio de Hacienda y Cré</w:t>
      </w:r>
      <w:r w:rsidRPr="002C1480">
        <w:rPr>
          <w:rFonts w:ascii="Arial" w:eastAsia="Times New Roman" w:hAnsi="Arial" w:cs="Arial"/>
          <w:color w:val="000000"/>
          <w:lang w:eastAsia="es-CO"/>
        </w:rPr>
        <w:softHyphen/>
        <w:t>dito Público. En ningún caso, el Banco de la República pagará con sus propios recursos las coberturas de tasa de interés;  </w:t>
      </w:r>
    </w:p>
    <w:p w14:paraId="73DAE5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9D78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Excluir de la cobertura los créditos o contratos de leasing habitacional registrados en el FRECH NO VIS, que no tengan derecho a esta y registrar las terminaciones anticipa</w:t>
      </w:r>
      <w:r w:rsidRPr="002C1480">
        <w:rPr>
          <w:rFonts w:ascii="Arial" w:eastAsia="Times New Roman" w:hAnsi="Arial" w:cs="Arial"/>
          <w:color w:val="000000"/>
          <w:lang w:eastAsia="es-CO"/>
        </w:rPr>
        <w:softHyphen/>
        <w:t>das de la misma, así como los créditos o contratos de leasing habitacional respecto de los cuales no sea posible realizar el intercambio de flujos, de conformidad con la información presentada por los establecimientos de crédito;  </w:t>
      </w:r>
    </w:p>
    <w:p w14:paraId="4734DD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2873C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 Informar mensualmente a los establecimientos de crédito el número de créditos des</w:t>
      </w:r>
      <w:r w:rsidRPr="002C1480">
        <w:rPr>
          <w:rFonts w:ascii="Arial" w:eastAsia="Times New Roman" w:hAnsi="Arial" w:cs="Arial"/>
          <w:color w:val="000000"/>
          <w:lang w:eastAsia="es-CO"/>
        </w:rPr>
        <w:softHyphen/>
        <w:t>embolsados y los contratos de leasing habitacional con derecho a la cobertura registrados en el FRECH NO VIS;  </w:t>
      </w:r>
    </w:p>
    <w:p w14:paraId="74EDD1B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407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Suministrar al Viceministerio Técnico del Ministerio de Hacienda y Crédito Público, la información de los créditos desembolsados y los contratos de leasing habitacional con derecho a la cobertura registrados en el FRECH NO VIS, con el fin de realizar las estima</w:t>
      </w:r>
      <w:r w:rsidRPr="002C1480">
        <w:rPr>
          <w:rFonts w:ascii="Arial" w:eastAsia="Times New Roman" w:hAnsi="Arial" w:cs="Arial"/>
          <w:color w:val="000000"/>
          <w:lang w:eastAsia="es-CO"/>
        </w:rPr>
        <w:softHyphen/>
        <w:t>ciones de la utilización de las coberturas.  </w:t>
      </w:r>
    </w:p>
    <w:p w14:paraId="63F414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B336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los contratos marco se estipulará que los establecimientos de crédito perderán la posibilidad de realizar el intercambio de flujos de la cobertura en los eventos que defina el Ministerio de Hacienda y Crédito Público, cuando haya lugar a ello, de acuerdo con la naturaleza y propósito de dicho mecanismo.  </w:t>
      </w:r>
    </w:p>
    <w:p w14:paraId="673EDAA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568F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todo caso el registro y pago de la cobertura estará condicionada a la suscripción de los contratos marco aquí establecidos, entre los establecimientos de crédito y el Banco de la República.  </w:t>
      </w:r>
    </w:p>
    <w:p w14:paraId="5055342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499" w:name="ver_30102905"/>
      <w:bookmarkEnd w:id="1499"/>
    </w:p>
    <w:p w14:paraId="6FBEAE48" w14:textId="22CA5CF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2.10.1.7.3.2. Responsabilidad de los establecimientos de crédito. Los esta</w:t>
      </w:r>
      <w:r w:rsidR="00404266" w:rsidRPr="002C1480">
        <w:rPr>
          <w:rFonts w:ascii="Arial" w:eastAsia="Times New Roman" w:hAnsi="Arial" w:cs="Arial"/>
          <w:color w:val="000000"/>
          <w:lang w:eastAsia="es-CO"/>
        </w:rPr>
        <w:softHyphen/>
        <w:t>blecimientos de crédito serán los únicos responsables de verificar el cumplimiento de los requisitos y condiciones establecidos para el acceso, vigencia, y terminación anticipada de la cobertura de tasa de interés a los créditos o contratos de leasing habitacional de que trata el presente Capítulo; así como de la veracidad de la información presentada al FRECH NO VIS y del cumplimiento de las obligaciones contenidas en el contrato marco que suscriba con el Banco de la República.  </w:t>
      </w:r>
    </w:p>
    <w:p w14:paraId="0130F28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D3D32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desarrollo de lo previsto en el presente Capítulo, los establecimientos de crédito deberán:  </w:t>
      </w:r>
    </w:p>
    <w:p w14:paraId="5258FB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A507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Informar a los potenciales deudores de créditos de vivienda y locatarios de contra</w:t>
      </w:r>
      <w:r w:rsidRPr="002C1480">
        <w:rPr>
          <w:rFonts w:ascii="Arial" w:eastAsia="Times New Roman" w:hAnsi="Arial" w:cs="Arial"/>
          <w:color w:val="000000"/>
          <w:lang w:eastAsia="es-CO"/>
        </w:rPr>
        <w:softHyphen/>
        <w:t>tos de leasing habitacional acerca de las condiciones de acceso, vigencia, y terminación anticipada de la cobertura, en las condiciones establecidas en el presente capítulo y demás normas que lo reglamenten, complementen, adicionen, modifiquen o sustituyan, así como las instrucciones que establezca la Superintendencia Financiera de Colombia.  </w:t>
      </w:r>
    </w:p>
    <w:p w14:paraId="680F67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F5787F" w14:textId="3730DB8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No podrán desembolsar créditos o suscribir contratos de leasing con derecho a la cobertura, sin haber recibido de parte de los potenciales deudores de los créditos y locata</w:t>
      </w:r>
      <w:r w:rsidRPr="002C1480">
        <w:rPr>
          <w:rFonts w:ascii="Arial" w:eastAsia="Times New Roman" w:hAnsi="Arial" w:cs="Arial"/>
          <w:color w:val="000000"/>
          <w:lang w:eastAsia="es-CO"/>
        </w:rPr>
        <w:softHyphen/>
        <w:t xml:space="preserve">rios de leasing habitacional, la manifestación escrita prevista en 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2.10.1.7.1.3 de este Capítulo.  </w:t>
      </w:r>
    </w:p>
    <w:p w14:paraId="311C69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07D9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Informar al deudor o locatario: a) que su cobertura se encuentra sujeta a que en el momento del desembolso o al inicio del contrato de leasing no se hayan agotado las coberturas disponibles y, b) en el extracto de la obligación, el cálculo y aplicación de la cobertura, y remitir dentro de la proyección anual de los créditos individuales de vivienda lo que corresponda a la discriminación de los valores del beneficio.  </w:t>
      </w:r>
    </w:p>
    <w:p w14:paraId="0A40E43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8000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Verificar y controlar lo relativo a las condiciones y requisitos para el acceso, vigencia, y terminación anticipada de la cobertura establecida en este Capítulo.  </w:t>
      </w:r>
    </w:p>
    <w:p w14:paraId="27AE649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56FA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Determinar al momento del inicio del contrato de leasing o del desembolso del crédito si tienen derecho a la cobertura y en este evento, informarlo al Banco de la República para efectos de su </w:t>
      </w:r>
      <w:r w:rsidRPr="002C1480">
        <w:rPr>
          <w:rFonts w:ascii="Arial" w:eastAsia="Times New Roman" w:hAnsi="Arial" w:cs="Arial"/>
          <w:color w:val="000000"/>
          <w:lang w:eastAsia="es-CO"/>
        </w:rPr>
        <w:lastRenderedPageBreak/>
        <w:t>registro y pago de la cobertura y comunicar lo pertinente a los deudores de los créditos o a los locatarios del contrato de leasing habitacional según sea el caso.  </w:t>
      </w:r>
    </w:p>
    <w:p w14:paraId="6BC5CF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B823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Implementar un mecanismo que les permita verificar al momento de efectuar el desembolso del crédito o del inicio del contrato de leasing habitacional:  </w:t>
      </w:r>
    </w:p>
    <w:p w14:paraId="193F3F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7052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6.1 La disponibilidad de coberturas para cada uno de los segmentos de vivienda estable</w:t>
      </w:r>
      <w:r w:rsidRPr="002C1480">
        <w:rPr>
          <w:rFonts w:ascii="Arial" w:eastAsia="Times New Roman" w:hAnsi="Arial" w:cs="Arial"/>
          <w:color w:val="000000"/>
          <w:lang w:eastAsia="es-CO"/>
        </w:rPr>
        <w:softHyphen/>
        <w:t>cidos y, en esa medida, no podrán desembolsar créditos o dar inicio al contrato de leasing habitacional con derecho a la cobertura, en exceso del número de coberturas que establezca el Ministerio de Hacienda y Crédito Público, so pena de asumir el pago de la misma con sus propios recursos.  </w:t>
      </w:r>
    </w:p>
    <w:p w14:paraId="3215CFD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D2910C" w14:textId="481C0D8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6.2 Que la cobertura se otorgue únicamente a un crédito o contrato de leasing habitacio</w:t>
      </w:r>
      <w:r w:rsidRPr="002C1480">
        <w:rPr>
          <w:rFonts w:ascii="Arial" w:eastAsia="Times New Roman" w:hAnsi="Arial" w:cs="Arial"/>
          <w:color w:val="000000"/>
          <w:lang w:eastAsia="es-CO"/>
        </w:rPr>
        <w:softHyphen/>
        <w:t xml:space="preserve">nal y que aquella se aplique a los deudores del crédito o locatarios del contrato de leasing habitacional, a cualquier título. Así mismo, deberán verificar que los potenciales deudores o locatarios no hayan sido beneficiarios, a cualquier título, de las coberturas a la tasa de interés establecidas en el presente capítulo o en los Capítulos 4 y 5 de este título o de aquellas otorgadas en desarrollo de lo dispuesto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1077 de 2015 y las normas que lo reglamenten, modifiquen, adicionen, complementen o sustituyan.  </w:t>
      </w:r>
    </w:p>
    <w:p w14:paraId="6E1320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C33566" w14:textId="342E9F7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recursos otorgados como cobertura no podrán destinarse a propósitos diferentes a los indicados en el presente Capítulo y las normas que lo reglamenten, com</w:t>
      </w:r>
      <w:r w:rsidRPr="002C1480">
        <w:rPr>
          <w:rFonts w:ascii="Arial" w:eastAsia="Times New Roman" w:hAnsi="Arial" w:cs="Arial"/>
          <w:color w:val="000000"/>
          <w:lang w:eastAsia="es-CO"/>
        </w:rPr>
        <w:softHyphen/>
        <w:t xml:space="preserve">plementen, modifiquen, adicionen o sustituyan, so pena de incurrir en la conducta descrita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311 del Código Penal”.  </w:t>
      </w:r>
    </w:p>
    <w:p w14:paraId="3EBAE23E" w14:textId="77777777" w:rsidR="007F2954" w:rsidRDefault="007F2954" w:rsidP="00C32F85">
      <w:pPr>
        <w:spacing w:after="0" w:line="293" w:lineRule="atLeast"/>
        <w:jc w:val="both"/>
        <w:rPr>
          <w:rFonts w:ascii="Arial" w:eastAsia="Times New Roman" w:hAnsi="Arial" w:cs="Arial"/>
          <w:color w:val="000000"/>
          <w:lang w:eastAsia="es-CO"/>
        </w:rPr>
      </w:pPr>
      <w:bookmarkStart w:id="1500" w:name="ver_30057777"/>
      <w:bookmarkEnd w:id="1500"/>
    </w:p>
    <w:p w14:paraId="63F9DE8C" w14:textId="17E4C734"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PARTE 11</w:t>
      </w:r>
    </w:p>
    <w:p w14:paraId="03DB9AEC" w14:textId="21A06B92" w:rsidR="00404266"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SECTOR SOLIDARIO</w:t>
      </w:r>
    </w:p>
    <w:p w14:paraId="224B7E9B" w14:textId="77777777" w:rsidR="00BC542B" w:rsidRPr="007F2954" w:rsidRDefault="00BC542B" w:rsidP="007F2954">
      <w:pPr>
        <w:spacing w:after="0" w:line="293" w:lineRule="atLeast"/>
        <w:jc w:val="center"/>
        <w:rPr>
          <w:rFonts w:ascii="Arial" w:eastAsia="Times New Roman" w:hAnsi="Arial" w:cs="Arial"/>
          <w:b/>
          <w:bCs/>
          <w:color w:val="000000"/>
          <w:lang w:eastAsia="es-CO"/>
        </w:rPr>
      </w:pPr>
    </w:p>
    <w:p w14:paraId="1AD2FF17" w14:textId="77777777"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TÍTULO 1</w:t>
      </w:r>
    </w:p>
    <w:p w14:paraId="2B90E767" w14:textId="77777777" w:rsidR="00404266" w:rsidRPr="00BC542B" w:rsidRDefault="00404266" w:rsidP="00BC542B">
      <w:pPr>
        <w:spacing w:after="0" w:line="293" w:lineRule="atLeast"/>
        <w:jc w:val="center"/>
        <w:rPr>
          <w:rFonts w:ascii="Arial" w:eastAsia="Times New Roman" w:hAnsi="Arial" w:cs="Arial"/>
          <w:b/>
          <w:bCs/>
          <w:color w:val="000000"/>
          <w:lang w:eastAsia="es-CO"/>
        </w:rPr>
      </w:pPr>
      <w:r w:rsidRPr="00BC542B">
        <w:rPr>
          <w:rFonts w:ascii="Arial" w:eastAsia="Times New Roman" w:hAnsi="Arial" w:cs="Arial"/>
          <w:b/>
          <w:bCs/>
          <w:color w:val="000000"/>
          <w:lang w:eastAsia="es-CO"/>
        </w:rPr>
        <w:t>NIVELES DE SUPERVISIÓN A QUE ESTÁN SOMETIDOS LAS ENTIDADES BAJO INSPECCIÓN, CONTROL Y VIGILANCIA DE LA SUPERINTENDENCIA DE LA ECONOMÍA SOLIDARIA</w:t>
      </w:r>
    </w:p>
    <w:p w14:paraId="710A3048" w14:textId="77777777" w:rsidR="00404266" w:rsidRPr="002C1480" w:rsidRDefault="00404266" w:rsidP="007F2954">
      <w:pPr>
        <w:spacing w:after="0" w:line="240" w:lineRule="auto"/>
        <w:jc w:val="both"/>
        <w:rPr>
          <w:rFonts w:ascii="Arial" w:eastAsia="Times New Roman" w:hAnsi="Arial" w:cs="Arial"/>
          <w:color w:val="000000"/>
          <w:lang w:eastAsia="es-CO"/>
        </w:rPr>
      </w:pPr>
      <w:bookmarkStart w:id="1501" w:name="ver_30057778"/>
      <w:bookmarkEnd w:id="1501"/>
    </w:p>
    <w:p w14:paraId="2EEB4081" w14:textId="66975106" w:rsidR="00404266" w:rsidRPr="002C1480" w:rsidRDefault="002C1480"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 Clasificación de las entidades vigiladas en niveles de supervisión. Las entidades sujetas a la inspección, control y vigilancia de la Superintendencia de la Economía Solidaria, se clasificarán en tres niveles de supervisión, de acuerdo con su nivel de activos y el desarrollo o no de actividad financiera. </w:t>
      </w:r>
    </w:p>
    <w:p w14:paraId="12166291" w14:textId="77777777"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D016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parámetros de supervisión que se señalan en el presente título, para los diferentes niveles de supervisión, deberán ser cumplidos de manera permanente por parte de las entidades vigiladas. </w:t>
      </w:r>
    </w:p>
    <w:p w14:paraId="25579491" w14:textId="2E9FA6FF"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02" w:name="ver_30057779"/>
      <w:bookmarkEnd w:id="1502"/>
    </w:p>
    <w:p w14:paraId="2BEB38E6" w14:textId="46D362B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2.11.1.2. Primer nivel de supervisión. El primer nivel se considera como el más alto y exigente de supervisión. En este caso la supervisión, vigilancia y control, aplicará para todas las cooperativas que ejerzan la actividad financiera, en los términos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39 de la ley 454 de 1998. </w:t>
      </w:r>
    </w:p>
    <w:p w14:paraId="79F2883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5FF2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esta labor se aplicarán especialmente los parámetros que a continuación se establecen: </w:t>
      </w:r>
    </w:p>
    <w:p w14:paraId="43ECE0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7488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Control estricto de participantes en el mercado teniendo en cuenta la estructura de la propiedad, el vínculo de asociación y los estados financieros. </w:t>
      </w:r>
    </w:p>
    <w:p w14:paraId="1EA9F6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657C3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Revisión de cualquier cambio en la estructura de la propiedad y cambios en la administración. </w:t>
      </w:r>
    </w:p>
    <w:p w14:paraId="455BD5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2AAD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Revisión de la evaluación y calificación de los riesgos inherentes a la actividad financiera. </w:t>
      </w:r>
    </w:p>
    <w:p w14:paraId="5350EC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9BB0D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Revisión periódica del cumplimiento de las normas contables, principalmente lo relacionado con las provisiones sobre los activos conforme a la calidad de los mismos. </w:t>
      </w:r>
    </w:p>
    <w:p w14:paraId="09DB86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D666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los costos de agencia a través de la evaluación del endeudamiento de los administradores y vinculados con la entidad vigilada. </w:t>
      </w:r>
    </w:p>
    <w:p w14:paraId="4D32F7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4638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permanente del cumplimiento del monto mínimo de aportes sociales. </w:t>
      </w:r>
    </w:p>
    <w:p w14:paraId="1BF5B6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7098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constante de las causales de disolución y de las prácticas y procedimientos relativos a la operación de la cooperativa. </w:t>
      </w:r>
    </w:p>
    <w:p w14:paraId="469A1B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1A8D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Visitas de inspección a las entidades vigiladas cuando se estime necesario. </w:t>
      </w:r>
    </w:p>
    <w:p w14:paraId="12B123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A73F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del cumplimiento de las normas legales, contables, así como de lo consagrado en los estatutos, especialmente en el cumplimiento del objeto social, principios, valores, fines y características propias de la entidad vigilada. </w:t>
      </w:r>
    </w:p>
    <w:p w14:paraId="1B4342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486F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sobre la distribución de excedentes y la destinación de los ingresos obtenidos en operaciones con terceros. </w:t>
      </w:r>
    </w:p>
    <w:p w14:paraId="3BF1A3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24F8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conflictos de intereses de los miembros de los órganos de administración y vigilancia. </w:t>
      </w:r>
    </w:p>
    <w:p w14:paraId="655ABC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F6758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las reformas estatutarias, así como de los reglamentos y demás decisiones que tomen los órganos de administración y vigilancia. </w:t>
      </w:r>
    </w:p>
    <w:p w14:paraId="5E0734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8358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del sistema del control social interno, buscando que sea adecuado a la escala y naturaleza de la entidad vigilada. </w:t>
      </w:r>
    </w:p>
    <w:p w14:paraId="2ADD6CE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A802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Cumplimiento de las normas de regulación prudencial vigentes. </w:t>
      </w:r>
    </w:p>
    <w:p w14:paraId="4772235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C33B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Revelación adecuada y fidedigna de la situación financiera por parte de las cooperativas a sus asociados y al público en general. </w:t>
      </w:r>
    </w:p>
    <w:p w14:paraId="5CCA43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8477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Verificación del cumplimiento de las directrices, instrucciones y órdenes impartidas por la Superintendencia. </w:t>
      </w:r>
    </w:p>
    <w:p w14:paraId="2442F82D" w14:textId="7CCB8A94"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03" w:name="ver_30057780"/>
      <w:bookmarkEnd w:id="1503"/>
    </w:p>
    <w:p w14:paraId="3837AD0A" w14:textId="3135FCC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2.11.1.3. Reportes de las entidades del primer nivel de supervisión. La periodicidad de los reportes que deben enviar, a la Superintendencia de la Economía Solidaria, las cooperativas del primer nivel de supervisión será trimestral, sin perjuicio de que la Superintendencia de la Economía Solidaria establezca períodos inferiores, para el reporte de determinados indicadores. La información será enviada en los formatos que para el efecto determine la Entidad de inspección, vigilancia y control. </w:t>
      </w:r>
    </w:p>
    <w:p w14:paraId="4AF638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E3F327" w14:textId="5F64626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Los reportes a que hace referencia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serán los que se relacionan a continuación: </w:t>
      </w:r>
    </w:p>
    <w:p w14:paraId="5DF404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4B20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Balance y Estado de Resultados de acuerdo con el Plan Único de Cuentas del sector solidario. </w:t>
      </w:r>
    </w:p>
    <w:p w14:paraId="5E2657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F2B67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Información detallada de las principales cuentas del activo, pasivo y patrimonio de acuerdo con los formatos que para el efecto determine la Superintendencia de la Economía Solidaria. </w:t>
      </w:r>
    </w:p>
    <w:p w14:paraId="1D4E12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2B5F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Información relativa al cumplimiento de normas sobre margen de solvencia, clasificación y calificación de cartera de crédito y de inversión. </w:t>
      </w:r>
    </w:p>
    <w:p w14:paraId="35F20FE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5858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 la gestión de activos y pasivos, de acuerdo a la metodología que con este fin se adopte. </w:t>
      </w:r>
    </w:p>
    <w:p w14:paraId="3236A3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2633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Cualquier otro informe que la Superintendencia considere necesario solicitar. </w:t>
      </w:r>
    </w:p>
    <w:p w14:paraId="4FE0BA8B" w14:textId="77A487FE"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04" w:name="ver_30057781"/>
      <w:bookmarkEnd w:id="1504"/>
    </w:p>
    <w:p w14:paraId="7B615649" w14:textId="77D47E7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2.11.1.4. Segundo nivel de supervisión: El segundo nivel de supervisión, se aplicará a aquellas entidades de la economía solidaria que no adelanten actividad de ahorro y crédito con sus asociados y posean más de mil quinientos millones de pesos ($1.500.000.000,00) de activos. </w:t>
      </w:r>
    </w:p>
    <w:p w14:paraId="60382F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70C0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esta labor se aplicarán especialmente los parámetros que a continuación se establecen: </w:t>
      </w:r>
    </w:p>
    <w:p w14:paraId="0E9358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B957E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 las prácticas y procedimientos relativos a la operación de la entidad, así como de la gestión de sus administradores. </w:t>
      </w:r>
    </w:p>
    <w:p w14:paraId="726E90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A6F5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Revisión del cumplimiento de las normas contables, principalmente de la adecuada aplicación de las provisiones de acuerdo con la calidad de los activos. </w:t>
      </w:r>
    </w:p>
    <w:p w14:paraId="1E1C2BE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CD6D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Revelación adecuada y fidedigna de la situación financiera de la entidad a sus asociados y al público en general. </w:t>
      </w:r>
    </w:p>
    <w:p w14:paraId="18E6EC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1664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del cumplimiento del monto mínimo de aportes sociales. </w:t>
      </w:r>
    </w:p>
    <w:p w14:paraId="6C2A17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D7A0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 las causales de disolución y de las prácticas y procedimientos relativos a la operación de la cooperativa. </w:t>
      </w:r>
    </w:p>
    <w:p w14:paraId="5C2F3B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0A1D5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Visitas de inspección a las entidades vigiladas cuando se estime necesario. </w:t>
      </w:r>
    </w:p>
    <w:p w14:paraId="2FB9B47F" w14:textId="582ACEC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 Evaluación del cumplimiento de las normas legales, contables, así como de lo consagrado en los estatutos, especialmente en el cumplimiento del objeto social, principios, valores, fines y características propias de la entidad vigilada. </w:t>
      </w:r>
    </w:p>
    <w:p w14:paraId="024E44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B15B9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sobre la distribución de excedentes y de la destinación de los ingresos obtenidos en operaciones con terceros. </w:t>
      </w:r>
    </w:p>
    <w:p w14:paraId="221271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A8FD3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conflictos de intereses de los miembros de los órganos de administración y vigilancia. </w:t>
      </w:r>
    </w:p>
    <w:p w14:paraId="460808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2F23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las reformas estatutarias, así como de los reglamentos y demás decisiones que tomen los órganos de administración y vigilancia. </w:t>
      </w:r>
    </w:p>
    <w:p w14:paraId="546D297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DB88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Verificación del cumplimiento de las directrices, instrucciones y órdenes impartidas por la superintendencia. </w:t>
      </w:r>
    </w:p>
    <w:p w14:paraId="6E36DB6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05" w:name="ver_30057782"/>
      <w:bookmarkEnd w:id="1505"/>
    </w:p>
    <w:p w14:paraId="498C311F" w14:textId="0F56671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2.11.1.5. Reportes de las entidades del segundo nivel de supervisión. La periodicidad de los reportes que deben enviar a la Superintendencia de la Economía Solidaria, las entidades de la economía solidaria del segundo nivel de supervisión será semestral, sin perjuicio de que la Superintendencia de la Economía Solidaria establezca períodos inferiores, para el reporte de determinados indicadores. La información será enviada en los formatos que para el efecto establezca la entidad de inspección, vigilancia y control. </w:t>
      </w:r>
    </w:p>
    <w:p w14:paraId="224554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C184E4" w14:textId="1DF83B3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reportes a que hace referencia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son los que se relacionan a continuación: </w:t>
      </w:r>
    </w:p>
    <w:p w14:paraId="1313FF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347E6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Balance y Estado de Resultados de acuerdo con el Plan Único de Cuentas del sector solidario. </w:t>
      </w:r>
    </w:p>
    <w:p w14:paraId="55E2708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0340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Información detallada de las principales cuentas del activo, pasivo y patrimonio de acuerdo con los formatos que para el efecto determine la superintendencia de la Economía Solidaria. </w:t>
      </w:r>
    </w:p>
    <w:p w14:paraId="76D933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8F8B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Cualquier otro informe que la Superintendencia considere necesario solicitar. </w:t>
      </w:r>
    </w:p>
    <w:p w14:paraId="34338FA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06" w:name="ver_30057783"/>
      <w:bookmarkEnd w:id="1506"/>
    </w:p>
    <w:p w14:paraId="391B9EA3" w14:textId="40EF7E1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2.11.1.6. Tercer nivel de supervisión. El tercer nivel de supervisión, se aplicará a las entidades de la economía solidaria que no se encuentren dentro de los parámetros de los dos primeros niveles de supervisión y cumplan a criterio de la Superintendencia de la Economía Solidaria, con las características señaladas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 de la ley 454 de 1998. </w:t>
      </w:r>
    </w:p>
    <w:p w14:paraId="73A1B5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B4F5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esta labor se aplicarán especialmente los parámetros que a continuación se establecen: </w:t>
      </w:r>
    </w:p>
    <w:p w14:paraId="423C42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DD03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del cumplimiento del monto mínimo de aportes sociales. </w:t>
      </w:r>
    </w:p>
    <w:p w14:paraId="65CFC3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9432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 las causales de disolución y de las prácticas y procedimientos relativos a la operación de la cooperativa. </w:t>
      </w:r>
    </w:p>
    <w:p w14:paraId="4668DF9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56FF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Visitas de inspección a las entidades vigiladas cuando se estime necesario. </w:t>
      </w:r>
    </w:p>
    <w:p w14:paraId="648807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A26A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Evaluación del cumplimiento de las normas legales, contables, así como de lo consagrado en los estatutos, especialmente en el cumplimiento del objeto social, principios, valores, fines y características propias de la entidad vigilada. </w:t>
      </w:r>
    </w:p>
    <w:p w14:paraId="5EE41E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7148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sobre la distribución de excedentes y la destinación de los ingresos obtenidos en operaciones con terceros. </w:t>
      </w:r>
    </w:p>
    <w:p w14:paraId="44FCA9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F0F9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conflicto de intereses de los miembros de los órganos de administración y vigilancia. </w:t>
      </w:r>
    </w:p>
    <w:p w14:paraId="56A765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FBF7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Control de las reformas estatutarias, así como de los reglamentos y demás decisiones que tomen los órganos de administración y vigilancia. </w:t>
      </w:r>
    </w:p>
    <w:p w14:paraId="535E3A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F7483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Verificación del cumplimiento de las directrices, instrucciones y órdenes impartidas por la Superintendencia. </w:t>
      </w:r>
    </w:p>
    <w:p w14:paraId="09997E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889B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verificación de los parámetros correspondientes a este nivel por parte de la Superintendencia se realizará en forma selectiva de acuerdo a la metodología definida por la entidad. </w:t>
      </w:r>
    </w:p>
    <w:p w14:paraId="73B9736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8CAE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La periodicidad de los reportes, que deben enviar las organizaciones solidarias de este nivel de supervisión, es anual y la información será enviada en los formatos que para el efecto determine la Superintendencia de la Economía Solidaria. </w:t>
      </w:r>
    </w:p>
    <w:p w14:paraId="5A4C699D" w14:textId="4B748CF4"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07" w:name="ver_30057784"/>
      <w:bookmarkEnd w:id="1507"/>
    </w:p>
    <w:p w14:paraId="407C837A" w14:textId="1547DE3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2.11.1.7. Funciones del Superintendente para los niveles de supervisión. El Superintendente de la Economía Solidaria ejercerá todas las funciones que se le asignan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36 de la Ley 454 de 1998 para todos los niveles de supervisión, en el momento y periodicidad que considere conveniente, para facilitar la operación de las entidades de los tres niveles de supervisión, que se definen en el presente título. </w:t>
      </w:r>
    </w:p>
    <w:p w14:paraId="7C5A62E8" w14:textId="77777777" w:rsidR="00BC542B" w:rsidRDefault="00BC542B" w:rsidP="00C32F85">
      <w:pPr>
        <w:spacing w:after="0" w:line="254" w:lineRule="atLeast"/>
        <w:jc w:val="both"/>
        <w:rPr>
          <w:rFonts w:ascii="Arial" w:eastAsia="Times New Roman" w:hAnsi="Arial" w:cs="Arial"/>
          <w:color w:val="000000"/>
          <w:lang w:eastAsia="es-CO"/>
        </w:rPr>
      </w:pPr>
    </w:p>
    <w:p w14:paraId="37BFCEC4" w14:textId="5368F3B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2.11.1.8. Modificación Nivel de Supervisión. Cuando a juicio del Superintendente de la Economía Solidaria la situación jurídica, financiera o administrativa de alguna de las entidades vigiladas así lo requiera, en ejercicio de las atribuciones previstas en el numeral 19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36 de la ley 454 de 1998, éste podrá someter a cualquier entidad a un nivel de supervisión más elevado y aplicar los principios de supervisión que corresponda. </w:t>
      </w:r>
    </w:p>
    <w:p w14:paraId="7F81AB3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08" w:name="ver_30057786"/>
      <w:bookmarkEnd w:id="1508"/>
    </w:p>
    <w:p w14:paraId="2C933CC5" w14:textId="008200E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2.11.1.9. Ajuste. Los valores absolutos indicados en este título se ajustarán anual y acumulativamente a partir del año 2000, mediante la aplicación de la variación del índice de precios al consumidor, total nacional, que calcula el DANE. </w:t>
      </w:r>
    </w:p>
    <w:p w14:paraId="2D154DFF" w14:textId="77777777" w:rsidR="00BC542B" w:rsidRDefault="00BC542B" w:rsidP="007F2954">
      <w:pPr>
        <w:spacing w:after="0" w:line="293" w:lineRule="atLeast"/>
        <w:jc w:val="center"/>
        <w:rPr>
          <w:rFonts w:ascii="Arial" w:eastAsia="Times New Roman" w:hAnsi="Arial" w:cs="Arial"/>
          <w:b/>
          <w:bCs/>
          <w:color w:val="000000"/>
          <w:lang w:eastAsia="es-CO"/>
        </w:rPr>
      </w:pPr>
      <w:bookmarkStart w:id="1509" w:name="ver_30057787"/>
      <w:bookmarkEnd w:id="1509"/>
    </w:p>
    <w:p w14:paraId="6F600C76" w14:textId="344DF0A2"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TÍTULO 2</w:t>
      </w:r>
    </w:p>
    <w:p w14:paraId="52CB005B" w14:textId="77777777" w:rsidR="00404266" w:rsidRPr="007F2954" w:rsidRDefault="00404266" w:rsidP="007F2954">
      <w:pPr>
        <w:spacing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PLAZOS PARA SUBSANAR CAUSALES DE DISOLUCIÓN EN ORGANIZACIONES DE ECONOMÍA SOLIDARIA</w:t>
      </w:r>
    </w:p>
    <w:p w14:paraId="50D975B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0" w:name="ver_30057788"/>
      <w:bookmarkEnd w:id="1510"/>
    </w:p>
    <w:p w14:paraId="418561A4" w14:textId="067CF9C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2.11.2.1. Plazo para subsanar causales de disolución. La Superintendencia de la Economía Solidaria dará a las organizaciones de la economía solidaria bajo su supervisión, que se encuentren en las causales de disolución previstas en los numerales 2, 3 y 6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107 de la Ley 79 de 1988 y en los numerales 2 y 4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56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Ley 1480 de 1989, un plazo hasta de seis (6) meses para que subsanen la causal de disolución respectiva o para que en el mismo plazo convoquen a asamblea general con el fin de acordar la disolución. </w:t>
      </w:r>
    </w:p>
    <w:p w14:paraId="46930D0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1" w:name="ver_30057789"/>
      <w:bookmarkEnd w:id="1511"/>
    </w:p>
    <w:p w14:paraId="126866EB" w14:textId="25AA48E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2.11.2.2. Procedimiento en caso de vencimiento del plazo. Si vencido el plazo anterior, dichas organizaciones de la economía solidaria no acreditan ante la Superintendencia de la Economía Solidaria que han subsanado la causal de disolución en la que se encuentran, o que han convocado a asamblea general con el fin de acordar la disolución, la Superintendencia de la Economía Solidaria decretará la disolución de las mismas y nombrará liquidador o liquidadores con cargo a sus presupuestos. </w:t>
      </w:r>
    </w:p>
    <w:p w14:paraId="0EB2999C" w14:textId="33E211FD" w:rsidR="007F2954" w:rsidRDefault="007F2954" w:rsidP="00C32F85">
      <w:pPr>
        <w:spacing w:after="0" w:line="293" w:lineRule="atLeast"/>
        <w:jc w:val="both"/>
        <w:rPr>
          <w:rFonts w:ascii="Arial" w:eastAsia="Times New Roman" w:hAnsi="Arial" w:cs="Arial"/>
          <w:color w:val="000000"/>
          <w:lang w:eastAsia="es-CO"/>
        </w:rPr>
      </w:pPr>
      <w:bookmarkStart w:id="1512" w:name="ver_30057790"/>
      <w:bookmarkEnd w:id="1512"/>
    </w:p>
    <w:p w14:paraId="02D8E238" w14:textId="77777777" w:rsidR="00BC542B" w:rsidRDefault="00BC542B" w:rsidP="00C32F85">
      <w:pPr>
        <w:spacing w:after="0" w:line="293" w:lineRule="atLeast"/>
        <w:jc w:val="both"/>
        <w:rPr>
          <w:rFonts w:ascii="Arial" w:eastAsia="Times New Roman" w:hAnsi="Arial" w:cs="Arial"/>
          <w:color w:val="000000"/>
          <w:lang w:eastAsia="es-CO"/>
        </w:rPr>
      </w:pPr>
    </w:p>
    <w:p w14:paraId="6B54347B" w14:textId="51503FF6"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TÍTULO 3</w:t>
      </w:r>
    </w:p>
    <w:p w14:paraId="186E3358" w14:textId="77777777"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NORMAS DE POSESIÓN Y LIQUIDACIÓN APLICABLES A ENTIDADES</w:t>
      </w:r>
    </w:p>
    <w:p w14:paraId="56B476BB" w14:textId="77777777"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SOLIDARIAS QUE ADELANTAN ACTIVIDADES DIFERENTES</w:t>
      </w:r>
    </w:p>
    <w:p w14:paraId="643BD3E0" w14:textId="77777777" w:rsidR="00404266" w:rsidRPr="007F2954" w:rsidRDefault="00404266" w:rsidP="007F2954">
      <w:pPr>
        <w:spacing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A LA FINANCIERA</w:t>
      </w:r>
    </w:p>
    <w:p w14:paraId="663C207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3" w:name="ver_30057791"/>
      <w:bookmarkEnd w:id="1513"/>
    </w:p>
    <w:p w14:paraId="2BB5C115" w14:textId="5952C81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2.11.3.1. Ámbito de aplicación. El presente título será aplicable a las organizaciones solidarias sometidas a la vigilancia de la Superintendencia de la Economía Solidaria, diferentes de las cooperativas de ahorro y crédito y cooperativas multiactivas o integrales con sección de ahorro </w:t>
      </w:r>
      <w:r w:rsidR="00404266" w:rsidRPr="002C1480">
        <w:rPr>
          <w:rFonts w:ascii="Arial" w:eastAsia="Times New Roman" w:hAnsi="Arial" w:cs="Arial"/>
          <w:color w:val="000000"/>
          <w:lang w:eastAsia="es-CO"/>
        </w:rPr>
        <w:lastRenderedPageBreak/>
        <w:t xml:space="preserve">y crédito, a las cuales les será aplicable lo dispuesto en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756 de 2000 o las disposiciones que lo modifiquen o compilen. </w:t>
      </w:r>
    </w:p>
    <w:p w14:paraId="387326D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4" w:name="ver_30057792"/>
      <w:bookmarkEnd w:id="1514"/>
    </w:p>
    <w:p w14:paraId="34A69DE4" w14:textId="6A9D839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2.11.3.2. Normas aplicables. Serán aplicables a las entidades de que trata el presente Título, en lo pertinente, las siguientes disposiciones: </w:t>
      </w:r>
    </w:p>
    <w:p w14:paraId="7703F0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379CB6" w14:textId="438E19D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Estatuto Orgánico del Sistema Financiero: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114, 116, 117, 291, 293, 294, 295, excepto el numeral 4 y el literal o) del numeral 9;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296 numeral 1 literales a) y b), y numeral 2;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297, 299 numerales 1, 2 literales a), b), c), d) y j);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300 numerales 3, 4 y 6; y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301 y 302. </w:t>
      </w:r>
    </w:p>
    <w:p w14:paraId="008167B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5" w:name="ver_30057793"/>
      <w:bookmarkEnd w:id="1515"/>
    </w:p>
    <w:p w14:paraId="7F75B850" w14:textId="195FD1A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2.11.3.3. Regímenes Especiales. A los Fondos de Empleados, las Asociaciones Mutualistas, las Cooperativas de Trabajo Asociado y en general a las entidades que de acuerdo con la ley pueden captar ahorro, diferentes de las cooperativas de ahorro y crédito y multiactivas con sección de ahorro y crédito, le serán aplicables, además de las previstas en sus disposiciones especiales, las señaladas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2.11.3.2 del presente título, así como de las normas que las modifiquen o adicionen. </w:t>
      </w:r>
    </w:p>
    <w:p w14:paraId="36A115F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6" w:name="ver_30057794"/>
      <w:bookmarkEnd w:id="1516"/>
    </w:p>
    <w:p w14:paraId="5CD5ACFB" w14:textId="492BE39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2.11.3.4. Remisión normativa. En lo no previsto en el presente título y siempre que por virtud de la naturaleza de las entidades solidarias sus disposiciones no sean contrarias a las normas que rigen este tipo de entidades, se aplicarán las normas sobre procesos de toma de posesión y liquidación forzosa administrativa para entidades financieras previstas en el Estatuto Orgánico del Sistema Financiero y en especial lo establecido en la Ley 510 de 1999, Parte 9, Libro 1, Título 1, Capítulo 1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así como lo previsto en las disposiciones que las adicionen o modifiquen. </w:t>
      </w:r>
    </w:p>
    <w:p w14:paraId="52AC36D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7" w:name="ver_30057795"/>
      <w:bookmarkEnd w:id="1517"/>
    </w:p>
    <w:p w14:paraId="33BFCF29" w14:textId="17F3C5E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2.11.3.5. Menciones. Las menciones a la Superintendencia Financiera de Colombia, o al Fondo de Garantías de Instituciones Financieras en las normas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2.11.3.2 del presente título, se entenderán hechas a la Superintendencia de la Economía Solidaria o a la entidad que haga sus veces. Las efectuadas al Director del Fondo de Garantías de Instituciones Financieras, se entenderán hechas al Superintendente de la Economía Solidaria. </w:t>
      </w:r>
    </w:p>
    <w:p w14:paraId="6040725C" w14:textId="77777777" w:rsidR="007F2954" w:rsidRDefault="007F2954" w:rsidP="00C32F85">
      <w:pPr>
        <w:spacing w:after="0" w:line="293" w:lineRule="atLeast"/>
        <w:jc w:val="both"/>
        <w:rPr>
          <w:rFonts w:ascii="Arial" w:eastAsia="Times New Roman" w:hAnsi="Arial" w:cs="Arial"/>
          <w:color w:val="000000"/>
          <w:lang w:eastAsia="es-CO"/>
        </w:rPr>
      </w:pPr>
      <w:bookmarkStart w:id="1518" w:name="ver_30057796"/>
      <w:bookmarkEnd w:id="1518"/>
    </w:p>
    <w:p w14:paraId="188FDB08" w14:textId="74BBB5F5"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TÍTULO 4</w:t>
      </w:r>
    </w:p>
    <w:p w14:paraId="61D27648" w14:textId="77777777" w:rsidR="00404266" w:rsidRPr="007F2954" w:rsidRDefault="00404266" w:rsidP="007F2954">
      <w:pPr>
        <w:spacing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REACTIVACIÓN DE COOPERATIVAS EN LIQUIDACIÓN</w:t>
      </w:r>
    </w:p>
    <w:p w14:paraId="621080B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19" w:name="ver_30057797"/>
      <w:bookmarkEnd w:id="1519"/>
    </w:p>
    <w:p w14:paraId="2E270782" w14:textId="1EE4701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2.11.4.1. Reactivación. Si dentro de la liquidación, una vez cancelado el pasivo externo subsistieren recursos, el liquidador convocará a una audiencia de acreedores internos para que estos decidan si optan por la reactivación de la entidad, para desarrollar nuevamente su objeto social, con el cumplimiento de los requisitos establecidos en el presente título, o por la devolución de sus aportes. </w:t>
      </w:r>
    </w:p>
    <w:p w14:paraId="2A57D8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72AAA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convocatoria se realizará mediante la publicación de por lo menos dos (2) avisos en un diario de amplia circulación nacional y en otro del domicilio principal de la intervenida. </w:t>
      </w:r>
    </w:p>
    <w:p w14:paraId="0ACDBB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A320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último aviso deberá publicarse cuando menos con un (1) mes de anticipación a la realización de la audiencia. Los avisos indicarán los requisitos previstos en este título para reactivar la entidad y la posibilidad que tienen los acreedores internos de solicitar la devolución de los aportes. </w:t>
      </w:r>
    </w:p>
    <w:p w14:paraId="3A29278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DE0C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audiencia tendrá por objeto la discusión y aprobación o rechazo de las fórmulas de reactivación de la entidad intervenida propuestas por los acreedores internos. La audiencia podrá suspenderse por una sola vez, a solicitud de la mayoría absoluta de los asistentes, para lo cual se fijará en la misma audiencia fecha y hora para su reanudación, la cual deberá producirse dentro de los cinco (5) días hábiles siguientes. </w:t>
      </w:r>
    </w:p>
    <w:p w14:paraId="7C976B3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F9A2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el acuerdo requerirá para su validez del voto favorable de por lo menos el 51% del monto de las acreencias internas. </w:t>
      </w:r>
    </w:p>
    <w:p w14:paraId="1ECCC0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FDD3AF" w14:textId="4D5AA0A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acuerdo será oponible a todos los acreedores internos cuando haya sido aprobado con la mayoría prevista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sin perjuicio de la posibilidad que tengan los que no hayan votado a favor del mismo, de solicitar el reembolso de su aporte, conforme al régimen legal y estatutario correspondiente. </w:t>
      </w:r>
    </w:p>
    <w:p w14:paraId="37AEB7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B3CB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1º. Cuando las circunstancias así lo ameriten, la audiencia podrá llevarse sucesivamente en diferentes lugares, siempre y cuando todas las reuniones se lleven a cabo en los períodos que se señalan a continuación, según el número de acreedores internos: </w:t>
      </w:r>
    </w:p>
    <w:p w14:paraId="40A0F8E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79E6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Hasta 20 días hábiles para las cooperativas que tengan menos de 1.000 acreedores internos. </w:t>
      </w:r>
    </w:p>
    <w:p w14:paraId="319621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7CE1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Hasta 40 días hábiles para las cooperativas que tengan entre 1.000 y 10.000 acreedores internos. </w:t>
      </w:r>
    </w:p>
    <w:p w14:paraId="3CDD35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60DF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Hasta 60 días hábiles para las cooperativas que tengan entre 10.001 y 30.000 acreedores internos. </w:t>
      </w:r>
    </w:p>
    <w:p w14:paraId="5866422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05FC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Hasta 80 días hábiles para las cooperativas que tengan más de 30.000 acreedores internos. </w:t>
      </w:r>
    </w:p>
    <w:p w14:paraId="0EC354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9EC8DD" w14:textId="05348CB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2º. Todo acreedor interno podrá hacerse representar en las reuniones mediante poder otorgado por escrito. En tal caso serán aplicables las disposiciones de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184 y 185 del Código de Comercio. </w:t>
      </w:r>
    </w:p>
    <w:p w14:paraId="448CB7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5FF555" w14:textId="5460F06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3º. Cuando el plan de reactivación de la entidad contemple la fusión o la incorporación con otra entidad y este sea aprobado en los términos establecidos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será necesario realizar una nueva asamblea para efectos de la aprobación prevista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 de la Ley 79 de 1988, siempre que dicha decisión haya sido adoptada con las mayorías y demás requisitos establecidos en esta última norma. </w:t>
      </w:r>
    </w:p>
    <w:p w14:paraId="2D53B6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822AE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4º. Las disposiciones del presente título no serán aplicables si no se logra el quórum necesario para la reunión de acreedores internos. En todo caso, sólo aquellas cooperativas con actividad financiera que se encuentren en liquidación y se sometan al procedimiento de reactivación previsto en el presente título, podrán ejercer nuevamente el objeto social que venían desarrollando con anterioridad a la orden de disolución y liquidación. </w:t>
      </w:r>
    </w:p>
    <w:p w14:paraId="28CEE96C" w14:textId="1C4FF490" w:rsidR="00404266" w:rsidRPr="002C1480" w:rsidRDefault="00404266" w:rsidP="00FC54E9">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20" w:name="ver_30057798"/>
      <w:bookmarkEnd w:id="1520"/>
    </w:p>
    <w:p w14:paraId="24DD97D2" w14:textId="1D343C2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2.11.4.2. Contenido mínimo de los acuerdos de acreedores internos para la reactivación de la entidad. El acuerdo de acreedores internos para la reactivación de la entidad deberá contener un plan de reorganización, el cual contemplará para cada caso particular la reestructuración financiera, administrativa, operativa y jurídica, entre otros, según sea el caso, conducentes a solucionar los hechos que dieron origen a la toma de posesión y para poner a la entidad en condiciones de desarrollar en forma adecuada su objeto social. En el acuerdo se incluirá </w:t>
      </w:r>
      <w:r w:rsidR="00404266" w:rsidRPr="002C1480">
        <w:rPr>
          <w:rFonts w:ascii="Arial" w:eastAsia="Times New Roman" w:hAnsi="Arial" w:cs="Arial"/>
          <w:color w:val="000000"/>
          <w:lang w:eastAsia="es-CO"/>
        </w:rPr>
        <w:lastRenderedPageBreak/>
        <w:t>un cronograma preciso de actividades dirigidas a enervar cualquier posible causal de toma de posesión. </w:t>
      </w:r>
    </w:p>
    <w:p w14:paraId="641626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E267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en exceso de los aportes deberán constituirse como reserva patrimonial, no susceptible de repartición. </w:t>
      </w:r>
    </w:p>
    <w:p w14:paraId="2BB48A3B" w14:textId="120DF6B7"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21" w:name="ver_30057799"/>
      <w:bookmarkEnd w:id="1521"/>
    </w:p>
    <w:p w14:paraId="4827B3CD" w14:textId="15C1DFC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2.11.4.3. Aprobación del acuerdo y levantamiento de la medida de toma de posesión. Celebrado el acuerdo de acreedores, el liquidador deberá presentarlo a consideración de la Superintendencia de la Economía Solidaria para su aprobación, acompañado de la Superintendencia de la Economía Solidaria podrá aprobar el acuerdo cuando, previo análisis, considere que permite subsanar en su integridad las causales que dieron origen a la toma de posesión en un plazo razonable y resulte conducente para poner a la entidad en condiciones de desarrollar en forma adecuada su objeto social. </w:t>
      </w:r>
    </w:p>
    <w:p w14:paraId="3629AC6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C862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tal evento, la Superintendencia de la Economía Solidaria levantará la medida de toma de posesión para liquidar. No obstante, la misma Superintendencia, en ejercicio de sus facultades legales de vigilancia y control, velará especialmente por el estricto cumplimiento de los términos y plazos del cronograma incorporado al acuerdo de acreedores, tomando las medidas que considere apropiadas a tal fin. </w:t>
      </w:r>
    </w:p>
    <w:p w14:paraId="5D8176C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B79D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funcionamiento de la entidad reactivada estará sujeto a las normas que de conformidad con su actividad y tipo asociativo le correspondan así como al acuerdo de reactivación correspondiente. En el evento en que se presentaren retrasos considerables en la ejecución del cronograma incorporado en el mismo acuerdo, cualquier persona interesada podrá solicitar a la Superintendencia de Economía Solidaria la liquidación de la entidad o esta hacerlo de oficio. </w:t>
      </w:r>
    </w:p>
    <w:p w14:paraId="5AA1D25E" w14:textId="3F66F724"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22" w:name="ver_30057800"/>
      <w:bookmarkEnd w:id="1522"/>
    </w:p>
    <w:p w14:paraId="0D104C20" w14:textId="793E141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2.11.4.4. Fracaso de la audiencia. De no lograrse el acuerdo de acreedores internos para la reactivación de la entidad, el liquidador deberá proceder a la devolución de aportes, a dar cumplimiento a las previsiones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121 de la Ley 79 de 1988 y a la terminación de la existencia de la persona jurídica. </w:t>
      </w:r>
    </w:p>
    <w:p w14:paraId="0A76D6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14088D" w14:textId="77777777" w:rsidR="00404266" w:rsidRPr="007F2954" w:rsidRDefault="00404266" w:rsidP="007F2954">
      <w:pPr>
        <w:spacing w:after="0" w:line="293" w:lineRule="atLeast"/>
        <w:jc w:val="center"/>
        <w:rPr>
          <w:rFonts w:ascii="Arial" w:eastAsia="Times New Roman" w:hAnsi="Arial" w:cs="Arial"/>
          <w:b/>
          <w:bCs/>
          <w:color w:val="000000"/>
          <w:lang w:eastAsia="es-CO"/>
        </w:rPr>
      </w:pPr>
      <w:bookmarkStart w:id="1523" w:name="ver_30106060"/>
      <w:bookmarkEnd w:id="1523"/>
      <w:r w:rsidRPr="007F2954">
        <w:rPr>
          <w:rFonts w:ascii="Arial" w:eastAsia="Times New Roman" w:hAnsi="Arial" w:cs="Arial"/>
          <w:b/>
          <w:bCs/>
          <w:color w:val="000000"/>
          <w:lang w:eastAsia="es-CO"/>
        </w:rPr>
        <w:t>TÍTULO 5</w:t>
      </w:r>
    </w:p>
    <w:p w14:paraId="7798AF95" w14:textId="77777777"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NORMAS APLICABLES A LOS FONDOS DE EMPLEADOS</w:t>
      </w:r>
    </w:p>
    <w:p w14:paraId="3794E755" w14:textId="173F3F22" w:rsidR="00404266"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PARA LA PRESTACIÓN DE SERVICIOS DE AHORRO Y CRÉDITO</w:t>
      </w:r>
    </w:p>
    <w:p w14:paraId="7065B917" w14:textId="77777777" w:rsidR="00FC54E9" w:rsidRPr="007F2954" w:rsidRDefault="00FC54E9" w:rsidP="007F2954">
      <w:pPr>
        <w:spacing w:after="0" w:line="293" w:lineRule="atLeast"/>
        <w:jc w:val="center"/>
        <w:rPr>
          <w:rFonts w:ascii="Arial" w:eastAsia="Times New Roman" w:hAnsi="Arial" w:cs="Arial"/>
          <w:b/>
          <w:bCs/>
          <w:color w:val="000000"/>
          <w:lang w:eastAsia="es-CO"/>
        </w:rPr>
      </w:pPr>
    </w:p>
    <w:p w14:paraId="667B79A0" w14:textId="77777777" w:rsidR="00404266" w:rsidRPr="007F2954" w:rsidRDefault="00404266"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CAPÍTULO 1</w:t>
      </w:r>
    </w:p>
    <w:p w14:paraId="29F5CF7C" w14:textId="3C11F437" w:rsidR="00404266" w:rsidRPr="007F2954" w:rsidRDefault="007F2954" w:rsidP="007F2954">
      <w:pPr>
        <w:spacing w:after="0" w:line="293" w:lineRule="atLeast"/>
        <w:jc w:val="center"/>
        <w:rPr>
          <w:rFonts w:ascii="Arial" w:eastAsia="Times New Roman" w:hAnsi="Arial" w:cs="Arial"/>
          <w:b/>
          <w:bCs/>
          <w:color w:val="000000"/>
          <w:lang w:eastAsia="es-CO"/>
        </w:rPr>
      </w:pPr>
      <w:r w:rsidRPr="007F2954">
        <w:rPr>
          <w:rFonts w:ascii="Arial" w:eastAsia="Times New Roman" w:hAnsi="Arial" w:cs="Arial"/>
          <w:b/>
          <w:bCs/>
          <w:color w:val="000000"/>
          <w:lang w:eastAsia="es-CO"/>
        </w:rPr>
        <w:t>DISPOSICIONES GENERALES</w:t>
      </w:r>
    </w:p>
    <w:p w14:paraId="7A64AE4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24" w:name="ver_30106065"/>
      <w:bookmarkEnd w:id="1524"/>
    </w:p>
    <w:p w14:paraId="037F6212" w14:textId="6496B44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2.11.5.1.1. Objeto. Las disposiciones contenidas en el presente título se expiden con el fin de:  </w:t>
      </w:r>
    </w:p>
    <w:p w14:paraId="48E1F2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2202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Promover y fortalecer la solidez del sector de Fondos de Empleados, y establecer mecanismos de protección a los asociados –ahorradores y depositantes– de dicho sector;  </w:t>
      </w:r>
    </w:p>
    <w:p w14:paraId="76C30F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3DF7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Dotar a los Fondos de Empleados de la regulación prudencial adecuada para la prestación de servicios de ahorro y crédito, que les permita contar con herramientas de fortalecimiento patrimonial y adecuada administración de riesgos crediticios, considerando los estándares aceptados internacionalmente para organizaciones de economía solidaria que prestan servicios </w:t>
      </w:r>
      <w:r w:rsidRPr="002C1480">
        <w:rPr>
          <w:rFonts w:ascii="Arial" w:eastAsia="Times New Roman" w:hAnsi="Arial" w:cs="Arial"/>
          <w:color w:val="000000"/>
          <w:lang w:eastAsia="es-CO"/>
        </w:rPr>
        <w:lastRenderedPageBreak/>
        <w:t>de ahorro y crédito exclusivamente a sus asociados, y la naturaleza, características y heterogeneidades existentes entre los Fondos de Empleados.  </w:t>
      </w:r>
    </w:p>
    <w:p w14:paraId="48407F8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69DD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Proveer a las autoridades que ejercen labores de supervisión y regulación de los Fondos de Empleados, de mecanismos de información oportuna sobre la existencia y constitución de dichas organizaciones.  </w:t>
      </w:r>
    </w:p>
    <w:p w14:paraId="5045733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25" w:name="ver_30106078"/>
      <w:bookmarkEnd w:id="1525"/>
    </w:p>
    <w:p w14:paraId="13615AF3" w14:textId="615A8B6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2.11.5.1.2. Ámbito de aplicación. El presente título aplica a los Fondos de Empleados que se encuentren desarrollando operaciones o se propongan adelantarlas, bajo la forma asociativa prevista en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número 1481 de 1989 modificado por la Ley 1391 de 2010.  </w:t>
      </w:r>
    </w:p>
    <w:p w14:paraId="35590CB6" w14:textId="13D76A94" w:rsidR="00404266" w:rsidRPr="002C1480" w:rsidRDefault="00404266" w:rsidP="007F295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26" w:name="ver_30106083"/>
      <w:bookmarkEnd w:id="1526"/>
    </w:p>
    <w:p w14:paraId="74AADE14" w14:textId="77777777" w:rsidR="007F2954" w:rsidRDefault="002C1480"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2.11.5.1.3.Categoría de Fondos de Empleados para la aplicación de normas prudenciales. Para la aplicación de normas prudenciales, los Fondos de Empleados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se clasificarán en las siguientes categorías: </w:t>
      </w:r>
    </w:p>
    <w:p w14:paraId="34497A29" w14:textId="3262001B"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3BD3DD" w14:textId="7E649FF2" w:rsidR="00404266" w:rsidRPr="007F2954" w:rsidRDefault="00404266" w:rsidP="00924FFE">
      <w:pPr>
        <w:pStyle w:val="Prrafodelista"/>
        <w:numPr>
          <w:ilvl w:val="0"/>
          <w:numId w:val="38"/>
        </w:numPr>
        <w:spacing w:after="0" w:line="254" w:lineRule="atLeast"/>
        <w:ind w:left="360"/>
        <w:jc w:val="both"/>
        <w:rPr>
          <w:rFonts w:ascii="Arial" w:eastAsia="Times New Roman" w:hAnsi="Arial" w:cs="Arial"/>
          <w:color w:val="000000"/>
          <w:lang w:eastAsia="es-CO"/>
        </w:rPr>
      </w:pPr>
      <w:r w:rsidRPr="007F2954">
        <w:rPr>
          <w:rFonts w:ascii="Arial" w:eastAsia="Times New Roman" w:hAnsi="Arial" w:cs="Arial"/>
          <w:color w:val="000000"/>
          <w:lang w:eastAsia="es-CO"/>
        </w:rPr>
        <w:t>Básica. En esta categoría se clasifican los Fondos de Empleados cuyo monto total de activos sea igual o inferior a tres mil seiscientos millones de pesos ($3.600.000.000).</w:t>
      </w:r>
    </w:p>
    <w:p w14:paraId="1C3B8A86" w14:textId="7777777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CDD55C" w14:textId="152F2E8E" w:rsidR="00404266" w:rsidRPr="007F2954" w:rsidRDefault="00404266" w:rsidP="00924FFE">
      <w:pPr>
        <w:numPr>
          <w:ilvl w:val="0"/>
          <w:numId w:val="10"/>
        </w:numPr>
        <w:spacing w:after="0" w:line="254" w:lineRule="atLeast"/>
        <w:ind w:left="360"/>
        <w:jc w:val="both"/>
        <w:rPr>
          <w:rFonts w:ascii="Arial" w:eastAsia="Times New Roman" w:hAnsi="Arial" w:cs="Arial"/>
          <w:color w:val="000000"/>
          <w:lang w:eastAsia="es-CO"/>
        </w:rPr>
      </w:pPr>
      <w:r w:rsidRPr="007F2954">
        <w:rPr>
          <w:rFonts w:ascii="Arial" w:eastAsia="Times New Roman" w:hAnsi="Arial" w:cs="Arial"/>
          <w:color w:val="000000"/>
          <w:lang w:eastAsia="es-CO"/>
        </w:rPr>
        <w:t>Intermedia. En esta categoría se clasifican los Fondos de Empleados cuyo monto total de activos sea superior a tres mil seiscientos millones de pesos ($3.600.000.000) e inferior a diez mil millones de pesos ($10.000.000.000). </w:t>
      </w:r>
    </w:p>
    <w:p w14:paraId="527F2BE6" w14:textId="77777777" w:rsidR="00404266" w:rsidRPr="002C1480" w:rsidRDefault="00404266" w:rsidP="00924FFE">
      <w:pPr>
        <w:numPr>
          <w:ilvl w:val="0"/>
          <w:numId w:val="11"/>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Plena. En esta categoría se clasifican los Fondos de Empleados cuyo monto total de activos sea igual o superior a diez mil millones de pesos ($10.000.000.000).</w:t>
      </w:r>
    </w:p>
    <w:p w14:paraId="3E322CA4" w14:textId="62D856F3"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E76453" w14:textId="0F396852"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 Superintendencia de la Economía Solidaria podrá clasificar en la categoría plena a los Fondos de Empleados de categoría intermedia que a su juicio lo ameriten cuando, dentro del marco de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número 1481 de 1989, modificado por la Ley 1391 de 2010, el vínculo de asociación del respectivo Fondo difiera del generado exclusivamente por una misma empresa o institución pública o privada, o de varias sociedades en las que se declare la unidad de empresa, o de matrices y subordinadas, o de entidades principales y adscritas y vinculadas, o de empresas que se encuentren integradas conformando un grupo empresarial.  </w:t>
      </w:r>
    </w:p>
    <w:p w14:paraId="3900885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7B3052" w14:textId="4D7C750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De acuerdo con las categorías de Fondos de Empleados previstas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cambio de condiciones de la respectiva entidad que la clasifique dentro de una categoría diferente, implicará el cumplimiento de las normas prudenciales aplicables a la respectiva categoría. La Superintendencia de la Economía Solidaria deberá realizar un proceso de actualización de la clasificación de todos los Fondos de Empleados como mínimo con periodicidad anual, a partir de la fecha en que se efectúe la primera clasificación. Sin perjuicio de lo anterior, la Superintendencia de la Economía Solidaria podrá actualizar la categoría de un Fondo de Empleados con una periodicidad diferente.  </w:t>
      </w:r>
    </w:p>
    <w:p w14:paraId="64F994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D236F6" w14:textId="309103F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efectos de la actualización de categoría, se tomará en cuenta el último reporte realizado por la organización a la Superintendencia de la Economía Solidaria o, en su defecto, la información de los activos que reporte el Fondo de Empleados a corte 31 de diciembre del respectivo año anterior. Adicionalmente, los Fondos de Empleados de categoría intermedia deberán suministrar a la Superintendencia, con anterioridad a la fecha en que se realice el proceso de actualización, una constancia reciente del vínculo de asociación que figure en sus estatutos expedida por el representante legal y en la que se especifique la naturaleza de las empresas a las que pertenecen </w:t>
      </w:r>
      <w:r w:rsidRPr="002C1480">
        <w:rPr>
          <w:rFonts w:ascii="Arial" w:eastAsia="Times New Roman" w:hAnsi="Arial" w:cs="Arial"/>
          <w:color w:val="000000"/>
          <w:lang w:eastAsia="es-CO"/>
        </w:rPr>
        <w:lastRenderedPageBreak/>
        <w:t xml:space="preserve">sus asociados de manera que el supervisor pueda hacer uso de la facultad prevista en el parágrafo 1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el incumplimiento de este deber dará lugar a que el Fondo de Empleados se clasifique en la categoría plena. Dicha Superintendencia establecerá, mediante instrucciones de carácter general, el procedimiento para dar cumplimiento a lo previsto en el presente parágrafo.  </w:t>
      </w:r>
    </w:p>
    <w:p w14:paraId="7C935B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273931" w14:textId="7E24303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Los valores indicados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ajustarán anualmente en forma automática en el mismo sentido y porcentaje en que varíe el Índice de Precios al Consumidor que suministre el DANE. El valor resultante se aproximará al múltiplo en millones de pesos inmediatamente superior. El primer ajuste se realizará en enero de 2018 tomando como base la variación del Índice de Precios al Consumidor durante el año 2017.  </w:t>
      </w:r>
    </w:p>
    <w:p w14:paraId="47C9E9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0F2E56" w14:textId="14C1E85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4°. La clasificación establecida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solo aplica para el cumplimiento de lo dispuesto en el presente título y no reemplaza ni modifica la clasificación en niveles de supervisión dispuesta en el Título 1 de la Parte 11 del Libro 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7A558E9B" w14:textId="6B2B1FD1"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4CD947" w14:textId="4189BF94" w:rsidR="00404266" w:rsidRPr="00924FFE" w:rsidRDefault="00924FFE" w:rsidP="00924FFE">
      <w:pPr>
        <w:spacing w:after="0" w:line="293" w:lineRule="atLeast"/>
        <w:jc w:val="center"/>
        <w:rPr>
          <w:rFonts w:ascii="Arial" w:eastAsia="Times New Roman" w:hAnsi="Arial" w:cs="Arial"/>
          <w:b/>
          <w:bCs/>
          <w:color w:val="000000"/>
          <w:lang w:eastAsia="es-CO"/>
        </w:rPr>
      </w:pPr>
      <w:bookmarkStart w:id="1527" w:name="ver_30106096"/>
      <w:bookmarkEnd w:id="1527"/>
      <w:r w:rsidRPr="00924FFE">
        <w:rPr>
          <w:rFonts w:ascii="Arial" w:eastAsia="Times New Roman" w:hAnsi="Arial" w:cs="Arial"/>
          <w:b/>
          <w:bCs/>
          <w:color w:val="000000"/>
          <w:lang w:eastAsia="es-CO"/>
        </w:rPr>
        <w:t>CAPÍTULO 2</w:t>
      </w:r>
    </w:p>
    <w:p w14:paraId="02385422" w14:textId="097A9AF9" w:rsidR="00404266" w:rsidRDefault="00924FFE" w:rsidP="00924FFE">
      <w:pPr>
        <w:spacing w:after="0" w:line="293" w:lineRule="atLeast"/>
        <w:jc w:val="center"/>
        <w:rPr>
          <w:rFonts w:ascii="Arial" w:eastAsia="Times New Roman" w:hAnsi="Arial" w:cs="Arial"/>
          <w:b/>
          <w:bCs/>
          <w:color w:val="000000"/>
          <w:lang w:eastAsia="es-CO"/>
        </w:rPr>
      </w:pPr>
      <w:r w:rsidRPr="00924FFE">
        <w:rPr>
          <w:rFonts w:ascii="Arial" w:eastAsia="Times New Roman" w:hAnsi="Arial" w:cs="Arial"/>
          <w:b/>
          <w:bCs/>
          <w:color w:val="000000"/>
          <w:lang w:eastAsia="es-CO"/>
        </w:rPr>
        <w:t>NORMAS PRUDENCIALES APLICABLES A LOS FONDOS DE EMPLEADOS</w:t>
      </w:r>
    </w:p>
    <w:p w14:paraId="3F98006C" w14:textId="77777777" w:rsidR="00FC54E9" w:rsidRPr="00924FFE" w:rsidRDefault="00FC54E9" w:rsidP="00924FFE">
      <w:pPr>
        <w:spacing w:after="0" w:line="293" w:lineRule="atLeast"/>
        <w:jc w:val="center"/>
        <w:rPr>
          <w:rFonts w:ascii="Arial" w:eastAsia="Times New Roman" w:hAnsi="Arial" w:cs="Arial"/>
          <w:b/>
          <w:bCs/>
          <w:color w:val="000000"/>
          <w:lang w:eastAsia="es-CO"/>
        </w:rPr>
      </w:pPr>
    </w:p>
    <w:p w14:paraId="46005FF0" w14:textId="3C1C435B" w:rsidR="00404266" w:rsidRPr="00924FFE" w:rsidRDefault="00924FFE" w:rsidP="00924FFE">
      <w:pPr>
        <w:spacing w:after="0" w:line="293" w:lineRule="atLeast"/>
        <w:jc w:val="center"/>
        <w:rPr>
          <w:rFonts w:ascii="Arial" w:eastAsia="Times New Roman" w:hAnsi="Arial" w:cs="Arial"/>
          <w:b/>
          <w:bCs/>
          <w:color w:val="000000"/>
          <w:lang w:eastAsia="es-CO"/>
        </w:rPr>
      </w:pPr>
      <w:r w:rsidRPr="00924FFE">
        <w:rPr>
          <w:rFonts w:ascii="Arial" w:eastAsia="Times New Roman" w:hAnsi="Arial" w:cs="Arial"/>
          <w:b/>
          <w:bCs/>
          <w:color w:val="000000"/>
          <w:lang w:eastAsia="es-CO"/>
        </w:rPr>
        <w:t>SECCIÓN 1</w:t>
      </w:r>
    </w:p>
    <w:p w14:paraId="176D4DE3" w14:textId="6EFAAEEE" w:rsidR="00404266" w:rsidRPr="00924FFE" w:rsidRDefault="00924FFE" w:rsidP="00924FFE">
      <w:pPr>
        <w:spacing w:after="0" w:line="293" w:lineRule="atLeast"/>
        <w:jc w:val="center"/>
        <w:rPr>
          <w:rFonts w:ascii="Arial" w:eastAsia="Times New Roman" w:hAnsi="Arial" w:cs="Arial"/>
          <w:b/>
          <w:bCs/>
          <w:color w:val="000000"/>
          <w:lang w:eastAsia="es-CO"/>
        </w:rPr>
      </w:pPr>
      <w:r w:rsidRPr="00924FFE">
        <w:rPr>
          <w:rFonts w:ascii="Arial" w:eastAsia="Times New Roman" w:hAnsi="Arial" w:cs="Arial"/>
          <w:b/>
          <w:bCs/>
          <w:color w:val="000000"/>
          <w:lang w:eastAsia="es-CO"/>
        </w:rPr>
        <w:t>REGLAS SOBRE PATRIMONIO</w:t>
      </w:r>
    </w:p>
    <w:p w14:paraId="76D23EA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28" w:name="ver_30106102"/>
      <w:bookmarkEnd w:id="1528"/>
    </w:p>
    <w:p w14:paraId="7AB9A38A" w14:textId="19DEFAD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2.11.5.2.1.1. Objetivo y ámbito de aplicación. Con el fin de proteger la confianza del público en el sector y asegurar su desarrollo en condiciones de seguridad y competitividad, los Fondos de Empleados de la categoría plena deberán cumplir las normas sobre niveles adecuados de patrimonio e indicador de solidez en los términos previstos en la presente sección.  </w:t>
      </w:r>
    </w:p>
    <w:p w14:paraId="59AEE64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29" w:name="ver_30106106"/>
      <w:bookmarkEnd w:id="1529"/>
    </w:p>
    <w:p w14:paraId="25C600CD" w14:textId="00AC8AD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2.11.5.2.1.2. Indicador de solidez. El indicador de solidez se define como el valor del patrimonio técnico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dividido por el valor de los activos ponderados por nivel de riesgo crediticio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2.11.5.2.1.7.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Este indicador se expresa en términos porcentuales.  </w:t>
      </w:r>
    </w:p>
    <w:p w14:paraId="381970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F8B3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indicador de solidez mínimo de los Fondos de Empleados de categoría plena será del nueve por ciento (9%).  </w:t>
      </w:r>
    </w:p>
    <w:p w14:paraId="5A041D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AE1AB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Superintendencia de la Economía Solidaria establecerá la periodicidad en la que verificará el cumplimiento del indicador de solidez mínimo. Independientemente de las fechas de reporte, las entidades deberán cumplir con los niveles mínimos del indicador de solidez en todo momento.  </w:t>
      </w:r>
    </w:p>
    <w:p w14:paraId="49BF66A1" w14:textId="77777777" w:rsidR="00924FFE" w:rsidRDefault="00924FFE" w:rsidP="00C32F85">
      <w:pPr>
        <w:spacing w:after="0" w:line="254" w:lineRule="atLeast"/>
        <w:jc w:val="both"/>
        <w:rPr>
          <w:rFonts w:ascii="Arial" w:eastAsia="Times New Roman" w:hAnsi="Arial" w:cs="Arial"/>
          <w:color w:val="000000"/>
          <w:lang w:eastAsia="es-CO"/>
        </w:rPr>
      </w:pPr>
    </w:p>
    <w:p w14:paraId="5A029374" w14:textId="2C12010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2.11.5.2.1.3. Patrimonio técnico. El cumplimiento del indicador de solidez se efectuará con base en el patrimonio técnico que refleje cada Fondo de Empleados, calculado mediante la suma del patrimonio básico neto de deducciones y el patrimonio adicional, de acuerdo con las reglas contenidas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siguientes.  </w:t>
      </w:r>
    </w:p>
    <w:p w14:paraId="6E0187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30" w:name="ver_30169258"/>
      <w:bookmarkStart w:id="1531" w:name="ver_30106113"/>
      <w:bookmarkEnd w:id="1530"/>
    </w:p>
    <w:p w14:paraId="4BB477EC" w14:textId="3009D4D1" w:rsidR="00404266" w:rsidRPr="002C1480" w:rsidRDefault="002C1480"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2.11.5.2.1.4. Patrimonio básico. El patrimonio básico de los Fondos de Empleados de categoría plena comprenderá:  </w:t>
      </w:r>
    </w:p>
    <w:p w14:paraId="65697C2A" w14:textId="7777777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CD3286" w14:textId="2DF2E274" w:rsidR="00404266" w:rsidRPr="002C1480" w:rsidRDefault="00404266" w:rsidP="00924FFE">
      <w:pPr>
        <w:numPr>
          <w:ilvl w:val="0"/>
          <w:numId w:val="12"/>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El monto mínimo de aportes no reducibles previsto en los estatutos, el cual no podrá disminuir durante la existencia del Fondo de Empleados, de acuerdo con lo previsto en el numeral 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 de la Ley 454 de 1998;</w:t>
      </w:r>
    </w:p>
    <w:p w14:paraId="4D17FB4C" w14:textId="7777777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106A6D" w14:textId="7360BCA8" w:rsidR="00404266" w:rsidRPr="002C1480" w:rsidRDefault="00404266" w:rsidP="00924FFE">
      <w:pPr>
        <w:numPr>
          <w:ilvl w:val="0"/>
          <w:numId w:val="13"/>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reserva de protección de los aportes sociales descrita en el numeral 1 del </w:t>
      </w:r>
      <w:r w:rsidR="002C1480" w:rsidRPr="002C1480">
        <w:rPr>
          <w:rFonts w:ascii="Arial" w:eastAsia="Times New Roman" w:hAnsi="Arial" w:cs="Arial"/>
          <w:color w:val="000000"/>
          <w:lang w:eastAsia="es-CO"/>
        </w:rPr>
        <w:t>ARTÍCULO</w:t>
      </w:r>
    </w:p>
    <w:p w14:paraId="0CCFACF2" w14:textId="149727AE"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19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número 1481 de 1989;  </w:t>
      </w:r>
    </w:p>
    <w:p w14:paraId="162A6F1F" w14:textId="7777777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F5BC5E" w14:textId="77777777" w:rsidR="00404266" w:rsidRPr="002C1480" w:rsidRDefault="00404266" w:rsidP="00924FFE">
      <w:pPr>
        <w:numPr>
          <w:ilvl w:val="0"/>
          <w:numId w:val="14"/>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El fondo para mantener el poder adquisitivo de los aportes sociales a que hace referencia</w:t>
      </w:r>
    </w:p>
    <w:p w14:paraId="124866A0" w14:textId="162232B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19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número 1481 de 1989, modificado por la Ley 1391 de 2010;  </w:t>
      </w:r>
    </w:p>
    <w:p w14:paraId="7E95C0FE" w14:textId="7777777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19CB4E" w14:textId="5BBD46B1" w:rsidR="00404266" w:rsidRPr="002C1480" w:rsidRDefault="00404266" w:rsidP="00924FFE">
      <w:pPr>
        <w:numPr>
          <w:ilvl w:val="0"/>
          <w:numId w:val="15"/>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demás reservas y fondos permanentes de orden patrimonial creados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20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número 1481 de 1989;</w:t>
      </w:r>
    </w:p>
    <w:p w14:paraId="42995311" w14:textId="77777777" w:rsidR="00404266" w:rsidRPr="002C1480" w:rsidRDefault="00404266" w:rsidP="00924FFE">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1483F4" w14:textId="511A26BC" w:rsidR="00404266" w:rsidRDefault="00404266" w:rsidP="00924FFE">
      <w:pPr>
        <w:numPr>
          <w:ilvl w:val="0"/>
          <w:numId w:val="16"/>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Las donaciones, siempre que sean irrevocables.</w:t>
      </w:r>
    </w:p>
    <w:p w14:paraId="734CED02" w14:textId="77777777" w:rsidR="00924FFE" w:rsidRPr="002C1480" w:rsidRDefault="00924FFE" w:rsidP="00924FFE">
      <w:pPr>
        <w:spacing w:after="0" w:line="240" w:lineRule="auto"/>
        <w:ind w:left="360"/>
        <w:jc w:val="both"/>
        <w:rPr>
          <w:rFonts w:ascii="Arial" w:eastAsia="Times New Roman" w:hAnsi="Arial" w:cs="Arial"/>
          <w:color w:val="000000"/>
          <w:lang w:eastAsia="es-CO"/>
        </w:rPr>
      </w:pPr>
    </w:p>
    <w:p w14:paraId="2116D3C7" w14:textId="77777777" w:rsidR="00404266" w:rsidRPr="002C1480" w:rsidRDefault="00404266" w:rsidP="00924FFE">
      <w:pPr>
        <w:numPr>
          <w:ilvl w:val="0"/>
          <w:numId w:val="16"/>
        </w:numPr>
        <w:spacing w:after="0" w:line="254" w:lineRule="atLeast"/>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Los aportes sociales amortizados o readquiridos por el fondo de empleados en exceso del que esté determinado en los estatutos como monto mínimo de aportes sociales no reducibles”.  </w:t>
      </w:r>
    </w:p>
    <w:p w14:paraId="0229EA1C" w14:textId="41344EC2" w:rsidR="00404266" w:rsidRPr="002C1480" w:rsidRDefault="00404266" w:rsidP="00924FFE">
      <w:pPr>
        <w:spacing w:after="0" w:line="254" w:lineRule="atLeast"/>
        <w:ind w:left="720"/>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32" w:name="ver_30106118"/>
      <w:bookmarkEnd w:id="1531"/>
      <w:bookmarkEnd w:id="1532"/>
    </w:p>
    <w:p w14:paraId="1D06DBBD" w14:textId="1BC9013B"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2.11.5.2.1.5. Deducciones del patrimonio básico. Se deducirán del patrimonio básico los siguientes conceptos:  </w:t>
      </w:r>
    </w:p>
    <w:p w14:paraId="0940FB65" w14:textId="77777777" w:rsidR="00924FFE" w:rsidRPr="002C1480" w:rsidRDefault="00924FFE" w:rsidP="00C32F85">
      <w:pPr>
        <w:spacing w:after="0" w:line="254" w:lineRule="atLeast"/>
        <w:jc w:val="both"/>
        <w:rPr>
          <w:rFonts w:ascii="Arial" w:eastAsia="Times New Roman" w:hAnsi="Arial" w:cs="Arial"/>
          <w:color w:val="000000"/>
          <w:lang w:eastAsia="es-CO"/>
        </w:rPr>
      </w:pPr>
    </w:p>
    <w:p w14:paraId="4E644E99" w14:textId="07B7DD4F" w:rsidR="00404266" w:rsidRDefault="00404266" w:rsidP="00924FFE">
      <w:pPr>
        <w:pStyle w:val="Prrafodelista"/>
        <w:numPr>
          <w:ilvl w:val="0"/>
          <w:numId w:val="39"/>
        </w:numPr>
        <w:spacing w:after="0" w:line="254" w:lineRule="atLeast"/>
        <w:ind w:left="360"/>
        <w:jc w:val="both"/>
        <w:rPr>
          <w:rFonts w:ascii="Arial" w:eastAsia="Times New Roman" w:hAnsi="Arial" w:cs="Arial"/>
          <w:color w:val="000000"/>
          <w:lang w:eastAsia="es-CO"/>
        </w:rPr>
      </w:pPr>
      <w:r w:rsidRPr="00924FFE">
        <w:rPr>
          <w:rFonts w:ascii="Arial" w:eastAsia="Times New Roman" w:hAnsi="Arial" w:cs="Arial"/>
          <w:color w:val="000000"/>
          <w:lang w:eastAsia="es-CO"/>
        </w:rPr>
        <w:t>Las pérdidas de ejercicios anteriores y las del ejercicio en curso.</w:t>
      </w:r>
    </w:p>
    <w:p w14:paraId="33B1D799" w14:textId="77777777" w:rsidR="00924FFE" w:rsidRPr="00924FFE" w:rsidRDefault="00924FFE" w:rsidP="00924FFE">
      <w:pPr>
        <w:pStyle w:val="Prrafodelista"/>
        <w:spacing w:after="0" w:line="254" w:lineRule="atLeast"/>
        <w:ind w:left="360"/>
        <w:jc w:val="both"/>
        <w:rPr>
          <w:rFonts w:ascii="Arial" w:eastAsia="Times New Roman" w:hAnsi="Arial" w:cs="Arial"/>
          <w:color w:val="000000"/>
          <w:lang w:eastAsia="es-CO"/>
        </w:rPr>
      </w:pPr>
    </w:p>
    <w:p w14:paraId="12766FFD" w14:textId="6E80950D" w:rsidR="00404266" w:rsidRPr="00924FFE" w:rsidRDefault="00404266" w:rsidP="00924FFE">
      <w:pPr>
        <w:pStyle w:val="Prrafodelista"/>
        <w:numPr>
          <w:ilvl w:val="0"/>
          <w:numId w:val="39"/>
        </w:numPr>
        <w:spacing w:after="0" w:line="254" w:lineRule="atLeast"/>
        <w:ind w:left="360"/>
        <w:jc w:val="both"/>
        <w:rPr>
          <w:rFonts w:ascii="Arial" w:eastAsia="Times New Roman" w:hAnsi="Arial" w:cs="Arial"/>
          <w:color w:val="000000"/>
          <w:lang w:eastAsia="es-CO"/>
        </w:rPr>
      </w:pPr>
      <w:r w:rsidRPr="00924FFE">
        <w:rPr>
          <w:rFonts w:ascii="Arial" w:eastAsia="Times New Roman" w:hAnsi="Arial" w:cs="Arial"/>
          <w:color w:val="000000"/>
          <w:lang w:eastAsia="es-CO"/>
        </w:rPr>
        <w:t>El valor de las inversiones de capital, así como de las inversiones en bonos obligatoriamente convertibles en acciones, en bonos subordinados opcionalmente convertibles en acciones o, en general, en instrumentos de deuda subordinada, efectuadas en forma directa o indirecta en entidades sometidas al control y vigilancia de la Superintendencia Financiera de Colombia o de la Superintendencia de la Economía Solidaria, sin incluir sus valorizaciones.</w:t>
      </w:r>
    </w:p>
    <w:p w14:paraId="64B2F1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F655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aportes que los Fondos de Empleados de categoría plena posean en otras organizaciones de naturaleza solidaria se consideran inversiones de capital;  </w:t>
      </w:r>
    </w:p>
    <w:p w14:paraId="6829A7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0889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activos intangibles registrados;  </w:t>
      </w:r>
    </w:p>
    <w:p w14:paraId="5F9337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D46E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cálculo actuarial del pasivo pensional.  </w:t>
      </w:r>
    </w:p>
    <w:p w14:paraId="34146EA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33" w:name="ver_30169264"/>
      <w:bookmarkStart w:id="1534" w:name="ver_30106161"/>
      <w:bookmarkEnd w:id="1533"/>
    </w:p>
    <w:p w14:paraId="0EE57687" w14:textId="3109CACC"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2.11.5.2.1.6. Patrimonio adicional. El patrimonio adicional de los Fondos de Empleados de categoría plena comprenderá:  </w:t>
      </w:r>
    </w:p>
    <w:p w14:paraId="5FB5BD03" w14:textId="77777777" w:rsidR="00924FFE" w:rsidRPr="002C1480" w:rsidRDefault="00924FFE" w:rsidP="00C32F85">
      <w:pPr>
        <w:spacing w:after="0" w:line="254" w:lineRule="atLeast"/>
        <w:jc w:val="both"/>
        <w:rPr>
          <w:rFonts w:ascii="Arial" w:eastAsia="Times New Roman" w:hAnsi="Arial" w:cs="Arial"/>
          <w:color w:val="000000"/>
          <w:lang w:eastAsia="es-CO"/>
        </w:rPr>
      </w:pPr>
    </w:p>
    <w:p w14:paraId="7E4E1500" w14:textId="41CA5BFA" w:rsidR="00404266" w:rsidRPr="00924FFE" w:rsidRDefault="00404266" w:rsidP="00924FFE">
      <w:pPr>
        <w:pStyle w:val="Prrafodelista"/>
        <w:numPr>
          <w:ilvl w:val="1"/>
          <w:numId w:val="10"/>
        </w:numPr>
        <w:spacing w:after="0" w:line="254" w:lineRule="atLeast"/>
        <w:ind w:left="360"/>
        <w:jc w:val="both"/>
        <w:rPr>
          <w:rFonts w:ascii="Arial" w:eastAsia="Times New Roman" w:hAnsi="Arial" w:cs="Arial"/>
          <w:color w:val="000000"/>
          <w:lang w:eastAsia="es-CO"/>
        </w:rPr>
      </w:pPr>
      <w:r w:rsidRPr="00924FFE">
        <w:rPr>
          <w:rFonts w:ascii="Arial" w:eastAsia="Times New Roman" w:hAnsi="Arial" w:cs="Arial"/>
          <w:color w:val="000000"/>
          <w:lang w:eastAsia="es-CO"/>
        </w:rPr>
        <w:t>Los excedentes del ejercicio en curso, en el porcentaje en el que la asamblea general de asociados, se comprometa irrevocablemente a destinar para el incremento de la reserva de protección de los aportes sociales, durante o al término del ejercicio.</w:t>
      </w:r>
    </w:p>
    <w:p w14:paraId="1488A8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B10D3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tal efecto, dichos excedentes solo serán reconocidos como capital regulatorio una vez la Superintendencia de la Economía Solidaria apruebe el documento de compromiso.  </w:t>
      </w:r>
    </w:p>
    <w:p w14:paraId="785518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897EF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Entre el 1° de enero y la fecha de celebración de la asamblea general ordinaria de asociados, se reconocerán los excedentes del ejercicio anterior en el mismo porcentaje al que se ha hecho referencia en este literal;  </w:t>
      </w:r>
    </w:p>
    <w:p w14:paraId="1EDA7FFB" w14:textId="3F41C4B2" w:rsidR="00924FFE" w:rsidRPr="00924FFE" w:rsidRDefault="00924FFE" w:rsidP="00924FFE">
      <w:pPr>
        <w:pStyle w:val="Prrafodelista"/>
        <w:spacing w:after="0" w:line="254" w:lineRule="atLeast"/>
        <w:ind w:left="1440"/>
        <w:jc w:val="both"/>
        <w:rPr>
          <w:rFonts w:ascii="Arial" w:eastAsia="Times New Roman" w:hAnsi="Arial" w:cs="Arial"/>
          <w:color w:val="000000"/>
          <w:lang w:eastAsia="es-CO"/>
        </w:rPr>
      </w:pPr>
    </w:p>
    <w:p w14:paraId="336FA569" w14:textId="581D8F6B" w:rsidR="00404266" w:rsidRDefault="00404266" w:rsidP="00924FFE">
      <w:pPr>
        <w:pStyle w:val="Prrafodelista"/>
        <w:numPr>
          <w:ilvl w:val="1"/>
          <w:numId w:val="10"/>
        </w:numPr>
        <w:spacing w:after="0" w:line="254" w:lineRule="atLeast"/>
        <w:ind w:left="360"/>
        <w:jc w:val="both"/>
        <w:rPr>
          <w:rFonts w:ascii="Arial" w:eastAsia="Times New Roman" w:hAnsi="Arial" w:cs="Arial"/>
          <w:color w:val="000000"/>
          <w:lang w:eastAsia="es-CO"/>
        </w:rPr>
      </w:pPr>
      <w:r w:rsidRPr="00924FFE">
        <w:rPr>
          <w:rFonts w:ascii="Arial" w:eastAsia="Times New Roman" w:hAnsi="Arial" w:cs="Arial"/>
          <w:color w:val="000000"/>
          <w:lang w:eastAsia="es-CO"/>
        </w:rPr>
        <w:lastRenderedPageBreak/>
        <w:t xml:space="preserve">El cincuenta por ciento (50%) de las valorizaciones o ganancias no realizadas en inversiones en valores clasificados como disponibles para la venta en títulos de deuda y títulos participativos con alta o media bursatilidad, exceptuando las valorizaciones de las inversiones a que se refiere el literal b) del </w:t>
      </w:r>
      <w:r w:rsidR="002C1480" w:rsidRPr="00924FFE">
        <w:rPr>
          <w:rFonts w:ascii="Arial" w:eastAsia="Times New Roman" w:hAnsi="Arial" w:cs="Arial"/>
          <w:color w:val="000000"/>
          <w:lang w:eastAsia="es-CO"/>
        </w:rPr>
        <w:t>ARTÍCULO</w:t>
      </w:r>
      <w:r w:rsidRPr="00924FFE">
        <w:rPr>
          <w:rFonts w:ascii="Arial" w:eastAsia="Times New Roman" w:hAnsi="Arial" w:cs="Arial"/>
          <w:color w:val="000000"/>
          <w:lang w:eastAsia="es-CO"/>
        </w:rPr>
        <w:t xml:space="preserve"> 2.11.5.2.1.5. del presente </w:t>
      </w:r>
      <w:r w:rsidR="008D6289" w:rsidRPr="00924FFE">
        <w:rPr>
          <w:rFonts w:ascii="Arial" w:eastAsia="Times New Roman" w:hAnsi="Arial" w:cs="Arial"/>
          <w:color w:val="000000"/>
          <w:lang w:eastAsia="es-CO"/>
        </w:rPr>
        <w:t>DECRETO</w:t>
      </w:r>
      <w:r w:rsidRPr="00924FFE">
        <w:rPr>
          <w:rFonts w:ascii="Arial" w:eastAsia="Times New Roman" w:hAnsi="Arial" w:cs="Arial"/>
          <w:color w:val="000000"/>
          <w:lang w:eastAsia="es-CO"/>
        </w:rPr>
        <w:t xml:space="preserve">. De dicho monto se deducirá el 100% de sus pérdidas, exceptuando las asociadas a las inversiones a que se refiere el literal b) del </w:t>
      </w:r>
      <w:r w:rsidR="002C1480" w:rsidRPr="00924FFE">
        <w:rPr>
          <w:rFonts w:ascii="Arial" w:eastAsia="Times New Roman" w:hAnsi="Arial" w:cs="Arial"/>
          <w:color w:val="000000"/>
          <w:lang w:eastAsia="es-CO"/>
        </w:rPr>
        <w:t>ARTÍCULO</w:t>
      </w:r>
      <w:r w:rsidRPr="00924FFE">
        <w:rPr>
          <w:rFonts w:ascii="Arial" w:eastAsia="Times New Roman" w:hAnsi="Arial" w:cs="Arial"/>
          <w:color w:val="000000"/>
          <w:lang w:eastAsia="es-CO"/>
        </w:rPr>
        <w:t xml:space="preserve"> 2.11.5.2.1.5. del presente </w:t>
      </w:r>
      <w:r w:rsidR="008D6289" w:rsidRPr="00924FFE">
        <w:rPr>
          <w:rFonts w:ascii="Arial" w:eastAsia="Times New Roman" w:hAnsi="Arial" w:cs="Arial"/>
          <w:color w:val="000000"/>
          <w:lang w:eastAsia="es-CO"/>
        </w:rPr>
        <w:t>DECRETO</w:t>
      </w:r>
      <w:r w:rsidRPr="00924FFE">
        <w:rPr>
          <w:rFonts w:ascii="Arial" w:eastAsia="Times New Roman" w:hAnsi="Arial" w:cs="Arial"/>
          <w:color w:val="000000"/>
          <w:lang w:eastAsia="es-CO"/>
        </w:rPr>
        <w:t>;</w:t>
      </w:r>
    </w:p>
    <w:p w14:paraId="0113E0CE" w14:textId="77777777" w:rsidR="00711F4F" w:rsidRPr="00924FFE" w:rsidRDefault="00711F4F" w:rsidP="00711F4F">
      <w:pPr>
        <w:pStyle w:val="Prrafodelista"/>
        <w:spacing w:after="0" w:line="254" w:lineRule="atLeast"/>
        <w:ind w:left="360"/>
        <w:jc w:val="both"/>
        <w:rPr>
          <w:rFonts w:ascii="Arial" w:eastAsia="Times New Roman" w:hAnsi="Arial" w:cs="Arial"/>
          <w:color w:val="000000"/>
          <w:lang w:eastAsia="es-CO"/>
        </w:rPr>
      </w:pPr>
    </w:p>
    <w:p w14:paraId="7DCACCA8" w14:textId="14ADEE98" w:rsidR="00404266" w:rsidRPr="00711F4F" w:rsidRDefault="00404266" w:rsidP="00711F4F">
      <w:pPr>
        <w:pStyle w:val="Prrafodelista"/>
        <w:numPr>
          <w:ilvl w:val="1"/>
          <w:numId w:val="10"/>
        </w:numPr>
        <w:spacing w:after="0" w:line="254" w:lineRule="atLeast"/>
        <w:ind w:left="360"/>
        <w:jc w:val="both"/>
        <w:rPr>
          <w:rFonts w:ascii="Arial" w:eastAsia="Times New Roman" w:hAnsi="Arial" w:cs="Arial"/>
          <w:color w:val="000000"/>
          <w:lang w:eastAsia="es-CO"/>
        </w:rPr>
      </w:pPr>
      <w:r w:rsidRPr="00711F4F">
        <w:rPr>
          <w:rFonts w:ascii="Arial" w:eastAsia="Times New Roman" w:hAnsi="Arial" w:cs="Arial"/>
          <w:color w:val="000000"/>
          <w:lang w:eastAsia="es-CO"/>
        </w:rPr>
        <w:t>El valor de las provisiones de carácter general constituidas por el Fondo de Empleados. El presente instrumento se tendrá en cuenta hasta por un valor máximo equivalente al 1.25% de los activos ponderados por nivel de riesgo crediticio. No se tendrán en cuenta los excesos sobre las provisiones generales regulatorias.</w:t>
      </w:r>
    </w:p>
    <w:p w14:paraId="681A435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953EA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valor total del patrimonio adicional no podrá exceder del cien por ciento (100%) del patrimonio básico neto de deducciones.  </w:t>
      </w:r>
    </w:p>
    <w:p w14:paraId="12A9A2E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35" w:name="ver_30106196"/>
      <w:bookmarkEnd w:id="1534"/>
      <w:bookmarkEnd w:id="1535"/>
    </w:p>
    <w:p w14:paraId="10DB5668" w14:textId="6817031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2.11.5.2.1.7.Activos ponderados por nivel de riesgo crediticio. Para determinar el valor de los activos ponderados por nivel de riesgo crediticio, los Fondos de Empleados de categoría plena tendrán en cuenta sus activos y contingencias. Para el efecto, se multiplicará el valor del respectivo activo o contingencia, por un porcentaje de ponderación de su valor según corresponda de acuerdo con la clasificación en las categorías señaladas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2.11.5.2.1.8. y 2.11.5.2.1.9.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49B6D0F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36" w:name="ver_30189083"/>
      <w:bookmarkStart w:id="1537" w:name="ver_30106199"/>
      <w:bookmarkEnd w:id="1536"/>
    </w:p>
    <w:p w14:paraId="057B451D" w14:textId="0D80748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2.11.5.2.1.8. Clasificación y ponderación de activos por nivel de riesgo. Los activos y contingencias de los Fondos de Empleados de categoría plena se computarán por un porcentaje de su valor, de acuerdo con la siguiente clasificación:  </w:t>
      </w:r>
    </w:p>
    <w:p w14:paraId="651711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0901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 Activos de máxima seguridad, tales como caja, depósitos a la vista en entidades sometidas a inspección y vigilancia de la Superintendencia Financiera de Colombia y de la Superintendencia de la Economía Solidaria, y valores de la Nación o del Banco de la República, o emitidos para el cumplimiento de inversiones obligatorias.  </w:t>
      </w:r>
    </w:p>
    <w:p w14:paraId="118D41F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2835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II: Activos de muy alta seguridad, tales como los títulos emitidos por entidades públicas del orden nacional, los depósitos a término en establecimientos de crédito o en cooperativas, pactos de reventa y pagos anticipados.  </w:t>
      </w:r>
    </w:p>
    <w:p w14:paraId="689E7B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2FC08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III: Otros activos con alta seguridad pero con baja liquidez, tales como créditos hipotecarios otorgados para financiar la construcción o adquisición de vivienda, distintos de aquellos que hayan sido reestructurados.  </w:t>
      </w:r>
    </w:p>
    <w:p w14:paraId="4377F633" w14:textId="4504BE2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IV: Los demás activos de riesgo, tales como la cartera de créditos, cuentas por cobrar, otras inversiones voluntarias, inversiones en propiedad, planta y equipos incluida su valorización, bienes realizables y recibidos en dación en pago, bienes de arte y cultura, remesas en tránsito y las contingencias que se refieren a los bienes y valores entregados en garantía.  </w:t>
      </w:r>
    </w:p>
    <w:p w14:paraId="6C2CD4A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E6C12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activos incluidos en las categorías anteriores se computarán por el 0%, 20%, 50% y 100% de su valor, respectivamente.  </w:t>
      </w:r>
    </w:p>
    <w:p w14:paraId="458C5E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FF946C" w14:textId="4D43015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Los activos que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2.11.5.2.1.5.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deduzcan para efectuar el cálculo del patrimonio básico, no se computarán para efectos de determinar el total de activos ponderados por riesgo de las entidades de que trata el presente título.  </w:t>
      </w:r>
    </w:p>
    <w:p w14:paraId="4BEDCC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7CC464DD" w14:textId="371E020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fondo de liquidez de que trata el Capítulo II del Título 7 de la Parte 11 del Libro 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clasificará de acuerdo con la categoría que corresponda a las inversiones que lo componen”. </w:t>
      </w:r>
    </w:p>
    <w:p w14:paraId="30074DD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38" w:name="ver_30106203"/>
      <w:bookmarkEnd w:id="1537"/>
      <w:bookmarkEnd w:id="1538"/>
    </w:p>
    <w:p w14:paraId="2341D2FA" w14:textId="7B24A4A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2.11.5.2.1.9. Clasificación y ponderación de las contingencias. Las contingencias  </w:t>
      </w:r>
    </w:p>
    <w:p w14:paraId="2F477832" w14:textId="7BD063BB"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ponderarán, para efectos de la aplicación de lo previsto en la presente sección, según se determina a continuación:  </w:t>
      </w:r>
    </w:p>
    <w:p w14:paraId="048F0528" w14:textId="77777777" w:rsidR="00326FFA" w:rsidRPr="002C1480" w:rsidRDefault="00326FFA" w:rsidP="00C32F85">
      <w:pPr>
        <w:spacing w:after="0" w:line="254" w:lineRule="atLeast"/>
        <w:jc w:val="both"/>
        <w:rPr>
          <w:rFonts w:ascii="Arial" w:eastAsia="Times New Roman" w:hAnsi="Arial" w:cs="Arial"/>
          <w:color w:val="000000"/>
          <w:lang w:eastAsia="es-CO"/>
        </w:rPr>
      </w:pPr>
    </w:p>
    <w:p w14:paraId="5CCC7ADC" w14:textId="307A6CAF" w:rsidR="00404266" w:rsidRPr="00326FFA" w:rsidRDefault="00404266" w:rsidP="00326FFA">
      <w:pPr>
        <w:pStyle w:val="Prrafodelista"/>
        <w:numPr>
          <w:ilvl w:val="0"/>
          <w:numId w:val="40"/>
        </w:numPr>
        <w:spacing w:after="0" w:line="254" w:lineRule="atLeast"/>
        <w:ind w:left="360"/>
        <w:jc w:val="both"/>
        <w:rPr>
          <w:rFonts w:ascii="Arial" w:eastAsia="Times New Roman" w:hAnsi="Arial" w:cs="Arial"/>
          <w:color w:val="000000"/>
          <w:lang w:eastAsia="es-CO"/>
        </w:rPr>
      </w:pPr>
      <w:r w:rsidRPr="00326FFA">
        <w:rPr>
          <w:rFonts w:ascii="Arial" w:eastAsia="Times New Roman" w:hAnsi="Arial" w:cs="Arial"/>
          <w:color w:val="000000"/>
          <w:lang w:eastAsia="es-CO"/>
        </w:rPr>
        <w:t>El monto nominal de las contingencias se multiplica por el factor de conversión crediticio que corresponda a dicha operación, según la siguiente clasificación:</w:t>
      </w:r>
    </w:p>
    <w:p w14:paraId="2B922B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A093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sustitutos directos de crédito, tales como los contratos de apertura de crédito irrevocables,  </w:t>
      </w:r>
    </w:p>
    <w:p w14:paraId="2858068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tienen un factor de conversión crediticio del cien por ciento (100%).  </w:t>
      </w:r>
    </w:p>
    <w:p w14:paraId="53FE2B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DF4B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procesos administrativos o judiciales, los créditos aprobados no desembolsados, y los contratos de apertura de crédito revocables, en los cuales el riesgo de crédito permanece en el Fondo de Empleados, tienen un factor de conversión crediticio del veinte por ciento (20%).  </w:t>
      </w:r>
    </w:p>
    <w:p w14:paraId="0965B5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F8C682" w14:textId="0AD0174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otras contingencias tienen un factor de conversión crediticio del cero por ciento (0%);  </w:t>
      </w:r>
    </w:p>
    <w:p w14:paraId="6C1ADDAE" w14:textId="77777777" w:rsidR="00326FFA" w:rsidRPr="002C1480" w:rsidRDefault="00326FFA" w:rsidP="00C32F85">
      <w:pPr>
        <w:spacing w:after="0" w:line="254" w:lineRule="atLeast"/>
        <w:jc w:val="both"/>
        <w:rPr>
          <w:rFonts w:ascii="Arial" w:eastAsia="Times New Roman" w:hAnsi="Arial" w:cs="Arial"/>
          <w:color w:val="000000"/>
          <w:lang w:eastAsia="es-CO"/>
        </w:rPr>
      </w:pPr>
    </w:p>
    <w:p w14:paraId="2D050AD6" w14:textId="05786B77" w:rsidR="00404266" w:rsidRPr="00326FFA" w:rsidRDefault="00404266" w:rsidP="00326FFA">
      <w:pPr>
        <w:pStyle w:val="Prrafodelista"/>
        <w:numPr>
          <w:ilvl w:val="0"/>
          <w:numId w:val="40"/>
        </w:numPr>
        <w:spacing w:after="0" w:line="254" w:lineRule="atLeast"/>
        <w:ind w:left="360"/>
        <w:jc w:val="both"/>
        <w:rPr>
          <w:rFonts w:ascii="Arial" w:eastAsia="Times New Roman" w:hAnsi="Arial" w:cs="Arial"/>
          <w:color w:val="000000"/>
          <w:lang w:eastAsia="es-CO"/>
        </w:rPr>
      </w:pPr>
      <w:r w:rsidRPr="00326FFA">
        <w:rPr>
          <w:rFonts w:ascii="Arial" w:eastAsia="Times New Roman" w:hAnsi="Arial" w:cs="Arial"/>
          <w:color w:val="000000"/>
          <w:lang w:eastAsia="es-CO"/>
        </w:rPr>
        <w:t xml:space="preserve">El monto resultante se computará de acuerdo con las categorías señaladas en el </w:t>
      </w:r>
      <w:r w:rsidR="002C1480" w:rsidRPr="00326FFA">
        <w:rPr>
          <w:rFonts w:ascii="Arial" w:eastAsia="Times New Roman" w:hAnsi="Arial" w:cs="Arial"/>
          <w:color w:val="000000"/>
          <w:lang w:eastAsia="es-CO"/>
        </w:rPr>
        <w:t>ARTÍCULO</w:t>
      </w:r>
      <w:r w:rsidRPr="00326FFA">
        <w:rPr>
          <w:rFonts w:ascii="Arial" w:eastAsia="Times New Roman" w:hAnsi="Arial" w:cs="Arial"/>
          <w:color w:val="000000"/>
          <w:lang w:eastAsia="es-CO"/>
        </w:rPr>
        <w:t xml:space="preserve"> 2.11.5.2.1.8. de este </w:t>
      </w:r>
      <w:r w:rsidR="008D6289" w:rsidRPr="00326FFA">
        <w:rPr>
          <w:rFonts w:ascii="Arial" w:eastAsia="Times New Roman" w:hAnsi="Arial" w:cs="Arial"/>
          <w:color w:val="000000"/>
          <w:lang w:eastAsia="es-CO"/>
        </w:rPr>
        <w:t>DECRETO</w:t>
      </w:r>
      <w:r w:rsidRPr="00326FFA">
        <w:rPr>
          <w:rFonts w:ascii="Arial" w:eastAsia="Times New Roman" w:hAnsi="Arial" w:cs="Arial"/>
          <w:color w:val="000000"/>
          <w:lang w:eastAsia="es-CO"/>
        </w:rPr>
        <w:t>, teniendo en cuenta las características de la contraparte.</w:t>
      </w:r>
    </w:p>
    <w:p w14:paraId="287BE1D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39" w:name="ver_30106208"/>
      <w:bookmarkEnd w:id="1539"/>
    </w:p>
    <w:p w14:paraId="339419A6" w14:textId="1029C8B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2.11.5.2.1.10. Detalle de la clasificación de activos y contingencias. La Superintendencia de la Economía Solidaria impartirá las instrucciones necesarias para facilitar la debida clasificación de la totalidad de los activos y las contingencias dentro de las categorías determinadas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precedentes y de acuerdo con los criterios allí señalados.  </w:t>
      </w:r>
    </w:p>
    <w:p w14:paraId="0BEA6329" w14:textId="07623F31" w:rsidR="00404266" w:rsidRPr="002C1480" w:rsidRDefault="00404266"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40" w:name="ver_30106219"/>
      <w:bookmarkEnd w:id="1540"/>
    </w:p>
    <w:p w14:paraId="39EAD4C4" w14:textId="35D962D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2.11.5.2.1.11. Valoraciones y provisiones. Para efectos del presente título, los activos se valorarán por su costo ajustado pero se computarán netos de su respectiva provisión.  </w:t>
      </w:r>
    </w:p>
    <w:p w14:paraId="00F137E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F94997" w14:textId="6C942A1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Conforme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16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número 1481 de 1989, el valor de cada uno de los créditos que componen la cartera se computará neto de los aportes sociales y ahorro permanente del respectivo asociado, teniendo en cuenta que tanto los aportes como el ahorro permanente quedan afectados desde su origen a favor del Fondo de Empleados como garantía de las obligaciones que el asociado contraiga con este.  </w:t>
      </w:r>
    </w:p>
    <w:p w14:paraId="09F7E1DB" w14:textId="77777777" w:rsidR="00326FFA" w:rsidRDefault="00326FFA" w:rsidP="00C32F85">
      <w:pPr>
        <w:spacing w:after="0" w:line="293" w:lineRule="atLeast"/>
        <w:jc w:val="both"/>
        <w:rPr>
          <w:rFonts w:ascii="Arial" w:eastAsia="Times New Roman" w:hAnsi="Arial" w:cs="Arial"/>
          <w:color w:val="000000"/>
          <w:lang w:eastAsia="es-CO"/>
        </w:rPr>
      </w:pPr>
      <w:bookmarkStart w:id="1541" w:name="ver_30106224"/>
      <w:bookmarkEnd w:id="1541"/>
    </w:p>
    <w:p w14:paraId="5C14516E" w14:textId="189E3F87" w:rsidR="00404266" w:rsidRPr="00326FFA" w:rsidRDefault="00404266" w:rsidP="00326FFA">
      <w:pPr>
        <w:spacing w:after="0" w:line="293" w:lineRule="atLeast"/>
        <w:jc w:val="center"/>
        <w:rPr>
          <w:rFonts w:ascii="Arial" w:eastAsia="Times New Roman" w:hAnsi="Arial" w:cs="Arial"/>
          <w:b/>
          <w:bCs/>
          <w:color w:val="000000"/>
          <w:lang w:eastAsia="es-CO"/>
        </w:rPr>
      </w:pPr>
      <w:r w:rsidRPr="00326FFA">
        <w:rPr>
          <w:rFonts w:ascii="Arial" w:eastAsia="Times New Roman" w:hAnsi="Arial" w:cs="Arial"/>
          <w:b/>
          <w:bCs/>
          <w:color w:val="000000"/>
          <w:lang w:eastAsia="es-CO"/>
        </w:rPr>
        <w:t>SECCIÓN 2</w:t>
      </w:r>
    </w:p>
    <w:p w14:paraId="1284CCEB" w14:textId="77777777" w:rsidR="00404266" w:rsidRPr="00326FFA" w:rsidRDefault="00404266" w:rsidP="00326FFA">
      <w:pPr>
        <w:spacing w:after="0" w:line="293" w:lineRule="atLeast"/>
        <w:jc w:val="center"/>
        <w:rPr>
          <w:rFonts w:ascii="Arial" w:eastAsia="Times New Roman" w:hAnsi="Arial" w:cs="Arial"/>
          <w:b/>
          <w:bCs/>
          <w:color w:val="000000"/>
          <w:lang w:eastAsia="es-CO"/>
        </w:rPr>
      </w:pPr>
      <w:r w:rsidRPr="00326FFA">
        <w:rPr>
          <w:rFonts w:ascii="Arial" w:eastAsia="Times New Roman" w:hAnsi="Arial" w:cs="Arial"/>
          <w:b/>
          <w:bCs/>
          <w:color w:val="000000"/>
          <w:lang w:eastAsia="es-CO"/>
        </w:rPr>
        <w:t>LÍMITES A LOS CUPOS INDIVIDUALES DE CRÉDITO</w:t>
      </w:r>
    </w:p>
    <w:p w14:paraId="0BB612B0" w14:textId="62006949" w:rsidR="00404266" w:rsidRDefault="00404266" w:rsidP="00326FFA">
      <w:pPr>
        <w:spacing w:after="0" w:line="293" w:lineRule="atLeast"/>
        <w:jc w:val="center"/>
        <w:rPr>
          <w:rFonts w:ascii="Arial" w:eastAsia="Times New Roman" w:hAnsi="Arial" w:cs="Arial"/>
          <w:b/>
          <w:bCs/>
          <w:color w:val="000000"/>
          <w:lang w:eastAsia="es-CO"/>
        </w:rPr>
      </w:pPr>
      <w:r w:rsidRPr="00326FFA">
        <w:rPr>
          <w:rFonts w:ascii="Arial" w:eastAsia="Times New Roman" w:hAnsi="Arial" w:cs="Arial"/>
          <w:b/>
          <w:bCs/>
          <w:color w:val="000000"/>
          <w:lang w:eastAsia="es-CO"/>
        </w:rPr>
        <w:t>Y LA CONCENTRACIÓN DE OPERACIONES</w:t>
      </w:r>
    </w:p>
    <w:p w14:paraId="44D4046A" w14:textId="77777777" w:rsidR="00FC54E9" w:rsidRPr="00326FFA" w:rsidRDefault="00FC54E9" w:rsidP="00326FFA">
      <w:pPr>
        <w:spacing w:after="0" w:line="293" w:lineRule="atLeast"/>
        <w:jc w:val="center"/>
        <w:rPr>
          <w:rFonts w:ascii="Arial" w:eastAsia="Times New Roman" w:hAnsi="Arial" w:cs="Arial"/>
          <w:b/>
          <w:bCs/>
          <w:color w:val="000000"/>
          <w:lang w:eastAsia="es-CO"/>
        </w:rPr>
      </w:pPr>
    </w:p>
    <w:p w14:paraId="200965E1" w14:textId="14BA29C2" w:rsidR="00404266" w:rsidRPr="002C1480" w:rsidRDefault="002C1480" w:rsidP="00C32F85">
      <w:pPr>
        <w:spacing w:after="0" w:line="254" w:lineRule="atLeast"/>
        <w:jc w:val="both"/>
        <w:rPr>
          <w:rFonts w:ascii="Arial" w:eastAsia="Times New Roman" w:hAnsi="Arial" w:cs="Arial"/>
          <w:color w:val="000000"/>
          <w:lang w:eastAsia="es-CO"/>
        </w:rPr>
      </w:pPr>
      <w:bookmarkStart w:id="1542" w:name="ver_30169259"/>
      <w:bookmarkStart w:id="1543" w:name="ver_30106229"/>
      <w:bookmarkEnd w:id="1542"/>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2.11.5.2.2.1. Objetivo y ámbito de aplicación. Los límites de exposición establecidos en la presente sección serán de obligatorio cumplimiento para los Fondos de Empleados que pertenezcan a la categoría plena, con el fin de mitigar la pérdida máxima que podría resultar del incumplimiento de las operaciones realizadas con un mismo asociado o grupo conectado de asociados.  </w:t>
      </w:r>
    </w:p>
    <w:p w14:paraId="239621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82F3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Para efectos de la aplicación de lo dispuesto en la presente sección, conformarán un grupo conectado de asociados aquellos que sean cónyuges, compañeros o compañeras permanentes, o parientes dentro del segundo grado de consanguinidad, segundo de afinidad y único civil.  </w:t>
      </w:r>
    </w:p>
    <w:p w14:paraId="27B59B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286E0E" w14:textId="16B5237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organizaciones podrán exceptuar del concepto de grupo conectado previsto en el segundo inciso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aquellos eventos en que el asociado, respecto de la cual se predique la acumulación, haya declarado previamente bajo juramento al respectivo Fondo de Empleados que actúa bajo intereses económicos contrapuestos o independientes. Estas declaraciones estarán a disposición de la Superintendencia de la Economía Solidaria para el ejercicio de sus funciones de supervisión</w:t>
      </w:r>
      <w:r w:rsidR="00FC54E9">
        <w:rPr>
          <w:rFonts w:ascii="Arial" w:eastAsia="Times New Roman" w:hAnsi="Arial" w:cs="Arial"/>
          <w:color w:val="000000"/>
          <w:lang w:eastAsia="es-CO"/>
        </w:rPr>
        <w:t>.</w:t>
      </w:r>
      <w:r w:rsidRPr="002C1480">
        <w:rPr>
          <w:rFonts w:ascii="Arial" w:eastAsia="Times New Roman" w:hAnsi="Arial" w:cs="Arial"/>
          <w:color w:val="000000"/>
          <w:lang w:eastAsia="es-CO"/>
        </w:rPr>
        <w:t> </w:t>
      </w:r>
    </w:p>
    <w:p w14:paraId="1313524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44" w:name="ver_30169260"/>
      <w:bookmarkStart w:id="1545" w:name="ver_30106234"/>
      <w:bookmarkEnd w:id="1543"/>
      <w:bookmarkEnd w:id="1544"/>
    </w:p>
    <w:p w14:paraId="674847B4" w14:textId="44E0A36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2.11.5.2.2.2. Cuantía máxima del cupo individual. Ningún Fondo de Empleados de categoría plena podrá realizar con un mismo asociado o grupo conectado de asociados, directa o indirectamente, operaciones activas de crédito, que conjunta o separadamente excedan del diez por ciento (10%) del patrimonio técnico de la entidad, si la única garantía de la operación es el patrimonio del deudor. Sin embargo, cuando las operaciones respectivas cuenten con garantías o seguridades admisibles suficientes, las operaciones de que trata el presente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pueden alcanzar hasta el veinte por ciento (20%) del patrimonio técnico de la entidad.  </w:t>
      </w:r>
    </w:p>
    <w:p w14:paraId="5AF3C3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9BCEF5" w14:textId="00B3C39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efecto, se computarán los créditos desembolsados y aprobados por desembolsar, los contratos de apertura de créditos y demás operaciones activas de crédito, que se celebren con un mismo asociado o grupo conectado de asociados. El valor de cada uno de los créditos se computará neto de provisiones, y de los aportes sociales y ahorro permanente del respectivo asociado, de acuerdo a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2.11.5.2.1.11.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0011DF6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46" w:name="ver_30106238"/>
      <w:bookmarkEnd w:id="1545"/>
      <w:bookmarkEnd w:id="1546"/>
    </w:p>
    <w:p w14:paraId="48B447B0" w14:textId="28FAE3DA"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2.11.5.2.2.3. Garantías admisibles y no admisibles. Para efectos de la aplicación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se consideran garantías o seguridades admisibles aquellas que cumplen las siguientes condiciones:  </w:t>
      </w:r>
    </w:p>
    <w:p w14:paraId="3C03FB83" w14:textId="77777777" w:rsidR="00326FFA" w:rsidRPr="002C1480" w:rsidRDefault="00326FFA" w:rsidP="00C32F85">
      <w:pPr>
        <w:spacing w:after="0" w:line="254" w:lineRule="atLeast"/>
        <w:jc w:val="both"/>
        <w:rPr>
          <w:rFonts w:ascii="Arial" w:eastAsia="Times New Roman" w:hAnsi="Arial" w:cs="Arial"/>
          <w:color w:val="000000"/>
          <w:lang w:eastAsia="es-CO"/>
        </w:rPr>
      </w:pPr>
    </w:p>
    <w:p w14:paraId="488854FC" w14:textId="0F7C01D0" w:rsidR="00404266" w:rsidRPr="00326FFA" w:rsidRDefault="00404266" w:rsidP="007C693B">
      <w:pPr>
        <w:pStyle w:val="Prrafodelista"/>
        <w:numPr>
          <w:ilvl w:val="0"/>
          <w:numId w:val="41"/>
        </w:numPr>
        <w:spacing w:after="0" w:line="254" w:lineRule="atLeast"/>
        <w:ind w:left="360"/>
        <w:jc w:val="both"/>
        <w:rPr>
          <w:rFonts w:ascii="Arial" w:eastAsia="Times New Roman" w:hAnsi="Arial" w:cs="Arial"/>
          <w:color w:val="000000"/>
          <w:lang w:eastAsia="es-CO"/>
        </w:rPr>
      </w:pPr>
      <w:r w:rsidRPr="00326FFA">
        <w:rPr>
          <w:rFonts w:ascii="Arial" w:eastAsia="Times New Roman" w:hAnsi="Arial" w:cs="Arial"/>
          <w:color w:val="000000"/>
          <w:lang w:eastAsia="es-CO"/>
        </w:rPr>
        <w:t>Que la garantía o seguridad tenga un valor, establecido con base en criterios técnicos y objetivos, que sea suficiente para cubrir el monto garantizado durante la vigencia de la obligación; </w:t>
      </w:r>
    </w:p>
    <w:p w14:paraId="4A5BD851" w14:textId="4124E97A" w:rsidR="00404266" w:rsidRPr="00326FFA" w:rsidRDefault="00404266" w:rsidP="004D56FC">
      <w:pPr>
        <w:numPr>
          <w:ilvl w:val="0"/>
          <w:numId w:val="26"/>
        </w:numPr>
        <w:spacing w:before="100" w:beforeAutospacing="1" w:after="0" w:afterAutospacing="1" w:line="254" w:lineRule="atLeast"/>
        <w:ind w:left="360"/>
        <w:jc w:val="both"/>
        <w:rPr>
          <w:rFonts w:ascii="Arial" w:eastAsia="Times New Roman" w:hAnsi="Arial" w:cs="Arial"/>
          <w:color w:val="000000"/>
          <w:lang w:eastAsia="es-CO"/>
        </w:rPr>
      </w:pPr>
      <w:r w:rsidRPr="00326FFA">
        <w:rPr>
          <w:rFonts w:ascii="Arial" w:eastAsia="Times New Roman" w:hAnsi="Arial" w:cs="Arial"/>
          <w:color w:val="000000"/>
          <w:lang w:eastAsia="es-CO"/>
        </w:rPr>
        <w:t>Que la garantía o seguridad ofrezca un respaldo jurídicamente eficaz al pago de la obligación garantizada al otorgar al acreedor una preferencia o mejor derecho para obtener el pago de la obligación. </w:t>
      </w:r>
    </w:p>
    <w:p w14:paraId="408679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serán admisibles las garantías o seguridades que consistan en la entrega de títulos valores, salvo que se trate de la pignoración de títulos valores emitidos, aceptados o garantizados por entidades financieras o entidades emisoras de valores en el mercado público.  </w:t>
      </w:r>
    </w:p>
    <w:p w14:paraId="01F71B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F03ACF" w14:textId="3E1F8DE3"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Tampoco serán admisibles para un Fondo de Empleados los títulos valores, certificados de depósito a término, o cualquier otro documento de su propio crédito o que haya sido emitido por una entidad subordinada a él.  </w:t>
      </w:r>
    </w:p>
    <w:p w14:paraId="5B9313A2" w14:textId="77777777" w:rsidR="00FC54E9" w:rsidRPr="002C1480" w:rsidRDefault="00FC54E9" w:rsidP="00C32F85">
      <w:pPr>
        <w:spacing w:after="0" w:line="254" w:lineRule="atLeast"/>
        <w:jc w:val="both"/>
        <w:rPr>
          <w:rFonts w:ascii="Arial" w:eastAsia="Times New Roman" w:hAnsi="Arial" w:cs="Arial"/>
          <w:color w:val="000000"/>
          <w:lang w:eastAsia="es-CO"/>
        </w:rPr>
      </w:pPr>
    </w:p>
    <w:p w14:paraId="70C9016E" w14:textId="2AD1B538" w:rsidR="00404266" w:rsidRPr="002C1480" w:rsidRDefault="002C1480" w:rsidP="00C32F85">
      <w:pPr>
        <w:spacing w:after="0" w:line="254" w:lineRule="atLeast"/>
        <w:jc w:val="both"/>
        <w:rPr>
          <w:rFonts w:ascii="Arial" w:eastAsia="Times New Roman" w:hAnsi="Arial" w:cs="Arial"/>
          <w:color w:val="000000"/>
          <w:lang w:eastAsia="es-CO"/>
        </w:rPr>
      </w:pPr>
      <w:bookmarkStart w:id="1547" w:name="ver_30169261"/>
      <w:bookmarkStart w:id="1548" w:name="ver_30106242"/>
      <w:bookmarkEnd w:id="1547"/>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2.11.5.2.2.4. Información al Comité de control social y Junta Directiva. Toda situación de concentración de cupo individual superior al diez por ciento (10%) del patrimonio técnico, cualesquiera que sean las garantías que se presenten, deberá ser reportado mensualmente por el representante legal al Comité de control social y a la Junta Directiva de la respectiva entidad.  </w:t>
      </w:r>
    </w:p>
    <w:p w14:paraId="6A48D0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7B37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Igualmente, dentro del mismo término deberán informarse las clases y montos de las garantías vigentes para la operación, prórrogas, renovaciones o refinanciaciones de las obligaciones que constituyen la concentración del riesgo.  </w:t>
      </w:r>
    </w:p>
    <w:p w14:paraId="4011AB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E848D6" w14:textId="1D23003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el cumplimiento de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 Junta Directiva y el Comité de Control Social actuarán de manera independiente y exclusivamente bajo el cumplimiento de las funciones que corresponden a cada órgano. El comité de control social actuará con sujeción a las funciones establecidas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59 de la Ley 454 de 1998 y 2.11.11.6.2.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5E7FAB40" w14:textId="0DFC86C9" w:rsidR="00404266" w:rsidRPr="002C1480" w:rsidRDefault="00404266"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49" w:name="ver_30189084"/>
      <w:bookmarkStart w:id="1550" w:name="ver_30106243"/>
      <w:bookmarkEnd w:id="1548"/>
      <w:bookmarkEnd w:id="1549"/>
    </w:p>
    <w:p w14:paraId="62D9A225" w14:textId="0B376C2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2.11.5.2.2.5. Concentración de aportes sociales y captaciones. La Superintendencia de la Economía Solidaria impartirá las instrucciones necesarias para la identificación, medición, control y monitoreo del riesgo de liquidez de los Fondos de Empleados de categoría plena, derivado de la concentración de aportes sociales y captaciones en depósitos de ahorro a la vista, a término, contractual, y demás modalidades de captación, en un sólo asociado o grupo conectado de asociados </w:t>
      </w:r>
    </w:p>
    <w:p w14:paraId="157E3AC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51" w:name="ver_30106244"/>
      <w:bookmarkEnd w:id="1550"/>
      <w:bookmarkEnd w:id="1551"/>
    </w:p>
    <w:p w14:paraId="51A403D3" w14:textId="65CF1A56" w:rsidR="00404266" w:rsidRDefault="002C1480"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2.11.5.2.2.6. Periodicidad del reporte. La Superintendencia de la Economía Solidaria establecerá la periodicidad en la que verificará el cumplimiento de los límites previstos en la presente sección. Independientemente de las fechas de reporte, las entidades deberán cumplir </w:t>
      </w:r>
    </w:p>
    <w:p w14:paraId="55323FB7" w14:textId="77777777" w:rsidR="00326FFA" w:rsidRPr="00326FFA" w:rsidRDefault="00326FFA" w:rsidP="00326FFA">
      <w:pPr>
        <w:spacing w:after="0" w:line="254" w:lineRule="atLeast"/>
        <w:jc w:val="center"/>
        <w:rPr>
          <w:rFonts w:ascii="Arial" w:eastAsia="Times New Roman" w:hAnsi="Arial" w:cs="Arial"/>
          <w:b/>
          <w:bCs/>
          <w:color w:val="000000"/>
          <w:lang w:eastAsia="es-CO"/>
        </w:rPr>
      </w:pPr>
    </w:p>
    <w:p w14:paraId="1C339903" w14:textId="77777777" w:rsidR="00404266" w:rsidRPr="00326FFA" w:rsidRDefault="00404266" w:rsidP="00326FFA">
      <w:pPr>
        <w:spacing w:after="0" w:line="293" w:lineRule="atLeast"/>
        <w:jc w:val="center"/>
        <w:rPr>
          <w:rFonts w:ascii="Arial" w:eastAsia="Times New Roman" w:hAnsi="Arial" w:cs="Arial"/>
          <w:b/>
          <w:bCs/>
          <w:color w:val="000000"/>
          <w:lang w:eastAsia="es-CO"/>
        </w:rPr>
      </w:pPr>
      <w:bookmarkStart w:id="1552" w:name="ver_30106247"/>
      <w:bookmarkEnd w:id="1552"/>
      <w:r w:rsidRPr="00326FFA">
        <w:rPr>
          <w:rFonts w:ascii="Arial" w:eastAsia="Times New Roman" w:hAnsi="Arial" w:cs="Arial"/>
          <w:b/>
          <w:bCs/>
          <w:color w:val="000000"/>
          <w:lang w:eastAsia="es-CO"/>
        </w:rPr>
        <w:t>SECCIÓN 3</w:t>
      </w:r>
    </w:p>
    <w:p w14:paraId="0281B606" w14:textId="77777777" w:rsidR="00404266" w:rsidRPr="00326FFA" w:rsidRDefault="00404266" w:rsidP="00326FFA">
      <w:pPr>
        <w:spacing w:after="0" w:line="293" w:lineRule="atLeast"/>
        <w:jc w:val="center"/>
        <w:rPr>
          <w:rFonts w:ascii="Arial" w:eastAsia="Times New Roman" w:hAnsi="Arial" w:cs="Arial"/>
          <w:b/>
          <w:bCs/>
          <w:color w:val="000000"/>
          <w:lang w:eastAsia="es-CO"/>
        </w:rPr>
      </w:pPr>
      <w:r w:rsidRPr="00326FFA">
        <w:rPr>
          <w:rFonts w:ascii="Arial" w:eastAsia="Times New Roman" w:hAnsi="Arial" w:cs="Arial"/>
          <w:b/>
          <w:bCs/>
          <w:color w:val="000000"/>
          <w:lang w:eastAsia="es-CO"/>
        </w:rPr>
        <w:t>IDONEIDAD PARA LA PRESTACIÓN DE SERVICIOS DE AHORRO Y CRÉDITO</w:t>
      </w:r>
    </w:p>
    <w:p w14:paraId="7AFF42D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53" w:name="ver_30106253"/>
      <w:bookmarkEnd w:id="1553"/>
    </w:p>
    <w:p w14:paraId="2DB3156F" w14:textId="3608B855" w:rsidR="00404266" w:rsidRPr="002C1480" w:rsidRDefault="002C1480"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2.11.5.2.3.1. Reporte inicial de idoneidad. Con sujeción a lo previsto en el inciso primero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-ley número 1481 de 1989 y el numeral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36 de la Ley 454 de 1998, los Fondos de Empleados deberán, dentro de los diez (10) días hábiles siguientes al registro de los documentos de constitución ante la Cámara de Comercio, o quien haga sus veces, presentar ante la Superintendencia de la Economía Solidaria los siguientes documentos e información:  </w:t>
      </w:r>
    </w:p>
    <w:p w14:paraId="4A49FE25" w14:textId="77777777" w:rsidR="00404266" w:rsidRPr="002C1480" w:rsidRDefault="00404266"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A79B79" w14:textId="77777777" w:rsidR="00404266" w:rsidRPr="002C1480" w:rsidRDefault="00404266" w:rsidP="00326FFA">
      <w:pPr>
        <w:numPr>
          <w:ilvl w:val="0"/>
          <w:numId w:val="27"/>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Para todos los Fondos de Empleados:</w:t>
      </w:r>
    </w:p>
    <w:p w14:paraId="2004361E" w14:textId="77777777" w:rsidR="00404266" w:rsidRPr="002C1480" w:rsidRDefault="00404266"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9CE979" w14:textId="6285703E" w:rsidR="00404266" w:rsidRPr="002C1480" w:rsidRDefault="00404266" w:rsidP="00326FFA">
      <w:pPr>
        <w:numPr>
          <w:ilvl w:val="0"/>
          <w:numId w:val="28"/>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Acta de la asamblea de constitución, que contenga los parámetros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número 1481 de 1989;</w:t>
      </w:r>
    </w:p>
    <w:p w14:paraId="0AB5B93A" w14:textId="77777777" w:rsidR="00404266" w:rsidRPr="002C1480" w:rsidRDefault="00404266"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8F999E" w14:textId="77777777" w:rsidR="00404266" w:rsidRPr="002C1480" w:rsidRDefault="00404266" w:rsidP="00326FFA">
      <w:pPr>
        <w:numPr>
          <w:ilvl w:val="0"/>
          <w:numId w:val="29"/>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Estatuto aprobado y firmado por el presidente y secretario de la asamblea, indicando la fecha de aprobación del mismo, en el que conste el vínculo de asociación y el monto de los aportes sociales mínimos no reductibles de la entidad.</w:t>
      </w:r>
    </w:p>
    <w:p w14:paraId="3CAAE1C3" w14:textId="7182834A" w:rsidR="00404266" w:rsidRPr="002C1480" w:rsidRDefault="00404266" w:rsidP="00326FF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A3CB69" w14:textId="77777777" w:rsidR="00404266" w:rsidRPr="002C1480" w:rsidRDefault="00404266" w:rsidP="00326FFA">
      <w:pPr>
        <w:numPr>
          <w:ilvl w:val="0"/>
          <w:numId w:val="30"/>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Para los Fondos de Empleados que se clasifiquen en categoría plena adicionalmente se exigirá:</w:t>
      </w:r>
    </w:p>
    <w:p w14:paraId="60BF3F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EA7EBA" w14:textId="77777777" w:rsidR="00404266" w:rsidRPr="002C1480" w:rsidRDefault="00404266" w:rsidP="00F42255">
      <w:pPr>
        <w:numPr>
          <w:ilvl w:val="0"/>
          <w:numId w:val="31"/>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Hoja de vida de los administradores y asociados fundadores, así como la información que permita establecer su carácter, responsabilidad, idoneidad y situación patrimonial;</w:t>
      </w:r>
    </w:p>
    <w:p w14:paraId="760C7571" w14:textId="77777777" w:rsidR="00404266" w:rsidRPr="002C1480" w:rsidRDefault="00404266" w:rsidP="00F42255">
      <w:pPr>
        <w:spacing w:after="0" w:line="254" w:lineRule="atLeast"/>
        <w:ind w:left="735"/>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026204" w14:textId="77777777" w:rsidR="00404266" w:rsidRPr="002C1480" w:rsidRDefault="00404266" w:rsidP="00F42255">
      <w:pPr>
        <w:numPr>
          <w:ilvl w:val="0"/>
          <w:numId w:val="32"/>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Estudio de factibilidad que demuestre la viabilidad del Fondo de Empleados que se pretende constituir, así como las razones que la sustentan;</w:t>
      </w:r>
    </w:p>
    <w:p w14:paraId="117717EF" w14:textId="77777777"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DDF58E" w14:textId="77777777" w:rsidR="00404266" w:rsidRPr="002C1480" w:rsidRDefault="00404266" w:rsidP="00FC54E9">
      <w:pPr>
        <w:numPr>
          <w:ilvl w:val="0"/>
          <w:numId w:val="33"/>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Proyección de estados financieros para los primeros cinco años de operaciones, de</w:t>
      </w:r>
    </w:p>
    <w:p w14:paraId="7E22183B" w14:textId="77777777" w:rsidR="00404266" w:rsidRPr="002C1480" w:rsidRDefault="00404266" w:rsidP="00FC54E9">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acuerdo con el marco técnico normativo contable que le sea aplicable;  </w:t>
      </w:r>
    </w:p>
    <w:p w14:paraId="7D0892DB" w14:textId="77777777"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F6CC7A" w14:textId="56FD3130" w:rsidR="00404266" w:rsidRDefault="00404266" w:rsidP="00F42255">
      <w:pPr>
        <w:numPr>
          <w:ilvl w:val="0"/>
          <w:numId w:val="34"/>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Procedimientos y herramientas que se van a utilizar para manejar los riesgos de crédito, las tasas de interés, operativo y el régimen de control y prevención de lavado de activos y financiación del terrorismo;</w:t>
      </w:r>
    </w:p>
    <w:p w14:paraId="4A54D92D" w14:textId="77777777" w:rsidR="00F42255" w:rsidRPr="002C1480" w:rsidRDefault="00F42255" w:rsidP="00F42255">
      <w:pPr>
        <w:spacing w:after="0" w:line="240" w:lineRule="auto"/>
        <w:ind w:left="360"/>
        <w:jc w:val="both"/>
        <w:rPr>
          <w:rFonts w:ascii="Arial" w:eastAsia="Times New Roman" w:hAnsi="Arial" w:cs="Arial"/>
          <w:color w:val="000000"/>
          <w:lang w:eastAsia="es-CO"/>
        </w:rPr>
      </w:pPr>
    </w:p>
    <w:p w14:paraId="330F33F8" w14:textId="77777777" w:rsidR="00404266" w:rsidRPr="002C1480" w:rsidRDefault="00404266" w:rsidP="00F42255">
      <w:pPr>
        <w:numPr>
          <w:ilvl w:val="0"/>
          <w:numId w:val="35"/>
        </w:numPr>
        <w:spacing w:after="0" w:line="240" w:lineRule="auto"/>
        <w:ind w:left="360"/>
        <w:jc w:val="both"/>
        <w:rPr>
          <w:rFonts w:ascii="Arial" w:eastAsia="Times New Roman" w:hAnsi="Arial" w:cs="Arial"/>
          <w:color w:val="000000"/>
          <w:lang w:eastAsia="es-CO"/>
        </w:rPr>
      </w:pPr>
      <w:r w:rsidRPr="002C1480">
        <w:rPr>
          <w:rFonts w:ascii="Arial" w:eastAsia="Times New Roman" w:hAnsi="Arial" w:cs="Arial"/>
          <w:color w:val="000000"/>
          <w:lang w:eastAsia="es-CO"/>
        </w:rPr>
        <w:t>Manuales o reglamentos internos de buen gobierno y de órganos de control social.</w:t>
      </w:r>
    </w:p>
    <w:p w14:paraId="69498E27" w14:textId="77777777" w:rsidR="00404266" w:rsidRPr="002C1480" w:rsidRDefault="00404266" w:rsidP="00F42255">
      <w:pPr>
        <w:spacing w:after="0" w:line="254" w:lineRule="atLeast"/>
        <w:ind w:left="735"/>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DF5EEF" w14:textId="2FEC1564"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Se entenderá cumplido el procedimiento de presentación de documentos e información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con el recibo de los mismos por parte de la Superintendencia de la Economía Solidaria.  </w:t>
      </w:r>
    </w:p>
    <w:p w14:paraId="2549DE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DF622FD" w14:textId="2AA9972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 Superintendencia de la Economía Solidaria fijará las condiciones conforme las cuales se dará cumplimiento a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38B103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54" w:name="ver_30106263"/>
      <w:bookmarkEnd w:id="1554"/>
    </w:p>
    <w:p w14:paraId="13021FDC" w14:textId="77777777" w:rsidR="00F42255" w:rsidRDefault="002C1480"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2.11.5.2.3.2. Reporte extraordinario de idoneidad. La Superintendencia de la Economía Solidaria podrá, en cualquier momento, requerir particularmente a un Fondo de Empleados el reporte de idoneidad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2.11.5.2.3.1.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con toda o parte de la información y documentación que corresponda de acuerdo a la categoría en que se clasifique el respectivo Fondo. En todo caso, conforme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9°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número 019 de 2012, no se podrán exigir documentos o información con los que cuente dicha Superintendencia </w:t>
      </w:r>
      <w:bookmarkStart w:id="1555" w:name="ver_30169130"/>
      <w:bookmarkEnd w:id="1555"/>
    </w:p>
    <w:p w14:paraId="5F665EF3" w14:textId="77777777" w:rsidR="00F42255" w:rsidRDefault="00F42255" w:rsidP="00F42255">
      <w:pPr>
        <w:spacing w:after="0" w:line="254" w:lineRule="atLeast"/>
        <w:jc w:val="both"/>
        <w:rPr>
          <w:rFonts w:ascii="Arial" w:eastAsia="Times New Roman" w:hAnsi="Arial" w:cs="Arial"/>
          <w:color w:val="000000"/>
          <w:lang w:eastAsia="es-CO"/>
        </w:rPr>
      </w:pPr>
    </w:p>
    <w:p w14:paraId="47361721" w14:textId="538CE628" w:rsidR="00404266" w:rsidRPr="00F42255" w:rsidRDefault="00404266" w:rsidP="00F42255">
      <w:pPr>
        <w:spacing w:after="0" w:line="254"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“TÍTULO 6</w:t>
      </w:r>
    </w:p>
    <w:p w14:paraId="01221D8A" w14:textId="77777777" w:rsidR="00404266" w:rsidRPr="00F42255" w:rsidRDefault="00404266"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TOMA DE POSESIÓN DE LAS COOPERATIVAS DE AHORRO Y CRÉDITO Y COOPERATIVAS MULTIACTIVAS O INTEGRALES CON SECCIÓN DE AHORRO Y CRÉDITO</w:t>
      </w:r>
    </w:p>
    <w:p w14:paraId="226042E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56" w:name="ver_30169131"/>
      <w:bookmarkEnd w:id="1556"/>
    </w:p>
    <w:p w14:paraId="61F2D019" w14:textId="3EFF74A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2.11.6.1.1. Remisión normativa. En lo relacionado con la toma de posesión, las disposiciones contenidas en el Título 2 del Libro 4 de la Parte 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son aplicables a las cooperativas de ahorro y crédito y las cooperativas multiactivas o integrales con sección de ahorro y crédito, en los términos allí dispuestos.  </w:t>
      </w:r>
    </w:p>
    <w:p w14:paraId="64ED9633" w14:textId="77777777" w:rsidR="00F42255" w:rsidRDefault="00F42255" w:rsidP="00C32F85">
      <w:pPr>
        <w:spacing w:after="0" w:line="293" w:lineRule="atLeast"/>
        <w:jc w:val="both"/>
        <w:rPr>
          <w:rFonts w:ascii="Arial" w:eastAsia="Times New Roman" w:hAnsi="Arial" w:cs="Arial"/>
          <w:color w:val="000000"/>
          <w:lang w:eastAsia="es-CO"/>
        </w:rPr>
      </w:pPr>
      <w:bookmarkStart w:id="1557" w:name="ver_30169132"/>
      <w:bookmarkEnd w:id="1557"/>
    </w:p>
    <w:p w14:paraId="400F86DB" w14:textId="2519AC24" w:rsidR="00404266" w:rsidRPr="00F42255" w:rsidRDefault="00404266"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TÍTULO 7</w:t>
      </w:r>
    </w:p>
    <w:p w14:paraId="2EB55E6B" w14:textId="77777777" w:rsidR="00404266" w:rsidRPr="00F42255" w:rsidRDefault="00404266"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NORMAS SOBRE LA GESTIÓN Y ADMINISTRACIÓN DE RIESGO DE LIQUIDEZ DE LAS COOPERATIVAS DE AHORRO Y CRÉDITO, LAS COOPERATIVAS MULTIACTIVAS E INTEGRALES CON SECCIÓN DE AHORRO Y CRÉDITO, LOS FONDOS DE EMPLEADOS Y LAS ASOCIACIONES MUTUALES</w:t>
      </w:r>
    </w:p>
    <w:p w14:paraId="419AA82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58" w:name="ver_30169133"/>
      <w:bookmarkEnd w:id="1558"/>
    </w:p>
    <w:p w14:paraId="6532B2C4" w14:textId="1D44665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2.11.7.1.1. Definición de riesgo de liquidez. Para efectos de lo previsto en el presente título, se entenderá por riesgo de liquidez la contingencia de que la entidad incurra en pérdidas excesivas por la enajenación de activos a descuentos inusuales y significativos, con el fin de disponer rápidamente de los recursos necesarios para cumplir con sus obligaciones contractuales.  </w:t>
      </w:r>
    </w:p>
    <w:p w14:paraId="650103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8E523D" w14:textId="651E9030" w:rsidR="00404266" w:rsidRPr="002C1480" w:rsidRDefault="002C1480" w:rsidP="00C32F85">
      <w:pPr>
        <w:spacing w:after="0" w:line="254" w:lineRule="atLeast"/>
        <w:jc w:val="both"/>
        <w:rPr>
          <w:rFonts w:ascii="Arial" w:eastAsia="Times New Roman" w:hAnsi="Arial" w:cs="Arial"/>
          <w:color w:val="000000"/>
          <w:lang w:eastAsia="es-CO"/>
        </w:rPr>
      </w:pPr>
      <w:bookmarkStart w:id="1559" w:name="ver_30189085"/>
      <w:bookmarkStart w:id="1560" w:name="ver_30169134"/>
      <w:bookmarkEnd w:id="1559"/>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2.11.7.1.2. Identificación, medición, control y monitoreo del riesgo de liquidez. Las cooperativas de ahorro y crédito, las cooperativas multiactivas e integrales con sección de ahorro y crédito, los fondos de empleados y las asociaciones mutuales deberán realizar una efectiva gestión y administración del riesgo de liquidez, que les permita identificar, medir, controlar y </w:t>
      </w:r>
      <w:r w:rsidR="00404266" w:rsidRPr="002C1480">
        <w:rPr>
          <w:rFonts w:ascii="Arial" w:eastAsia="Times New Roman" w:hAnsi="Arial" w:cs="Arial"/>
          <w:color w:val="000000"/>
          <w:lang w:eastAsia="es-CO"/>
        </w:rPr>
        <w:lastRenderedPageBreak/>
        <w:t>monitorear su exposición, tanto en las posiciones del balance como fuera de él, con el objeto de protegerse de eventuales cambios que ocasionen pérdidas en los estados financieros. </w:t>
      </w:r>
    </w:p>
    <w:p w14:paraId="64F5D33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B5A6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Superintendencia de la Economía Solidaria impartirá las instrucciones necesarias para la identificación, medición, control y monitoreo del riesgo de liquidez, a partir de lo previsto en el presente título. En lo no previsto, la entidad de vigilancia y control tomará en cuenta las recomendaciones del Comité de Basilea para la Supervisión Bancaria, consultando en todo caso la naturaleza de las entidades de que trata el presente título. </w:t>
      </w:r>
    </w:p>
    <w:p w14:paraId="64BB80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378BE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Sin perjuicio de lo anterior, la Superintendencia de la Economía Solidaria verificará que las entidades de que trata el presente título cuenten, para la identificación, medición, control y monitoreo del riesgo de liquidez, con una estructura organizacional acorde con sus características, su tamaño, y la complejidad de sus operaciones, y adopten políticas para el manejo de liquidez que cumplan los siguientes principios y que las mismas sean incorporadas en sus manuales y procedimientos internos: </w:t>
      </w:r>
    </w:p>
    <w:p w14:paraId="55FF18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52285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Cada entidad debe contar con una estrategia general para la gestión de su riesgo de liquidez, la cual debe ser aprobada por el Consejo de Administración y la Alta Gerencia y comunicada a toda la organización. Dicha estrategia debe incorporar la definición de planes que permitan mitigar la exposición al riesgo de liquidez en si</w:t>
      </w:r>
      <w:r w:rsidRPr="002C1480">
        <w:rPr>
          <w:rFonts w:ascii="Arial" w:eastAsia="Times New Roman" w:hAnsi="Arial" w:cs="Arial"/>
          <w:color w:val="000000"/>
          <w:lang w:eastAsia="es-CO"/>
        </w:rPr>
        <w:softHyphen/>
        <w:t>tuaciones normales de operación de la entidad, así como los planes de contingencia que se ejecutarán en situaciones excepcionales o de crisis de la organización o del mercado. </w:t>
      </w:r>
    </w:p>
    <w:p w14:paraId="08E26A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15A80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Consejo de Administración debe asegurarse de que los gerentes toman las me</w:t>
      </w:r>
      <w:r w:rsidRPr="002C1480">
        <w:rPr>
          <w:rFonts w:ascii="Arial" w:eastAsia="Times New Roman" w:hAnsi="Arial" w:cs="Arial"/>
          <w:color w:val="000000"/>
          <w:lang w:eastAsia="es-CO"/>
        </w:rPr>
        <w:softHyphen/>
        <w:t>didas necesarias para monitorear y controlar el riesgo de liquidez, y deberá ser informado de cualquier cambio significativo. </w:t>
      </w:r>
    </w:p>
    <w:p w14:paraId="66DBDF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07B1F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estrategia para el manejo de liquidez debe contener, entre otros aspectos, las políticas para su mitigación, los límites de exposición y los procedimientos para la adecuada implementación y funcionamiento del sistema de administración de dicho riesgo. </w:t>
      </w:r>
    </w:p>
    <w:p w14:paraId="6E4205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EC0DB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Cada entidad debe tener un sistema adecuado de control interno sobre su proceso de administración de riesgo de liquidez, que incluya entre otros elementos, aná</w:t>
      </w:r>
      <w:r w:rsidRPr="002C1480">
        <w:rPr>
          <w:rFonts w:ascii="Arial" w:eastAsia="Times New Roman" w:hAnsi="Arial" w:cs="Arial"/>
          <w:color w:val="000000"/>
          <w:lang w:eastAsia="es-CO"/>
        </w:rPr>
        <w:softHyphen/>
        <w:t>lisis regulares y evaluaciones permanentes, internos o externos, de la efectividad del sistema para garantizar que se efectúen adecuadas revisiones y mejoras. Los resultados de dichas revisiones deben estar disponibles para las autoridades de su</w:t>
      </w:r>
      <w:r w:rsidRPr="002C1480">
        <w:rPr>
          <w:rFonts w:ascii="Arial" w:eastAsia="Times New Roman" w:hAnsi="Arial" w:cs="Arial"/>
          <w:color w:val="000000"/>
          <w:lang w:eastAsia="es-CO"/>
        </w:rPr>
        <w:softHyphen/>
        <w:t>pervisión. </w:t>
      </w:r>
    </w:p>
    <w:p w14:paraId="7BD784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0498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Cada entidad debe tener un mecanismo para asegurar que exista un nivel adecuado de revelación de información de la organización de economía solidaria, con el fin de permitir la percepción del público sobre la realidad de la organización y de su situación financiera </w:t>
      </w:r>
    </w:p>
    <w:p w14:paraId="4115CC6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61" w:name="ver_30189086"/>
      <w:bookmarkStart w:id="1562" w:name="ver_30169135"/>
      <w:bookmarkEnd w:id="1560"/>
      <w:bookmarkEnd w:id="1561"/>
    </w:p>
    <w:p w14:paraId="7C4F081E" w14:textId="581FD38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2.11.7.1.3. Criterios para la identificación, medición, control y monitoreo del riesgo de liquidez. La Superintendencia de la Economía Solidaria impartirá instrucciones de carácter general para definir, entre otros, la metodología y parámetros para el cálculo del grado de exposición al riesgo de liquidez, la forma de distribución de saldos de acuerdo con sus vencimientos contractuales o esperados, los horizontes de análisis y las fechas de corte para su evaluación. Para el efecto, se considerarán los diferentes niveles de supervisión, lo previsto en el inciso segundo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2.11.7.1.2 y, en el caso de los Fondos de Empleados de categoría plena, las disposiciones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2.11.5.2.2.5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7EF767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46A1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El análisis del grado de exposición al riesgo de liquidez no deberá contener proyecciones de futuras captaciones y colocaciones respecto de las cuales no exista un compromiso contractual. </w:t>
      </w:r>
    </w:p>
    <w:p w14:paraId="54B539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7719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Se entiende por vencimiento esperado aquel que es necesario estimar mediante análisis estadísticos de datos históricos, debido a que para algunos pasivos no se conocen las fechas ciertas de vencimiento </w:t>
      </w:r>
    </w:p>
    <w:p w14:paraId="0BB1A127" w14:textId="74A097F4"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63" w:name="ver_30189088"/>
      <w:bookmarkStart w:id="1564" w:name="ver_30169136"/>
      <w:bookmarkEnd w:id="1562"/>
      <w:bookmarkEnd w:id="1563"/>
    </w:p>
    <w:p w14:paraId="388005CC" w14:textId="0DD63EE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2.11.7.1.4. Comité Interno de Administración del Riesgo de Liquidez. Las entidades deben contar con un comité interno de administración de riesgo de liquidez, cuya estructura se definirá de conformidad con el esquema organizacional de la institución y dependerá del Consejo de Administración o quien haga sus veces, el cual será el responsable del nombramiento de sus integrantes. </w:t>
      </w:r>
    </w:p>
    <w:p w14:paraId="226B388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646F95" w14:textId="34650359"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Cada entidad deberá mantener a disposición de la Superintendencia una copia del acta del Consejo de Administración en la que conste la creación del comité, su conformación, estructura y funciones. Así mismo, deberán estar disponibles las actas en las que se realicen modificaciones al Comité de Liquidez en lo que se refiere a su composición, funciones y responsabilidades. El Comité Interno de Administración del Riesgo de Liquidez deberá reunirse ordinariamente por lo menos una vez al mes, y en forma extraordinaria, cada vez que la situación lo amerite. </w:t>
      </w:r>
    </w:p>
    <w:p w14:paraId="223E2A7A" w14:textId="77777777" w:rsidR="00FC54E9" w:rsidRPr="002C1480" w:rsidRDefault="00FC54E9" w:rsidP="00C32F85">
      <w:pPr>
        <w:spacing w:after="0" w:line="254" w:lineRule="atLeast"/>
        <w:jc w:val="both"/>
        <w:rPr>
          <w:rFonts w:ascii="Arial" w:eastAsia="Times New Roman" w:hAnsi="Arial" w:cs="Arial"/>
          <w:color w:val="000000"/>
          <w:lang w:eastAsia="es-CO"/>
        </w:rPr>
      </w:pPr>
    </w:p>
    <w:p w14:paraId="561967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existencia de este comité no eximirá de las responsabilidades que, en el proceso de identificación, medición, control y monitoreo de los riesgos, tienen el Consejo de Administración, los representantes legales y los demás administradores de la entidad </w:t>
      </w:r>
    </w:p>
    <w:p w14:paraId="5C6E500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65" w:name="ver_30189090"/>
      <w:bookmarkStart w:id="1566" w:name="ver_30169137"/>
      <w:bookmarkEnd w:id="1564"/>
      <w:bookmarkEnd w:id="1565"/>
    </w:p>
    <w:p w14:paraId="0F00EAEC" w14:textId="58003C9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2.11.7.1.5. Objetivos del Comité Interno de Administración del Riesgo de Liquidez. El objetivo primordial del Comité de Liquidez será el de apoyar al Consejo de Administración y a la Alta Gerencia de la institución en la definición del apetito y la tolerancia al riesgo de liquidez, así como la definición, seguimiento y control de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2.11.7.1.2 y 2.11.7.1.3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para lo cual deberá, cuando menos, cumplir con las siguientes funciones: </w:t>
      </w:r>
    </w:p>
    <w:p w14:paraId="314113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8510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Establecer las políticas, procedimientos y mecanismos adecuados para la gestión y administración del riesgo de liquidez, velar por la capacitación del personal de la entidad en lo referente a este tema y propender por el establecimiento de los sistemas de información necesarios. </w:t>
      </w:r>
    </w:p>
    <w:p w14:paraId="13D8AC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5E2B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Asesorar al Consejo de Administración en la definición de los límites de exposi</w:t>
      </w:r>
      <w:r w:rsidRPr="002C1480">
        <w:rPr>
          <w:rFonts w:ascii="Arial" w:eastAsia="Times New Roman" w:hAnsi="Arial" w:cs="Arial"/>
          <w:color w:val="000000"/>
          <w:lang w:eastAsia="es-CO"/>
        </w:rPr>
        <w:softHyphen/>
        <w:t>ción al riesgo de liquidez, los planes que permitan mitigar la exposición a este ries</w:t>
      </w:r>
      <w:r w:rsidRPr="002C1480">
        <w:rPr>
          <w:rFonts w:ascii="Arial" w:eastAsia="Times New Roman" w:hAnsi="Arial" w:cs="Arial"/>
          <w:color w:val="000000"/>
          <w:lang w:eastAsia="es-CO"/>
        </w:rPr>
        <w:softHyphen/>
        <w:t>go en situaciones normales de operación, los planes de contingencia y las medidas de mitigación de dicho riesgo. </w:t>
      </w:r>
    </w:p>
    <w:p w14:paraId="09AE09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9DE0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Presentar informes periódicos al Consejo de Administración sobre el análisis y recomendaciones en relación con la exposición al riesgo de liquidez de la organi</w:t>
      </w:r>
      <w:r w:rsidRPr="002C1480">
        <w:rPr>
          <w:rFonts w:ascii="Arial" w:eastAsia="Times New Roman" w:hAnsi="Arial" w:cs="Arial"/>
          <w:color w:val="000000"/>
          <w:lang w:eastAsia="es-CO"/>
        </w:rPr>
        <w:softHyphen/>
        <w:t>zación y las acciones correctivas que deben adoptarse </w:t>
      </w:r>
    </w:p>
    <w:p w14:paraId="15DA8C20" w14:textId="77777777" w:rsidR="00F42255" w:rsidRDefault="00F42255" w:rsidP="00C32F85">
      <w:pPr>
        <w:spacing w:after="0" w:line="293" w:lineRule="atLeast"/>
        <w:jc w:val="both"/>
        <w:rPr>
          <w:rFonts w:ascii="Arial" w:eastAsia="Times New Roman" w:hAnsi="Arial" w:cs="Arial"/>
          <w:color w:val="000000"/>
          <w:lang w:eastAsia="es-CO"/>
        </w:rPr>
      </w:pPr>
      <w:bookmarkStart w:id="1567" w:name="ver_30169138"/>
      <w:bookmarkEnd w:id="1566"/>
      <w:bookmarkEnd w:id="1567"/>
    </w:p>
    <w:p w14:paraId="519FFEE1" w14:textId="7EF4C938"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CAPÍTULO II</w:t>
      </w:r>
    </w:p>
    <w:p w14:paraId="0201D9AE" w14:textId="5EF228C4"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FONDO DE LIQUIDEZ PARA COOPERATIVAS DE AHORRO Y CRÉDITO, COOPERATIVAS MULTIACTIVAS E INTEGRALES CON SECCIÓN DE AHORRO Y CRÉDITO, FONDOS DE EMPLEADOS Y ASOCIACIONES MUTUALES</w:t>
      </w:r>
    </w:p>
    <w:p w14:paraId="4BF6EE2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68" w:name="ver_30189092"/>
      <w:bookmarkStart w:id="1569" w:name="ver_30169139"/>
      <w:bookmarkEnd w:id="1568"/>
    </w:p>
    <w:p w14:paraId="5B1BE127" w14:textId="0FEA580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2.11.7.2.1. Monto exigido. Las entidades de que trata el presente título deberán mantener permanentemente un monto equivalente a por lo menos el diez por ciento (10%) de los depósitos en las siguientes entidades: </w:t>
      </w:r>
    </w:p>
    <w:p w14:paraId="579986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D688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Establecimientos de crédito vigilados por la Superintendencia Financiera de Co</w:t>
      </w:r>
      <w:r w:rsidRPr="002C1480">
        <w:rPr>
          <w:rFonts w:ascii="Arial" w:eastAsia="Times New Roman" w:hAnsi="Arial" w:cs="Arial"/>
          <w:color w:val="000000"/>
          <w:lang w:eastAsia="es-CO"/>
        </w:rPr>
        <w:softHyphen/>
        <w:t>lombia. Para el efecto, los recursos se deberán mantener en cuentas de ahorro, cuentas corrientes, certificados de depósito a término, certificados de ahorro a tér</w:t>
      </w:r>
      <w:r w:rsidRPr="002C1480">
        <w:rPr>
          <w:rFonts w:ascii="Arial" w:eastAsia="Times New Roman" w:hAnsi="Arial" w:cs="Arial"/>
          <w:color w:val="000000"/>
          <w:lang w:eastAsia="es-CO"/>
        </w:rPr>
        <w:softHyphen/>
        <w:t>mino o bonos ordinarios, emitidos por la entidad. </w:t>
      </w:r>
    </w:p>
    <w:p w14:paraId="3C36B8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5797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 fondos de inversión colectiva administrados por sociedades fiduciarias o so</w:t>
      </w:r>
      <w:r w:rsidRPr="002C1480">
        <w:rPr>
          <w:rFonts w:ascii="Arial" w:eastAsia="Times New Roman" w:hAnsi="Arial" w:cs="Arial"/>
          <w:color w:val="000000"/>
          <w:lang w:eastAsia="es-CO"/>
        </w:rPr>
        <w:softHyphen/>
        <w:t>ciedades comisionistas de bolsa vigiladas por la Superintendencia Financiera de Colombia. Estos fondos deben corresponder exclusivamente a fondos de inversión colectiva del mercado monetario o fondos de inversión colectiva abiertos sin pacto de permanencia cuya política de inversión y/o composición se asimilen a los fon</w:t>
      </w:r>
      <w:r w:rsidRPr="002C1480">
        <w:rPr>
          <w:rFonts w:ascii="Arial" w:eastAsia="Times New Roman" w:hAnsi="Arial" w:cs="Arial"/>
          <w:color w:val="000000"/>
          <w:lang w:eastAsia="es-CO"/>
        </w:rPr>
        <w:softHyphen/>
        <w:t>dos de inversión colectiva del mercado monetario. </w:t>
      </w:r>
    </w:p>
    <w:p w14:paraId="2D4D44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ambos casos los recursos deben mantenerse en instrumentos o títulos de máxima liquidez y seguridad. </w:t>
      </w:r>
    </w:p>
    <w:p w14:paraId="08504E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D130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monto del fondo se establecerá tomando para el efecto, el saldo de depósitos registrado en los estados financieros del período objeto de reporte, verificados por el revisor fiscal. </w:t>
      </w:r>
    </w:p>
    <w:p w14:paraId="7340B41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4AB8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Respecto de los ahorros permanentes, el monto mínimo a mantener como fondo de liquidez será el dos por ciento (2%) del saldo de estos depósitos, siempre y cuando los estatutos de la entidad establezcan que los mismos pueden ser retirados únicamente al momento de la desvinculación definitiva del asociado. Si los estatutos establecen que los ahorros permanentes pueden ser retirados en forma parcial, el monto mínimo a mantener en el fondo de liquidez por este concepto será del diez por ciento (10%). </w:t>
      </w:r>
    </w:p>
    <w:p w14:paraId="1190B7E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EC287A" w14:textId="5333643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 Superintendencia de la Economía Solidaria podrá establecer límites individuales para los diferentes instrumentos previstos en los numerales 1 y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4A99E8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70" w:name="ver_30189094"/>
      <w:bookmarkStart w:id="1571" w:name="ver_30169140"/>
      <w:bookmarkEnd w:id="1569"/>
      <w:bookmarkEnd w:id="1570"/>
    </w:p>
    <w:p w14:paraId="6A3416F5" w14:textId="1A5548D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2.11.7.2.2. Cumplimiento del fondo de liquidez. El fondo se deberá mantener constante y en forma permanente durante el respectivo período. El fondo de liquidez podrá disminuir solamente por la utilización de los recursos para atender necesidades de liquidez originadas en la atención de obligaciones derivadas de los depósitos de la entidad, o por efecto de una disminución de los depósitos de la entidad. </w:t>
      </w:r>
    </w:p>
    <w:p w14:paraId="6B6194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867C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títulos y demás valores permanecerán bajo la custodia del establecimiento de crédito, la sociedad fiduciaria o en un Depósito Centralizado de Valores vigilado por la Superintendencia Financiera de Colombia, y deberán permanecer libres de todo gravamen </w:t>
      </w:r>
    </w:p>
    <w:p w14:paraId="147101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72" w:name="ver_30189096"/>
      <w:bookmarkStart w:id="1573" w:name="ver_30169141"/>
      <w:bookmarkEnd w:id="1571"/>
      <w:bookmarkEnd w:id="1572"/>
    </w:p>
    <w:p w14:paraId="4E4F96E5" w14:textId="3CA6046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2.11.7.2.3. Condiciones especiales para el uso del fondo de liquidez. Las entidades de que trata el presente Título podrán utilizar el fondo de liquidez, previo aviso a la Superintendencia de la Economía Solidaria, entidad que verificará que su utilización obedeció exclusivamente a las causas descritas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2.11.7.2.2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Con el aviso, las entidades deberán informar el monto de los recursos que serán utilizados y un plan de acción para la reconstitución del fondo. </w:t>
      </w:r>
    </w:p>
    <w:p w14:paraId="5E5CBE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F805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deber de avisar en forma previa a la Superintendencia de la Economía Solidaria no implica autorización previa por parte de la entidad de vigilancia y control. </w:t>
      </w:r>
    </w:p>
    <w:p w14:paraId="13E8D1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B321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Para todos sus efectos, desatender el plan de acción de reconstitución del fondo de liquidez propuesto, corresponde a un incumplimiento de la obligación de constituir y mantener el fondo de liquidez </w:t>
      </w:r>
    </w:p>
    <w:p w14:paraId="070FD56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74" w:name="ver_30189097"/>
      <w:bookmarkStart w:id="1575" w:name="ver_30169142"/>
      <w:bookmarkEnd w:id="1573"/>
      <w:bookmarkEnd w:id="1574"/>
    </w:p>
    <w:p w14:paraId="057A256A" w14:textId="15097C2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2.11.7.2.4. Presentación de informes. Las entidades de que trata el presente Título deberán informar a la Superintendencia de la Economía Solidaría el monto y composición del fondo de liquidez, así como el saldo de sus depósitos, en el formato que para el efecto defina el ente de control y con la periodicidad correspondiente a cada nivel de supervisión. Los extractos de cuenta y demás comprobantes que determine la Superintendencia de la Economía Solidaria, expedidos por la entidad depositaria de los recursos, deben reposar en la organización y estar disponibles en todo momento para las autoridades de supervisión. </w:t>
      </w:r>
    </w:p>
    <w:p w14:paraId="27ECC0EE" w14:textId="77777777" w:rsidR="00F42255" w:rsidRPr="002C1480" w:rsidRDefault="00F42255" w:rsidP="00C32F85">
      <w:pPr>
        <w:spacing w:after="0" w:line="254" w:lineRule="atLeast"/>
        <w:jc w:val="both"/>
        <w:rPr>
          <w:rFonts w:ascii="Arial" w:eastAsia="Times New Roman" w:hAnsi="Arial" w:cs="Arial"/>
          <w:color w:val="000000"/>
          <w:lang w:eastAsia="es-CO"/>
        </w:rPr>
      </w:pPr>
    </w:p>
    <w:p w14:paraId="39F9FCF2" w14:textId="0027F27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informes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deberán presentarse debidamente validados y auditados por parte del revisor fiscal de la entidad </w:t>
      </w:r>
    </w:p>
    <w:p w14:paraId="7EF9E227" w14:textId="3E38BA2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660075" w14:textId="77777777" w:rsidR="00404266" w:rsidRPr="00F42255" w:rsidRDefault="00404266" w:rsidP="00F42255">
      <w:pPr>
        <w:spacing w:after="0" w:line="293" w:lineRule="atLeast"/>
        <w:jc w:val="center"/>
        <w:rPr>
          <w:rFonts w:ascii="Arial" w:eastAsia="Times New Roman" w:hAnsi="Arial" w:cs="Arial"/>
          <w:b/>
          <w:bCs/>
          <w:color w:val="000000"/>
          <w:lang w:eastAsia="es-CO"/>
        </w:rPr>
      </w:pPr>
      <w:bookmarkStart w:id="1576" w:name="ver_30169143"/>
      <w:bookmarkEnd w:id="1575"/>
      <w:bookmarkEnd w:id="1576"/>
      <w:r w:rsidRPr="00F42255">
        <w:rPr>
          <w:rFonts w:ascii="Arial" w:eastAsia="Times New Roman" w:hAnsi="Arial" w:cs="Arial"/>
          <w:b/>
          <w:bCs/>
          <w:color w:val="000000"/>
          <w:lang w:eastAsia="es-CO"/>
        </w:rPr>
        <w:t>CAPÍTULO III</w:t>
      </w:r>
    </w:p>
    <w:p w14:paraId="0B2C5FF3" w14:textId="2A5CCF66" w:rsidR="00404266" w:rsidRPr="00F42255" w:rsidRDefault="001654AC"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OTRAS DISPOSICIONES</w:t>
      </w:r>
    </w:p>
    <w:p w14:paraId="2F237F7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77" w:name="ver_30189098"/>
      <w:bookmarkStart w:id="1578" w:name="ver_30169144"/>
      <w:bookmarkEnd w:id="1577"/>
    </w:p>
    <w:p w14:paraId="7FDDE0D4" w14:textId="30750D3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2.11.7.3.1. Supervisión, vigilancia y control. La verificación del cumplimiento de lo previsto en el presente Título estará a cargo de la Superintendencia de la Economía Solidaria, entidad que además impartirá las instrucciones necesarias para la identificación, medición, control y monitoreo del riesgo de liquidez y demás disposiciones necesarias, para la aplicación de lo previsto en el presente título. </w:t>
      </w:r>
    </w:p>
    <w:p w14:paraId="7E0714B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B343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la respectiva entidad de supervisión deberá efectuar un seguimiento mensual de los costos de las captaciones de cada una de las entidades de acuerdo con los formatos que se adopten para el efecto </w:t>
      </w:r>
    </w:p>
    <w:p w14:paraId="7EBA5B4D" w14:textId="137B07BA"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79" w:name="ver_30189099"/>
      <w:bookmarkStart w:id="1580" w:name="ver_30169145"/>
      <w:bookmarkEnd w:id="1578"/>
      <w:bookmarkEnd w:id="1579"/>
    </w:p>
    <w:p w14:paraId="4E4D98A6" w14:textId="23E6982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2.11.7.3.2. Sanciones. El incumplimiento de lo previsto en el presente título, acarreará las sanciones personales e institucionales pertinentes por parte de la Superintendencia de la Economía Solidaria.  </w:t>
      </w:r>
    </w:p>
    <w:p w14:paraId="425D300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81" w:name="ver_30189100"/>
      <w:bookmarkStart w:id="1582" w:name="ver_30169146"/>
      <w:bookmarkEnd w:id="1580"/>
      <w:bookmarkEnd w:id="1581"/>
    </w:p>
    <w:p w14:paraId="0C0993DB" w14:textId="17620EF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2.11.7.3.3. Armonización de terminología. Para efectos del presente título debe entenderse que las referencias hechas a Consejos de Administración se entienden extensivas a las Juntas Directivas de los fondos de empleados y de las asociaciones mutuales. Del mismo modo cuando este Título se refiere a las Juntas de Vigilancia, tal referencia se extiende a las juntas de control social de las asociaciones mutuales y a los comités de control social de los fondos de empleados </w:t>
      </w:r>
    </w:p>
    <w:p w14:paraId="7DA42043" w14:textId="1D4AFE3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76B004" w14:textId="77777777" w:rsidR="00404266" w:rsidRPr="00F42255" w:rsidRDefault="00404266" w:rsidP="00F42255">
      <w:pPr>
        <w:spacing w:after="0" w:line="293" w:lineRule="atLeast"/>
        <w:jc w:val="center"/>
        <w:rPr>
          <w:rFonts w:ascii="Arial" w:eastAsia="Times New Roman" w:hAnsi="Arial" w:cs="Arial"/>
          <w:b/>
          <w:bCs/>
          <w:color w:val="000000"/>
          <w:lang w:eastAsia="es-CO"/>
        </w:rPr>
      </w:pPr>
      <w:bookmarkStart w:id="1583" w:name="ver_30169147"/>
      <w:bookmarkEnd w:id="1582"/>
      <w:bookmarkEnd w:id="1583"/>
      <w:r w:rsidRPr="00F42255">
        <w:rPr>
          <w:rFonts w:ascii="Arial" w:eastAsia="Times New Roman" w:hAnsi="Arial" w:cs="Arial"/>
          <w:b/>
          <w:bCs/>
          <w:color w:val="000000"/>
          <w:lang w:eastAsia="es-CO"/>
        </w:rPr>
        <w:t>TÍTULO 8</w:t>
      </w:r>
    </w:p>
    <w:p w14:paraId="104B3EBB" w14:textId="77777777" w:rsidR="00404266" w:rsidRPr="00F42255" w:rsidRDefault="00404266"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SERVICIOS FINANCIEROS PRESTADOS POR LAS COOPERATIVAS DE AHORRO Y CRÉDITO Y LAS COOPERATIVAS MULTIACTIVAS E INTEGRALES CON SECCIÓN DE AHORRO Y CRÉDITO A TRAVÉS DE CORRESPONSALES</w:t>
      </w:r>
    </w:p>
    <w:p w14:paraId="1F0F071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84" w:name="ver_30210996"/>
      <w:bookmarkStart w:id="1585" w:name="ver_30169148"/>
      <w:bookmarkEnd w:id="1584"/>
    </w:p>
    <w:p w14:paraId="1E90E11E" w14:textId="255BCCD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2.11.8.1. Servicios prestados por medio de corresponsales. Las cooperativas de ahorro y crédito y las cooperativas multiactivas e integrales con sección de ahorro y crédito que cumplan con los requisitos previstos en este Título, podrán prestar, bajo su plena responsabilidad, los servicios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2.36.9.1.4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número 2555 de 2010 con excepción de aquellos que no están expresamente autorizados por su régimen legal, a través de </w:t>
      </w:r>
      <w:r w:rsidR="00404266" w:rsidRPr="002C1480">
        <w:rPr>
          <w:rFonts w:ascii="Arial" w:eastAsia="Times New Roman" w:hAnsi="Arial" w:cs="Arial"/>
          <w:color w:val="000000"/>
          <w:lang w:eastAsia="es-CO"/>
        </w:rPr>
        <w:lastRenderedPageBreak/>
        <w:t>terceros corresponsales, quienes actuarán en todo caso por cuenta de tales cooperativas, en los términos del presente Título. </w:t>
      </w:r>
    </w:p>
    <w:p w14:paraId="3718FF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1C6B18" w14:textId="3F30AD2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corresponsales contratados por las cooperativas de que trata el presente título, podrán promocionar bajo la responsabilidad de estas, los servicios de la respectiva cooperativa, o la asociación a estas últimas, siempre y cuando informen debidamente a los interesados en asociarse a la entidad, sobre los derechos y deberes inherentes a la calidad de asociado, así como las características propias de los aportes, distinguiéndolas de los depósitos de ahorro, de acuerdo con lo previsto en el inciso segundo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43 de la Ley 454 de 1998,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103 de la Ley 795 de 2003, y las instrucciones impartidas para el efecto por parte de la Superintendencia de la Economía Solidaria. </w:t>
      </w:r>
    </w:p>
    <w:p w14:paraId="3E455F3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61D516" w14:textId="3B505EA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interesados deberán ser informados además, de los costos inherentes a la asociación, tales como cuotas de sostenimiento de la cooperativa, aportes mensuales obligatorios y similares. En todo caso, de acuerdo con 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 de la Ley 79 de 1988, solo el órgano competente de la cooperativa, podrá aceptar el ingreso de los interesados. </w:t>
      </w:r>
    </w:p>
    <w:p w14:paraId="2258CB2F" w14:textId="0E4FF06C"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86" w:name="ver_30169149"/>
      <w:bookmarkEnd w:id="1585"/>
      <w:bookmarkEnd w:id="1586"/>
    </w:p>
    <w:p w14:paraId="43777F0C" w14:textId="2A14AA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2.11.8.2.Disposiciones aplicables. A las cooperativas de que trata el presente título y a los corresponsales que estas contraten, les será aplicable el régimen previsto en el Título 9 del Libro 36 de la Parte 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correspondiéndole a la Superintendencia de la Economía Solidaria las funciones previstas en este para la Superintendencia Financiera de Colombia.  </w:t>
      </w:r>
    </w:p>
    <w:p w14:paraId="5A51D9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0A7F66" w14:textId="0E072B4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Sin embargo, las instrucciones sobre calidades de los corresponsales, administración de riesgos implícitos tales como el operativo y de lavado de activos, las especificaciones mínimas que deberán tener los medios electrónicos que se utilicen para la prestación de los servicios y las pertinentes para la realización de las distintas operaciones previstas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2.36.9.1.4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serán las mismas impartidas por la Superintendencia Financiera de Colombia para las entidades sometidas a su vigilancia, con el fin de asegurar que la prestación de servicios financieros por parte de los establecimientos de crédito y las cooperativas de que trata este Título por medio de corresponsales, se realice en igualdad de condiciones.  </w:t>
      </w:r>
    </w:p>
    <w:p w14:paraId="0C60DE4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87" w:name="ver_30169150"/>
      <w:bookmarkEnd w:id="1587"/>
    </w:p>
    <w:p w14:paraId="7B3B3F2C" w14:textId="7FF857B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2.11.8.3. Requisitos para prestar servicios financieros a través de corresponsales. La Superintendencia de la Economía Solidaria solo podrá autorizar la prestación de servicios financieros a través de corresponsales a las cooperativas de ahorro y crédito y cooperativas multiactivas e integrales con sección de ahorro y crédito que reúnan las siguientes condiciones:  </w:t>
      </w:r>
    </w:p>
    <w:p w14:paraId="2AF379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95F48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Contar con autorización de la Superintendencia de la Economía Solidaria para adelantar actividad financiera.  </w:t>
      </w:r>
    </w:p>
    <w:p w14:paraId="68D223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A4E9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Estar inscritos en el Fondo de Garantías de Entidades Cooperativas, Fogacoop.  </w:t>
      </w:r>
    </w:p>
    <w:p w14:paraId="31A95C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4C637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Demostrar la capacidad técnica necesaria para operar a través de corresponsales, de tal forma que su plataforma tecnológica pueda estar conectada en línea con los terminales electrónicos situados en las instalaciones de los corresponsales.  </w:t>
      </w:r>
    </w:p>
    <w:p w14:paraId="1291D0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E7AF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Superintendencia de la Economía Solidaria podrá establecer requisitos adicionales a los previstos en el presente título, de acuerdo con la situación particular de la respectiva cooperativa.  </w:t>
      </w:r>
    </w:p>
    <w:p w14:paraId="52A9265D" w14:textId="5921EB1D"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31A6C3" w14:textId="77777777" w:rsidR="00404266" w:rsidRPr="00F42255" w:rsidRDefault="00404266" w:rsidP="00F42255">
      <w:pPr>
        <w:spacing w:after="0" w:line="293" w:lineRule="atLeast"/>
        <w:jc w:val="center"/>
        <w:rPr>
          <w:rFonts w:ascii="Arial" w:eastAsia="Times New Roman" w:hAnsi="Arial" w:cs="Arial"/>
          <w:b/>
          <w:bCs/>
          <w:color w:val="000000"/>
          <w:lang w:eastAsia="es-CO"/>
        </w:rPr>
      </w:pPr>
      <w:bookmarkStart w:id="1588" w:name="ver_30169151"/>
      <w:bookmarkEnd w:id="1588"/>
      <w:r w:rsidRPr="00F42255">
        <w:rPr>
          <w:rFonts w:ascii="Arial" w:eastAsia="Times New Roman" w:hAnsi="Arial" w:cs="Arial"/>
          <w:b/>
          <w:bCs/>
          <w:color w:val="000000"/>
          <w:lang w:eastAsia="es-CO"/>
        </w:rPr>
        <w:lastRenderedPageBreak/>
        <w:t>TÍTULO 9</w:t>
      </w:r>
    </w:p>
    <w:p w14:paraId="11D74CAD" w14:textId="77777777" w:rsidR="00404266" w:rsidRPr="00F42255" w:rsidRDefault="00404266"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CAPTACIÓN DE COOPERATIVAS DE AHORRO Y CRÉDITO Y SECCIONES DE AHORRO Y CRÉDITO DE COOPERATIVAS MULTIACTIVAS O INTEGRALES A TRAVÉS DE AHORRO CONTRACTUAL</w:t>
      </w:r>
    </w:p>
    <w:p w14:paraId="5EB17AA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89" w:name="ver_30169152"/>
      <w:bookmarkEnd w:id="1589"/>
    </w:p>
    <w:p w14:paraId="59BC68DC" w14:textId="1C0E387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2.11.9.1. Captación de recursos a través del ahorro contractual. Las cooperativas de ahorro y crédito y las multiactivas o integrales con sección de ahorro y crédito autorizadas por la Superintendencia de la Economía Solidaria para adelantar actividad financiera e inscritas en el Fondo de Garantías de Entidades Cooperativas, pueden celebrar contratos con sus asociados con el objeto de pagar, en el tiempo que se convenga, depósitos de sumas fijas, hechos a intervalos regulares, con sus respectivos intereses, o pagar dichos depósitos cuando, con los réditos acreditados, igualen una suma determinada.  </w:t>
      </w:r>
    </w:p>
    <w:p w14:paraId="6C2A6FF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90" w:name="ver_30169153"/>
      <w:bookmarkEnd w:id="1590"/>
    </w:p>
    <w:p w14:paraId="3317735D" w14:textId="5DE85B7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2.11.9.2. Contratos de ahorro contractual. Los contratos que celebren las cooperativas con sus asociados, de acuerdo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no podrán estipular la pérdida de las sumas depositadas en caso de que no se hagan los pagos convenidos; no obstante, podrá pactarse la pérdida para el depositante de los intereses devengados con anterioridad a dicho incumplimiento. </w:t>
      </w:r>
    </w:p>
    <w:p w14:paraId="7A6051D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91" w:name="ver_30169154"/>
      <w:bookmarkEnd w:id="1591"/>
    </w:p>
    <w:p w14:paraId="5C3145BA" w14:textId="4E1BA1A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2.11.9.3. Prueba de los contratos. Las cooperativas podrán expedir, como prueba del contrato celebrado, una certificación en la que conste la suma que deberá acumularse en los depósitos convenidos, o el tiempo durante el cual los depósitos y los intereses deban acumularse.  </w:t>
      </w:r>
    </w:p>
    <w:p w14:paraId="6DFC950D" w14:textId="77777777" w:rsidR="00F42255" w:rsidRDefault="00F42255" w:rsidP="00C32F85">
      <w:pPr>
        <w:spacing w:after="0" w:line="293" w:lineRule="atLeast"/>
        <w:jc w:val="both"/>
        <w:rPr>
          <w:rFonts w:ascii="Arial" w:eastAsia="Times New Roman" w:hAnsi="Arial" w:cs="Arial"/>
          <w:color w:val="000000"/>
          <w:lang w:eastAsia="es-CO"/>
        </w:rPr>
      </w:pPr>
      <w:bookmarkStart w:id="1592" w:name="ver_30169155"/>
      <w:bookmarkEnd w:id="1592"/>
    </w:p>
    <w:p w14:paraId="2D9DF044" w14:textId="5B9E1243"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TÍTULO 10</w:t>
      </w:r>
    </w:p>
    <w:p w14:paraId="1F173E37" w14:textId="43A9CD8B" w:rsidR="00404266"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NORMAS PRUDENCIALES PARA LAS COOPERATIVAS DE AHORRO Y CRÉDITO Y LAS COOPERATIVAS MULTIACTIVAS E INTEGRALES CON SECCIÓN DE AHORRO Y CRÉDITO</w:t>
      </w:r>
    </w:p>
    <w:p w14:paraId="643F357F" w14:textId="77777777" w:rsidR="001654AC" w:rsidRPr="00F42255" w:rsidRDefault="001654AC" w:rsidP="00F42255">
      <w:pPr>
        <w:spacing w:after="0" w:line="293" w:lineRule="atLeast"/>
        <w:jc w:val="center"/>
        <w:rPr>
          <w:rFonts w:ascii="Arial" w:eastAsia="Times New Roman" w:hAnsi="Arial" w:cs="Arial"/>
          <w:b/>
          <w:bCs/>
          <w:color w:val="000000"/>
          <w:lang w:eastAsia="es-CO"/>
        </w:rPr>
      </w:pPr>
    </w:p>
    <w:p w14:paraId="59BA91D4" w14:textId="474C4CD7"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CAPÍTULO I</w:t>
      </w:r>
    </w:p>
    <w:p w14:paraId="657967A7" w14:textId="2DD211D2"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REGLAS SOBRE PATRIMONIO</w:t>
      </w:r>
    </w:p>
    <w:p w14:paraId="3E82404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93" w:name="ver_30169156"/>
      <w:bookmarkEnd w:id="1593"/>
    </w:p>
    <w:p w14:paraId="25E80A1B" w14:textId="47E2CAE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2.11.10.1.1. Patrimonio adecuado. Las cooperativas de ahorro y crédito y las cooperativas multiactivas e integrales con sección de ahorro y crédito, deberán cumplir las normas sobre niveles adecuados de patrimonio y relación mínima de solvencia contemplados en este Título, con el fin de proteger la confianza del público en el sistema y asegurar su desarrollo en condiciones de seguridad y competitividad.  </w:t>
      </w:r>
    </w:p>
    <w:p w14:paraId="6E26D9E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94" w:name="ver_30169157"/>
      <w:bookmarkEnd w:id="1594"/>
    </w:p>
    <w:p w14:paraId="638395D7" w14:textId="2EEA978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2.11.10.1.2. Relación de solvencia. La relación de solvencia se define como el valor del patrimonio técnico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dividido por el valor de los activos ponderados por nivel de riesgo crediticio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2.11.10.1.7.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Esta relación se expresa en términos porcentuales.  </w:t>
      </w:r>
    </w:p>
    <w:p w14:paraId="4A18483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979A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relación de solvencia mínima de las cooperativas de ahorro y crédito y las cooperativas multiactivas e integrales con sección de ahorro y crédito será del nueve por ciento (9%).  </w:t>
      </w:r>
    </w:p>
    <w:p w14:paraId="731CAF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9243EA" w14:textId="1D1E4F1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las cooperativas de ahorro y crédito y las cooperativas multiactivas e integrales con sección de ahorro y crédito que tengan autorizado un monto de aportes sociales mínimos inferior a los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42 de la Ley 454 de 1998, la relación de solvencia mínima será del veinte por ciento (20%).  </w:t>
      </w:r>
    </w:p>
    <w:p w14:paraId="6608DF6B" w14:textId="5E49CC06"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bookmarkStart w:id="1595" w:name="ver_30169158"/>
      <w:bookmarkEnd w:id="1595"/>
    </w:p>
    <w:p w14:paraId="7D6FED33" w14:textId="6522AFD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2.11.10.1.3. Patrimonio técnico. El cumplimiento de la relación de solvencia se efectuará con base en el patrimonio técnico que refleje cada cooperativa, calculado mediante la suma del patrimonio básico neto de deducciones y el patrimonio adicional, de acuerdo con las reglas contenidas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siguientes.  </w:t>
      </w:r>
    </w:p>
    <w:p w14:paraId="3748E889" w14:textId="77777777" w:rsidR="00F42255" w:rsidRDefault="00F42255" w:rsidP="00C32F85">
      <w:pPr>
        <w:spacing w:after="0" w:line="254" w:lineRule="atLeast"/>
        <w:jc w:val="both"/>
        <w:rPr>
          <w:rFonts w:ascii="Arial" w:eastAsia="Times New Roman" w:hAnsi="Arial" w:cs="Arial"/>
          <w:color w:val="000000"/>
          <w:lang w:eastAsia="es-CO"/>
        </w:rPr>
      </w:pPr>
    </w:p>
    <w:p w14:paraId="233C071E" w14:textId="56312AE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2.11.10.1.4. Patrimonio básico. El patrimonio básico de las cooperativas a que se refiere el presente Título comprenderá: </w:t>
      </w:r>
    </w:p>
    <w:p w14:paraId="50E9C9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DBE8FC" w14:textId="274C3A4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La reserva de protección de los aportes sociales descrita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54 de la Ley 79 de 1988. </w:t>
      </w:r>
    </w:p>
    <w:p w14:paraId="1685E1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36BEB7" w14:textId="426637A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monto mínimo de aportes no reducibles previsto en los estatutos, el cual no po</w:t>
      </w:r>
      <w:r w:rsidRPr="002C1480">
        <w:rPr>
          <w:rFonts w:ascii="Arial" w:eastAsia="Times New Roman" w:hAnsi="Arial" w:cs="Arial"/>
          <w:color w:val="000000"/>
          <w:lang w:eastAsia="es-CO"/>
        </w:rPr>
        <w:softHyphen/>
        <w:t xml:space="preserve">drá disminuir durante la existencia de la cooperativa, de acuerdo con el numeral 7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 de la Ley 79 de 1988. </w:t>
      </w:r>
    </w:p>
    <w:p w14:paraId="343F4D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965500" w14:textId="568C878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 El fondo no susceptible de repartición constituido para registrar los excedentes que se obtengan por la prestación de servicios a no afiliados,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 la Ley 79 de 1988. La calidad de no repartible, impide el traslado total o parcial de los recursos que componen el fondo a otras cuentas del patrimonio. </w:t>
      </w:r>
    </w:p>
    <w:p w14:paraId="5147DF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49BD0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Los aportes sociales amortizados o readquiridos por la entidad cooperativa en exceso del que esté determinado en los estatutos como monto mínimo de aportes sociales no reducibles. </w:t>
      </w:r>
    </w:p>
    <w:p w14:paraId="20E697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54CC24" w14:textId="36A2AAD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 El fondo de amortización o readquisición de aportes a que hace referencia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52 de la Ley 79 de 1988, bajo el entendido de que la destinación especial a la que se refiere la disposición, determina que los recursos de este fondo no pueden ser objeto de traslado a otras cuentas del patrimonio, ni utilizados para fines dis</w:t>
      </w:r>
      <w:r w:rsidRPr="002C1480">
        <w:rPr>
          <w:rFonts w:ascii="Arial" w:eastAsia="Times New Roman" w:hAnsi="Arial" w:cs="Arial"/>
          <w:color w:val="000000"/>
          <w:lang w:eastAsia="es-CO"/>
        </w:rPr>
        <w:softHyphen/>
        <w:t>tintos a la adquisición de aportes sociales. </w:t>
      </w:r>
    </w:p>
    <w:p w14:paraId="55285F3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D893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Las donaciones, siempre que sean irrevocables. </w:t>
      </w:r>
    </w:p>
    <w:p w14:paraId="77A602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AD75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Cualquier otro instrumento emitido, avalado o garantizado por el Fondo de Ga</w:t>
      </w:r>
      <w:r w:rsidRPr="002C1480">
        <w:rPr>
          <w:rFonts w:ascii="Arial" w:eastAsia="Times New Roman" w:hAnsi="Arial" w:cs="Arial"/>
          <w:color w:val="000000"/>
          <w:lang w:eastAsia="es-CO"/>
        </w:rPr>
        <w:softHyphen/>
        <w:t>rantías de Entidades Cooperativas, Fogacoop; utilizado para el fortalecimiento patrimonial de las entidades. </w:t>
      </w:r>
    </w:p>
    <w:p w14:paraId="378B09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FE7A19" w14:textId="61B3861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h) Las demás reservas y fondos permanentes de orden patrimonial creados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56 de la Ley 79 de 1988” </w:t>
      </w:r>
    </w:p>
    <w:p w14:paraId="56C4755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96" w:name="ver_30169160"/>
      <w:bookmarkEnd w:id="1596"/>
    </w:p>
    <w:p w14:paraId="49D587EE" w14:textId="302E2AA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2.11.10.1.5. Deducciones del patrimonio básico. Se deducirán del patrimonio básico los siguientes conceptos:  </w:t>
      </w:r>
    </w:p>
    <w:p w14:paraId="1FCC97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E440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pérdidas de ejercicios anteriores y las del ejercicio en curso.  </w:t>
      </w:r>
    </w:p>
    <w:p w14:paraId="7D7E3D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FA46D0" w14:textId="7BEFF66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valor de las inversiones de capital, así como de las inversiones en bonos obli</w:t>
      </w:r>
      <w:r w:rsidRPr="002C1480">
        <w:rPr>
          <w:rFonts w:ascii="Arial" w:eastAsia="Times New Roman" w:hAnsi="Arial" w:cs="Arial"/>
          <w:color w:val="000000"/>
          <w:lang w:eastAsia="es-CO"/>
        </w:rPr>
        <w:softHyphen/>
        <w:t>gatoriamente convertibles en acciones, en bonos subordinados opcionalmente convertibles en acciones o, en general, en instrumentos de deuda subordinada, efectuadas en forma directa o indirecta en entidades sometidas al control y vigi</w:t>
      </w:r>
      <w:r w:rsidRPr="002C1480">
        <w:rPr>
          <w:rFonts w:ascii="Arial" w:eastAsia="Times New Roman" w:hAnsi="Arial" w:cs="Arial"/>
          <w:color w:val="000000"/>
          <w:lang w:eastAsia="es-CO"/>
        </w:rPr>
        <w:softHyphen/>
        <w:t xml:space="preserve">lancia de la Superintendencia Financiera de Colombia o de la Superintendencia de la Economía Solidaria, con sujeción a lo previsto en el numeral 1 y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50 de la Ley 454 de 1998, sin incluir sus valorizaciones.  </w:t>
      </w:r>
    </w:p>
    <w:p w14:paraId="127B80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0C70E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Los aportes que las cooperativas de que trata el presente Título posean en otras entidades de naturaleza solidaria se consideran inversiones de capital.  </w:t>
      </w:r>
    </w:p>
    <w:p w14:paraId="235387F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92C30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activos intangibles registrados.  </w:t>
      </w:r>
    </w:p>
    <w:p w14:paraId="574FB5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EF51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valor no amortizado del cálculo actuarial del pasivo pensional.  </w:t>
      </w:r>
    </w:p>
    <w:p w14:paraId="4180815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597" w:name="ver_30169161"/>
      <w:bookmarkEnd w:id="1597"/>
    </w:p>
    <w:p w14:paraId="79EEC6A9" w14:textId="55E9DE0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2.11.10.1.6. Patrimonio adicional. El patrimonio adicional de las cooperati</w:t>
      </w:r>
      <w:r w:rsidR="00404266" w:rsidRPr="002C1480">
        <w:rPr>
          <w:rFonts w:ascii="Arial" w:eastAsia="Times New Roman" w:hAnsi="Arial" w:cs="Arial"/>
          <w:color w:val="000000"/>
          <w:lang w:eastAsia="es-CO"/>
        </w:rPr>
        <w:softHyphen/>
        <w:t>vas a que se refiere el presente Título comprenderá:  </w:t>
      </w:r>
    </w:p>
    <w:p w14:paraId="58483C5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4025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excedentes del ejercicio en curso, en el porcentaje en el que la Asamblea General de Asociados, se comprometa irrevocablemente a destinar para el incre</w:t>
      </w:r>
      <w:r w:rsidRPr="002C1480">
        <w:rPr>
          <w:rFonts w:ascii="Arial" w:eastAsia="Times New Roman" w:hAnsi="Arial" w:cs="Arial"/>
          <w:color w:val="000000"/>
          <w:lang w:eastAsia="es-CO"/>
        </w:rPr>
        <w:softHyphen/>
        <w:t>mento de la reserva de protección de los aportes sociales, durante o al término del ejercicio.  </w:t>
      </w:r>
    </w:p>
    <w:p w14:paraId="45E6EE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5987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tal efecto, dichos excedentes solo serán reconocidos como capital regulatorio, una vez la Superintendencia de Economía Solidaria apruebe el documento de compromiso.  </w:t>
      </w:r>
    </w:p>
    <w:p w14:paraId="50A7D7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15979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Entre el 1° de enero y la fecha de celebración de la Asamblea General Ordinaria de Asociados, se reconocerán los excedentes del ejercicio anterior en el mismo por</w:t>
      </w:r>
      <w:r w:rsidRPr="002C1480">
        <w:rPr>
          <w:rFonts w:ascii="Arial" w:eastAsia="Times New Roman" w:hAnsi="Arial" w:cs="Arial"/>
          <w:color w:val="000000"/>
          <w:lang w:eastAsia="es-CO"/>
        </w:rPr>
        <w:softHyphen/>
        <w:t>centaje al que se ha hecho referencia en este literal;  </w:t>
      </w:r>
    </w:p>
    <w:p w14:paraId="216478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673D7F" w14:textId="7C4A7C7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cincuenta por ciento (50%) de las valorizaciones o ganancias no realizadas en inversiones en valores clasificados como disponibles para la venta en títulos de deuda y títulos participativos con alta o media bursatilidad, exceptuando las valo</w:t>
      </w:r>
      <w:r w:rsidRPr="002C1480">
        <w:rPr>
          <w:rFonts w:ascii="Arial" w:eastAsia="Times New Roman" w:hAnsi="Arial" w:cs="Arial"/>
          <w:color w:val="000000"/>
          <w:lang w:eastAsia="es-CO"/>
        </w:rPr>
        <w:softHyphen/>
        <w:t xml:space="preserve">rizaciones de las inversiones a que se refiere el literal b)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2.11.10.1.5.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dicho monto se deducirá el cien por ciento (100%) de sus pérdidas, exceptuando las asociadas a las inversiones a que se refiere el literal b)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2.11.10.1.5.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61AEF4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EF30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valor de las provisiones de carácter general constituidas por la cooperativa. El presente instrumento se tendrá en cuenta hasta por un valor máximo equivalente al uno punto veinticinco por ciento (1.25%) de los activos ponderados por nivel de riesgo crediticio. No se tendrán en cuenta los excesos sobre las provisiones generales regulatorias.  </w:t>
      </w:r>
    </w:p>
    <w:p w14:paraId="6633E3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B0B6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valor total del patrimonio adicional no podrá exceder del cien por ciento (100%) del patrimonio básico neto de deducciones.  </w:t>
      </w:r>
    </w:p>
    <w:p w14:paraId="300C6F89" w14:textId="0252A568"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598" w:name="ver_30169162"/>
      <w:bookmarkEnd w:id="1598"/>
    </w:p>
    <w:p w14:paraId="681FA219" w14:textId="63206DE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2.11.10.1.7. Activos ponderados por nivel de riesgo crediticio. Se entiende por riesgo crediticio la posibilidad de que una cooperativa incurra en pérdidas y se disminuya el valor de su patrimonio técnico como consecuencia de que sus deudores fallen en el cumplimiento oportuno de sus obligaciones o cumplan imperfectamente las obligaciones financieras en los términos acordados.  </w:t>
      </w:r>
    </w:p>
    <w:p w14:paraId="209A964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845C5D" w14:textId="0F77BA9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determinar el valor de los activos ponderados por nivel de riesgo crediticio, las cooperativas tendrán en cuenta sus activos y contingencias. Para el efecto, se multiplicará el valor del respectivo activo o contingencia, por un porcentaje de ponderación de su valor según corresponda de acuerdo con la clasificación en las categorías señaladas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2.11.10.1.8. y 2.11.10.1.9.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0031B9EB" w14:textId="12A9ECF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265891" w14:textId="2517A9D4" w:rsidR="00404266" w:rsidRPr="002C1480" w:rsidRDefault="002C1480" w:rsidP="00C32F85">
      <w:pPr>
        <w:spacing w:after="0" w:line="254" w:lineRule="atLeast"/>
        <w:jc w:val="both"/>
        <w:rPr>
          <w:rFonts w:ascii="Arial" w:eastAsia="Times New Roman" w:hAnsi="Arial" w:cs="Arial"/>
          <w:color w:val="000000"/>
          <w:lang w:eastAsia="es-CO"/>
        </w:rPr>
      </w:pPr>
      <w:bookmarkStart w:id="1599" w:name="ver_30169163"/>
      <w:bookmarkEnd w:id="1599"/>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2.11.10.1.8. Clasificación y ponderación de activos por nivel de riesgo. Los activos y contingencias de las cooperativas a que se refiere el presente Título se computarán por un porcentaje de su valor, de acuerdo con la siguiente clasificación:  </w:t>
      </w:r>
    </w:p>
    <w:p w14:paraId="592071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B663E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 Activos de máxima seguridad, tales como caja, depósitos a la vista en entidades sometidas a inspección y vigilancia de la Superintendencia Financiera de Colombia y de la Superintendencia de la Economía Solidaria, valores de la Nación o del Banco de la República, o emitidos para el cumplimiento de inversiones obligatorias, y los créditos a la Nación o garantizados por esta.  </w:t>
      </w:r>
    </w:p>
    <w:p w14:paraId="0C243F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AAF1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II: Activos de muy alta seguridad, tales como los títulos emitidos por entidades públicas del orden nacional, los depósitos a término en establecimientos de crédito o en otras cooperativas, créditos garantizados incondicionalmente con títulos emitidos por la Nación o el Banco de la República, operaciones activas de crédito relacionadas con fondos interbancarios vendidos, pactos de reventa, pagos anticipados, créditos garantizados incondicionalmente con títulos emitidos por la Nación o el Banco de la República, gobiernos o bancos centrales de los países que autorice expresamente la Superintendencia Financiera de Colombia.  </w:t>
      </w:r>
    </w:p>
    <w:p w14:paraId="6A02F45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656A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III: Otros activos con alta seguridad pero con baja liquidez, tales como créditos hipotecarios otorgados para financiar la construcción o adquisición de vivienda, distintos de aquellos que hayan sido reestructurados.  </w:t>
      </w:r>
    </w:p>
    <w:p w14:paraId="63BB49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0C9D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Categoría IV: Los demás activos de riesgo, tales como la cartera de créditos, cuentas por cobrar, otras inversiones voluntarias, inversiones en propiedad, planta y equipos incluida su valorización, bienes realizables y recibidos en dación en pago, deudores por aceptaciones, bienes de arte y cultura, remesas en tránsito y las contingencias que se refieren a los bienes y valores entregados en garantía, las fianzas y avales otorgados.  </w:t>
      </w:r>
    </w:p>
    <w:p w14:paraId="360D27D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BD5E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activos incluidos en las categorías anteriores se computarán por el 0%, 20%, 50% y 100% de su valor, respectivamente.  </w:t>
      </w:r>
    </w:p>
    <w:p w14:paraId="48EFC0C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C376D9" w14:textId="5F8CA8B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Los activos que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2.11.10.1.5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deduzcan para efectuar el cálculo del patrimonio básico, no se computarán para efectos de determinar el total de activos ponderados por riesgo de las entidades de que trata el presente Título.  </w:t>
      </w:r>
    </w:p>
    <w:p w14:paraId="55B333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CCB3EF" w14:textId="5A65B3C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fondo de liquidez de que trata el Capítulo 2 del Título 7 de la Parte 11 del Libro 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clasificará de acuerdo con la categoría que corresponda a las inversiones que lo componen.  </w:t>
      </w:r>
    </w:p>
    <w:p w14:paraId="3D058DA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00" w:name="ver_30169164"/>
      <w:bookmarkEnd w:id="1600"/>
    </w:p>
    <w:p w14:paraId="19182234" w14:textId="0EE8A2C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2.11.10.1.9. Clasificación y ponderación de las contingencias. Las contingencias ponderarán, para efectos de la aplicación de lo previsto en el presente Título, según se determina a continuación:  </w:t>
      </w:r>
    </w:p>
    <w:p w14:paraId="4DE4D2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7B89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monto nominal de las contingencias se multiplica por el factor de conversión crediticio que corresponda a dicha operación, según la siguiente clasificación:  </w:t>
      </w:r>
    </w:p>
    <w:p w14:paraId="444DA2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6606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sustitutos directos de crédito, tales como los contratos de apertura de crédito irrevocables, tienen un factor de conversión crediticio del cien por ciento (100%).  </w:t>
      </w:r>
    </w:p>
    <w:p w14:paraId="72195B8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D838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Los procesos administrativos o judiciales, los créditos aprobados no desembolsados, y los contratos de apertura de crédito revocables, en los cuales el riesgo de crédito permanece en la cooperativa, tienen un factor de conversión crediticio del veinte por ciento (20%).  </w:t>
      </w:r>
    </w:p>
    <w:p w14:paraId="6EE97D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otras contingencias, tienen un factor de conversión crediticio del cero por ciento (0 %);  </w:t>
      </w:r>
    </w:p>
    <w:p w14:paraId="0E9253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95AAC0" w14:textId="624796A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El monto resultante se computará de acuerdo con las categorías señaladas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2.11.10.1.8.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teniendo en cuenta las características de la contraparte.  </w:t>
      </w:r>
    </w:p>
    <w:p w14:paraId="3969C1D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01" w:name="ver_30169165"/>
      <w:bookmarkEnd w:id="1601"/>
    </w:p>
    <w:p w14:paraId="293EB67E" w14:textId="412E11F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2.11.10.1.10. Detalle de la clasificación de activos y contingencias. La Superintendencia de la Economía Solidaria impartirá las instrucciones necesarias para facilitar la debida clasificación de la totalidad de los activos y las contingencias dentro de las categorías determinadas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precedentes y de acuerdo con los criterios allí señalados.  </w:t>
      </w:r>
    </w:p>
    <w:p w14:paraId="10C9F52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02" w:name="ver_30169166"/>
      <w:bookmarkEnd w:id="1602"/>
    </w:p>
    <w:p w14:paraId="2ECDE2C8" w14:textId="6164E88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2.11.10.1.11. Valoraciones y provisiones. Para efectos del presente Título, los activos se valorarán por su costo ajustado pero se computarán netos de su respectiva provisión.  </w:t>
      </w:r>
    </w:p>
    <w:p w14:paraId="2B81ECCC"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114BA728" w14:textId="0F43E7DD" w:rsidR="00404266" w:rsidRPr="00F42255" w:rsidRDefault="00F42255" w:rsidP="00F42255">
      <w:pPr>
        <w:spacing w:after="0" w:line="293" w:lineRule="atLeast"/>
        <w:jc w:val="center"/>
        <w:rPr>
          <w:rFonts w:ascii="Arial" w:eastAsia="Times New Roman" w:hAnsi="Arial" w:cs="Arial"/>
          <w:b/>
          <w:bCs/>
          <w:color w:val="000000"/>
          <w:lang w:eastAsia="es-CO"/>
        </w:rPr>
      </w:pPr>
      <w:bookmarkStart w:id="1603" w:name="ver_30169167"/>
      <w:bookmarkEnd w:id="1603"/>
      <w:r w:rsidRPr="00F42255">
        <w:rPr>
          <w:rFonts w:ascii="Arial" w:eastAsia="Times New Roman" w:hAnsi="Arial" w:cs="Arial"/>
          <w:b/>
          <w:bCs/>
          <w:color w:val="000000"/>
          <w:lang w:eastAsia="es-CO"/>
        </w:rPr>
        <w:t>CAPÍTULO II</w:t>
      </w:r>
    </w:p>
    <w:p w14:paraId="1E5852E5" w14:textId="40E97CE8"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LÍMITES A LOS CUPOS INDIVIDUALES DE CRÉDITO Y LA CONCENTRACIÓN DE OPERACIONES</w:t>
      </w:r>
    </w:p>
    <w:p w14:paraId="2D3C363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04" w:name="ver_30169168"/>
      <w:bookmarkEnd w:id="1604"/>
    </w:p>
    <w:p w14:paraId="79F85143" w14:textId="25CD16C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2.11.10.2.1. Cuantía máxima del cupo individual. Ninguna de las cooperativas a que se refiere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podrá realizar con una misma persona natural o jurídica, directa o indirectamente, operaciones activas de crédito, que conjunta o separadamente excedan del diez por ciento (10%) del patrimonio técnico de la entidad, si la única garantía de la operación es el patrimonio del deudor. Sin embargo, cuando las operaciones respectivas cuenten con garantías o seguridades admisibles suficientes, las operaciones de que trata el presente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pueden alcanzar hasta el veinte por ciento (20%) del patrimonio técnico de la entidad”. </w:t>
      </w:r>
    </w:p>
    <w:p w14:paraId="701E689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05" w:name="ver_30169170"/>
      <w:bookmarkEnd w:id="1605"/>
    </w:p>
    <w:p w14:paraId="599F3BF3" w14:textId="4C3E401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2.11.10.2.2. Información a las Juntas de Vigilancia y Consejos de Administración. Toda situación de concentración de cupo individual superior al diez por ciento (10%) del patrimonio técnico, cualesquiera que sean las garantías que se presenten, deberá ser reportado mensualmente por el representante legal a la Junta de Vigilancia y al Consejo de Administración de la respectiva entidad. </w:t>
      </w:r>
    </w:p>
    <w:p w14:paraId="4CCBC40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2CFA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dentro del mismo término deberán informarse las clases y montos de las garantías vigentes para la operación, prórrogas, renovaciones o refinanciaciones de las obligaciones que constituyen la concentración del riesgo. </w:t>
      </w:r>
    </w:p>
    <w:p w14:paraId="188CD0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2FF902" w14:textId="3709CFC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el cumplimiento de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el consejo de administración y la junta de vigilancia actuarán de manera independiente y exclusivamente bajo el cumplimiento de las funciones que corresponden a cada órgano. La junta de vigilancia actuará con sujeción a las funciones establecidas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59 de la Ley 454 de 1998 y 2.11.11.6.2.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2015 </w:t>
      </w:r>
    </w:p>
    <w:p w14:paraId="4C3C2250" w14:textId="77777777" w:rsidR="00F42255" w:rsidRDefault="00F42255" w:rsidP="00C32F85">
      <w:pPr>
        <w:spacing w:after="0" w:line="254" w:lineRule="atLeast"/>
        <w:jc w:val="both"/>
        <w:rPr>
          <w:rFonts w:ascii="Arial" w:eastAsia="Times New Roman" w:hAnsi="Arial" w:cs="Arial"/>
          <w:color w:val="000000"/>
          <w:lang w:eastAsia="es-CO"/>
        </w:rPr>
      </w:pPr>
    </w:p>
    <w:p w14:paraId="0604E8CF" w14:textId="49EE0B8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2.11.10.2.3. Remisión normativa. Las cooperativas de ahorro y crédito y las multiactivas o integrales con sección de ahorro y crédito, se continuarán sujetando en los demás aspectos a las disposiciones del Título 2 y 3 del Libro 1 de la Parte 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y las que lo modifiquen, adicionen o complementen.  </w:t>
      </w:r>
    </w:p>
    <w:p w14:paraId="66C0126F" w14:textId="124FEEE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872151" w14:textId="220C2A3A" w:rsidR="00404266" w:rsidRPr="002C1480" w:rsidRDefault="002C1480" w:rsidP="00C32F85">
      <w:pPr>
        <w:spacing w:after="0" w:line="254" w:lineRule="atLeast"/>
        <w:jc w:val="both"/>
        <w:rPr>
          <w:rFonts w:ascii="Arial" w:eastAsia="Times New Roman" w:hAnsi="Arial" w:cs="Arial"/>
          <w:color w:val="000000"/>
          <w:lang w:eastAsia="es-CO"/>
        </w:rPr>
      </w:pPr>
      <w:bookmarkStart w:id="1606" w:name="ver_30169173"/>
      <w:bookmarkEnd w:id="1606"/>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2.11.10.2.4. Límites a las inversiones. Las inversiones de capital de las cooperativas de ahorro y crédito y de las secciones de ahorro y crédito de las cooperativas multiactivas o integrales se deben sujetar a lo dispuesto en el parágrafo 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50 de la Ley 454 de 1998, modificado por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107 de la Ley 795 de 2003.  </w:t>
      </w:r>
    </w:p>
    <w:p w14:paraId="4C1F5018" w14:textId="77777777" w:rsidR="00F42255" w:rsidRDefault="00F42255" w:rsidP="00C32F85">
      <w:pPr>
        <w:spacing w:after="0" w:line="254" w:lineRule="atLeast"/>
        <w:jc w:val="both"/>
        <w:rPr>
          <w:rFonts w:ascii="Arial" w:eastAsia="Times New Roman" w:hAnsi="Arial" w:cs="Arial"/>
          <w:color w:val="000000"/>
          <w:lang w:eastAsia="es-CO"/>
        </w:rPr>
      </w:pPr>
      <w:bookmarkStart w:id="1607" w:name="ver_30169174"/>
      <w:bookmarkEnd w:id="1607"/>
    </w:p>
    <w:p w14:paraId="1210E258" w14:textId="2C0B649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2.11.10.2.5. Límite individual a las captaciones. Las cooperativas de ahorro y crédito y las cooperativas multiactivas con sección de ahorro y crédito podrán recibir de una misma persona natural o jurídica depósitos hasta por un monto equivalente al veinticinco por ciento (25%) del total de su patrimonio técnico.  </w:t>
      </w:r>
    </w:p>
    <w:p w14:paraId="2CC80D5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B434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efecto, se computarán las captaciones en depósitos de ahorro a la vista, a término, contractual y demás modalidades de captaciones, que se celebren con una misma persona natural o jurídica, de acuerdo con los parámetros previstos en las normas establecidas en el presente Capítulo sobre cupo individual de crédito.  </w:t>
      </w:r>
    </w:p>
    <w:p w14:paraId="4955663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3EA9D0" w14:textId="1BC6661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los fines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los recaudos por concepto de servicios públicos se exceptuarán del cómputo de límite individual a las captaciones. </w:t>
      </w:r>
    </w:p>
    <w:p w14:paraId="4FCFC35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08" w:name="ver_30169263"/>
      <w:bookmarkEnd w:id="1608"/>
    </w:p>
    <w:p w14:paraId="7085F689" w14:textId="52C2CB5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2.11.10.2.6. Acumulación en personas naturales. Conformarán un grupo conectado de personas naturales aquellos asociados que sean cónyuges, compañeros o compañeras permanentes, o parientes dentro del segundo grado de consanguinidad, segundo de afinidad y único civil.  </w:t>
      </w:r>
    </w:p>
    <w:p w14:paraId="5E4FD15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1FD6B2" w14:textId="0C6C310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organizaciones podrán exceptuar del concepto de grupo conectado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aquellos eventos en que la persona natural, respecto de la cual se predique la acumulación, haya declarado previamente bajo juramento a la respectiva cooperativa que actúa bajo intereses económicos contrapuestos o independientes. Estas declaraciones estarán a disposición de la Superintendencia de la Economía Solidaria para el ejercicio de sus funciones de supervisión </w:t>
      </w:r>
    </w:p>
    <w:p w14:paraId="413CE8BC" w14:textId="77777777" w:rsidR="00F42255" w:rsidRDefault="00F42255" w:rsidP="00C32F85">
      <w:pPr>
        <w:spacing w:after="0" w:line="293" w:lineRule="atLeast"/>
        <w:jc w:val="both"/>
        <w:rPr>
          <w:rFonts w:ascii="Arial" w:eastAsia="Times New Roman" w:hAnsi="Arial" w:cs="Arial"/>
          <w:color w:val="000000"/>
          <w:lang w:eastAsia="es-CO"/>
        </w:rPr>
      </w:pPr>
      <w:bookmarkStart w:id="1609" w:name="ver_30169175"/>
      <w:bookmarkEnd w:id="1609"/>
    </w:p>
    <w:p w14:paraId="1C9AD941" w14:textId="57704C77"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CAPÍTULO III</w:t>
      </w:r>
    </w:p>
    <w:p w14:paraId="7B8D6315" w14:textId="46AD60C1"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OTRAS DISPOSICIONES</w:t>
      </w:r>
    </w:p>
    <w:p w14:paraId="3264B96C" w14:textId="77777777" w:rsidR="00F42255" w:rsidRDefault="00F42255" w:rsidP="00C32F85">
      <w:pPr>
        <w:spacing w:after="0" w:line="254" w:lineRule="atLeast"/>
        <w:jc w:val="both"/>
        <w:rPr>
          <w:rFonts w:ascii="Arial" w:eastAsia="Times New Roman" w:hAnsi="Arial" w:cs="Arial"/>
          <w:color w:val="000000"/>
          <w:lang w:eastAsia="es-CO"/>
        </w:rPr>
      </w:pPr>
    </w:p>
    <w:p w14:paraId="7406B076" w14:textId="029F3FF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2.11.10.3.1. Sanciones. De acuerdo con lo previsto en los numerales 6 y 7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36 de la Ley 454 de 1998, corresponde a la Superintendencia de la Economía Solidaria imponer las sanciones previstas en la Ley por el incumplimiento de las anteriores disposiciones y a las normas que lo modifiquen, o sustituyan”.  </w:t>
      </w:r>
    </w:p>
    <w:p w14:paraId="176189D0" w14:textId="006D6E0A" w:rsidR="00404266"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2329F0" w14:textId="3D0C876C" w:rsidR="00B47412" w:rsidRDefault="00B47412" w:rsidP="00F42255">
      <w:pPr>
        <w:spacing w:after="0" w:line="254" w:lineRule="atLeast"/>
        <w:jc w:val="both"/>
        <w:rPr>
          <w:rFonts w:ascii="Arial" w:eastAsia="Times New Roman" w:hAnsi="Arial" w:cs="Arial"/>
          <w:color w:val="000000"/>
          <w:lang w:eastAsia="es-CO"/>
        </w:rPr>
      </w:pPr>
    </w:p>
    <w:p w14:paraId="24B41828" w14:textId="2C0F8090" w:rsidR="00B47412" w:rsidRDefault="00B47412" w:rsidP="00F42255">
      <w:pPr>
        <w:spacing w:after="0" w:line="254" w:lineRule="atLeast"/>
        <w:jc w:val="both"/>
        <w:rPr>
          <w:rFonts w:ascii="Arial" w:eastAsia="Times New Roman" w:hAnsi="Arial" w:cs="Arial"/>
          <w:color w:val="000000"/>
          <w:lang w:eastAsia="es-CO"/>
        </w:rPr>
      </w:pPr>
    </w:p>
    <w:p w14:paraId="69C3D978" w14:textId="77777777" w:rsidR="00B47412" w:rsidRPr="002C1480" w:rsidRDefault="00B47412" w:rsidP="00F42255">
      <w:pPr>
        <w:spacing w:after="0" w:line="254" w:lineRule="atLeast"/>
        <w:jc w:val="both"/>
        <w:rPr>
          <w:rFonts w:ascii="Arial" w:eastAsia="Times New Roman" w:hAnsi="Arial" w:cs="Arial"/>
          <w:color w:val="000000"/>
          <w:lang w:eastAsia="es-CO"/>
        </w:rPr>
      </w:pPr>
    </w:p>
    <w:p w14:paraId="13F0A7B6" w14:textId="73E3CBB2" w:rsidR="00404266" w:rsidRPr="00F42255" w:rsidRDefault="00F42255" w:rsidP="00F42255">
      <w:pPr>
        <w:spacing w:after="0" w:line="293" w:lineRule="atLeast"/>
        <w:jc w:val="center"/>
        <w:rPr>
          <w:rFonts w:ascii="Arial" w:eastAsia="Times New Roman" w:hAnsi="Arial" w:cs="Arial"/>
          <w:b/>
          <w:bCs/>
          <w:color w:val="000000"/>
          <w:lang w:eastAsia="es-CO"/>
        </w:rPr>
      </w:pPr>
      <w:bookmarkStart w:id="1610" w:name="ver_30169182"/>
      <w:bookmarkEnd w:id="1610"/>
      <w:r w:rsidRPr="00F42255">
        <w:rPr>
          <w:rFonts w:ascii="Arial" w:eastAsia="Times New Roman" w:hAnsi="Arial" w:cs="Arial"/>
          <w:b/>
          <w:bCs/>
          <w:color w:val="000000"/>
          <w:lang w:eastAsia="es-CO"/>
        </w:rPr>
        <w:t>TÍTULO 11</w:t>
      </w:r>
    </w:p>
    <w:p w14:paraId="125EBEF9" w14:textId="1F8BF30D" w:rsidR="00404266"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NORMAS DE BUEN GOBIERNO APLICABLES A LAS ORGANIZACIONES DE ECONOMÍA SOLIDARIA QUE PRESTAN SERVICIOS DE AHORRO Y CRÉDITO</w:t>
      </w:r>
    </w:p>
    <w:p w14:paraId="56F7EDDF" w14:textId="77777777" w:rsidR="00B47412" w:rsidRPr="00F42255" w:rsidRDefault="00B47412" w:rsidP="00F42255">
      <w:pPr>
        <w:spacing w:after="0" w:line="293" w:lineRule="atLeast"/>
        <w:jc w:val="center"/>
        <w:rPr>
          <w:rFonts w:ascii="Arial" w:eastAsia="Times New Roman" w:hAnsi="Arial" w:cs="Arial"/>
          <w:b/>
          <w:bCs/>
          <w:color w:val="000000"/>
          <w:lang w:eastAsia="es-CO"/>
        </w:rPr>
      </w:pPr>
    </w:p>
    <w:p w14:paraId="57D0FF5E" w14:textId="33C46E9C"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CAPÍTULO 1</w:t>
      </w:r>
    </w:p>
    <w:p w14:paraId="07E199BC" w14:textId="0FEC3617"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DISPOSICIONES GENERALES</w:t>
      </w:r>
    </w:p>
    <w:p w14:paraId="6FF9F8A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11" w:name="ver_30169183"/>
      <w:bookmarkEnd w:id="1611"/>
    </w:p>
    <w:p w14:paraId="63C5F4DD" w14:textId="1524A6C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2.11.11.1.1. Ámbito de aplicación. Las disposiciones del presente título serán aplicables a las cooperativas de ahorro y crédito, las cooperativas multiactivas e integrales con sección de ahorro y crédito, y los fondos de empleados de categoría plena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2.11.5.1.3.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3C4FB1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55A491" w14:textId="2DEC361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fondos de empleados de categoría básica e intermedia, las asociaciones mutuales, y los organismos de segundo y tercer grado y las instituciones auxiliares del cooperativismo que, respectivamente, agrupen o sean creadas por las organizaciones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adoptarán facultativamente las disposiciones previstas en este título.  </w:t>
      </w:r>
    </w:p>
    <w:p w14:paraId="38E9380F" w14:textId="43FFB3F4"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12" w:name="ver_30169184"/>
      <w:bookmarkEnd w:id="1612"/>
    </w:p>
    <w:p w14:paraId="6618733C" w14:textId="2056C47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2.11.11.1.2. Instrumentos de formalización. Los requisitos, condiciones y criterios planteados en el presente Título serán incorporados para su cumplimiento dentro de los reglamentos o manuales de las organizaciones con sujeción a los lineamientos generales que se establezcan en los estatutos sociales, de acuerdo con las disposiciones de la Ley 454 de 1998, y los </w:t>
      </w:r>
      <w:r w:rsidR="00731A76">
        <w:rPr>
          <w:rFonts w:ascii="Arial" w:eastAsia="Times New Roman" w:hAnsi="Arial" w:cs="Arial"/>
          <w:color w:val="000000"/>
          <w:lang w:eastAsia="es-CO"/>
        </w:rPr>
        <w:t>DECRETOS</w:t>
      </w:r>
      <w:r w:rsidR="00404266" w:rsidRPr="002C1480">
        <w:rPr>
          <w:rFonts w:ascii="Arial" w:eastAsia="Times New Roman" w:hAnsi="Arial" w:cs="Arial"/>
          <w:color w:val="000000"/>
          <w:lang w:eastAsia="es-CO"/>
        </w:rPr>
        <w:t>-ley 1480 y 1481 de 1989, según corresponda.  </w:t>
      </w:r>
    </w:p>
    <w:p w14:paraId="423C0FBD" w14:textId="77777777" w:rsidR="00F42255" w:rsidRDefault="00F42255" w:rsidP="00C32F85">
      <w:pPr>
        <w:spacing w:after="0" w:line="293" w:lineRule="atLeast"/>
        <w:jc w:val="both"/>
        <w:rPr>
          <w:rFonts w:ascii="Arial" w:eastAsia="Times New Roman" w:hAnsi="Arial" w:cs="Arial"/>
          <w:color w:val="000000"/>
          <w:lang w:eastAsia="es-CO"/>
        </w:rPr>
      </w:pPr>
      <w:bookmarkStart w:id="1613" w:name="ver_30169186"/>
      <w:bookmarkEnd w:id="1613"/>
    </w:p>
    <w:p w14:paraId="1AE76752" w14:textId="2089CFA5"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CAPÍTULO 2</w:t>
      </w:r>
    </w:p>
    <w:p w14:paraId="3A7371B5" w14:textId="4553A7B8"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INFORMACIÓN A LOS ASOCIADOS, CONVOCATORIA Y POLÍTICAS MÍNIMAS PARA LA ASAMBLEA GENERAL</w:t>
      </w:r>
    </w:p>
    <w:p w14:paraId="53CFBC7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14" w:name="ver_30169187"/>
      <w:bookmarkEnd w:id="1614"/>
    </w:p>
    <w:p w14:paraId="637EDE8D" w14:textId="71BD395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2.11.11.2.1. Objeto. Las disposiciones contenidas en el presente capítulo tienen por objeto establecer algunos instrumentos de información y fortalecer la implementación de iniciativas que motiven la participación plural y democrática de los asociados en los órganos de administración, la toma de decisiones, la gestión de riesgos y el desarrollo de buenas prácticas de gobierno de las organizaciones. </w:t>
      </w:r>
    </w:p>
    <w:p w14:paraId="01873CD1" w14:textId="77777777" w:rsidR="00F42255" w:rsidRDefault="00F42255" w:rsidP="00C32F85">
      <w:pPr>
        <w:spacing w:after="0" w:line="254" w:lineRule="atLeast"/>
        <w:jc w:val="both"/>
        <w:rPr>
          <w:rFonts w:ascii="Arial" w:eastAsia="Times New Roman" w:hAnsi="Arial" w:cs="Arial"/>
          <w:color w:val="000000"/>
          <w:lang w:eastAsia="es-CO"/>
        </w:rPr>
      </w:pPr>
    </w:p>
    <w:p w14:paraId="40ECAAAA" w14:textId="4ABAF64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2.11.11.2.2. Información permanente a los asociados. Las organizaciones deberán establecer requisitos de información a los asociados, con los que como mínimo se garantice, previo a la vinculación del asociado y durante todo el tiempo de vinculación:  </w:t>
      </w:r>
    </w:p>
    <w:p w14:paraId="525C149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9001F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obligación de ponerle en conocimiento de los derechos y obligaciones que de acuerdo con la normatividad vigente, los estatutos y el reglamento, les correspon</w:t>
      </w:r>
      <w:r w:rsidRPr="002C1480">
        <w:rPr>
          <w:rFonts w:ascii="Arial" w:eastAsia="Times New Roman" w:hAnsi="Arial" w:cs="Arial"/>
          <w:color w:val="000000"/>
          <w:lang w:eastAsia="es-CO"/>
        </w:rPr>
        <w:softHyphen/>
        <w:t>den a los asociados de la entidad y en general a los asociados de organizaciones de economía solidaria, y las características de sus aportes y depósitos.  </w:t>
      </w:r>
    </w:p>
    <w:p w14:paraId="7CA716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141C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programas de capacitación, rendición de cuentas, perfiles e informes de los órganos de administración, control y vigilancia.  </w:t>
      </w:r>
    </w:p>
    <w:p w14:paraId="6BA78F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47C9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canales de comunicación de que dispone la organización, a través de los cua</w:t>
      </w:r>
      <w:r w:rsidRPr="002C1480">
        <w:rPr>
          <w:rFonts w:ascii="Arial" w:eastAsia="Times New Roman" w:hAnsi="Arial" w:cs="Arial"/>
          <w:color w:val="000000"/>
          <w:lang w:eastAsia="es-CO"/>
        </w:rPr>
        <w:softHyphen/>
        <w:t>les se puede acceder a la información de la entidad.  </w:t>
      </w:r>
    </w:p>
    <w:p w14:paraId="4010398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15" w:name="ver_30169195"/>
      <w:bookmarkEnd w:id="1615"/>
    </w:p>
    <w:p w14:paraId="497B4B67" w14:textId="6114D8F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2.11.11.2.3. Convocatoria a Asamblea General. Con sujeción a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30 de la Ley 79 de 1988 y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30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1481 de 1989, para las convocatorias a reuniones de asamblea general se seguirán criterios de transparencia, oportunidad y motivación a la participación democrática de los asociados. Para el efecto, como mínimo:  </w:t>
      </w:r>
    </w:p>
    <w:p w14:paraId="1A088F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65B1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La convocatoria a asamblea general ordinaria se realizará con una anticipación no menor a 15 días hábiles, informando la fecha, hora, lugar, orden del día en que se realizará la reunión y los </w:t>
      </w:r>
      <w:r w:rsidRPr="002C1480">
        <w:rPr>
          <w:rFonts w:ascii="Arial" w:eastAsia="Times New Roman" w:hAnsi="Arial" w:cs="Arial"/>
          <w:color w:val="000000"/>
          <w:lang w:eastAsia="es-CO"/>
        </w:rPr>
        <w:lastRenderedPageBreak/>
        <w:t>asuntos que van a someterse a decisión. Para las asam</w:t>
      </w:r>
      <w:r w:rsidRPr="002C1480">
        <w:rPr>
          <w:rFonts w:ascii="Arial" w:eastAsia="Times New Roman" w:hAnsi="Arial" w:cs="Arial"/>
          <w:color w:val="000000"/>
          <w:lang w:eastAsia="es-CO"/>
        </w:rPr>
        <w:softHyphen/>
        <w:t>bleas extraordinarias se remitirá la misma información y la anticipación mínima será de 5 días hábiles.  </w:t>
      </w:r>
    </w:p>
    <w:p w14:paraId="3965E6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51F7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Cuando dentro de una asamblea se vayan a realizar elecciones de órganos de ad</w:t>
      </w:r>
      <w:r w:rsidRPr="002C1480">
        <w:rPr>
          <w:rFonts w:ascii="Arial" w:eastAsia="Times New Roman" w:hAnsi="Arial" w:cs="Arial"/>
          <w:color w:val="000000"/>
          <w:lang w:eastAsia="es-CO"/>
        </w:rPr>
        <w:softHyphen/>
        <w:t>ministración, control y vigilancia, con la convocatoria se acompañarán los perfiles que deberán cumplir los candidatos que se postulen y las reglas de votación con las que se realizará la elección. Adicionalmente, las organizaciones establecerán políticas de información para divulgar el perfil de los candidatos con anterioridad a la elección del respectivo órgano.  </w:t>
      </w:r>
    </w:p>
    <w:p w14:paraId="048AA9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885A9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Previo a la celebración de la asamblea general, se informará a los asociados in</w:t>
      </w:r>
      <w:r w:rsidRPr="002C1480">
        <w:rPr>
          <w:rFonts w:ascii="Arial" w:eastAsia="Times New Roman" w:hAnsi="Arial" w:cs="Arial"/>
          <w:color w:val="000000"/>
          <w:lang w:eastAsia="es-CO"/>
        </w:rPr>
        <w:softHyphen/>
        <w:t>hábiles, si los hubiere, sobre esta condición, las razones por las que adquirieron la inhabilidad, los efectos que les representan y los mecanismos con que cuentan para superar dicha situación.  </w:t>
      </w:r>
    </w:p>
    <w:p w14:paraId="480844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4230D4" w14:textId="1C4199B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Para la aplicación del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previo a la realización de la asamblea se dará cumplimiento a lo previsto en 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2.11.11.4.2.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en general, se verificará por el órgano o funcionario competente el cumplimiento de los requisitos que se requieren para la postulación.  </w:t>
      </w:r>
    </w:p>
    <w:p w14:paraId="0657D5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A7BC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postulación de candidatos a miembros de órganos de administración, control y vigilancia se realizará de forma separada para los diferentes órganos, de manera que en una misma asamblea cada candidato se postule solamente a uno de ellos.  </w:t>
      </w:r>
    </w:p>
    <w:p w14:paraId="096A06F9" w14:textId="09FE2D84"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16" w:name="ver_30169196"/>
      <w:bookmarkEnd w:id="1616"/>
    </w:p>
    <w:p w14:paraId="439A4710" w14:textId="0AD5510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2.11.11.2.4. Información sobre la asamblea general. Las organizaciones adoptarán políticas de comunicación e información dirigidas a los asociados sobre las decisiones tomadas en asamblea general. Entre estas políticas se establecerán canales de comunicación para todos los asociados, incluyendo aquellos que no hayan participado en la asamblea.  </w:t>
      </w:r>
    </w:p>
    <w:p w14:paraId="1D404673" w14:textId="21E1DA4F"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DB79E0" w14:textId="6B7A388D" w:rsidR="00404266" w:rsidRPr="00F42255" w:rsidRDefault="00F42255" w:rsidP="00F42255">
      <w:pPr>
        <w:spacing w:after="0" w:line="293" w:lineRule="atLeast"/>
        <w:jc w:val="center"/>
        <w:rPr>
          <w:rFonts w:ascii="Arial" w:eastAsia="Times New Roman" w:hAnsi="Arial" w:cs="Arial"/>
          <w:b/>
          <w:bCs/>
          <w:color w:val="000000"/>
          <w:lang w:eastAsia="es-CO"/>
        </w:rPr>
      </w:pPr>
      <w:bookmarkStart w:id="1617" w:name="ver_30169197"/>
      <w:bookmarkEnd w:id="1617"/>
      <w:r w:rsidRPr="00F42255">
        <w:rPr>
          <w:rFonts w:ascii="Arial" w:eastAsia="Times New Roman" w:hAnsi="Arial" w:cs="Arial"/>
          <w:b/>
          <w:bCs/>
          <w:color w:val="000000"/>
          <w:lang w:eastAsia="es-CO"/>
        </w:rPr>
        <w:t>CAPÍTULO 3</w:t>
      </w:r>
    </w:p>
    <w:p w14:paraId="0FDF66E3" w14:textId="6B61373E" w:rsidR="00404266" w:rsidRPr="00F42255" w:rsidRDefault="00F42255"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NOMBRAMIENTO DE DELEGADOS</w:t>
      </w:r>
    </w:p>
    <w:p w14:paraId="68C3835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18" w:name="ver_30169198"/>
      <w:bookmarkEnd w:id="1618"/>
    </w:p>
    <w:p w14:paraId="2F91F6B9" w14:textId="6966576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2.11.11.3.1. Objeto. Las disposiciones contenidas en el presente capítulo tienen por objeto fortalecer las relaciones de representación de los asociados con sus delegados, con base en políticas de comunicación que aseguren información completa y permanente sobre las decisiones adoptadas en la asamblea general o con la participación de los delegados.  </w:t>
      </w:r>
    </w:p>
    <w:p w14:paraId="18E72914" w14:textId="1D543204"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19" w:name="ver_30169202"/>
      <w:bookmarkEnd w:id="1619"/>
    </w:p>
    <w:p w14:paraId="771F9305" w14:textId="7FC4428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2.11.11.3.2. Elección de delegados. Con sujeción a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29 de la Ley 79 de 1988 y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1481 de 1989, el Consejo de Administración o Junta Directiva de la organización someterá a aprobación de la asamblea general, el número y período de elección de los delegados, con lo cual deberá garantizar la adecuada información y participación de los asociados por lo menos con base en las siguientes políticas:  </w:t>
      </w:r>
    </w:p>
    <w:p w14:paraId="11580D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17E803" w14:textId="2D1FF9F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Criterios de sustitución de asamblea de asociados por asamblea de delegados: para lo cual debe justificarse alguna o algunas de las razones previstas en el inciso primero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29 de la Ley 79 de 1988 o en el inciso primero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1481 de 1989.  </w:t>
      </w:r>
    </w:p>
    <w:p w14:paraId="022CC5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9E0C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Número de delegados: que aseguren que los asociados estén plena y permanentemente informados sobre las decisiones tomadas en asamblea, y que todos los segmentos de asociados estén representados por al menos un delegado.  </w:t>
      </w:r>
    </w:p>
    <w:p w14:paraId="6C5690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FBB236" w14:textId="77DCF91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Para la aplicación del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entiéndase por segmento de asociados aquél conformado por asociados que comparten características en razón de su ubicación geográfica, actividad económica, vinculación a una empresa, etc., distintas al vínculo de asociación previsto en los estatutos de la organización.  </w:t>
      </w:r>
    </w:p>
    <w:p w14:paraId="16702AC7" w14:textId="77777777" w:rsidR="00F42255" w:rsidRDefault="00F42255" w:rsidP="00C32F85">
      <w:pPr>
        <w:spacing w:after="0" w:line="293" w:lineRule="atLeast"/>
        <w:jc w:val="both"/>
        <w:rPr>
          <w:rFonts w:ascii="Arial" w:eastAsia="Times New Roman" w:hAnsi="Arial" w:cs="Arial"/>
          <w:color w:val="000000"/>
          <w:lang w:eastAsia="es-CO"/>
        </w:rPr>
      </w:pPr>
      <w:bookmarkStart w:id="1620" w:name="ver_30169203"/>
      <w:bookmarkEnd w:id="1620"/>
    </w:p>
    <w:p w14:paraId="30BF8E41" w14:textId="15AC2AAD" w:rsidR="00404266" w:rsidRPr="00F42255" w:rsidRDefault="00B47412"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CAPÍTULO 4</w:t>
      </w:r>
    </w:p>
    <w:p w14:paraId="3FC110E8" w14:textId="29133BB2" w:rsidR="00404266" w:rsidRPr="00F42255" w:rsidRDefault="00B47412" w:rsidP="00F42255">
      <w:pPr>
        <w:spacing w:after="0" w:line="293" w:lineRule="atLeast"/>
        <w:jc w:val="center"/>
        <w:rPr>
          <w:rFonts w:ascii="Arial" w:eastAsia="Times New Roman" w:hAnsi="Arial" w:cs="Arial"/>
          <w:b/>
          <w:bCs/>
          <w:color w:val="000000"/>
          <w:lang w:eastAsia="es-CO"/>
        </w:rPr>
      </w:pPr>
      <w:r w:rsidRPr="00F42255">
        <w:rPr>
          <w:rFonts w:ascii="Arial" w:eastAsia="Times New Roman" w:hAnsi="Arial" w:cs="Arial"/>
          <w:b/>
          <w:bCs/>
          <w:color w:val="000000"/>
          <w:lang w:eastAsia="es-CO"/>
        </w:rPr>
        <w:t>ELECCIÓN DEL CONSEJO DE ADMINISTRACIÓN O JUNTA DIRECTIVA</w:t>
      </w:r>
    </w:p>
    <w:p w14:paraId="11D0489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21" w:name="ver_30169204"/>
      <w:bookmarkEnd w:id="1621"/>
    </w:p>
    <w:p w14:paraId="7E7E619C" w14:textId="053CB9E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2.11.11.4.1. Objeto. Las disposiciones contenidas en el presente capítulo tienen por objeto establecer mecanismos que procuren la idoneidad de los miembros del Consejo de Administración o Junta Directiva, como medida de fortalecimiento del sector y de estabilidad de las organizaciones. </w:t>
      </w:r>
    </w:p>
    <w:p w14:paraId="64816B8A" w14:textId="77777777" w:rsidR="00F42255" w:rsidRDefault="00F42255" w:rsidP="00C32F85">
      <w:pPr>
        <w:spacing w:after="0" w:line="254" w:lineRule="atLeast"/>
        <w:jc w:val="both"/>
        <w:rPr>
          <w:rFonts w:ascii="Arial" w:eastAsia="Times New Roman" w:hAnsi="Arial" w:cs="Arial"/>
          <w:color w:val="000000"/>
          <w:lang w:eastAsia="es-CO"/>
        </w:rPr>
      </w:pPr>
    </w:p>
    <w:p w14:paraId="26082C01" w14:textId="5CB69BB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2.11.11.4.2. Elección de miembros de Consejo de Administración o Junta Directiva. Para la postulación de candidatos como miembros del Consejo de Administración o Junta Directiva, las organizaciones requerirán que los aspirantes cuenten como mínimo con los siguientes requisitos:  </w:t>
      </w:r>
    </w:p>
    <w:p w14:paraId="228CD9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8CC3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Contar con capacidades y aptitudes personales, conocimiento, integridad ética y destrezas idóneas para actuar como miembros.  </w:t>
      </w:r>
    </w:p>
    <w:p w14:paraId="034519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FEFB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Acreditar experiencia suficiente en la actividad que desarrolla la organización y/o experiencia, o conocimientos apropiados para el cumplimiento de las responsabilidades y funciones.  </w:t>
      </w:r>
    </w:p>
    <w:p w14:paraId="2D04FA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15C2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No haber sido sancionado disciplinaria o administrativamente, o anteriormente removido del cargo de gerente, o miembro del Consejo de Administración o Junta Directiva de una organización de economía solidaria, exclusivamente por hechos atribuibles al candidato a miembro de consejo o junta y con ocasión del ordenamiento de medidas de intervención.  </w:t>
      </w:r>
    </w:p>
    <w:p w14:paraId="64C37E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E26926" w14:textId="7760431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Los requisitos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deberán ser acreditados al momento en que los candidatos se postulen para ser elegidos. La Junta de Vigilancia o Comité de Control Social, verificará el cumplimiento de tales requisitos, de acuerdo con las funciones que le han sido atribuidas por la ley, y en consonancia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2.11.11.6.2.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1AE8AD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51E1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Será requisito de postulación la manifestación expresa del candidato de conocer las funciones, los deberes y las prohibiciones establecidas en la normatividad vigente y los estatutos para el Consejo de Administración o Junta Directiva. Las organizaciones establecerán y formalizarán la forma en que se realizará esta manifestación expresa.  </w:t>
      </w:r>
    </w:p>
    <w:p w14:paraId="3F3846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E71E40" w14:textId="21B4E77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Las organizaciones fijarán el nivel de los requisitos previstos en los numerales 1 y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considerando sus características y la complejidad de sus operaciones. En todo caso, deberán propender por la formación y capacitación de todos sus asociados, especialmente en relación con estos requisitos.  </w:t>
      </w:r>
    </w:p>
    <w:p w14:paraId="6B38ECA3" w14:textId="52845A30" w:rsidR="00404266" w:rsidRPr="002C1480" w:rsidRDefault="00404266" w:rsidP="00F4225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22" w:name="ver_30169206"/>
      <w:bookmarkEnd w:id="1622"/>
    </w:p>
    <w:p w14:paraId="01DB0B26" w14:textId="064751A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2.11.11.4.3. Conformación y Retribución del Consejo de Administración o Junta Directiva. El Consejo de Administración o Junta Directiva, deberá contar con un número impar de miembros principales, y estará conformado por asociados que cumplan, en todo momento, los requisitos previstos en el presente título.  </w:t>
      </w:r>
    </w:p>
    <w:p w14:paraId="4B4773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34D4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En caso de que la organización permita la permanencia de miembros por períodos que superen los 6 años consecutivos, se fijarán condiciones de participación posterior en otros órganos de administración, control o vigilancia.  </w:t>
      </w:r>
    </w:p>
    <w:p w14:paraId="78D991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B6137A" w14:textId="18D12B8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 sujeción a lo previsto en el inciso segundo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35 de la Ley 79 de 1988, y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36 y 37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1481 de 1989, y 7° de la Ley 454 de 1998, para la conformación y retribución del Consejo de Administración o Junta Directiva, las organizaciones establecerán como mínimo:  </w:t>
      </w:r>
    </w:p>
    <w:p w14:paraId="5D161E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A616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composición, número de miembros, período y procesos para la realización de las reuniones del Consejo de Administración o Junta Directiva.  </w:t>
      </w:r>
    </w:p>
    <w:p w14:paraId="62B323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68ABC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mecanismos de evaluación de desempeño del Consejo de Administración o Junta Directiva, que permitan hacerle seguimiento a su labor, periodicidad de la evaluación y los efectos de la misma.  </w:t>
      </w:r>
    </w:p>
    <w:p w14:paraId="039392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65D1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mecanismos de rotación o renovación de los miembros del Consejo de Admi</w:t>
      </w:r>
      <w:r w:rsidRPr="002C1480">
        <w:rPr>
          <w:rFonts w:ascii="Arial" w:eastAsia="Times New Roman" w:hAnsi="Arial" w:cs="Arial"/>
          <w:color w:val="000000"/>
          <w:lang w:eastAsia="es-CO"/>
        </w:rPr>
        <w:softHyphen/>
        <w:t>nistración o Junta Directiva que hayan sido dispuestos por la organización, si los hubiere.  </w:t>
      </w:r>
    </w:p>
    <w:p w14:paraId="101069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B51E9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políticas de retribución, atención de gastos y destinación de presupuesto para la inducción, capacitación y evaluación de las operaciones del Consejo de Ad</w:t>
      </w:r>
      <w:r w:rsidRPr="002C1480">
        <w:rPr>
          <w:rFonts w:ascii="Arial" w:eastAsia="Times New Roman" w:hAnsi="Arial" w:cs="Arial"/>
          <w:color w:val="000000"/>
          <w:lang w:eastAsia="es-CO"/>
        </w:rPr>
        <w:softHyphen/>
        <w:t>ministración o Junta Directiva, en caso de que en los estatutos sociales se haya autorizado el pago de estos conceptos.  </w:t>
      </w:r>
    </w:p>
    <w:p w14:paraId="1F64A4F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1A2E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criterios de participación de los miembros suplentes, que en todo caso estarán apropiadamente delimitados para garantizar que esta participación no afecte la toma de decisiones por los miembros principales.  </w:t>
      </w:r>
    </w:p>
    <w:p w14:paraId="4E7B19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8B1C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mecanismos de suministro de información a la Junta de Vigilancia o Comité de Control Social. En el desarrollo de las sesiones de Consejo de Administración o Junta Directiva se velará por su independencia de la Junta de Vigilancia o Co</w:t>
      </w:r>
      <w:r w:rsidRPr="002C1480">
        <w:rPr>
          <w:rFonts w:ascii="Arial" w:eastAsia="Times New Roman" w:hAnsi="Arial" w:cs="Arial"/>
          <w:color w:val="000000"/>
          <w:lang w:eastAsia="es-CO"/>
        </w:rPr>
        <w:softHyphen/>
        <w:t>mité de Control Social.  </w:t>
      </w:r>
    </w:p>
    <w:p w14:paraId="6B1A5192" w14:textId="77777777" w:rsidR="00CD3FFB" w:rsidRDefault="00CD3FFB" w:rsidP="00C32F85">
      <w:pPr>
        <w:spacing w:after="0" w:line="293" w:lineRule="atLeast"/>
        <w:jc w:val="both"/>
        <w:rPr>
          <w:rFonts w:ascii="Arial" w:eastAsia="Times New Roman" w:hAnsi="Arial" w:cs="Arial"/>
          <w:color w:val="000000"/>
          <w:spacing w:val="45"/>
          <w:lang w:eastAsia="es-CO"/>
        </w:rPr>
      </w:pPr>
      <w:bookmarkStart w:id="1623" w:name="ver_30169207"/>
      <w:bookmarkEnd w:id="1623"/>
    </w:p>
    <w:p w14:paraId="4A3C762B" w14:textId="13B64ADD"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CAPÍTULO 5</w:t>
      </w:r>
    </w:p>
    <w:p w14:paraId="0C8E359A" w14:textId="0E4BFDDC"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LA GERENCIA</w:t>
      </w:r>
    </w:p>
    <w:p w14:paraId="2BA83AD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24" w:name="ver_30169208"/>
      <w:bookmarkEnd w:id="1624"/>
    </w:p>
    <w:p w14:paraId="6FE4FBC0" w14:textId="368459E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2.11.11.5.1. Objeto. Las disposiciones contenidas en el presente capítulo tienen por objeto fortalecer el proceso de selección de los gerentes de las organizaciones y su relación con el Consejo de Administración o Junta Directiva.  </w:t>
      </w:r>
    </w:p>
    <w:p w14:paraId="5CD76DA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25" w:name="ver_30169209"/>
      <w:bookmarkEnd w:id="1625"/>
    </w:p>
    <w:p w14:paraId="4F96D585" w14:textId="75E9CF8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2.11.11.5.2. Selección del gerente. El gerente de las organizaciones será nombrado en forma indelegable por el Consejo de Administración o Junta Directiva, considerando criterios que garanticen su idoneidad ética y profesional, y la formación y experiencia para el desarrollo de sus funciones. Los estatutos sociales de la organización establecerán los criterios de selección del gerente general, exigiendo como mínimo los siguientes aspectos:  </w:t>
      </w:r>
    </w:p>
    <w:p w14:paraId="688A23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70DF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Formación en áreas relacionadas con el desarrollo de operaciones de la orga</w:t>
      </w:r>
      <w:r w:rsidRPr="002C1480">
        <w:rPr>
          <w:rFonts w:ascii="Arial" w:eastAsia="Times New Roman" w:hAnsi="Arial" w:cs="Arial"/>
          <w:color w:val="000000"/>
          <w:lang w:eastAsia="es-CO"/>
        </w:rPr>
        <w:softHyphen/>
        <w:t>nización, tales como administración, economía, contaduría, derecho, finanzas o afines.  </w:t>
      </w:r>
    </w:p>
    <w:p w14:paraId="0341E4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D9E8F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Experiencia en actividades relacionadas con el objeto social de la organización.  </w:t>
      </w:r>
    </w:p>
    <w:p w14:paraId="6FCADB7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525A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No haber sido sancionado disciplinaria o administrativamente, o anteriormente removido del cargo de gerente, o miembro del Consejo de Administración o Junta Directiva de una organización de economía solidaria, exclusivamente por hechos atribuibles al candidato a gerente con ocasión del ordenamiento de medidas de intervención.  </w:t>
      </w:r>
    </w:p>
    <w:p w14:paraId="766B38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742B5A" w14:textId="7A8197B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Consejo de Administración o Junta Directiva verificará el cumplimiento de los requisitos previstos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siguiendo los procedimientos de calificación del perfil y de decisión previamente establecidos en los reglamentos.  </w:t>
      </w:r>
    </w:p>
    <w:p w14:paraId="546CDD52" w14:textId="680A7E48"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26" w:name="ver_30169210"/>
      <w:bookmarkEnd w:id="1626"/>
    </w:p>
    <w:p w14:paraId="6F738487" w14:textId="68D1AB5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2.11.11.5.3. Relación con otros órganos de administración, control o vigilancia. Para el adecuado funcionamiento en las relaciones entre la gerencia y otros órganos de administración, control o vigilancia, las organizaciones fijarán respecto de sus gerentes condiciones para:  </w:t>
      </w:r>
    </w:p>
    <w:p w14:paraId="3DB024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84A7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seguimiento a las decisiones o recomendaciones realizadas por el Consejo de Administración o Junta Directiva, Junta de Vigilancia o Comité de Control So</w:t>
      </w:r>
      <w:r w:rsidRPr="002C1480">
        <w:rPr>
          <w:rFonts w:ascii="Arial" w:eastAsia="Times New Roman" w:hAnsi="Arial" w:cs="Arial"/>
          <w:color w:val="000000"/>
          <w:lang w:eastAsia="es-CO"/>
        </w:rPr>
        <w:softHyphen/>
        <w:t>cial, auditoría interna, cuando aplique, revisoría fiscal y a los requerimientos del supervisor.  </w:t>
      </w:r>
    </w:p>
    <w:p w14:paraId="6119F3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978D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 presentación del informe de gestión al Consejo de Administración o Junta Directiva, y mecanismos de comunicación e información con dicho órgano, en el que se disponga que la información será enviada con no menos de tres (3) días hábiles de anticipación a cada reunión.  </w:t>
      </w:r>
    </w:p>
    <w:p w14:paraId="402571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7CBC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participación en otros órganos. El gerente no podrá ser simultáneamente miembro de Consejo de Administración o Junta Directiva, de Junta de Vigilancia o Comité de Control Social.  </w:t>
      </w:r>
    </w:p>
    <w:p w14:paraId="075C82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1A07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 suplencia. Las suplencias del gerente, no podrán ser ejercidas por ninguno de los miembros del Consejo de Administración o Junta Directiva, o de la Junta de Vigilancia o Comité de Control Social.  </w:t>
      </w:r>
    </w:p>
    <w:p w14:paraId="7F55614E" w14:textId="6EA0A5F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82DFFB" w14:textId="60FB23DD" w:rsidR="00404266" w:rsidRPr="00CD3FFB" w:rsidRDefault="00CD3FFB" w:rsidP="00CD3FFB">
      <w:pPr>
        <w:spacing w:after="0" w:line="293" w:lineRule="atLeast"/>
        <w:jc w:val="center"/>
        <w:rPr>
          <w:rFonts w:ascii="Arial" w:eastAsia="Times New Roman" w:hAnsi="Arial" w:cs="Arial"/>
          <w:b/>
          <w:bCs/>
          <w:color w:val="000000"/>
          <w:lang w:eastAsia="es-CO"/>
        </w:rPr>
      </w:pPr>
      <w:bookmarkStart w:id="1627" w:name="ver_30169211"/>
      <w:bookmarkEnd w:id="1627"/>
      <w:r w:rsidRPr="00CD3FFB">
        <w:rPr>
          <w:rFonts w:ascii="Arial" w:eastAsia="Times New Roman" w:hAnsi="Arial" w:cs="Arial"/>
          <w:b/>
          <w:bCs/>
          <w:color w:val="000000"/>
          <w:lang w:eastAsia="es-CO"/>
        </w:rPr>
        <w:t>CAPÍTULO 6</w:t>
      </w:r>
    </w:p>
    <w:p w14:paraId="7CD7505C" w14:textId="532B862D"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JUNTA DE VIGILANCIA O COMITÉ DE CONTROL SOCIAL</w:t>
      </w:r>
    </w:p>
    <w:p w14:paraId="17A5CE8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28" w:name="ver_30169212"/>
      <w:bookmarkEnd w:id="1628"/>
    </w:p>
    <w:p w14:paraId="4EF0DCCB" w14:textId="46E9925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2.11.11.6.1. Objeto. Las disposiciones contenidas en el presente capítulo tienen por objeto propiciar que las organizaciones generen prácticas de coordinación entre sus órganos de administración y sus órganos de control o vigilancia, garantizando independencia y adecuada distribución funcional en aras del apropiado desarrollo del objeto social.  </w:t>
      </w:r>
    </w:p>
    <w:p w14:paraId="20A6D5D6" w14:textId="180F64A4"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29" w:name="ver_30169216"/>
      <w:bookmarkEnd w:id="1629"/>
    </w:p>
    <w:p w14:paraId="3B663DD2" w14:textId="2D2A067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2.11.11.6.2. Funciones de la Junta de Vigilancia o Comité de Control Social. La conformación de la Junta de Vigilancia o Comité de Control Social es obligatoria y sus funciones deben estar relacionadas con actividades de control social y ser diferentes de las funciones que le corresponden al Consejo de Administración o Junta Directiva, a la revisoría fiscal o a la auditoría interna, salvo en aquellas organizaciones eximidas de revisor fiscal por la Superintendencia de la Economía Solidaria.  </w:t>
      </w:r>
    </w:p>
    <w:p w14:paraId="5C5E7B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AC3267" w14:textId="109DA43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59 de la Ley 454 de 1998, las funciones de la Junta de Vigilancia o Comité de Control Social serán ejercidas exclusivamente con fines de control social, entendiéndose por éste el que se ejerce a efectos de garantizar la satisfacción de las necesidades para las cuales fue creada la organización de economía solidaria, la verificación de que los procedimientos internos se ajusten al cumplimiento normativo y estatutario, y la vigilancia del cumplimiento de los derechos y obligaciones de los asociados.  </w:t>
      </w:r>
    </w:p>
    <w:p w14:paraId="7C166A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030B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función de control social debe tratarse de un control técnico ejercido con fundamento en criterios de investigación, valoración y procedimientos previamente establecidos y formalizados, que no deberá desarrollarse sobre materias que sean de competencia de los órganos de administración.  </w:t>
      </w:r>
    </w:p>
    <w:p w14:paraId="0BF3499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30" w:name="ver_30169217"/>
      <w:bookmarkEnd w:id="1630"/>
    </w:p>
    <w:p w14:paraId="0F59E8AA" w14:textId="384220A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2.11.11.6.3. Elección de miembros de la Junta de Vigilancia o Comité de Control Social. Con sujeción a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39 de la Ley 79 de 1988 y 42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1481 de 1989, para la postulación de candidatos como miembros de la Junta de Vigilancia o Comité de Control Social, las organizaciones requerirán que los aspirantes cuenten como mínimo con los siguientes requisitos:  </w:t>
      </w:r>
    </w:p>
    <w:p w14:paraId="073F82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8F58C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Contar con calidades idóneas para la función de control social y para actuar en representación de todos los asociados.  </w:t>
      </w:r>
    </w:p>
    <w:p w14:paraId="584E96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02BA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Contar con capacidades y aptitudes personales, conocimiento, integridad ética y destrezas idóneas para actuar como miembros.  </w:t>
      </w:r>
    </w:p>
    <w:p w14:paraId="35C81D3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15616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No haber sido sancionado disciplinaria o administrativamente, o anteriormente removido del cargo de gerente, o miembro del Consejo de Administración o Junta Directiva de una organización de economía solidaria, exclusivamente por hechos atribuibles al candidato a miembro de Junta de Vigilancia o Comité de Control Social y con ocasión del ordenamiento de medidas de intervención.  </w:t>
      </w:r>
    </w:p>
    <w:p w14:paraId="244797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86EC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Será requisito de postulación la manifestación expresa del candidato de conocer las funciones, los deberes y las prohibiciones establecidos en la normatividad vigente y los estatutos para la Junta de Vigilancia o Comité de Control Social. Las organizaciones establecerán y formalizarán la forma en que se realizará esta manifestación expresa.  </w:t>
      </w:r>
    </w:p>
    <w:p w14:paraId="782264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695DF9" w14:textId="316FED5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Las organizaciones fijarán el nivel de los requisitos previstos en los numerales 1 y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considerando sus características y la complejidad de sus operaciones. En todo caso, deberán propender por la formación y capacitación de todos sus asociados, especialmente en relación con estos requisitos. </w:t>
      </w:r>
    </w:p>
    <w:p w14:paraId="40D0219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31" w:name="ver_30169218"/>
      <w:bookmarkEnd w:id="1631"/>
    </w:p>
    <w:p w14:paraId="0BA4FFBD" w14:textId="5BB7CC6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2.11.11.6.4. Conformación de la Junta de Vigilancia o Comité de Control Social. La Junta de Vigilancia o Comité de Control Social, deberá contar con un número impar de miembros principales, y estará conformada por asociados que cumplan, en todo momento, los requisitos previstos por la organización y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2.11.11.6.3.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En el caso de las cooperativas de ahorro y crédito, y cooperativas multiactivas e integrales con sección de ahorro y crédito, el número de miembros principales no podrá ser superior a tres.  </w:t>
      </w:r>
    </w:p>
    <w:p w14:paraId="53F3A8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8FB6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que la organización permita la permanencia de miembros por períodos que superen los 6 años consecutivos, se fijarán condiciones de participación posterior en otros órganos de administración, control o vigilancia.  </w:t>
      </w:r>
    </w:p>
    <w:p w14:paraId="35600D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F0BF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funcionamiento de la Junta de Vigilancia o Comité de Control Social, las organizaciones fijarán como mínimo los siguientes requisitos:  </w:t>
      </w:r>
    </w:p>
    <w:p w14:paraId="6EE60F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F0A1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composición, número de miembros, período y procesos para la realización de reuniones.  </w:t>
      </w:r>
    </w:p>
    <w:p w14:paraId="4C6A7B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02190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mecanismos de rotación o renovación de miembros que hayan sido dispues</w:t>
      </w:r>
      <w:r w:rsidRPr="002C1480">
        <w:rPr>
          <w:rFonts w:ascii="Arial" w:eastAsia="Times New Roman" w:hAnsi="Arial" w:cs="Arial"/>
          <w:color w:val="000000"/>
          <w:lang w:eastAsia="es-CO"/>
        </w:rPr>
        <w:softHyphen/>
        <w:t>tos por la entidad, si los hubiere.  </w:t>
      </w:r>
    </w:p>
    <w:p w14:paraId="6787B1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AFB60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Las políticas de retribución, atención de gastos y destinación de presupuesto para la inducción, capacitación y evaluación de las operaciones de la Junta de Vigilan</w:t>
      </w:r>
      <w:r w:rsidRPr="002C1480">
        <w:rPr>
          <w:rFonts w:ascii="Arial" w:eastAsia="Times New Roman" w:hAnsi="Arial" w:cs="Arial"/>
          <w:color w:val="000000"/>
          <w:lang w:eastAsia="es-CO"/>
        </w:rPr>
        <w:softHyphen/>
        <w:t>cia o Comité de Control Social, en caso de que en los estatutos sociales se haya autorizado el pago de estos conceptos.  </w:t>
      </w:r>
    </w:p>
    <w:p w14:paraId="7EE669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5C01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criterios de participación de los miembros suplentes, que en todo caso estarán apropiadamente delimitados para garantizar que esta participación no afecte la toma de decisiones por los miembros principales.  </w:t>
      </w:r>
    </w:p>
    <w:p w14:paraId="2CA84A8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3F7D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mecanismos de suministro de información al Consejo de Administración o Junta Directiva. En el desarrollo de las sesiones de Junta de Vigilancia o Comité de Control Social se velará por su independencia del Consejo de Administración o Junta Directiva.  </w:t>
      </w:r>
    </w:p>
    <w:p w14:paraId="51AFFF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7FA15F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miembros de la Junta de Vigilancia o Comité de Control Social no podrán usar o difundir en beneficio propio o ajeno, la información confidencial a la que tengan acceso. Para el efecto, las organizaciones fijarán requisitos de confidencialidad y revelación de la información.  </w:t>
      </w:r>
    </w:p>
    <w:p w14:paraId="765C17C8" w14:textId="4F98DCB6"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32" w:name="ver_30169219"/>
      <w:bookmarkEnd w:id="1632"/>
    </w:p>
    <w:p w14:paraId="46094AF1" w14:textId="7636970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2.11.11.6.5. Sesiones de la Junta de Vigilancia o Comité de Control Social.  </w:t>
      </w:r>
    </w:p>
    <w:p w14:paraId="6D8CDF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7997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Junta de Vigilancia o Comité de Control Social, se reunirá por lo menos con periodicidad trimestral, o extraordinariamente cuando los hechos o circunstancias los exijan.  </w:t>
      </w:r>
    </w:p>
    <w:p w14:paraId="63BA76EA"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1E1FE198" w14:textId="30408187" w:rsidR="00404266" w:rsidRPr="00CD3FFB" w:rsidRDefault="00CD3FFB" w:rsidP="00CD3FFB">
      <w:pPr>
        <w:spacing w:after="0" w:line="293" w:lineRule="atLeast"/>
        <w:jc w:val="center"/>
        <w:rPr>
          <w:rFonts w:ascii="Arial" w:eastAsia="Times New Roman" w:hAnsi="Arial" w:cs="Arial"/>
          <w:b/>
          <w:bCs/>
          <w:color w:val="000000"/>
          <w:lang w:eastAsia="es-CO"/>
        </w:rPr>
      </w:pPr>
      <w:bookmarkStart w:id="1633" w:name="ver_30169220"/>
      <w:bookmarkEnd w:id="1633"/>
      <w:r w:rsidRPr="00CD3FFB">
        <w:rPr>
          <w:rFonts w:ascii="Arial" w:eastAsia="Times New Roman" w:hAnsi="Arial" w:cs="Arial"/>
          <w:b/>
          <w:bCs/>
          <w:color w:val="000000"/>
          <w:lang w:eastAsia="es-CO"/>
        </w:rPr>
        <w:t>CAPÍTULO 7</w:t>
      </w:r>
    </w:p>
    <w:p w14:paraId="481E46C1" w14:textId="1C8F44FF"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REVISORÍA FISCAL</w:t>
      </w:r>
    </w:p>
    <w:p w14:paraId="5A798FBB" w14:textId="77777777" w:rsidR="00CD3FFB" w:rsidRDefault="00CD3FFB" w:rsidP="00C32F85">
      <w:pPr>
        <w:spacing w:after="0" w:line="254" w:lineRule="atLeast"/>
        <w:jc w:val="both"/>
        <w:rPr>
          <w:rFonts w:ascii="Arial" w:eastAsia="Times New Roman" w:hAnsi="Arial" w:cs="Arial"/>
          <w:color w:val="000000"/>
          <w:lang w:eastAsia="es-CO"/>
        </w:rPr>
      </w:pPr>
    </w:p>
    <w:p w14:paraId="30E85AD6" w14:textId="7B53D75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2.11.11.7.1. Objeto. Las disposiciones previstas en el presente capítulo tienen por objeto asegurar la independencia de la función de revisoría fiscal con fines de control de la calidad de la información financiera.  </w:t>
      </w:r>
    </w:p>
    <w:p w14:paraId="5CF17E2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82C4FD" w14:textId="587CF9C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función de revisoría fiscal debe considerarse una función preventiva y de aseguramiento de la exactitud de las posiciones financieras y los riesgos financieros globales que se deben cumplir con sujeción a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207 del Código de Comercio.  </w:t>
      </w:r>
    </w:p>
    <w:p w14:paraId="49AAC226" w14:textId="7E16DF7A"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34" w:name="ver_30169222"/>
      <w:bookmarkEnd w:id="1634"/>
    </w:p>
    <w:p w14:paraId="36E6FB14" w14:textId="131E685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2.11.11.7.2. Período del revisor fiscal. Con sujeción a los requisitos previstos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41, 42 y 43 de la Ley 79 de 1988, y 41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1481 de 1989, los estatutos sociales deberán contener el período de nombramiento del revisor fiscal y su suplente, y criterios de rotación que garanticen su independencia.  </w:t>
      </w:r>
    </w:p>
    <w:p w14:paraId="563B0E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B579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forma de retribución y evaluación de la revisoría fiscal deberá ser aprobada por la asamblea general.  </w:t>
      </w:r>
    </w:p>
    <w:p w14:paraId="5D498F52" w14:textId="288C87CD"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35" w:name="ver_30169223"/>
      <w:bookmarkEnd w:id="1635"/>
    </w:p>
    <w:p w14:paraId="6A0C2490" w14:textId="58530F7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2.11.11.7.3. Prestación de servicios adicionales. El revisor fiscal no podrá prestar a la respectiva organización servicios distintos a la auditoría que ejerce en función de su cargo.  </w:t>
      </w:r>
    </w:p>
    <w:p w14:paraId="1ECCE9A5" w14:textId="6DF230FD" w:rsidR="00404266" w:rsidRPr="00CD3FFB" w:rsidRDefault="00CD3FFB" w:rsidP="00CD3FFB">
      <w:pPr>
        <w:spacing w:after="0" w:line="293" w:lineRule="atLeast"/>
        <w:jc w:val="center"/>
        <w:rPr>
          <w:rFonts w:ascii="Arial" w:eastAsia="Times New Roman" w:hAnsi="Arial" w:cs="Arial"/>
          <w:b/>
          <w:bCs/>
          <w:color w:val="000000"/>
          <w:lang w:eastAsia="es-CO"/>
        </w:rPr>
      </w:pPr>
      <w:bookmarkStart w:id="1636" w:name="ver_30169224"/>
      <w:bookmarkEnd w:id="1636"/>
      <w:r w:rsidRPr="00CD3FFB">
        <w:rPr>
          <w:rFonts w:ascii="Arial" w:eastAsia="Times New Roman" w:hAnsi="Arial" w:cs="Arial"/>
          <w:b/>
          <w:bCs/>
          <w:color w:val="000000"/>
          <w:lang w:eastAsia="es-CO"/>
        </w:rPr>
        <w:t>CAPÍTULO 8</w:t>
      </w:r>
    </w:p>
    <w:p w14:paraId="362C2AB2" w14:textId="78E17EF0"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CONFLICTOS DE INTERÉS Y TRANSACCIONES CON PARTES RELACIONADAS</w:t>
      </w:r>
    </w:p>
    <w:p w14:paraId="4DFB067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37" w:name="ver_30169225"/>
      <w:bookmarkEnd w:id="1637"/>
    </w:p>
    <w:p w14:paraId="3233B163" w14:textId="4FE5499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2.11.11.8.1. Objetivo. Las disposiciones del presente capítulo tienen por objetivo promover la adecuada administración de conflictos de interés y la revelación correcta de información sobre las transacciones realizadas con partes relacionadas.  </w:t>
      </w:r>
    </w:p>
    <w:p w14:paraId="3F8B9124" w14:textId="77777777" w:rsidR="00CD3FFB" w:rsidRDefault="00CD3FFB" w:rsidP="00C32F85">
      <w:pPr>
        <w:spacing w:after="0" w:line="254" w:lineRule="atLeast"/>
        <w:jc w:val="both"/>
        <w:rPr>
          <w:rFonts w:ascii="Arial" w:eastAsia="Times New Roman" w:hAnsi="Arial" w:cs="Arial"/>
          <w:color w:val="000000"/>
          <w:lang w:eastAsia="es-CO"/>
        </w:rPr>
      </w:pPr>
    </w:p>
    <w:p w14:paraId="3D939045" w14:textId="3910409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2.11.11.8.2. Políticas y procedimientos de administración de conflictos de interés. Para los efectos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entiéndase por conflicto de interés la situación en virtud de la cual una persona en razón de su actividad se enfrenta a distintas alternativas de conducta con relación a intereses incompatibles, ninguno de los cuales puede privilegiar en atención a sus obligaciones legales o contractuales.  </w:t>
      </w:r>
    </w:p>
    <w:p w14:paraId="6112783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9AA4F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organizaciones contarán con políticas y procedimientos de administración de situaciones de conflicto de interés, incluyendo como mínimo las que puedan surgir para los miembros del Consejo de Administración o Junta Directiva, para los miembros de la Junta de Vigilancia o Comité de Control Social, para el gerente o representante legal, para el revisor fiscal y para el oficial de cumplimiento.  </w:t>
      </w:r>
    </w:p>
    <w:p w14:paraId="73B70F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E2A89C" w14:textId="40765DA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Superintendencia de la Economía Solidaria impartirá instrucciones de carácter general sobre las condiciones mínimas de identificación, evaluación, control y monitoreo para el cumplimiento de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1F21FD5C" w14:textId="46436FE8"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38" w:name="ver_30169227"/>
      <w:bookmarkEnd w:id="1638"/>
    </w:p>
    <w:p w14:paraId="760175C8" w14:textId="1E2A6E3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2.11.11.8.3. Partes relacionadas. Cuando el marco normativo contable aplicable a la organización contemple la obligación de revelar en las notas a los estados financieros las transacciones con partes relacionadas, dicha revelación deberá incluir como mínimo las transacciones con los miembros del Consejo de Administración o Junta Directiva, con los miembros de la Junta de Vigilancia o Comité de Control Social, y con el gerente o representante legal”.  </w:t>
      </w:r>
    </w:p>
    <w:p w14:paraId="06E301A6" w14:textId="77777777" w:rsidR="00CD3FFB" w:rsidRDefault="00CD3FFB" w:rsidP="00C32F85">
      <w:pPr>
        <w:spacing w:after="0" w:line="293" w:lineRule="atLeast"/>
        <w:jc w:val="both"/>
        <w:rPr>
          <w:rFonts w:ascii="Arial" w:eastAsia="Times New Roman" w:hAnsi="Arial" w:cs="Arial"/>
          <w:color w:val="000000"/>
          <w:lang w:eastAsia="es-CO"/>
        </w:rPr>
      </w:pPr>
      <w:bookmarkStart w:id="1639" w:name="ver_30057801"/>
      <w:bookmarkEnd w:id="1639"/>
    </w:p>
    <w:p w14:paraId="3B9A13D2" w14:textId="5E874806" w:rsidR="00404266" w:rsidRPr="00CD3FFB" w:rsidRDefault="00404266"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PARTE 12</w:t>
      </w:r>
    </w:p>
    <w:p w14:paraId="20F7377B" w14:textId="4DC2ED42" w:rsidR="00404266" w:rsidRDefault="00404266"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DISPOSICIONES TRANSVERSALES AL SISTEMA GENERAL DE SEGURIDAD SOCIAL</w:t>
      </w:r>
    </w:p>
    <w:p w14:paraId="4A14E068" w14:textId="77777777" w:rsidR="00CD3FFB" w:rsidRPr="00CD3FFB" w:rsidRDefault="00CD3FFB" w:rsidP="00CD3FFB">
      <w:pPr>
        <w:spacing w:after="0" w:line="293" w:lineRule="atLeast"/>
        <w:jc w:val="center"/>
        <w:rPr>
          <w:rFonts w:ascii="Arial" w:eastAsia="Times New Roman" w:hAnsi="Arial" w:cs="Arial"/>
          <w:b/>
          <w:bCs/>
          <w:color w:val="000000"/>
          <w:lang w:eastAsia="es-CO"/>
        </w:rPr>
      </w:pPr>
    </w:p>
    <w:p w14:paraId="47183B81" w14:textId="77777777" w:rsidR="00404266" w:rsidRPr="00CD3FFB" w:rsidRDefault="00404266"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TÍTULO 1</w:t>
      </w:r>
    </w:p>
    <w:p w14:paraId="07AFAB31" w14:textId="77777777" w:rsidR="00404266" w:rsidRPr="00CD3FFB" w:rsidRDefault="00404266" w:rsidP="00CD3FFB">
      <w:pPr>
        <w:spacing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FISCALIZACION DE LAS CONTRIBUCIONES PARAFISCALES DE LA PROTECCIÓN SOCIAL</w:t>
      </w:r>
    </w:p>
    <w:p w14:paraId="79473CC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40" w:name="ver_30057802"/>
      <w:bookmarkEnd w:id="1640"/>
    </w:p>
    <w:p w14:paraId="3CF3B786" w14:textId="46D7BD1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2.12.1.1. Definiciones. Las expresiones contenidas en este título tendrán los siguientes alcances: </w:t>
      </w:r>
    </w:p>
    <w:p w14:paraId="6CD454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C1C8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Contribuciones Parafiscales del Sistema de la Protección Social: Se refieren a los aportes con destino al Sistema de Seguridad Social Integral conformado por el Sistema General de Seguridad Social en Salud, Pensiones y Riesgos Laborales, y a los establecidos con destino al Servicio Nacional de Aprendizaje (SENA), al Instituto Colombiano de Bienestar Familiar (ICBF) y al Régimen de Subsidio Familiar. </w:t>
      </w:r>
    </w:p>
    <w:p w14:paraId="2D4699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831A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Administradora: Comprende a las entidades administradoras de pensiones del régimen solidario de prima media con prestación definida, a las entidades administradoras de pensiones del régimen de ahorro individual con solidaridad, a las Entidades Promotoras de Salud (EPS) o a las que hagan sus veces, a las entidades obligadas a compensar y a las demás entidades autorizadas para administrar el régimen contributivo del Sistema General de Seguridad Social en Salud (SGSSS), a las entidades Administradoras de Riesgos Laborales (ARL), a las Cajas de Compensación Familiar, al Servicio Nacional de Aprendizaje (SENA) y al Instituto Colombiano de Bienestar Familiar (ICBF). </w:t>
      </w:r>
    </w:p>
    <w:p w14:paraId="28A916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D8A9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Omisión en la afiliación: Es el incumplimiento de la obligación de afiliar o afiliarse a alguno o algunos de los subsistemas que integran el Sistema de la Protección Social y como consecuencia de ello, no haber declarado ni pagado las respectivas contribuciones parafiscales, cuando surja la obligación conforme con las disposiciones legales vigentes. </w:t>
      </w:r>
    </w:p>
    <w:p w14:paraId="07DDBB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6717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Omisión en la vinculación: Es el no reporte de la novedad de ingreso a una administradora del Sistema de la Protección Social cuando surja la obligación conforme con las disposiciones legales vigentes y como consecuencia de ello no se efectúa el pago de los aportes a su cargo a alguno o algunos de los subsistemas que integran el Sistema de la Protección Social. </w:t>
      </w:r>
    </w:p>
    <w:p w14:paraId="6E07AD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8A30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Inexactitud: Es cuando se presenta un menor valor declarado y pagado en la autoliquidación de aportes frente a los aportes que efectivamente el aportante estaba obligado a declarar y pagar, según lo ordenado por la ley. </w:t>
      </w:r>
    </w:p>
    <w:p w14:paraId="4B6D79F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EC8B9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Mora: Es el incumplimiento que se genera cuando existiendo afiliación no se genera la autoliquidación acompañada del respectivo pago de las Contribuciones Parafiscales de la Protección Social en los plazos establecidos en las disposiciones legales vigentes. </w:t>
      </w:r>
    </w:p>
    <w:p w14:paraId="5758B86E" w14:textId="507E31A4"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1" w:name="ver_30057803"/>
      <w:bookmarkEnd w:id="1641"/>
    </w:p>
    <w:p w14:paraId="01A84389" w14:textId="6B0571C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2.12.1.2. Control a la adecuada, completa y oportuna liquidación y pago de las Contribuciones Parafiscales de la Protección Social por parte de la UGPP. La Unidad Administrativa Especial de Gestión Pensional y Contribuciones Parafiscales de la Protección Social (UGPP) efectuará las labores de determinación y cobro de las contribuciones parafiscales de la protección social, en los casos de omisión, inexactitud y mora por acción preferente. </w:t>
      </w:r>
    </w:p>
    <w:p w14:paraId="2F337D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67D0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UGPP adelante un proceso de determinación de obligaciones parafiscales y detecte omisión, inexactitud y mora en el pago de los aportes al Sistema de la Protección Social, la Unidad asumirá la gestión integral de determinación y cobro de los valores adeudados al sistema. </w:t>
      </w:r>
    </w:p>
    <w:p w14:paraId="5AA82E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1C632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procesos de determinación y cobro en materia de inexactitud iniciados por el Servicio Nacional de Aprendizaje (SENA), el Instituto Colombiano de Bienestar Familiar (ICBF), y demás administradoras de naturaleza pública con anterioridad a la fecha de expedición de la Ley 1607 de 2012, deberán ser culminados por dichas entidades, sin perjuicio de las competencias que sobre esta materia ostenta la Unidad Administrativa Especial de Gestión Pensional y Contribuciones Parafiscales de la Protección Social (UGPP). </w:t>
      </w:r>
    </w:p>
    <w:p w14:paraId="1FAE5A64" w14:textId="0C6CB8EF"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2" w:name="ver_30057804"/>
      <w:bookmarkEnd w:id="1642"/>
    </w:p>
    <w:p w14:paraId="7ECE6B2B" w14:textId="0AEF22B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2.12.1.3. Control a la adecuada, completa y oportuna liquidación y pago de las Contribuciones Parafiscales de la Protección Social por parte de las administradorase su concepto. </w:t>
      </w:r>
    </w:p>
    <w:p w14:paraId="4FF23D5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28220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administradoras del Sistema de la Protección Social deberán verificar la exactitud y consistencia de la información contenida en las declaraciones de autoliquidación de aportes de las contribuciones que estas entidades administran, para lo cual solicitarán de los aportantes, afiliados o beneficiarios las explicaciones y correcciones sobre las inconsistencias detectadas. </w:t>
      </w:r>
    </w:p>
    <w:p w14:paraId="6DAE1D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BB9C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realizadas estas acciones los aportantes no corrigen las inconsistencias detectadas, informarán de este hecho a la Unidad Administrativa Especial de Gestión Pensional y Contribuciones Parafiscales de la Protección Social (UGPP) para que conforme con sus competencias, políticas, estrategias y procedimientos adelante las acciones a que hubiere lugar. </w:t>
      </w:r>
    </w:p>
    <w:p w14:paraId="26B75C11" w14:textId="3CD07F3C"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3" w:name="ver_30057805"/>
      <w:bookmarkEnd w:id="1643"/>
    </w:p>
    <w:p w14:paraId="6353C1FA" w14:textId="2ADF8A6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2.12.1.4. Determinación del número de empleados para la aplicación de la sanción por omisión en la afiliación y/o vinculación. Para efectos de la sanción prevista en el numeral 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179 de la Ley 1607 de 2012, entiéndase que el número de empleados que la Unidad Administrativa Especial de Gestión Pensional y Contribuciones Parafiscales de la Protección Social (UGPP) deberá tener en cuenta para la imposición de la sanción, será el número de trabajadores que estuvieren vinculados en el respectivo periodo mensual en que se configuró la falta, sean estos trabajadores permanentes u ocasionales, con independencia del tiempo laborado en el periodo correspondiente. </w:t>
      </w:r>
    </w:p>
    <w:p w14:paraId="4A646A49" w14:textId="73382315"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4" w:name="ver_30057806"/>
      <w:bookmarkEnd w:id="1644"/>
    </w:p>
    <w:p w14:paraId="094E5701" w14:textId="25604F2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2.12.1.5. Del procedimiento para la liquidación y cobro por no suministro de información. La sanción de cinco (5) UVT por cada día de retraso en la entrega de la información, prevista en el numeral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179 de la Ley 1607 de 2012, se contabilizará desde el día siguiente a la finalización del término otorgado para dar respuesta al requerimiento de información o pruebas, hasta la fecha en que se entregue la información requerida por la Unidad Administrativa Especial de Gestión Pensional y Contribuciones Parafiscales de la Protección Social (UGPP). </w:t>
      </w:r>
    </w:p>
    <w:p w14:paraId="1D6C64B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612995" w14:textId="38C27B0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No obstante lo anterior, se harán liquidaciones parciales de esta sanción por periodos consecutivos no mayores a 180 días hasta la entrega de la información respectiva sin que el plazo total supere el término de caducidad aplicable a la Unidad, según lo dispuesto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178 de la Ley 1607 de 2012 o las normas que la modifiquen o la sustituyan. </w:t>
      </w:r>
    </w:p>
    <w:p w14:paraId="662D52E4" w14:textId="57083EF6"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5" w:name="ver_30057807"/>
      <w:bookmarkEnd w:id="1645"/>
    </w:p>
    <w:p w14:paraId="73D1D329" w14:textId="544A1A1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2.12.1.6. Selección de la administradora en el caso de requerirse afiliación transitoria. La afiliación transitoria es un mecanismo excepcional a cargo de la Unidad Administrativa Especial de Gestión Pensional y Contribuciones Parafiscales de la Protección Social (UGPP), en los casos de omisos que no se encuentran afiliados a alguno o algunos de los subsistemas de la protección social y no atiendan la invitación a afiliarse, haciendo uso del derecho de elección, dentro de los ocho (8) días siguientes al envío de dicha invitación. </w:t>
      </w:r>
    </w:p>
    <w:p w14:paraId="539EC00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39E1B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tal evento, la UGPP procederá a efectuar la afiliación y presentará a nombre del aportante el formulario de afiliación a una administradora pública, que se entenderá efectiva en la fecha de recibo de la solicitud por parte de la administradora, quien deberá informar al afiliado tal condición dentro de los cinco (5) días calendario siguientes. </w:t>
      </w:r>
    </w:p>
    <w:p w14:paraId="239568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E423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caso de no existir una administradora pública, la afiliación transitoria deberá ser efectuada a una administradora con participación accionaria estatal así no sea mayoritaria y en su defecto, a una administradora de naturaleza privada seleccionada de acuerdo con los procedimientos que para tal efecto establezca la UGPP mediante resolución, consultando los principios de transparencia, igualdad y eficiencia, que deberá ser publicada en la página web de la Unidad. </w:t>
      </w:r>
    </w:p>
    <w:p w14:paraId="0C282C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30DE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Los afiliados transitorios podrán ejercer su derecho al traslado a otra administradora, una vez cumplan con el periodo mínimo de permanencia exigido por las disposiciones legales vigentes. </w:t>
      </w:r>
    </w:p>
    <w:p w14:paraId="79E5F3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B7BB97" w14:textId="7B507203" w:rsidR="00404266" w:rsidRPr="002C1480" w:rsidRDefault="002C1480" w:rsidP="00C32F85">
      <w:pPr>
        <w:spacing w:after="0" w:line="254" w:lineRule="atLeast"/>
        <w:jc w:val="both"/>
        <w:rPr>
          <w:rFonts w:ascii="Arial" w:eastAsia="Times New Roman" w:hAnsi="Arial" w:cs="Arial"/>
          <w:color w:val="000000"/>
          <w:lang w:eastAsia="es-CO"/>
        </w:rPr>
      </w:pPr>
      <w:bookmarkStart w:id="1646" w:name="ver_30057808"/>
      <w:bookmarkEnd w:id="1646"/>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2.12.1.7. Mecanismo de pago de las Contribuciones Parafiscales de la Protección Social. El pago de los recursos correspondientes a las Contribuciones Parafiscales de la Protección Social y las sanciones correspondientes se realizará haciendo uso de la Planilla Integrada de Liquidación de Aportes (PILA). La entidad que tenga a su cargo la administración de la planilla, debe implementar los ajustes y cambios solicitados, a más tardar dentro de los treinta </w:t>
      </w:r>
      <w:r w:rsidR="00404266" w:rsidRPr="002C1480">
        <w:rPr>
          <w:rFonts w:ascii="Arial" w:eastAsia="Times New Roman" w:hAnsi="Arial" w:cs="Arial"/>
          <w:color w:val="000000"/>
          <w:lang w:eastAsia="es-CO"/>
        </w:rPr>
        <w:lastRenderedPageBreak/>
        <w:t>(30) días calendario siguientes a la fecha de radicación de la respectiva solicitud por parte de la UGPP. </w:t>
      </w:r>
    </w:p>
    <w:p w14:paraId="25623051" w14:textId="1A5048F3"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47" w:name="ver_30057809"/>
      <w:bookmarkEnd w:id="1647"/>
    </w:p>
    <w:p w14:paraId="42E46B9E" w14:textId="2F97781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2.12.1.8. Destinación de los recursos de las Contribuciones Parafiscales de la Protección Social correspondientes a periodos de omisión. Los recursos del Sistema de la Protección Social, recuperados a través de las acciones adelantadas por la Unidad Administrativa Especial de Gestión Pensional y Contribuciones Parafiscales de la Protección Social (UGPP) en los procesos de determinación y cobro a omisos del Sistema, sobre periodos de omisión en la afiliación, tendrán la siguiente destinación: </w:t>
      </w:r>
    </w:p>
    <w:p w14:paraId="50015E3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8871A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recursos del Sistema General de Seguridad Social en Salud, al Fondo de Solidaridad y Garantía (FOSYGA), o la entidad que haga sus veces, quien efectuará las imputaciones correspondientes de conformidad con las disposiciones legales vigentes; </w:t>
      </w:r>
    </w:p>
    <w:p w14:paraId="107D997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755D1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recursos del Sistema General de Seguridad Social en Pensiones, a la administradora a la cual quede afiliado el omiso, para que de conformidad con las disposiciones legales vigentes efectúe las respectivas imputaciones; </w:t>
      </w:r>
    </w:p>
    <w:p w14:paraId="5A814D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7470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recursos del Sistema General de Seguridad Social de Riesgos Laborales, al Fondo de Riesgos Laborales, administrado por el Ministerio de Trabajo; d) Los recursos con destino al Régimen de Subsidio Familiar, se girarán a la Caja a la cual se afilie el omiso, quien deberá efectuar las imputaciones, de conformidad con las disposiciones legales vigentes; </w:t>
      </w:r>
    </w:p>
    <w:p w14:paraId="670C43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8D1CA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Los recursos que correspondan al SENA e ICBF, se girarán a cada una de estas entidades en las proporciones establecidas, de conformidad con las disposiciones legales vigentes. </w:t>
      </w:r>
    </w:p>
    <w:p w14:paraId="550C1674" w14:textId="77777777" w:rsidR="00253DDA" w:rsidRDefault="00253DDA" w:rsidP="00C32F85">
      <w:pPr>
        <w:spacing w:after="0" w:line="254" w:lineRule="atLeast"/>
        <w:jc w:val="both"/>
        <w:rPr>
          <w:rFonts w:ascii="Arial" w:eastAsia="Times New Roman" w:hAnsi="Arial" w:cs="Arial"/>
          <w:color w:val="000000"/>
          <w:lang w:eastAsia="es-CO"/>
        </w:rPr>
      </w:pPr>
    </w:p>
    <w:p w14:paraId="15D60854" w14:textId="6538F49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2.12.1.9. Responsabilidad de los obligados aportantes por las contingencias prestacionales que se presenten como consecuencia de la evasión por omisión, inexactitud o mora. Los pagos que realicen los obligados aportantes, con ocasión de las acciones de determinación y cobro, de las Contribuciones Parafiscales de la Protección Social que adelante la Unidad Administrativa Especial de Gestión Pensional y Contribuciones Parafiscales de la Protección Social (UGPP) en ejercicio de sus funciones, no los exime de la responsabilidad por las contingencias prestacionales que se presenten como consecuencia de la evasión por omisión, inexactitud o mora, conforme con las disposiciones legales vigentes. </w:t>
      </w:r>
    </w:p>
    <w:p w14:paraId="043EAF26" w14:textId="3A8216A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3D1FC53" w14:textId="77777777" w:rsidR="00404266" w:rsidRPr="00CD3FFB" w:rsidRDefault="00404266" w:rsidP="00CD3FFB">
      <w:pPr>
        <w:spacing w:after="0" w:line="293" w:lineRule="atLeast"/>
        <w:jc w:val="center"/>
        <w:rPr>
          <w:rFonts w:ascii="Arial" w:eastAsia="Times New Roman" w:hAnsi="Arial" w:cs="Arial"/>
          <w:b/>
          <w:bCs/>
          <w:color w:val="000000"/>
          <w:lang w:eastAsia="es-CO"/>
        </w:rPr>
      </w:pPr>
      <w:bookmarkStart w:id="1648" w:name="ver_30101552"/>
      <w:bookmarkEnd w:id="1648"/>
      <w:r w:rsidRPr="00CD3FFB">
        <w:rPr>
          <w:rFonts w:ascii="Arial" w:eastAsia="Times New Roman" w:hAnsi="Arial" w:cs="Arial"/>
          <w:b/>
          <w:bCs/>
          <w:color w:val="000000"/>
          <w:lang w:eastAsia="es-CO"/>
        </w:rPr>
        <w:t>TÍTULO 2</w:t>
      </w:r>
    </w:p>
    <w:p w14:paraId="59C9ECD8" w14:textId="77777777" w:rsidR="00404266" w:rsidRPr="00CD3FFB" w:rsidRDefault="00404266"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TERMINACIÓN POR MUTUO ACUERDO DE LOS PROCESOS ADMINISTRATIVOS TRIBUTARIOS DE LA UNIDAD ADMINISTRATIVA ESPECIAL DE GESTIÓN PENSIONAL Y CONTRIBUCIONES PARAFISCALES DE LA PROTECCIÓN SOCIAL (UGPP)</w:t>
      </w:r>
    </w:p>
    <w:p w14:paraId="7C9267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49" w:name="ver_30115917"/>
      <w:bookmarkStart w:id="1650" w:name="ver_30101555"/>
      <w:bookmarkEnd w:id="1649"/>
    </w:p>
    <w:p w14:paraId="1795CC9D" w14:textId="367FEE0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2.12.2.1.1.Procedencia de la terminación por mutuo acuerdo. El aportante u obligado con el sistema de la protección social, el deudor solidario del obligado o la Administradora del sistema de la protección social, podrán acogerse a la terminación por mutuo acuerdo hasta el 30 de octubre de 2017 con el último acto administrativo notificado con anterioridad a la presentación de la solicitud en debida forma con el cumplimiento de los requisitos legales. </w:t>
      </w:r>
    </w:p>
    <w:p w14:paraId="68D74F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163D29" w14:textId="34CBB4C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Sin perjuicio del plazo establecido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serán rechazadas, por motivo de firmeza del acto administrativo o por caducidad del término para presentar la demanda ante la jurisdicción contencioso administrativa, las solicitudes de terminación por mutuo acuerdo presentadas, siempre y cuando el vencimiento del respectivo término ocurra con </w:t>
      </w:r>
      <w:r w:rsidRPr="002C1480">
        <w:rPr>
          <w:rFonts w:ascii="Arial" w:eastAsia="Times New Roman" w:hAnsi="Arial" w:cs="Arial"/>
          <w:color w:val="000000"/>
          <w:lang w:eastAsia="es-CO"/>
        </w:rPr>
        <w:lastRenderedPageBreak/>
        <w:t>posterioridad a la presentación de la solicitud y se cumplan los demás requisitos establecidos en la ley. </w:t>
      </w:r>
    </w:p>
    <w:p w14:paraId="1B3522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8471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solicitud de terminación por mutuo acuerdo no suspende los términos de firmeza ni la caducidad para acudir a la jurisdicción contencioso administrativa. </w:t>
      </w:r>
    </w:p>
    <w:p w14:paraId="54033E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8934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solicitud de terminación por mutuo acuerdo podrá presentarse hasta el treinta (30) de octubre de 2017, siempre y cuando no se encuentre en firme el acto administrativo por no haber agotado la vía gubernativa y/o haber operado la caducidad para presentar la demanda de nulidad y restablecimiento del derecho y se cumplan los demás requisitos previstos en la ley. </w:t>
      </w:r>
    </w:p>
    <w:p w14:paraId="79BEDCD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2A8E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Una vez transados los valores propuestos o determinados en los actos administrativos susceptibles de este mecanismo, las actuaciones que se llegaren a expedir por la Unidad de Gestión Pensional y Contribuciones Parafiscales de la Protección Social (UGPP), con posterioridad al acto que se termina por mutuo acuerdo quedarán sin efecto, para lo cual será suficiente la suscripción del acta de terminación por mutuo acuerdo, que dará por terminado el respectivo proceso administrativo. </w:t>
      </w:r>
    </w:p>
    <w:p w14:paraId="25394E96" w14:textId="04EF96AC" w:rsidR="00404266" w:rsidRPr="002C1480" w:rsidRDefault="00404266" w:rsidP="00CD3FF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51" w:name="ver_30115919"/>
      <w:bookmarkStart w:id="1652" w:name="ver_30101556"/>
      <w:bookmarkEnd w:id="1650"/>
      <w:bookmarkEnd w:id="1651"/>
    </w:p>
    <w:p w14:paraId="22888BEA" w14:textId="7B40BA3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2.12.2.1.2. Procedencia de la terminación por mutuo acuerdo respecto de los actos administrativos demandados ante la Jurisdicción Contencioso Administrativa. Los aportantes u obligados con el sistema de la protección social, los deudores solidarios del obligado y las Administradoras del Sistema de la Protección Social, que presentaron demanda contra los actos administrativos de determinación y sancionatorios antes del veintinueve (29) de diciembre de 2016, y no les haya sido admitida a la fecha de la presentación de la solicitud, podrán acogerse a la terminación por mutuo acuerdo del proceso administrativo de determinación o sancionatorio. </w:t>
      </w:r>
    </w:p>
    <w:p w14:paraId="6B6C450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A21B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demanda haya sido presentada con posterioridad al veintinueve (29) de diciembre de 2016 y no se haya proferido auto admisorio, procederá la terminación por mutuo acuerdo de los actos administrativos de determinación y sancionatorios. </w:t>
      </w:r>
    </w:p>
    <w:p w14:paraId="6CF2C5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7CE12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todos los casos, se deberá cumplir hasta el treinta (30) de octubre de 2017, con los requisitos exigidos para la procedencia de la terminación por mutuo acuerdo incluida la presentación de la solicitud de retiro o desistimiento de la demanda en debida forma ante el juez competente, según el caso, sin el cumplimiento de este requisito no se podrá suscribir el acta de terminación por mutuo acuerdo. </w:t>
      </w:r>
    </w:p>
    <w:p w14:paraId="23ED0D47"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58231E0E" w14:textId="704100D9" w:rsidR="00404266" w:rsidRPr="00CD3FFB" w:rsidRDefault="00CD3FFB" w:rsidP="00CD3FFB">
      <w:pPr>
        <w:spacing w:after="0" w:line="293" w:lineRule="atLeast"/>
        <w:jc w:val="center"/>
        <w:rPr>
          <w:rFonts w:ascii="Arial" w:eastAsia="Times New Roman" w:hAnsi="Arial" w:cs="Arial"/>
          <w:b/>
          <w:bCs/>
          <w:color w:val="000000"/>
          <w:lang w:eastAsia="es-CO"/>
        </w:rPr>
      </w:pPr>
      <w:bookmarkStart w:id="1653" w:name="ver_30101557"/>
      <w:bookmarkEnd w:id="1652"/>
      <w:bookmarkEnd w:id="1653"/>
      <w:r w:rsidRPr="00CD3FFB">
        <w:rPr>
          <w:rFonts w:ascii="Arial" w:eastAsia="Times New Roman" w:hAnsi="Arial" w:cs="Arial"/>
          <w:b/>
          <w:bCs/>
          <w:color w:val="000000"/>
          <w:lang w:eastAsia="es-CO"/>
        </w:rPr>
        <w:t>CAPÍTULO II</w:t>
      </w:r>
    </w:p>
    <w:p w14:paraId="5644E0F1" w14:textId="5CA938A7"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CONCILIACIÓN CONTENCIOSO ADMINISTRATIVA TRIBUTARIA</w:t>
      </w:r>
    </w:p>
    <w:p w14:paraId="774B1A4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54" w:name="ver_30141070"/>
      <w:bookmarkStart w:id="1655" w:name="ver_30101558"/>
      <w:bookmarkEnd w:id="1654"/>
    </w:p>
    <w:p w14:paraId="173B25EE" w14:textId="161639C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2.12.2.2.1. Derogado </w:t>
      </w:r>
    </w:p>
    <w:p w14:paraId="19390D3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56" w:name="ver_30141075"/>
      <w:bookmarkStart w:id="1657" w:name="ver_30101559"/>
      <w:bookmarkEnd w:id="1655"/>
      <w:bookmarkEnd w:id="1656"/>
    </w:p>
    <w:p w14:paraId="3CBCB240" w14:textId="3F78852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2.12.2.2.2. Derogado </w:t>
      </w:r>
    </w:p>
    <w:p w14:paraId="1F44DD9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58" w:name="ver_30141082"/>
      <w:bookmarkStart w:id="1659" w:name="ver_30101560"/>
      <w:bookmarkEnd w:id="1657"/>
      <w:bookmarkEnd w:id="1658"/>
    </w:p>
    <w:p w14:paraId="2FF5CDBC" w14:textId="464E04C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2.12.2.2.3.Derogado </w:t>
      </w:r>
    </w:p>
    <w:p w14:paraId="5A1BDE4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60" w:name="ver_30141083"/>
      <w:bookmarkStart w:id="1661" w:name="ver_30101561"/>
      <w:bookmarkEnd w:id="1659"/>
      <w:bookmarkEnd w:id="1660"/>
    </w:p>
    <w:p w14:paraId="7A2A5953" w14:textId="0F3FA6E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2.12.2.2.4. Derogado </w:t>
      </w:r>
    </w:p>
    <w:p w14:paraId="224FEF73"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6FA1E2FF" w14:textId="355176F3" w:rsidR="00404266" w:rsidRPr="00CD3FFB" w:rsidRDefault="00CD3FFB" w:rsidP="00CD3FFB">
      <w:pPr>
        <w:spacing w:after="0" w:line="293" w:lineRule="atLeast"/>
        <w:jc w:val="center"/>
        <w:rPr>
          <w:rFonts w:ascii="Arial" w:eastAsia="Times New Roman" w:hAnsi="Arial" w:cs="Arial"/>
          <w:b/>
          <w:bCs/>
          <w:color w:val="000000"/>
          <w:lang w:eastAsia="es-CO"/>
        </w:rPr>
      </w:pPr>
      <w:bookmarkStart w:id="1662" w:name="ver_30101562"/>
      <w:bookmarkEnd w:id="1661"/>
      <w:bookmarkEnd w:id="1662"/>
      <w:r w:rsidRPr="00CD3FFB">
        <w:rPr>
          <w:rFonts w:ascii="Arial" w:eastAsia="Times New Roman" w:hAnsi="Arial" w:cs="Arial"/>
          <w:b/>
          <w:bCs/>
          <w:color w:val="000000"/>
          <w:lang w:eastAsia="es-CO"/>
        </w:rPr>
        <w:t>CAPÍTULO III</w:t>
      </w:r>
    </w:p>
    <w:p w14:paraId="308E30C5" w14:textId="56F4ACA3"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lastRenderedPageBreak/>
        <w:t>TERMINACIÓN POR MUTUO ACUERDO DE LOS PROCESOS ADMINISTRATIVOS DE DETERMINACIÓN Y SANCIONATORIOS</w:t>
      </w:r>
    </w:p>
    <w:p w14:paraId="2CF3975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63" w:name="ver_30141084"/>
      <w:bookmarkStart w:id="1664" w:name="ver_30101563"/>
      <w:bookmarkEnd w:id="1663"/>
    </w:p>
    <w:p w14:paraId="18021AE9" w14:textId="417105A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2.12.2.3.1. Derogado </w:t>
      </w:r>
    </w:p>
    <w:p w14:paraId="3F3F7F1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65" w:name="ver_30141085"/>
      <w:bookmarkStart w:id="1666" w:name="ver_30101565"/>
      <w:bookmarkEnd w:id="1664"/>
      <w:bookmarkEnd w:id="1665"/>
    </w:p>
    <w:p w14:paraId="01FB7FFC" w14:textId="2B084F6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2.12.2.3.2. Derogado </w:t>
      </w:r>
    </w:p>
    <w:p w14:paraId="36B505A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67" w:name="ver_30141086"/>
      <w:bookmarkStart w:id="1668" w:name="ver_30101566"/>
      <w:bookmarkEnd w:id="1666"/>
      <w:bookmarkEnd w:id="1667"/>
    </w:p>
    <w:p w14:paraId="59A63EDE" w14:textId="0A72B7F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2.12.2.3.3. Derogado </w:t>
      </w:r>
    </w:p>
    <w:p w14:paraId="3C39E38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69" w:name="ver_30141087"/>
      <w:bookmarkStart w:id="1670" w:name="ver_30101567"/>
      <w:bookmarkEnd w:id="1668"/>
      <w:bookmarkEnd w:id="1669"/>
    </w:p>
    <w:p w14:paraId="13D99D17" w14:textId="21D84C7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2.12.2.3.4. Derogado </w:t>
      </w:r>
    </w:p>
    <w:p w14:paraId="61F27E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71" w:name="ver_30141088"/>
      <w:bookmarkStart w:id="1672" w:name="ver_30101568"/>
      <w:bookmarkEnd w:id="1670"/>
      <w:bookmarkEnd w:id="1671"/>
    </w:p>
    <w:p w14:paraId="2EE82510" w14:textId="7BEAAE8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2.12.2.3.5. Derogado </w:t>
      </w:r>
    </w:p>
    <w:p w14:paraId="201C73B7" w14:textId="77777777" w:rsidR="00CD3FFB" w:rsidRDefault="00CD3FFB" w:rsidP="00C32F85">
      <w:pPr>
        <w:spacing w:after="0" w:line="293" w:lineRule="atLeast"/>
        <w:jc w:val="both"/>
        <w:rPr>
          <w:rFonts w:ascii="Arial" w:eastAsia="Times New Roman" w:hAnsi="Arial" w:cs="Arial"/>
          <w:color w:val="000000"/>
          <w:lang w:eastAsia="es-CO"/>
        </w:rPr>
      </w:pPr>
      <w:bookmarkStart w:id="1673" w:name="ver_30101569"/>
      <w:bookmarkEnd w:id="1672"/>
      <w:bookmarkEnd w:id="1673"/>
    </w:p>
    <w:p w14:paraId="22809B08" w14:textId="76A0FCDD"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CAPÍTULO IV</w:t>
      </w:r>
    </w:p>
    <w:p w14:paraId="3AC85261" w14:textId="559E10F7" w:rsidR="00404266" w:rsidRPr="00CD3FFB" w:rsidRDefault="00CD3FFB"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DISPOSICIONES FINALES</w:t>
      </w:r>
    </w:p>
    <w:p w14:paraId="7FB907E3" w14:textId="77777777" w:rsidR="00CD3FFB" w:rsidRDefault="00CD3FFB" w:rsidP="00C32F85">
      <w:pPr>
        <w:spacing w:after="0" w:line="254" w:lineRule="atLeast"/>
        <w:jc w:val="both"/>
        <w:rPr>
          <w:rFonts w:ascii="Arial" w:eastAsia="Times New Roman" w:hAnsi="Arial" w:cs="Arial"/>
          <w:color w:val="000000"/>
          <w:lang w:eastAsia="es-CO"/>
        </w:rPr>
      </w:pPr>
      <w:bookmarkStart w:id="1674" w:name="ver_30101570"/>
    </w:p>
    <w:p w14:paraId="79EE14FB" w14:textId="3546FF3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2.12.2.4.1. Derogado </w:t>
      </w:r>
    </w:p>
    <w:p w14:paraId="2D15099E"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1B1ECB0B" w14:textId="77777777" w:rsidR="00404266" w:rsidRPr="00CD3FFB" w:rsidRDefault="00404266" w:rsidP="00CD3FFB">
      <w:pPr>
        <w:spacing w:after="0" w:line="293" w:lineRule="atLeast"/>
        <w:jc w:val="center"/>
        <w:rPr>
          <w:rFonts w:ascii="Arial" w:eastAsia="Times New Roman" w:hAnsi="Arial" w:cs="Arial"/>
          <w:b/>
          <w:bCs/>
          <w:color w:val="000000"/>
          <w:lang w:eastAsia="es-CO"/>
        </w:rPr>
      </w:pPr>
      <w:bookmarkStart w:id="1675" w:name="ver_30103752"/>
      <w:bookmarkEnd w:id="1674"/>
      <w:bookmarkEnd w:id="1675"/>
      <w:r w:rsidRPr="00CD3FFB">
        <w:rPr>
          <w:rFonts w:ascii="Arial" w:eastAsia="Times New Roman" w:hAnsi="Arial" w:cs="Arial"/>
          <w:b/>
          <w:bCs/>
          <w:color w:val="000000"/>
          <w:lang w:eastAsia="es-CO"/>
        </w:rPr>
        <w:t>TÍTULO 3</w:t>
      </w:r>
    </w:p>
    <w:p w14:paraId="076013E8" w14:textId="663D8F2F" w:rsidR="00404266" w:rsidRDefault="00404266"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DEL FONPET</w:t>
      </w:r>
    </w:p>
    <w:p w14:paraId="62AAE95F" w14:textId="77777777" w:rsidR="00253DDA" w:rsidRPr="00CD3FFB" w:rsidRDefault="00253DDA" w:rsidP="00CD3FFB">
      <w:pPr>
        <w:spacing w:after="0" w:line="293" w:lineRule="atLeast"/>
        <w:jc w:val="center"/>
        <w:rPr>
          <w:rFonts w:ascii="Arial" w:eastAsia="Times New Roman" w:hAnsi="Arial" w:cs="Arial"/>
          <w:b/>
          <w:bCs/>
          <w:color w:val="000000"/>
          <w:lang w:eastAsia="es-CO"/>
        </w:rPr>
      </w:pPr>
    </w:p>
    <w:p w14:paraId="0BE85385" w14:textId="77777777" w:rsidR="00404266" w:rsidRPr="00CD3FFB" w:rsidRDefault="00404266" w:rsidP="00CD3FFB">
      <w:pPr>
        <w:spacing w:after="0" w:line="293" w:lineRule="atLeast"/>
        <w:jc w:val="center"/>
        <w:rPr>
          <w:rFonts w:ascii="Arial" w:eastAsia="Times New Roman" w:hAnsi="Arial" w:cs="Arial"/>
          <w:b/>
          <w:bCs/>
          <w:color w:val="000000"/>
          <w:lang w:eastAsia="es-CO"/>
        </w:rPr>
      </w:pPr>
      <w:r w:rsidRPr="00CD3FFB">
        <w:rPr>
          <w:rFonts w:ascii="Arial" w:eastAsia="Times New Roman" w:hAnsi="Arial" w:cs="Arial"/>
          <w:b/>
          <w:bCs/>
          <w:color w:val="000000"/>
          <w:lang w:eastAsia="es-CO"/>
        </w:rPr>
        <w:t>CAPÍTULO 1</w:t>
      </w:r>
    </w:p>
    <w:p w14:paraId="5EEDA70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76" w:name="ver_30103753"/>
      <w:bookmarkEnd w:id="1676"/>
    </w:p>
    <w:p w14:paraId="5E2E679A" w14:textId="603AAA2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2.12.3.1.1.Fondo Nacional de Pensiones de las Entidades Territoriales. El Fondo Nacional de Pensiones de las Entidades Territoriales (Fonpet), creado por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 de la Ley 549 de 1999 es un fondo sin personería jurídica, administrado por el Ministerio de Hacienda y Crédito Público. El Fonpet tendrá por objeto recaudar de la Nación y de las entidades territoriales los recursos definidos en la Ley 549, asignarlos en las cuentas respectivas, y administrarlos a través de patrimonios autónomos en los términos del presente capítulo.  </w:t>
      </w:r>
    </w:p>
    <w:p w14:paraId="0F4185EA" w14:textId="3B31FCDA" w:rsidR="00F26861"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0DD47D" w14:textId="6DB3369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2.12.3.1.2.Administración de recursos. Los recursos del Fonpet serán administrados a través de patrimonios autónomos que se constituirán para el efecto en las sociedades administradoras de fondos de pensiones y cesantía, sociedades fiduciarias o en compañías de seguros de vida que estén facultadas para administrar los recursos del Sistema General de Pensiones y de los regímenes excepcionados del sistema por ley.  </w:t>
      </w:r>
    </w:p>
    <w:p w14:paraId="4E9D6B7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30AC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en su condición de administrador del Fonpet, seleccionará los administradores de dichos patrimonios mediante un proceso de licitación pública que se desarrollará de conformidad con las reglas de la Ley 80 de 1993, sus normas reglamentarias, y el presente capítulo. Así mismo, el Ministerio celebrará los contratos respectivos.  </w:t>
      </w:r>
    </w:p>
    <w:p w14:paraId="08F3F817" w14:textId="62C1A205" w:rsidR="00F26861"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8BEC7CB" w14:textId="709B17F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2.12.3.1.3.Calidades de los administradores. Para efectos de la selección de las entidades financieras administradoras de recursos del Fonpet, el Ministerio de Hacienda y Crédito Público tendrá en cuenta, entre otros, que los proponentes cumplan con las siguientes calidades:  </w:t>
      </w:r>
    </w:p>
    <w:p w14:paraId="3A036E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C3F6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Las entidades administradoras serán sociedades administradoras de fondos de pensiones y cesantía, sociedades fiduciarias y compañías de seguros de vida que estén facultadas para administrar los recursos del Sistema General de Pensiones y de los regímenes excepcionados del </w:t>
      </w:r>
      <w:r w:rsidRPr="002C1480">
        <w:rPr>
          <w:rFonts w:ascii="Arial" w:eastAsia="Times New Roman" w:hAnsi="Arial" w:cs="Arial"/>
          <w:color w:val="000000"/>
          <w:lang w:eastAsia="es-CO"/>
        </w:rPr>
        <w:lastRenderedPageBreak/>
        <w:t>sistema por ley. Dichas entidades deberán estar legalmente establecidas en Colombia y sometidas a la inspección y vigilancia de la Superintendencia Financiera de Colombia.  </w:t>
      </w:r>
    </w:p>
    <w:p w14:paraId="68CA17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FD93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entidades administradoras deberán acreditar índices de solvencia suficientes para administrar los recursos que les sean asignados como consecuencia del proceso de selección. El cumplimiento de dicho requisito deberá verificarse mensualmente por parte de la Superintendencia Financiera de Colombia.  </w:t>
      </w:r>
    </w:p>
    <w:p w14:paraId="3A0FF6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6F9EE2" w14:textId="00BF46C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este propósito, el índice de solvencia de las Sociedades Administradoras de Fondos de Pensiones y Cesantías, (AFP), y de las sociedades fiduciarias se establecerá de acuerdo con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2555 de 2010 y las disposiciones que los modifiquen o adicionen.  </w:t>
      </w:r>
    </w:p>
    <w:p w14:paraId="022F018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5B09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compañías de seguros de vida autorizadas para administrar los recursos del Fonpet, deberán mantener el índice o margen de solvencia aplicable a sus operaciones de seguros conforme a la normatividad vigente, con la obligación adicional de que el valor de todos los activos de los patrimonios autónomos que administren, incluyendo el que constituyan con los recursos del Fonpet, no sea superior en ningún momento a cuarenta y ocho (48) veces el excedente de patrimonio de la respectiva compañía. Para este efecto, al patrimonio técnico de la compañía se le restará el monto del margen de solvencia requerido para respaldar su actividad aseguradora, y el saldo será el patrimonio que se tendrá en cuenta para el manejo de los recursos del Fonpet y demás patrimonios a través de los cuales se administren reservas pensionales.  </w:t>
      </w:r>
    </w:p>
    <w:p w14:paraId="1F7E37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8257376" w14:textId="3C93206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los casos en que durante la ejecución del contrato, el margen o índice de solvencia de cualquier administradora llegue a ser insuficiente, esta deberá tomar las medidas conducentes para cumplirlo dentro de los diez (10) días hábiles siguientes a la fecha en la que sea requerida por la Superintendencia Financiera de Colombia. Pasado el término señalado, el incumplimiento en el margen o índice de solvencia requerido dará lugar a la devolución proporcional de los recursos entregados en virtud del contrato, quedando solo con aquellos recursos que su índice o margen de solvencia permita. En consecuencia de la devolución de los recursos, se procederá a su redistribución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2.12.3.1.4.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en particular, por lo dispuesto en el numeral 4 del mismo.  </w:t>
      </w:r>
    </w:p>
    <w:p w14:paraId="5FCB56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D19803" w14:textId="5E8CC00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Los recursos del Fonpet podrán ser administrados a través de uniones temporales o consorcios por dos o más entidades de las mencionadas en el numeral 1)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En tal caso, se dará aplicación al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2.5.3.1.4.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2555 de 2010.  </w:t>
      </w:r>
    </w:p>
    <w:p w14:paraId="2A14986B" w14:textId="3ED42CF1" w:rsidR="00F26861"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F08674E" w14:textId="3AF026F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2.12.3.1.4.Administración de recursos. Para la administración de los recursos del Fonpet se seguirán las siguientes reglas:  </w:t>
      </w:r>
    </w:p>
    <w:p w14:paraId="706FF8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28DAB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 anterioridad a la apertura de una licitación, el Ministerio de Hacienda y Crédito Público, calculará en forma aproximada, de acuerdo con sus estimativos y proyecciones, el monto de los recursos a administrar, especificando el monto correspondiente a cada uno de los años calendario, teniendo en cuenta lo dispuesto por la Ley 549 de 1999, en cuanto a la causación para cada tipo de recurso. Si estos recursos se han causado con anterioridad a la ejecución del contrato, el Ministerio indicará los montos estimados, diferenciándolos de los proyectados para el futuro.  </w:t>
      </w:r>
    </w:p>
    <w:p w14:paraId="600B68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A245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Las Sociedades Administradoras de Fondos de Pensiones (AFP), las sociedades fiduciarias y las compañías de seguros de vida que estén facultadas para administrar los recursos del Sistema General de Pensiones y de los regímenes excepcionados del Sistema por ley, podrán presentar propuestas individuales o conjuntas de administración de patrimonios autónomos del Fonpet, </w:t>
      </w:r>
      <w:r w:rsidRPr="002C1480">
        <w:rPr>
          <w:rFonts w:ascii="Arial" w:eastAsia="Times New Roman" w:hAnsi="Arial" w:cs="Arial"/>
          <w:color w:val="000000"/>
          <w:lang w:eastAsia="es-CO"/>
        </w:rPr>
        <w:lastRenderedPageBreak/>
        <w:t>indicando el monto máximo de los recursos que administrarían para cada uno de los años señalados en el pliego de condiciones, tomando en cuenta los datos suministrados en calidad de estimativos y proyecciones, siempre que su margen de solvencia sea suficiente:  </w:t>
      </w:r>
    </w:p>
    <w:p w14:paraId="5C47CC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857D3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Con fundamento en la adjudicación realizada, el Ministerio de Hacienda y Crédito Público celebrará con las entidades adjudicatarias contratos de administración de patrimonios autónomos. El total adjudicado será la suma de los montos adjudicados a cada contratista. En la medida en que se reciban los aportes, a cada entidad administradora se le entregará los correspondientes recursos de acuerdo con lo que disponga el respectivo pliego de condiciones, siempre teniendo en cuenta sus márgenes de solvencia. Los recursos que reciba cada administradora se reflejarán en unidades cuyo valor inicial será de mil pesos ($1.000). En todo caso, la adjudicación no implicará la obligación de entregar al adjudicatario el monto propuesto por este, cuando el recaudo efectivo de los recursos sea inferior a lo proyectado.  </w:t>
      </w:r>
    </w:p>
    <w:p w14:paraId="2121A7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11C8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entidades administradoras podrán recibir recursos adicionales a los asignados según su propuesta, si expresan su voluntad de hacerlo, siempre que su margen de solvencia se lo permita, y con sujeción a las reglas del pliego de condiciones y a los límites previstos en la Ley 80 de 1993, en cualquiera de los siguientes casos:  </w:t>
      </w:r>
    </w:p>
    <w:p w14:paraId="7C32AF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96971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4.1. Los recursos recaudados excedan los estimados y proyectados en una vigencia fiscal.  </w:t>
      </w:r>
    </w:p>
    <w:p w14:paraId="0F30067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07579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4.2. Alguna de las administradoras durante el contrato presente incumplimiento en su margen de solvencia.  </w:t>
      </w:r>
    </w:p>
    <w:p w14:paraId="75C0DF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43ABD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4.3. Se produzca la terminación anticipada del contrato de alguna administradora.  </w:t>
      </w:r>
    </w:p>
    <w:p w14:paraId="562374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2ACB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En cualquier evento en que no sea posible asignar los recursos adicionales de que trata el numeral 4 anterior, o no sea viable prorrogar los contratos de administración o suscribir nuevos contratos, o cuando los cupos ofrecidos por las entidades licitantes no sean suficientes para atender los recaudos del Fonpet, el Ministerio de Hacienda y Crédito Público podrá disponer la administración transitoria de los recursos del Fonpet a través de la Dirección General de Crédito Público y del Tesoro Nacional.  </w:t>
      </w:r>
    </w:p>
    <w:p w14:paraId="69CD5F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D239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En los casos en que el portafolio de un administrador se transfiera a otro, la transacción se hará a precios de mercado de acuerdo con la metodología establecida por la Superintendencia Financiera de Colombia.  </w:t>
      </w:r>
    </w:p>
    <w:p w14:paraId="49FA94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2C8F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En caso de cesión de uno o varios consorciados o miembros de la unión temporal, se observarán cuando fuere del caso, las restricciones previstas en la Ley 80 de 1993.  </w:t>
      </w:r>
    </w:p>
    <w:p w14:paraId="6F94808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77" w:name="ver_30103757"/>
      <w:bookmarkEnd w:id="1677"/>
    </w:p>
    <w:p w14:paraId="2F147AC3" w14:textId="7A18288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2.12.3.1.5.Administración de cuentas de las entidades territoriales. Corresponderá a las entidades administradoras, directamente o mediante los mecanismos que para el efecto se establezcan en el pliego de condiciones y en los contratos respectivos, realizar el registro de los recursos asignados por la Nación a cada entidad territorial y los que se reciban de las mismas, de acuerdo con la ley, así como de los rendimientos obtenidos.  </w:t>
      </w:r>
    </w:p>
    <w:p w14:paraId="3FB667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9D34BE" w14:textId="43FE6FB3"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correspondientes a cada entidad territorial se registrarán tanto en pesos como unidades del Fonpet en las cuentas respectivas.  </w:t>
      </w:r>
    </w:p>
    <w:p w14:paraId="13101021" w14:textId="77777777" w:rsidR="00253DDA" w:rsidRPr="002C1480" w:rsidRDefault="00253DDA" w:rsidP="00C32F85">
      <w:pPr>
        <w:spacing w:after="0" w:line="254" w:lineRule="atLeast"/>
        <w:jc w:val="both"/>
        <w:rPr>
          <w:rFonts w:ascii="Arial" w:eastAsia="Times New Roman" w:hAnsi="Arial" w:cs="Arial"/>
          <w:color w:val="000000"/>
          <w:lang w:eastAsia="es-CO"/>
        </w:rPr>
      </w:pPr>
    </w:p>
    <w:p w14:paraId="50FD4B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Los rendimientos financieros de los recursos administrados se distribuirán entre las cuentas de las entidades territoriales, con base en el valor de las unidades correspondientes a cada entidad.  </w:t>
      </w:r>
    </w:p>
    <w:p w14:paraId="205929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996E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administradoras registrarán en cuentas separadas los recursos correspondientes a cada entidad territorial. En la cuenta de cada entidad territorial se establecerán subcuentas para cada uno de los sectores que generan pasivos pensionales separados y sus fuentes específicas de financiación, si fuere el caso.  </w:t>
      </w:r>
    </w:p>
    <w:p w14:paraId="74334F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6E422E" w14:textId="7141846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Una vez elaborados los cálculos actuariales a que hace referencia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 de la Ley 549 de 1999, las entidades administradoras deberán registrar el valor de dicho cálculo, teniendo en cuenta también los sectores que generan pasivos pensionales separados.  </w:t>
      </w:r>
    </w:p>
    <w:p w14:paraId="73EDBF4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D07F5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efectos de determinar la cobertura del cálculo actuarial, se tendrán en cuenta, además de los recursos que efectivamente hayan ingresado al Fonpet, los que existan en los fondos territoriales de pensiones y en los patrimonios autónomos constituidos por las entidades territoriales para la garantía y pago de obligaciones pensionales, y en el caso de las entidades descentralizadas, los activos liquidables que respalden el pago de las obligaciones pensionales.  </w:t>
      </w:r>
    </w:p>
    <w:p w14:paraId="13B1A6B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547A5E" w14:textId="0E040F2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cumplimiento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el Ministerio de Hacienda y Crédito Público, como entidad encargada de la administración del Fonpet, impartirá las instrucciones técnicas correspondientes.  </w:t>
      </w:r>
    </w:p>
    <w:p w14:paraId="005B539C" w14:textId="33344685"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78" w:name="ver_30103758"/>
      <w:bookmarkEnd w:id="1678"/>
    </w:p>
    <w:p w14:paraId="4AA33C59" w14:textId="4011290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2.12.3.1.6.Otras obligaciones de las administradoras. Además de las responsabilidades establecidas en la ley, el presente capítulo y en los contratos respectivos, las entidades administradoras tendrán las siguientes responsabilidades en materia de recolección, procesamiento y suministro de información:  </w:t>
      </w:r>
    </w:p>
    <w:p w14:paraId="734EF0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669B8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Recaudar la información de las entidades territoriales, sus descentralizadas y demás entidades del nivel territorial en materia de pasivos pensionales y reservas existentes para su pago, de acuerdo con los parámetros técnicos que señale el Ministerio de Hacienda y Crédito Público. El Gobierno distribuirá esta responsabilidad entre los diversos administradores teniendo en cuenta su participación en la administración de los recursos.  </w:t>
      </w:r>
    </w:p>
    <w:p w14:paraId="10D1FD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03A38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Suministrar la información requerida por la Superintendencia Financiera de Colombia y el Ministerio de Hacienda y Crédito Público en materia de saldo de recursos, composición de los portafolios y demás que se establezca en los términos de referencia, con la periodicidad que allí mismo se determine. Así mismo, los términos de referencia podrán prever el mecanismo y periodicidad con los cuales deberá suministrarse información a las entidades territoriales.  </w:t>
      </w:r>
    </w:p>
    <w:p w14:paraId="6CA5FF3A" w14:textId="01514BE8"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79" w:name="ver_30103759"/>
      <w:bookmarkEnd w:id="1679"/>
    </w:p>
    <w:p w14:paraId="373D35A1" w14:textId="39B571C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2.12.3.1.7.Recaudo de los recursos. El recaudo de los recursos del Fonpet se realizará de la siguiente manera:  </w:t>
      </w:r>
    </w:p>
    <w:p w14:paraId="423F282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F3F84C" w14:textId="3005B33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Los recursos previstos en los numerales 1 a 6, 10 y 11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serán transferidos directamente por la Nación a las cuentas del Fonpet, dando aplicación a las reglas de distribución allí previstas y en los siguientes plazos: las transferencias correspondientes al numeral 1, se realizarán dentro de los primeros tres (3) meses del año 2001; las correspondientes al numeral 2, se realizarán en las oportunidades previstas para la transferencia de las participaciones a las entidades territoriales; las de los numerales 3, 4, 5 primer inciso, 6 y 11, dentro de los quince (15) días hábiles siguientes al vencimiento de cada semestre calendario, las de los incisos segundo y siguientes del numeral 5, en la forma indicada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w:t>
      </w:r>
      <w:r w:rsidRPr="002C1480">
        <w:rPr>
          <w:rFonts w:ascii="Arial" w:eastAsia="Times New Roman" w:hAnsi="Arial" w:cs="Arial"/>
          <w:color w:val="000000"/>
          <w:lang w:eastAsia="es-CO"/>
        </w:rPr>
        <w:lastRenderedPageBreak/>
        <w:t>la Ley 549; las del numeral 10, dentro de los quince (15) días hábiles siguientes al vencimiento del mes calendario de su recaudo.  </w:t>
      </w:r>
    </w:p>
    <w:p w14:paraId="298941D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AED056" w14:textId="0639F9F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Los recursos previstos en los numerales 7, 8 y 9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serán transferidos por las entidades territoriales a la cuenta del Fonpet dentro de los primeros quince (15) días hábiles del mes de enero del año calendario siguiente a aquel en que sean recaudados.  </w:t>
      </w:r>
    </w:p>
    <w:p w14:paraId="7A7B2B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4CA9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las entidades territoriales hubieren celebrado convenios para el recaudo de los recursos a su cargo, deberán incluir en dichos convenios la instrucción irrevocable al recaudador para que este realice directamente los pagos al Fonpet en los montos correspondientes.  </w:t>
      </w:r>
    </w:p>
    <w:p w14:paraId="2DAC0975" w14:textId="5F33AB3F"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0" w:name="ver_30103760"/>
      <w:bookmarkEnd w:id="1680"/>
    </w:p>
    <w:p w14:paraId="3BF39729" w14:textId="2D34EBD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2.12.3.1.8. Retiro de recursos por las entidades territoriales. Sin perjuicio de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 de la Ley 549, no se podrán retirar recursos de la cuenta de cada entidad territorial en el Fonpet hasta tanto, sumado el monto acumulado en la cuenta territorial en el Fondo Nacional de Pasivos de las Entidades Territoriales con los recursos que tengan en sus fondos territoriales de pensiones o en sus Patrimonios Autónomos o en las reservas legalmente constituidas por las entidades descentralizadas o demás entidades del nivel territorial, en los términos de la Ley 549, se haya cubierto el ciento por ciento (100%) del pasivo pensional, de conformidad con el respectivo cálculo actuarial.  </w:t>
      </w:r>
    </w:p>
    <w:p w14:paraId="0AFAC8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ED90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Cumplido dicho monto, la entidad podrá destinar los recursos del fondo al pago de pasivos pensionales, siempre y cuando, en todo caso el saldo de la cuenta en el Fonpet, en los Fondos Territoriales de Pensiones, en los Patrimonios Autónomos que tengan constituidos o las reservas constituidas por las entidades descentralizadas u otras entidades del nivel territorial, cubra el cálculo del pasivo pensional total de la entidad.  </w:t>
      </w:r>
    </w:p>
    <w:p w14:paraId="21D0948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DE9D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Mientras la suma de estos saldos, no cubra dicho cálculo, la entidad deberá cubrir sus pasivos pensionales exigibles con los recursos del Fondo Territorial de Pensiones, el Patrimonio Autónomo constituido, las reservas constituidas con ese fin, o con otros recursos.  </w:t>
      </w:r>
    </w:p>
    <w:p w14:paraId="28C6C3F5" w14:textId="54B84B1F"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1" w:name="ver_30103761"/>
      <w:bookmarkEnd w:id="1681"/>
    </w:p>
    <w:p w14:paraId="6C585CC0" w14:textId="056C223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2.12.3.1.9.Responsabilidad de la Nación y del Fonpet. En ningún caso el Fonpet se hará cargo del pago directo de pensiones ni asumirá responsabilidades diferentes de las que le incumben en su condición de administrador de los recursos. En consecuencia, ni la Nación ni el Fonpet asumirán las responsabilidades que en condición de empleadores y únicos responsables de los pasivos pensionales corresponden a las entidades territoriales.  </w:t>
      </w:r>
    </w:p>
    <w:p w14:paraId="2FC0AA3A" w14:textId="6C9E564A"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2" w:name="ver_30103762"/>
      <w:bookmarkEnd w:id="1682"/>
    </w:p>
    <w:p w14:paraId="0D4F4439" w14:textId="4E159B0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2.12.3.1.10.Comité Directivo del Fonpet. El Comité Directivo del Fonpet estará integrado de la siguiente forma:  </w:t>
      </w:r>
    </w:p>
    <w:p w14:paraId="34F8E7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CEF97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Ministro de Hacienda y Crédito Público o su delegado, quien lo presidirá.  </w:t>
      </w:r>
    </w:p>
    <w:p w14:paraId="5E466C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C241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Ministro de Trabajo y Seguridad Social o su delegado.  </w:t>
      </w:r>
    </w:p>
    <w:p w14:paraId="0D48F39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2B4C9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Director del Departamento Nacional de Planeación o su delegado.  </w:t>
      </w:r>
    </w:p>
    <w:p w14:paraId="2C93087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B79A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El Ministro del Interior o su delegado.  </w:t>
      </w:r>
    </w:p>
    <w:p w14:paraId="61AB93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3EAC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Dos (2) representantes de los departamentos designados por la Federación Nacional de Departamentos.  </w:t>
      </w:r>
    </w:p>
    <w:p w14:paraId="1573D3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7B12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6. Dos (2) representantes de los municipios designados por la Federación Colombiana de Municipios.  </w:t>
      </w:r>
    </w:p>
    <w:p w14:paraId="6773C0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9F60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Un (1) representante de los distritos, y  </w:t>
      </w:r>
    </w:p>
    <w:p w14:paraId="233967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38187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Un (1) representante de los pensionados designado por los presidentes de las asociaciones de pensionados que estén en vigencia legal.  </w:t>
      </w:r>
    </w:p>
    <w:p w14:paraId="3F0F75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16F6A9" w14:textId="6641A75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Comité Directivo sesionará con la presencia de al menos siete (7) de sus miembros y decidirá con el voto favorable de la mayoría de los asistentes. No obstante, para las decisiones en materia de aceptación de activos fijos a que hace referencia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 de la Ley 549, será necesario el voto favorable del Ministro de Hacienda y Crédito Público o su delegado.  </w:t>
      </w:r>
    </w:p>
    <w:p w14:paraId="62390246" w14:textId="2BC3229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026C81" w14:textId="77777777" w:rsidR="00F26861" w:rsidRDefault="00F26861" w:rsidP="00F26861">
      <w:pPr>
        <w:spacing w:after="0" w:line="293" w:lineRule="atLeast"/>
        <w:jc w:val="center"/>
        <w:rPr>
          <w:rFonts w:ascii="Arial" w:eastAsia="Times New Roman" w:hAnsi="Arial" w:cs="Arial"/>
          <w:b/>
          <w:bCs/>
          <w:color w:val="000000"/>
          <w:lang w:eastAsia="es-CO"/>
        </w:rPr>
      </w:pPr>
      <w:bookmarkStart w:id="1683" w:name="ver_30103763"/>
      <w:bookmarkEnd w:id="1683"/>
      <w:r w:rsidRPr="00F26861">
        <w:rPr>
          <w:rFonts w:ascii="Arial" w:eastAsia="Times New Roman" w:hAnsi="Arial" w:cs="Arial"/>
          <w:b/>
          <w:bCs/>
          <w:color w:val="000000"/>
          <w:lang w:eastAsia="es-CO"/>
        </w:rPr>
        <w:t>CAPÍTULO 2</w:t>
      </w:r>
    </w:p>
    <w:p w14:paraId="28DDB481" w14:textId="180953C7" w:rsidR="00404266" w:rsidRDefault="00F26861" w:rsidP="00F26861">
      <w:pPr>
        <w:spacing w:after="0" w:line="293" w:lineRule="atLeast"/>
        <w:jc w:val="center"/>
        <w:rPr>
          <w:rFonts w:ascii="Arial" w:eastAsia="Times New Roman" w:hAnsi="Arial" w:cs="Arial"/>
          <w:b/>
          <w:bCs/>
          <w:color w:val="000000"/>
          <w:lang w:eastAsia="es-CO"/>
        </w:rPr>
      </w:pPr>
      <w:r w:rsidRPr="00F26861">
        <w:rPr>
          <w:rFonts w:ascii="Arial" w:eastAsia="Times New Roman" w:hAnsi="Arial" w:cs="Arial"/>
          <w:b/>
          <w:bCs/>
          <w:color w:val="000000"/>
          <w:lang w:eastAsia="es-CO"/>
        </w:rPr>
        <w:t>RECAUDO DE LOS RECURSOS DEL FONPET</w:t>
      </w:r>
    </w:p>
    <w:p w14:paraId="38DFB4A3" w14:textId="77777777" w:rsidR="00F26861" w:rsidRPr="00F26861" w:rsidRDefault="00F26861" w:rsidP="00F26861">
      <w:pPr>
        <w:spacing w:after="0" w:line="293" w:lineRule="atLeast"/>
        <w:jc w:val="center"/>
        <w:rPr>
          <w:rFonts w:ascii="Arial" w:eastAsia="Times New Roman" w:hAnsi="Arial" w:cs="Arial"/>
          <w:b/>
          <w:bCs/>
          <w:color w:val="000000"/>
          <w:lang w:eastAsia="es-CO"/>
        </w:rPr>
      </w:pPr>
    </w:p>
    <w:p w14:paraId="7081A857" w14:textId="094FB1E5" w:rsidR="00404266" w:rsidRPr="002C1480" w:rsidRDefault="002C1480" w:rsidP="00C32F85">
      <w:pPr>
        <w:spacing w:after="0" w:line="254" w:lineRule="atLeast"/>
        <w:jc w:val="both"/>
        <w:rPr>
          <w:rFonts w:ascii="Arial" w:eastAsia="Times New Roman" w:hAnsi="Arial" w:cs="Arial"/>
          <w:color w:val="000000"/>
          <w:lang w:eastAsia="es-CO"/>
        </w:rPr>
      </w:pPr>
      <w:bookmarkStart w:id="1684" w:name="ver_30103764"/>
      <w:bookmarkEnd w:id="1684"/>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2.12.3.2.1.Recaudo de los Recursos. Corresponde a la Dirección General de Crédito Público y del Tesoro Nacional del Ministerio de Hacienda y Crédito Público el recaudo de los recursos de que tratan los numerales 1, 2, 3, 4 y 11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w:t>
      </w:r>
    </w:p>
    <w:p w14:paraId="06A28E12" w14:textId="6155863D"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5" w:name="ver_30103765"/>
      <w:bookmarkEnd w:id="1685"/>
    </w:p>
    <w:p w14:paraId="25310D10" w14:textId="15955DB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2.12.3.2.2.Manejo de los recursos. Hasta tanto el Ministerio de Hacienda y Crédito Público contrate la administración de los patrimonios autónomos correspondientes al Fondo Nacional de Pensiones de las Entidades Territoriales (Fonpet), la Dirección General de Crédito Público y del Tesoro Nacional deberá manejar los recursos mencionados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2.12.3.2.1., en forma independiente del resto de los recursos que maneje o administre.  </w:t>
      </w:r>
    </w:p>
    <w:p w14:paraId="65CEE9B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E87A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 anterior deberá quedar implementado a más tardar el 31 de diciembre de 2000 respecto de los recursos y los respectivos rendimientos generados durante el año 2000, y para aquellos que se generen en los años subsiguientes, en las siguientes fechas y plazos:  </w:t>
      </w:r>
    </w:p>
    <w:p w14:paraId="6AA28D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287E58" w14:textId="0294349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Los recursos del numeral 2 a los que hace referencia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en los términos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 la Ley 60 de 1993 para el giro correspondiente a la participación de los municipios en los ingresos corrientes de la Nación. Para tal efecto, el Departamento Nacional de Planeación deberá informar a la Dirección General de Crédito Público y del Tesoro Nacional, a más tardar el último día hábil del mes anterior al del giro a los municipios, el monto correspondiente;  </w:t>
      </w:r>
    </w:p>
    <w:p w14:paraId="2183DE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B09CFE0" w14:textId="7E035DF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Los recursos del numeral 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a más tardar el último día hábil del mes durante el cual se produzca el ingreso. Para tal efecto, la Dirección General de Crédito Público deberá informar al Tesoro Nacional, a más tardar en la misma fecha del ingreso, el monto correspondiente al diez por ciento (10%) a que hace referencia el citado numeral;  </w:t>
      </w:r>
    </w:p>
    <w:p w14:paraId="2278AD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A1FB67" w14:textId="4FF6AFD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Los recursos del numeral 11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a más tardar el último día hábil de los dos meses siguientes a aquel en que se produzca el recaudo, con base en la certificación que para el efecto expida la Dirección de Impuestos y Aduanas Nacionales (DIAN).  </w:t>
      </w:r>
    </w:p>
    <w:p w14:paraId="033658D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FBE3D6" w14:textId="019F953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Respecto de los recursos de que trata 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los rendimientos del año 2000 corresponderán a la tasa promedio de colocación durante el año de los excedentes en moneda nacional de la Dirección General de Crédito Público y del </w:t>
      </w:r>
      <w:r w:rsidRPr="002C1480">
        <w:rPr>
          <w:rFonts w:ascii="Arial" w:eastAsia="Times New Roman" w:hAnsi="Arial" w:cs="Arial"/>
          <w:color w:val="000000"/>
          <w:lang w:eastAsia="es-CO"/>
        </w:rPr>
        <w:lastRenderedPageBreak/>
        <w:t>Tesoro Nacional, desde las fechas previstas para la transferencia de las participaciones a las entidades territoriales.  </w:t>
      </w:r>
    </w:p>
    <w:p w14:paraId="1860628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AFF6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relación con los recursos de que trata el numeral 3, los rendimientos del año 2000 corresponderán a la tasa promedio de colocación de los recursos del Fondo Nacional de Regalías.  </w:t>
      </w:r>
    </w:p>
    <w:p w14:paraId="2DA1034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5073C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Dirección General de Crédito Público y del Tesoro Nacional establecerá la metodología para la determinación de las tasas de colocación, con base en las cuales se realizará la subsiguiente estimación de los rendimientos.  </w:t>
      </w:r>
    </w:p>
    <w:p w14:paraId="51B2143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BEA852" w14:textId="3675281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dar cumplimiento al manejo independiente a que hace referencia el presente capítulo, respecto de los recursos generados durante el año 2000, las entidades responsables del suministro de información a la Dirección General de Crédito Público y del Tesoro Nacional, deberán reportar a esta, a más tardar el 28 de diciembre de 2000, el valor de los recursos con destino al Fonpet. Para los recursos generados con posterioridad a esta fecha pero correspondientes al año 2000, se les aplicarán las disposiciones previstas en los numerales 1 al 3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13682E20" w14:textId="667BF582" w:rsidR="00404266" w:rsidRPr="002C1480" w:rsidRDefault="00404266" w:rsidP="0069137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6" w:name="ver_30103766"/>
      <w:bookmarkEnd w:id="1686"/>
    </w:p>
    <w:p w14:paraId="1EBE3314" w14:textId="78AFF8F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2.12.3.2.3. Operaciones. La Dirección General de Crédito Público y del Tesoro Nacional con los recursos del Fonpet podrá realizar todas aquellas operaciones a ella legalmente autorizadas para el manejo de sus excedentes y de los fondos que administre. El manejo de los recursos deberá efectuarse teniendo en cuenta los criterios de seguridad, liquidez, rentabilidad y realizarse en condiciones de mercado.  </w:t>
      </w:r>
    </w:p>
    <w:p w14:paraId="14C79FE7" w14:textId="1FC5F579"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7" w:name="ver_30103767"/>
      <w:bookmarkEnd w:id="1687"/>
    </w:p>
    <w:p w14:paraId="494E100C" w14:textId="576CD4A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2.12.3.2.4.Incumplimiento. La Dirección General de Crédito Público y del Tesoro Nacional deberá informar a los organismos de control, los incumplimientos en que incurran las entidades y organismos responsables de la remisión y reporte de la información prevista en el presente capítulo.  </w:t>
      </w:r>
    </w:p>
    <w:p w14:paraId="27F1CD7B" w14:textId="184DAFEE" w:rsidR="0069137C"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88" w:name="ver_30103768"/>
      <w:bookmarkEnd w:id="1688"/>
    </w:p>
    <w:p w14:paraId="76CA8D26" w14:textId="24490F1C" w:rsidR="00404266" w:rsidRPr="0069137C" w:rsidRDefault="0069137C" w:rsidP="0069137C">
      <w:pPr>
        <w:spacing w:after="0" w:line="293" w:lineRule="atLeast"/>
        <w:jc w:val="center"/>
        <w:rPr>
          <w:rFonts w:ascii="Arial" w:eastAsia="Times New Roman" w:hAnsi="Arial" w:cs="Arial"/>
          <w:b/>
          <w:bCs/>
          <w:color w:val="000000"/>
          <w:lang w:eastAsia="es-CO"/>
        </w:rPr>
      </w:pPr>
      <w:r w:rsidRPr="0069137C">
        <w:rPr>
          <w:rFonts w:ascii="Arial" w:eastAsia="Times New Roman" w:hAnsi="Arial" w:cs="Arial"/>
          <w:b/>
          <w:bCs/>
          <w:color w:val="000000"/>
          <w:lang w:eastAsia="es-CO"/>
        </w:rPr>
        <w:t>CAPÍTULO 3</w:t>
      </w:r>
    </w:p>
    <w:p w14:paraId="5395D726" w14:textId="11774151" w:rsidR="00404266" w:rsidRPr="0069137C" w:rsidRDefault="0069137C" w:rsidP="0069137C">
      <w:pPr>
        <w:spacing w:after="0" w:line="293" w:lineRule="atLeast"/>
        <w:jc w:val="center"/>
        <w:rPr>
          <w:rFonts w:ascii="Arial" w:eastAsia="Times New Roman" w:hAnsi="Arial" w:cs="Arial"/>
          <w:b/>
          <w:bCs/>
          <w:color w:val="000000"/>
          <w:lang w:eastAsia="es-CO"/>
        </w:rPr>
      </w:pPr>
      <w:r w:rsidRPr="0069137C">
        <w:rPr>
          <w:rFonts w:ascii="Arial" w:eastAsia="Times New Roman" w:hAnsi="Arial" w:cs="Arial"/>
          <w:b/>
          <w:bCs/>
          <w:color w:val="000000"/>
          <w:lang w:eastAsia="es-CO"/>
        </w:rPr>
        <w:t>CÁLCULO ACTUARIAL DE REFERENCIA</w:t>
      </w:r>
    </w:p>
    <w:p w14:paraId="5EAAAE2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89" w:name="ver_30103769"/>
      <w:bookmarkEnd w:id="1689"/>
    </w:p>
    <w:p w14:paraId="54E830B0" w14:textId="32F74BD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2.12.3.3.1.Cálculos actuariales. Mientras se termina el proceso que permitirá obtener los cálculos actuariales a que hace referencia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9° de la Ley 549 de 1999, el Ministerio de Hacienda y Crédito Público con base en la información que le sea remitida por cada entidad territorial, elaborará un cálculo de referencia, el cual enviará a las respectivas entidades territoriales, para que en un plazo no mayor a un mes, a partir de su recibo, realice las observaciones pertinentes sobre el mismo. Si el Ministerio recibe observaciones, ajustará el cálculo si es procedente, y lo adoptará como dato de referencia. Vencido este plazo sin observaciones, el cálculo efectuado por el Ministerio de Hacienda y Crédito Público se tomará como dato de referencia para los diferentes aspectos de la administración del Fonpet.  </w:t>
      </w:r>
    </w:p>
    <w:p w14:paraId="4D44BA2E" w14:textId="2360B4DD"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90" w:name="ver_30103770"/>
      <w:bookmarkEnd w:id="1690"/>
    </w:p>
    <w:p w14:paraId="60A74622" w14:textId="322397E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2.12.3.3.2.Distribución de transferencias. La distribución de lo que corresponde a las entidades territoriales, del situado fiscal y de la participación de los municipios en los ingresos corrientes de la Nación, de conformidad con lo dispuesto por los numerales 1 y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deberá ser elaborada por el Departamento Administrativo Nacional de Planeación -Unidad de Desarrollo Territorial-, quien deberá reportar dicha distribución al Ministerio de Hacienda y Crédito Público, en las condiciones y plazos establecidos en la Ley 60 de 1993 y en sus normas reglamentarias.  </w:t>
      </w:r>
    </w:p>
    <w:p w14:paraId="0C3A74E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9A265C8" w14:textId="65E065F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monto de ingresos que se deben tener en cuenta para la distribución dispuesta en el numeral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será el causado por el impuesto a las transacciones en los períodos del 1° de enero a 25 de mayo y del 19 de octubre a 31 de diciembre de 2000. Se trasladará lo que corresponda al Fonpet en relación con este recurso, dentro del primer semestre del año 2001.  </w:t>
      </w:r>
    </w:p>
    <w:p w14:paraId="3AA96BAF" w14:textId="7682EDD4" w:rsidR="0069137C"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91" w:name="ver_30103771"/>
      <w:bookmarkEnd w:id="1691"/>
    </w:p>
    <w:p w14:paraId="3CD55F05" w14:textId="3EE7E9E0" w:rsidR="00404266" w:rsidRPr="0069137C" w:rsidRDefault="0069137C" w:rsidP="0069137C">
      <w:pPr>
        <w:spacing w:after="0" w:line="293" w:lineRule="atLeast"/>
        <w:jc w:val="center"/>
        <w:rPr>
          <w:rFonts w:ascii="Arial" w:eastAsia="Times New Roman" w:hAnsi="Arial" w:cs="Arial"/>
          <w:b/>
          <w:bCs/>
          <w:color w:val="000000"/>
          <w:lang w:eastAsia="es-CO"/>
        </w:rPr>
      </w:pPr>
      <w:r w:rsidRPr="0069137C">
        <w:rPr>
          <w:rFonts w:ascii="Arial" w:eastAsia="Times New Roman" w:hAnsi="Arial" w:cs="Arial"/>
          <w:b/>
          <w:bCs/>
          <w:color w:val="000000"/>
          <w:lang w:eastAsia="es-CO"/>
        </w:rPr>
        <w:t>CAPÍTULO 4</w:t>
      </w:r>
    </w:p>
    <w:p w14:paraId="60AB0F17" w14:textId="2E094173" w:rsidR="00404266" w:rsidRPr="0069137C" w:rsidRDefault="0069137C" w:rsidP="0069137C">
      <w:pPr>
        <w:spacing w:after="0" w:line="293" w:lineRule="atLeast"/>
        <w:jc w:val="center"/>
        <w:rPr>
          <w:rFonts w:ascii="Arial" w:eastAsia="Times New Roman" w:hAnsi="Arial" w:cs="Arial"/>
          <w:b/>
          <w:bCs/>
          <w:color w:val="000000"/>
          <w:lang w:eastAsia="es-CO"/>
        </w:rPr>
      </w:pPr>
      <w:r w:rsidRPr="0069137C">
        <w:rPr>
          <w:rFonts w:ascii="Arial" w:eastAsia="Times New Roman" w:hAnsi="Arial" w:cs="Arial"/>
          <w:b/>
          <w:bCs/>
          <w:color w:val="000000"/>
          <w:lang w:eastAsia="es-CO"/>
        </w:rPr>
        <w:t>RECURSOS DEL SITUADO FISCAL Y DE LA PARTICIPACIÓN DE LOS MUNICIPIOS EN LOS INGRESOS CORRIENTES DE LA NACIÓN, RECURSOS DEL SISTEMA GENERAL DE PARTICIPACIONES Y OTROS RECURSOS</w:t>
      </w:r>
    </w:p>
    <w:p w14:paraId="41E5369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92" w:name="ver_30103772"/>
      <w:bookmarkEnd w:id="1692"/>
    </w:p>
    <w:p w14:paraId="116B562F" w14:textId="22435D5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2.12.3.4.1.Recursos del situado fiscal y de la participación de los municipios en los ingresos corrientes de la Nación. Para la distribución de los recursos correspondientes al situado fiscal y a la participación de los municipios en los ingresos corrientes de la Nación a que se refieren los numerales 1 y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que se hayan causado a favor del Fondo Nacional de Pensiones de las Entidades Territoriales (Fonpet), durante los años 2000 y 2001, se aplicará la distribución que se realizó para cada uno de dichos conceptos por parte del Departamento Nacional de Planeación para cada uno de estos años. Los recursos se trasladarán al Fonpet y se abonarán en las cuentas de las entidades territoriales, una vez se efectúen las operaciones presupuestales a que haya lugar.  </w:t>
      </w:r>
    </w:p>
    <w:p w14:paraId="2E8F10AD" w14:textId="04DB94D1"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93" w:name="ver_30103773"/>
      <w:bookmarkEnd w:id="1693"/>
    </w:p>
    <w:p w14:paraId="417F80A8" w14:textId="7872725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2.12.3.4.2. Otros recursos. Los recursos previstos en los numerales 5, 6, y 11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se distribuirán en la forma prevista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2.12.3.4.1.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de acuerdo al periodo anual al cual correspondan. La transferencia de estos recursos al Fonpet se llevará a cabo en los plazos señalados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previo cumplimiento de los trámites presupuestales respectivos y de los requisitos señalados en el parágrafo tercero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w:t>
      </w:r>
    </w:p>
    <w:p w14:paraId="537795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B43135" w14:textId="45E6D71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a los que se refiere el numeral 10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que se hubieran causado con anterioridad a la vigencia de la Ley 643 de 2001 se distribuirán en la forma prevista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2.12.3.4.1.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74D0916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67CDE8" w14:textId="12280A1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a los que se refiere el numeral 10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que se hubieren causado con posterioridad a la entrada en vigencia de la Ley 643 de 2001, se distribuirán en la forma y en la misma medida en que se hagan las distribuciones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40 de la Ley 643 de 2001 y sus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reglamentarios.  </w:t>
      </w:r>
    </w:p>
    <w:p w14:paraId="2579B717" w14:textId="71845517"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94" w:name="ver_30103774"/>
      <w:bookmarkEnd w:id="1694"/>
    </w:p>
    <w:p w14:paraId="4971C4F2" w14:textId="1E80495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2.12.3.4.3.Inversión en títulos que tengan por finalidad la financiación de vivienda. De conformidad con el numeral 7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7° de la Ley 549 de 1999, el Fondo Nacional de Pensiones de las Entidades Territoriales (Fonpet), invertirá hasta el treinta por ciento (30%) de los recursos que administra en los bonos y títulos de que tratan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9° y 12 de la Ley 546 de 1999, cuyos emisores u originadores sean establecimientos de crédito.  </w:t>
      </w:r>
    </w:p>
    <w:p w14:paraId="664FBC62" w14:textId="24E084EB" w:rsidR="0069137C"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53977F" w14:textId="442F515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2.12.3.4.4.Ingresos corrientes de libre destinación de los departamentos. Para los efectos del numeral 9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se entiende por ingresos corrientes de libre destinación de los departamentos todos los ingresos corrientes de los departamentos o la porción de los mismos que no hayan sido asignados por la Constitución, la ley o las ordenanzas departamentales a una finalidad específica antes de la entrada en vigencia de la Ley 549 de 1999.  </w:t>
      </w:r>
    </w:p>
    <w:p w14:paraId="7D0F2C21" w14:textId="0AAE41F7"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bookmarkStart w:id="1695" w:name="ver_30103776"/>
      <w:bookmarkEnd w:id="1695"/>
    </w:p>
    <w:p w14:paraId="4A1CFB01" w14:textId="75B5413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2.12.3.4.5.Traslado de recursos al Fonpet. El traslado de los recursos al Fonpet por parte de la Nación - Ministerio de Hacienda y Crédito Público podrá efectuarse mediante la situación de recursos o la transferencia de títulos valores autorizados a la Dirección General de Crédito Público y del Tesoro Nacional para el manejo de sus excedentes y de los fondos que administra.  </w:t>
      </w:r>
    </w:p>
    <w:p w14:paraId="54D629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03396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abono de recursos en las cuentas de las entidades territoriales consistirá en la contabilización de los mismos en las cuentas que el Fonpet maneje para cada entidad territorial.  </w:t>
      </w:r>
    </w:p>
    <w:p w14:paraId="17910706" w14:textId="35A2393E" w:rsidR="00824604"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96" w:name="ver_30103777"/>
      <w:bookmarkEnd w:id="1696"/>
    </w:p>
    <w:p w14:paraId="66F2D8BC" w14:textId="3FEFF18A" w:rsidR="00404266" w:rsidRPr="00824604" w:rsidRDefault="00824604" w:rsidP="00824604">
      <w:pPr>
        <w:spacing w:after="0" w:line="293" w:lineRule="atLeast"/>
        <w:jc w:val="center"/>
        <w:rPr>
          <w:rFonts w:ascii="Arial" w:eastAsia="Times New Roman" w:hAnsi="Arial" w:cs="Arial"/>
          <w:b/>
          <w:bCs/>
          <w:color w:val="000000"/>
          <w:lang w:eastAsia="es-CO"/>
        </w:rPr>
      </w:pPr>
      <w:r w:rsidRPr="00824604">
        <w:rPr>
          <w:rFonts w:ascii="Arial" w:eastAsia="Times New Roman" w:hAnsi="Arial" w:cs="Arial"/>
          <w:b/>
          <w:bCs/>
          <w:color w:val="000000"/>
          <w:lang w:eastAsia="es-CO"/>
        </w:rPr>
        <w:t>CAPÍTULO 5</w:t>
      </w:r>
    </w:p>
    <w:p w14:paraId="0D718256" w14:textId="17DB04B6" w:rsidR="00404266" w:rsidRPr="00824604" w:rsidRDefault="00824604" w:rsidP="00824604">
      <w:pPr>
        <w:spacing w:after="0" w:line="293" w:lineRule="atLeast"/>
        <w:jc w:val="center"/>
        <w:rPr>
          <w:rFonts w:ascii="Arial" w:eastAsia="Times New Roman" w:hAnsi="Arial" w:cs="Arial"/>
          <w:b/>
          <w:bCs/>
          <w:color w:val="000000"/>
          <w:lang w:eastAsia="es-CO"/>
        </w:rPr>
      </w:pPr>
      <w:r w:rsidRPr="00824604">
        <w:rPr>
          <w:rFonts w:ascii="Arial" w:eastAsia="Times New Roman" w:hAnsi="Arial" w:cs="Arial"/>
          <w:b/>
          <w:bCs/>
          <w:color w:val="000000"/>
          <w:lang w:eastAsia="es-CO"/>
        </w:rPr>
        <w:t>ANTICIPOS PARA PAGO DE MESADAS PENSIONALES ATRASADAS</w:t>
      </w:r>
    </w:p>
    <w:p w14:paraId="1894973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97" w:name="ver_30103778"/>
      <w:bookmarkEnd w:id="1697"/>
    </w:p>
    <w:p w14:paraId="177A95A4" w14:textId="25444E6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2.12.3.5.1.Anticipo para el pago de mesadas atrasadas. De conformidad con el parágrafo 6°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el Gobierno nacional anticipará a los departamentos, distritos y municipios que tengan pendientes de pago mesadas atrasadas al 30 de octubre de 1999, el valor correspondiente para cubrir dicha deuda pensional, descontando el valor del anticipo o del mismo año o en los años subsiguientes de los recursos que deba girar la Nación al Fondo Nacional de Pensiones de las Entidades Territoriales (Fonpet), en la parte que corresponda a la respectiva cuenta de las entidades territoriales, tomando en consideración la destinación de estos recursos.  </w:t>
      </w:r>
    </w:p>
    <w:p w14:paraId="0B1DD251" w14:textId="14E4FCE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55E51E" w14:textId="304E63CD" w:rsidR="00404266" w:rsidRPr="00824604" w:rsidRDefault="00824604" w:rsidP="00824604">
      <w:pPr>
        <w:spacing w:after="0" w:line="254" w:lineRule="atLeast"/>
        <w:jc w:val="center"/>
        <w:rPr>
          <w:rFonts w:ascii="Arial" w:eastAsia="Times New Roman" w:hAnsi="Arial" w:cs="Arial"/>
          <w:b/>
          <w:bCs/>
          <w:color w:val="000000"/>
          <w:lang w:eastAsia="es-CO"/>
        </w:rPr>
      </w:pPr>
      <w:r w:rsidRPr="00824604">
        <w:rPr>
          <w:rFonts w:ascii="Arial" w:eastAsia="Times New Roman" w:hAnsi="Arial" w:cs="Arial"/>
          <w:b/>
          <w:bCs/>
          <w:color w:val="000000"/>
          <w:lang w:eastAsia="es-CO"/>
        </w:rPr>
        <w:t>CAPÍTULO 6</w:t>
      </w:r>
    </w:p>
    <w:p w14:paraId="3C2A412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698" w:name="ver_30103781"/>
      <w:bookmarkEnd w:id="1698"/>
    </w:p>
    <w:p w14:paraId="3C133A48" w14:textId="5BCB4EC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2.12.3.6.1.Requisitos para el abono de recursos nacionales a las cuentas de las entidades territoriales en Fondo Nacional de Pensiones de las Entidades Territoriales, Fonpet. De conformidad con el parágrafo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para que se abonen recursos nacionales distintos a las transferencias constitucionales a las cuentas de las entidades territoriales en el Fondo Nacional de Pensiones de las Entidades Territoriales (Fonpet), será necesario que dichas entidades se encuentren cumpliendo con las normas que rigen el régimen pensional y las obligaciones que impone la Ley 549 de 1999. Esta condición se acreditará de conformidad con el presente capítulo.  </w:t>
      </w:r>
    </w:p>
    <w:p w14:paraId="48AFBB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B1E021" w14:textId="3604344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los efectos del presente capítulo se entiende por recursos nacionales distintos a las transferencias constitucionales los establecidos en los numerales 4, 5, 6 y 11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w:t>
      </w:r>
    </w:p>
    <w:p w14:paraId="5B5DB301" w14:textId="2EE53ED1"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699" w:name="ver_30103780"/>
      <w:bookmarkEnd w:id="1699"/>
    </w:p>
    <w:p w14:paraId="34A91211" w14:textId="5216E64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2.12.3.6.2.Cumplimiento de las normas relativas al régimen pensional. A efectos de verificar el cumplimiento de las normas relativas al régimen pensional por parte de las entidades territoriales, para los fines del parágrafo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las entidades deberán acreditar que se encuentran cumpliendo con los siguientes requisitos:  </w:t>
      </w:r>
    </w:p>
    <w:p w14:paraId="5526F4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8A92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Que los servidores públicos de la entidad se encuentran afiliados al Sistema General de Pensiones.  </w:t>
      </w:r>
    </w:p>
    <w:p w14:paraId="29306D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D318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la entidad no se encuentra en mora en el pago de las cotizaciones correspondientes a los servidores de que trata el numeral anterior.  </w:t>
      </w:r>
    </w:p>
    <w:p w14:paraId="5A65B5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F3D2B9" w14:textId="7BDDB05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acreditación del cumplimiento de los requisitos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realizará anualmente por parte de la entidad territorial, a través de una certificación expedida por su </w:t>
      </w:r>
      <w:r w:rsidRPr="002C1480">
        <w:rPr>
          <w:rFonts w:ascii="Arial" w:eastAsia="Times New Roman" w:hAnsi="Arial" w:cs="Arial"/>
          <w:color w:val="000000"/>
          <w:lang w:eastAsia="es-CO"/>
        </w:rPr>
        <w:lastRenderedPageBreak/>
        <w:t>representante legal, en los formatos que establecerá el Ministerio de Hacienda y Crédito Público. Las certificaciones deberán expedirse con corte a diciembre 31 de cada año, y se presentarán dentro de los dos (2) meses siguientes a esta fecha.  </w:t>
      </w:r>
    </w:p>
    <w:p w14:paraId="46E7C2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1E54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Sin perjuicio de lo anterior, el Ministerio podrá realizar cruces de información aleatorios y selectivos con las administradoras del Sistema General de Pensiones. Si como resultado del cruce se hace necesaria alguna aclaración por parte de la entidad territorial, esta deberá realizarse dentro del mes siguiente al recibo del requerimiento por parte del Ministerio. De no recibirse la aclaración en el plazo mencionado, se entenderá no cumplido el requisito.  </w:t>
      </w:r>
    </w:p>
    <w:p w14:paraId="5AA88A0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C3050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La certificación correspondiente al año 2011 se emitirá dentro de los dos (2) meses siguientes al 3 de octubre de 2012 y servirá de base para la distribución de los recursos provenientes de los aportes de la Nación acumulados y pendientes de distribución hasta el año 2011. Las certificaciones recibidas por el Ministerio de Hacienda con anterioridad al 3 de octubre de 2012, que cumplan con las condiciones previstas en el mismo, se considerarán válidamente expedidas.  </w:t>
      </w:r>
    </w:p>
    <w:p w14:paraId="45180469" w14:textId="7FE3897A"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0" w:name="ver_30103782"/>
      <w:bookmarkEnd w:id="1700"/>
    </w:p>
    <w:p w14:paraId="456E0D21" w14:textId="3269A03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2.12.3.6.3.Cumplimiento de la Ley 549 de 1999. A efectos de establecer el cumplimiento de la Ley 549 de 1999 por parte de las entidades territoriales, el Ministerio de Hacienda y Crédito Público verificará las siguientes condiciones:  </w:t>
      </w:r>
    </w:p>
    <w:p w14:paraId="29FA94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2ACF25" w14:textId="1939488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Que la entidad haya realizado los aportes a su cargo en el Fonpet,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Esta verificación se realizará con corte a 31 de diciembre de cada año, con base en los informes de recaudo y cartera elaborados periódicamente por las entidades administradoras de recursos del Fonpet.  </w:t>
      </w:r>
    </w:p>
    <w:p w14:paraId="3E5976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122EEF" w14:textId="1FC7EE8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Que la entidad haya cumplido con la obligación de suministrar la información requerida por el Ministerio de Hacienda y Crédito Público para la elaboración de los cálculos actuariales, de conformidad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 de la Ley 549 de 1999. Esta verificación se realizará semestralmente con corte a junio 30 y diciembre 31 de cada año, teniendo en cuenta las condiciones de avance en la calidad de la información que establezca el Ministerio de Hacienda y Crédito Público.  </w:t>
      </w:r>
    </w:p>
    <w:p w14:paraId="199F3D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D024858" w14:textId="5A2C03C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verificación del cumplimiento de los requisitos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que se realizará con corte a 31 de diciembre de 2011, servirá de base para la distribución de los recursos acumulados y pendientes de distribución a diciembre 31 de 2011.  </w:t>
      </w:r>
    </w:p>
    <w:p w14:paraId="22FD0AC4" w14:textId="5D7E2E27" w:rsidR="000B1928"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006A92" w14:textId="7E91307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2.12.3.6.4.Efectos de los acuerdos de reestructuración o de pagos. Cuando quiera que se celebren acuerdos de reestructuración en desarrollo de la Ley 550 de 1999 a partir de la suscripción de dichos acuerdos y en tanto los mismos se cumplan en las oportunidades en ellos previstas se considerará que la entidad no se encuentra en mora respecto de dichas obligaciones y por ello, siempre que se cumplan las demás obligaciones, la entidad tendrá derecho a que a partir de la fecha de suscripción del acuerdo se le abonen recursos nacionales en la forma establecida en la ley. La entidad que haya celebrado acuerdos de pago o de reestructuración no tendrá derecho a que se le abonen recursos nacionales que correspondan a los períodos en que hubiera estado en mora, con anterioridad a los acuerdos de pago o de reestructuración.  </w:t>
      </w:r>
    </w:p>
    <w:p w14:paraId="630534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BE43C4" w14:textId="200D82D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En desarrollo de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41 de la Ley 550 de 1999, como parte de la normalización del pasivo pensional, en los acuerdos de reestructuración deberá contemplarse </w:t>
      </w:r>
      <w:r w:rsidRPr="002C1480">
        <w:rPr>
          <w:rFonts w:ascii="Arial" w:eastAsia="Times New Roman" w:hAnsi="Arial" w:cs="Arial"/>
          <w:color w:val="000000"/>
          <w:lang w:eastAsia="es-CO"/>
        </w:rPr>
        <w:lastRenderedPageBreak/>
        <w:t>expresamente la forma y las condiciones como se pagará la deuda pendiente con el Fonpet, tanto por capital como por intereses.  </w:t>
      </w:r>
    </w:p>
    <w:p w14:paraId="15F8E2F8" w14:textId="0DA57F94"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1" w:name="ver_30103784"/>
      <w:bookmarkEnd w:id="1701"/>
    </w:p>
    <w:p w14:paraId="0827F0AE" w14:textId="3FC066E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2.12.3.6.5.Abono a las cuentas de las entidades territoriales. Una vez recibida la certificación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2.12.3.6.2., y verificado el cumplimiento de las condiciones establecidas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2.12.3.6.3., el Ministerio de Hacienda y Crédito Público procederá a autorizar a las entidades administradoras del Fonpet para que realicen el abono de los recursos nacionales a las cuentas de las entidades territoriales.  </w:t>
      </w:r>
    </w:p>
    <w:p w14:paraId="7F48F9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9CAA9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el Ministerio de Hacienda y Crédito Público llegare a verificar que alguna de las declaraciones contenidas en la certificación no se ajusta a la realidad, los recursos que se hubieren abonado en la cuenta de la entidad territorial serán redistribuidos entre las demás entidades territoriales, sin que esta redistribución constituya un nuevo acto de ejecución presupuestal.  </w:t>
      </w:r>
    </w:p>
    <w:p w14:paraId="475CA6B6" w14:textId="030F9598" w:rsidR="000B1928"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2" w:name="ver_30103785"/>
      <w:bookmarkEnd w:id="1702"/>
    </w:p>
    <w:p w14:paraId="129C3CD4" w14:textId="33695BAC" w:rsidR="00404266" w:rsidRPr="000B1928" w:rsidRDefault="000B1928" w:rsidP="000B1928">
      <w:pPr>
        <w:spacing w:after="0" w:line="293"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CAPÍTULO 7</w:t>
      </w:r>
    </w:p>
    <w:p w14:paraId="0ED654C1" w14:textId="07EAAC68" w:rsidR="00404266" w:rsidRDefault="000B1928" w:rsidP="000B1928">
      <w:pPr>
        <w:spacing w:after="0" w:line="293"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DESTINACIÓN RECURSOS DEL SISTEMA GENERAL DE REGALÍAS CON DESTINO AL FONPET</w:t>
      </w:r>
    </w:p>
    <w:p w14:paraId="50E4D07F" w14:textId="77777777" w:rsidR="00253DDA" w:rsidRPr="000B1928" w:rsidRDefault="00253DDA" w:rsidP="000B1928">
      <w:pPr>
        <w:spacing w:after="0" w:line="293" w:lineRule="atLeast"/>
        <w:jc w:val="center"/>
        <w:rPr>
          <w:rFonts w:ascii="Arial" w:eastAsia="Times New Roman" w:hAnsi="Arial" w:cs="Arial"/>
          <w:b/>
          <w:bCs/>
          <w:color w:val="000000"/>
          <w:lang w:eastAsia="es-CO"/>
        </w:rPr>
      </w:pPr>
    </w:p>
    <w:p w14:paraId="2D68FE10" w14:textId="1A1DC6C6" w:rsidR="00404266" w:rsidRPr="002C1480" w:rsidRDefault="002C1480" w:rsidP="00C32F85">
      <w:pPr>
        <w:spacing w:after="0" w:line="254" w:lineRule="atLeast"/>
        <w:jc w:val="both"/>
        <w:rPr>
          <w:rFonts w:ascii="Arial" w:eastAsia="Times New Roman" w:hAnsi="Arial" w:cs="Arial"/>
          <w:color w:val="000000"/>
          <w:lang w:eastAsia="es-CO"/>
        </w:rPr>
      </w:pPr>
      <w:bookmarkStart w:id="1703" w:name="ver_30103786"/>
      <w:bookmarkEnd w:id="1703"/>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2.12.3.7.1. Recursos del Sistema General de Regalías. Las entidades que hayan alcanzado el cubrimiento del pasivo pensional en el Sector Propósito General del Fonpet, conforme a lo establecido en el Capítulo 16 del presente Título y en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podrán destinar los recursos del Sistema General de Regalías acumulados en el Fondo, con corte a diciembre 31 de la vigencia inmediatamente anterior, para:  </w:t>
      </w:r>
    </w:p>
    <w:p w14:paraId="2FE77AA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589C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Financiar el valor de las mesadas pensionales, teniendo en cuenta lo establecido en el presente título respecto al pago de obligaciones pensionales corrientes.  </w:t>
      </w:r>
    </w:p>
    <w:p w14:paraId="0872FA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F0420E" w14:textId="1A0819F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Financiar los patrimonios autónomos de que trata el parágrafo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 la Ley 1744 de 2014, o la norma que haga sus veces, dirigidos a atender compromisos pensionales relacionados con los pasivos pensionales registrados en el Fonpet, en este caso hasta por el monto de los recursos que exceden el cubrimiento del pasivo pensional.  </w:t>
      </w:r>
    </w:p>
    <w:p w14:paraId="4CDF6ED9" w14:textId="319A062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21C62C" w14:textId="490B2AEA" w:rsidR="00404266" w:rsidRPr="000B1928" w:rsidRDefault="000B1928" w:rsidP="000B1928">
      <w:pPr>
        <w:spacing w:after="0" w:line="293" w:lineRule="atLeast"/>
        <w:jc w:val="center"/>
        <w:rPr>
          <w:rFonts w:ascii="Arial" w:eastAsia="Times New Roman" w:hAnsi="Arial" w:cs="Arial"/>
          <w:b/>
          <w:bCs/>
          <w:color w:val="000000"/>
          <w:lang w:eastAsia="es-CO"/>
        </w:rPr>
      </w:pPr>
      <w:bookmarkStart w:id="1704" w:name="ver_30103787"/>
      <w:bookmarkEnd w:id="1704"/>
      <w:r w:rsidRPr="000B1928">
        <w:rPr>
          <w:rFonts w:ascii="Arial" w:eastAsia="Times New Roman" w:hAnsi="Arial" w:cs="Arial"/>
          <w:b/>
          <w:bCs/>
          <w:color w:val="000000"/>
          <w:lang w:eastAsia="es-CO"/>
        </w:rPr>
        <w:t>CAPÍTULO 8</w:t>
      </w:r>
    </w:p>
    <w:p w14:paraId="1CBC5556" w14:textId="0484E49D" w:rsidR="00404266" w:rsidRPr="000B1928" w:rsidRDefault="000B1928" w:rsidP="000B1928">
      <w:pPr>
        <w:spacing w:after="0" w:line="293"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SALDO EN CUENTA Y RETIRO DE RECURSOS</w:t>
      </w:r>
    </w:p>
    <w:p w14:paraId="0022856F" w14:textId="1CB8C774" w:rsidR="00404266" w:rsidRPr="000B1928" w:rsidRDefault="000B1928" w:rsidP="000B1928">
      <w:pPr>
        <w:spacing w:after="0" w:line="293"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SECCIÓN 1</w:t>
      </w:r>
    </w:p>
    <w:p w14:paraId="4765A7D9" w14:textId="5195A3F6" w:rsidR="00404266" w:rsidRDefault="000B1928" w:rsidP="000B1928">
      <w:pPr>
        <w:spacing w:after="0" w:line="293"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SALDO EN CUENTA</w:t>
      </w:r>
    </w:p>
    <w:p w14:paraId="6C96B5A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05" w:name="ver_30103788"/>
      <w:bookmarkEnd w:id="1705"/>
    </w:p>
    <w:p w14:paraId="6CC4EF9C" w14:textId="1956AAE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2.12.3.8.1.1.Saldo en cuenta de la entidad territorial en el Fonpet. Para la determinación del saldo en cuenta de la entidad territorial que sirve de base para el cálculo de los recursos disponibles para el retiro de recursos del Fondo de Pensiones de las Entidades Territoriales (Fonpet),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 de la Ley 549 de 1999 y 51 de la Ley 863 de 2003, se tendrá en cuenta el siguiente procedimiento:  </w:t>
      </w:r>
    </w:p>
    <w:p w14:paraId="5A2929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257C3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saldo en cuenta será igual al valor acumulado de los recursos en la cuenta individual de la entidad territorial en el Fonpet, teniendo como fecha de corte el 31 de diciembre del año inmediatamente anterior, incluyendo los saldos en cuenta independientes relacionados en el siguiente inciso.  </w:t>
      </w:r>
    </w:p>
    <w:p w14:paraId="511B9E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ACCC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Teniendo en cuenta que los sectores de salud y educación tienen asignados recursos de destinación específica, se calcularán saldos en cuenta independientes para dichos sectores. Los recursos no afectos a los anteriores sectores se denominarán “recursos de propósito general”, los cuales podrán utilizarse cuando los recursos de los sectores de salud y educación no sean suficientes para atender sus pasivos pensionales.  </w:t>
      </w:r>
    </w:p>
    <w:p w14:paraId="1F3310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1A8F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saldo en cuenta para retiros se calculará anualmente y será la base para establecer el monto máximo de recursos que una entidad territorial puede retirar anualmente de su cuenta en el Fonpet.  </w:t>
      </w:r>
    </w:p>
    <w:p w14:paraId="638C9EE8" w14:textId="7BC5AB74"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6" w:name="ver_30103789"/>
      <w:bookmarkEnd w:id="1706"/>
    </w:p>
    <w:p w14:paraId="24B92803" w14:textId="08F07AE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2.12.3.8.1.2.Distribución de retiros entre las administradoras. Los retiros de recursos de que trata el presente capítulo se distribuirán entre las administradoras del Fonpet a prorrata de su participación en el total de recursos de capital administrados a la fecha de autorización del desembolso. A partir de la fecha de autorización de la entrega de recursos, las administradoras tendrán un plazo de diez (10) días hábiles para efectuar los desembolsos. Para la asignación de nuevos recursos recaudados entre las administradoras se utilizarán los mecanismos de asignación de recursos previstos en los contratos respectivos.  </w:t>
      </w:r>
    </w:p>
    <w:p w14:paraId="5F14B9E3" w14:textId="1E1073F9"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7" w:name="ver_30103790"/>
      <w:bookmarkEnd w:id="1707"/>
    </w:p>
    <w:p w14:paraId="392C2955" w14:textId="59BA2E8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2.12.3.8.1.3.Contabilización de los retiros. Los retiros de recursos de Fonpet y los reembolsos que deban realizar las entidades territoriales de conformidad con el presente capítulo, se contabilizarán por su valor en unidades del Fonpet a la fecha de retiro.  </w:t>
      </w:r>
    </w:p>
    <w:p w14:paraId="6E3A82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BFE6F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las solicitudes de retiros y las autorizaciones de las mismas se realizarán en pesos.  </w:t>
      </w:r>
    </w:p>
    <w:p w14:paraId="04244392" w14:textId="416620D5"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8" w:name="ver_30103791"/>
      <w:bookmarkEnd w:id="1708"/>
    </w:p>
    <w:p w14:paraId="7E40E3F2" w14:textId="5E312F4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2.12.3.8.1.4.Registro de los pasivos pensionales de las entidades territoriales en el Sistema de Información del Fonpet. Los pasivos pensionales de las entidades territoriales correspondientes a los sectores Salud, Educación y Propósito General, actualizados a 31 de diciembre de la vigencia anterior, deberán ser registrados en el Sistema de Información del Fonpet a más tardar el 31 de mayo de cada vigencia. A partir de esta fecha, se podrá determinar los recursos excedentes por Sector para cada entidad territorial.  </w:t>
      </w:r>
    </w:p>
    <w:p w14:paraId="7716D8DB" w14:textId="758EFABB"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09" w:name="ver_30103792"/>
      <w:bookmarkEnd w:id="1709"/>
    </w:p>
    <w:p w14:paraId="428A4FE8" w14:textId="058922E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2.12.3.8.1.5.Registros contables y presupuestales. La aplicación de los recursos según lo previsto en el presente título, deberá reflejarse en la contabilidad de las entidades territoriales y en sus presupuestos, de acuerdo con los procedimientos establecidos en las normas vigentes.  </w:t>
      </w:r>
    </w:p>
    <w:p w14:paraId="6279B83A" w14:textId="7D28FB6F"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10" w:name="ver_30103793"/>
      <w:bookmarkEnd w:id="1710"/>
    </w:p>
    <w:p w14:paraId="729D7BDC" w14:textId="2938799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2.12.3.8.1.6.Certificación sobre el cumplimiento de la ley. Para el retiro de los recursos de que trata el presente capítulo, las entidades territoriales deberán acreditar ante el Ministerio de Hacienda y Crédito Público-Dirección de Regulación Económica de la Seguridad Social, el cumplimiento de los requisitos establecidos en el Capítulo 6 del presente título, y las normas que lo modifiquen o adicionen.  </w:t>
      </w:r>
    </w:p>
    <w:p w14:paraId="2162FAC3" w14:textId="0ECED892"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11" w:name="ver_30103794"/>
      <w:bookmarkEnd w:id="1711"/>
    </w:p>
    <w:p w14:paraId="6D3ACBCD" w14:textId="05A763C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2.12.3.8.1.7.Sujeción a las apropiaciones presupuestales. La ejecución de estos recursos estará en cabeza de las entidades territoriales, quienes deberán incluir en sus presupuestos las partidas correspondientes para su pago, con sujeción a lo que dispongan las normas que regulan el manejo del Fondo.  </w:t>
      </w:r>
    </w:p>
    <w:p w14:paraId="71C8AA06" w14:textId="77777777" w:rsidR="00253DDA"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12" w:name="ver_30103795"/>
      <w:bookmarkEnd w:id="1712"/>
    </w:p>
    <w:p w14:paraId="7B0F4D8E" w14:textId="7D7AF9A8" w:rsidR="00404266" w:rsidRPr="000B1928" w:rsidRDefault="00404266" w:rsidP="00253DDA">
      <w:pPr>
        <w:spacing w:after="0" w:line="254"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SECCIÓN 2</w:t>
      </w:r>
    </w:p>
    <w:p w14:paraId="151F38B3" w14:textId="6060D900" w:rsidR="00404266" w:rsidRDefault="00404266" w:rsidP="000B1928">
      <w:pPr>
        <w:spacing w:after="0" w:line="293" w:lineRule="atLeast"/>
        <w:jc w:val="center"/>
        <w:rPr>
          <w:rFonts w:ascii="Arial" w:eastAsia="Times New Roman" w:hAnsi="Arial" w:cs="Arial"/>
          <w:b/>
          <w:bCs/>
          <w:color w:val="000000"/>
          <w:lang w:eastAsia="es-CO"/>
        </w:rPr>
      </w:pPr>
      <w:r w:rsidRPr="000B1928">
        <w:rPr>
          <w:rFonts w:ascii="Arial" w:eastAsia="Times New Roman" w:hAnsi="Arial" w:cs="Arial"/>
          <w:b/>
          <w:bCs/>
          <w:color w:val="000000"/>
          <w:lang w:eastAsia="es-CO"/>
        </w:rPr>
        <w:t>AUTORIZACIÓN PARA EL RETIRO DE RECURSOS</w:t>
      </w:r>
    </w:p>
    <w:p w14:paraId="7E71BEB9" w14:textId="77777777" w:rsidR="00EA252E" w:rsidRPr="000B1928" w:rsidRDefault="00EA252E" w:rsidP="000B1928">
      <w:pPr>
        <w:spacing w:after="0" w:line="293" w:lineRule="atLeast"/>
        <w:jc w:val="center"/>
        <w:rPr>
          <w:rFonts w:ascii="Arial" w:eastAsia="Times New Roman" w:hAnsi="Arial" w:cs="Arial"/>
          <w:b/>
          <w:bCs/>
          <w:color w:val="000000"/>
          <w:lang w:eastAsia="es-CO"/>
        </w:rPr>
      </w:pPr>
    </w:p>
    <w:p w14:paraId="47C94E8B" w14:textId="5C70DEAE" w:rsidR="00404266" w:rsidRPr="002C1480" w:rsidRDefault="002C1480" w:rsidP="00C32F85">
      <w:pPr>
        <w:spacing w:after="0" w:line="254" w:lineRule="atLeast"/>
        <w:jc w:val="both"/>
        <w:rPr>
          <w:rFonts w:ascii="Arial" w:eastAsia="Times New Roman" w:hAnsi="Arial" w:cs="Arial"/>
          <w:color w:val="000000"/>
          <w:lang w:eastAsia="es-CO"/>
        </w:rPr>
      </w:pPr>
      <w:bookmarkStart w:id="1713" w:name="ver_30103796"/>
      <w:bookmarkEnd w:id="1713"/>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2.12.3.8.2.1.Solicitud de la entidad territorial. Para efectos de la autorización de los retiros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 de la Ley 549 de 1999, la entidad territorial deberá presentar una solicitud escrita al Ministerio de Hacienda y Crédito Público - Dirección de Regulación Económica de la Seguridad Social. La solicitud deberá contener el monto del retiro solicitado, descripción de los activos que se entregarán a cambio de los recursos y su correspondiente avalúo, así como del esquema del negocio fiduciario que se propone para su administración y venta.  </w:t>
      </w:r>
    </w:p>
    <w:p w14:paraId="10D714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496C5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 Dirección de Regulación Económica de la Seguridad Social, evaluará la solicitud presentada por la entidad territorial y solicitará las aclaraciones e información adicional que considere pertinentes.  </w:t>
      </w:r>
    </w:p>
    <w:p w14:paraId="0DF036C8" w14:textId="6C51CD37"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14" w:name="ver_30103797"/>
      <w:bookmarkEnd w:id="1714"/>
    </w:p>
    <w:p w14:paraId="53725A77" w14:textId="2AF3054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2.12.3.8.2.2.Parámetros para la autorización de retiros. De conformidad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 de la Ley 549 de 1999, el Comité Directivo de Fonpet podrá autorizar que se entregue a las entidades territoriales un monto de recursos líquidos no superior al treinta por ciento (30%) del saldo de la cuenta de la entidad, con destino al pago de las obligaciones pensionales, proveniente de las fuentes de recursos previstas en los numerales 1, 2, 3, 8, 9 y 11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de acuerdo con los siguientes parámetros:  </w:t>
      </w:r>
    </w:p>
    <w:p w14:paraId="65056F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A007B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SIF, suministrará anualmente, de acuerdo con los últimos estados financieros de Fonpet que hubiere aprobado el Comité Directivo, el saldo en cuenta para efectos de retiros, de conformidad con lo previsto en el presente capítulo.  </w:t>
      </w:r>
    </w:p>
    <w:p w14:paraId="42558A7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ADE8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activos admisibles para efectos de la operación deberán ser activos fijos, que tengan el carácter de bienes fiscales fácilmente realizables. Los activos deberán estar libres de gravámenes o cualquier limitación de dominio. Para el efecto, a la solicitud se acompañará la copia del acuerdo u ordenanza que autoriza la enajenación.  </w:t>
      </w:r>
    </w:p>
    <w:p w14:paraId="38CC88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8D873D" w14:textId="3F08EEC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El Ministerio de Hacienda y Crédito Público - Dirección de Regulación Económica de la Seguridad Social, verificará el cumplimiento de los requisitos de que tratan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2.12.3.6.2. y 2.12.3.6.3.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presentará la solicitud para trámite ante el Comité Directivo, con una recomendación técnica sobre la viabilidad de la operación. Para efectos de la recomendación, el Ministerio tendrá en cuenta además el cumplimiento de la entidad territorial en las metas de desempeño fiscal establecidas en la Ley 617 de 2000.  </w:t>
      </w:r>
    </w:p>
    <w:p w14:paraId="658A016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65C3B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autorizaciones de retiros se presentarán al Comité Directivo para su aprobación en el mismo orden en que se acredite el cumplimiento de los requisitos de que trata el presente capítulo. Las solicitudes aprobadas por el Comité Directivo se desembolsarán respetando el mismo orden.  </w:t>
      </w:r>
    </w:p>
    <w:p w14:paraId="2D12D6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CBC4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Para la aprobación de los retiros será necesario el voto favorable del Ministro de Hacienda y Crédito Público o su delegado en el Comité Directivo del Fonpet.  </w:t>
      </w:r>
    </w:p>
    <w:p w14:paraId="35250DA9" w14:textId="66019B33" w:rsidR="00404266" w:rsidRPr="002C1480" w:rsidRDefault="00404266" w:rsidP="000B1928">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15" w:name="ver_30103798"/>
      <w:bookmarkEnd w:id="1715"/>
    </w:p>
    <w:p w14:paraId="6989DE37" w14:textId="5D82DD9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2.12.3.8.2.3.Valor de los activos. Los activos serán recibidos por su valor de mercado, el cual se establecerá de acuerdo con avalúos emitidos según las disposiciones legales aplicables. En ningún caso el valor de mercado de los activos podrá ser superior al valor en libros registrado en la contabilidad de la entidad territorial para la vigencia inmediatamente anterior. El valor de mercado de los activos recibidos deberá revisarse anualmente por parte de la entidad territorial y dicha revisión deberá ser comunicada al Fonpet por la entidad administradora de los activos.  </w:t>
      </w:r>
    </w:p>
    <w:p w14:paraId="691ECB4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6A5B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cualquier evento en que el valor de mercado de los activos sea inferior a aquel por el cual se recibieron, la entidad territorial deberá iniciar las gestiones presupuestales para aportar la </w:t>
      </w:r>
      <w:r w:rsidRPr="002C1480">
        <w:rPr>
          <w:rFonts w:ascii="Arial" w:eastAsia="Times New Roman" w:hAnsi="Arial" w:cs="Arial"/>
          <w:color w:val="000000"/>
          <w:lang w:eastAsia="es-CO"/>
        </w:rPr>
        <w:lastRenderedPageBreak/>
        <w:t>diferencia en la vigencia fiscal siguiente, de tal manera que los recursos cubran el valor del pasivo pensional, de acuerdo con el cálculo actuarial. El incumplimiento de la entidad territorial en su obligación de aportar la diferencia, de acuerdo con el inciso anterior, implicará el incumplimiento de la Ley 549 de 1999 para todos los efectos previstos en las disposiciones vigentes.  </w:t>
      </w:r>
    </w:p>
    <w:p w14:paraId="544C15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D16534" w14:textId="2A09131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liquidez de los activos deberá ser garantizada por la entidad territorial mediante la pignoración de rentas de su propiedad, la cual deberá constar en el contrato de encargo fiduciario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2.12.3.8.2.4. Dicha pignoración deberá cubrir además la diferencia resultante del menor valor de los activos de que trata el inciso anterior.  </w:t>
      </w:r>
    </w:p>
    <w:p w14:paraId="07DCF492" w14:textId="791F3EA4"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16" w:name="ver_30103799"/>
      <w:bookmarkEnd w:id="1716"/>
    </w:p>
    <w:p w14:paraId="429F4601" w14:textId="6CAEBB5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2.12.3.8.2.4.</w:t>
      </w:r>
      <w:r w:rsidR="00EA252E">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Constitución de encargo fiduciario. Una vez autorizado el retiro de recursos por el Comité Directivo de Fonpet, y en todo caso como condición previa al desembolso, la entidad territorial deberá constituir un encargo fiduciario en favor de Fonpet, en entidades legalmente autorizadas para este efecto. Para estos efectos, el plazo de treinta (30) días se contará a partir de la entrega del contrato de encargo fiduciario, debidamente legalizado, al Ministerio de Hacienda y Crédito Público -Dirección de Regulación Económica de la Seguridad Social.  </w:t>
      </w:r>
    </w:p>
    <w:p w14:paraId="734D5A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8FD4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Sin perjuicio de las autorizaciones requeridas legalmente para la celebración de este tipo de contratos, la entidad territorial deberá prever de manera expresa los recursos necesarios para atender los gastos que demande el negocio fiduciario.  </w:t>
      </w:r>
    </w:p>
    <w:p w14:paraId="1DE4DA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A8DCD3" w14:textId="231C698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efectos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 de la Ley 549 de 1999, se entiende que se requiere la enajenación de los activos si dentro de los dos (2) años siguientes al desembolso de los recursos la entidad territorial no ha restituido al Fonpet el valor de los recursos entregados de acuerdo con este capítulo, actualizados con la rentabilidad promedio obtenida por los patrimonios autónomos del Fonpet, para lo cual el contrato de administración que se celebre deberá establecer las previsiones necesarias. Los recursos obtenidos de la enajenación de los activos deberán entregarse a Fonpet ingresarán a la cuenta de la entidad territorial. Si los activos no fueren enajenados dentro de dicho plazo, o el valor de la venta no fuese suficiente para cubrir el valor actualizado de los recursos entregados, la entidad territorial deberá reembolsar al Fonpet el valor actualizado de los recursos o la diferencia resultante, dentro de la vigencia fiscal siguiente, sin perjuicio de la facultad del Ministerio de Hacienda y Crédito Público de hacer efectiva la garantía de liquidez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2.12.3.8.2.3.  </w:t>
      </w:r>
    </w:p>
    <w:p w14:paraId="3C2C8C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08A3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incumplimiento de la entidad territorial en su obligación de reembolsar el valor actualizado de los recursos o la diferencia resultante, de acuerdo con el inciso anterior, implicará el incumplimiento de la Ley 549 de 1999 para todos los efectos previstos en las disposiciones vigentes.  </w:t>
      </w:r>
    </w:p>
    <w:p w14:paraId="2A6349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195D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Corresponderá a la entidad administradora de los activos verificar que la entidad territorial haya obtenido las autorizaciones necesarias para celebrar el contrato y enajenar los activos.  </w:t>
      </w:r>
    </w:p>
    <w:p w14:paraId="11264A56" w14:textId="3B2BEDA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DE0DE5" w14:textId="590B3330" w:rsidR="00404266" w:rsidRPr="002C1480" w:rsidRDefault="002C1480" w:rsidP="00C32F85">
      <w:pPr>
        <w:spacing w:after="0" w:line="254" w:lineRule="atLeast"/>
        <w:jc w:val="both"/>
        <w:rPr>
          <w:rFonts w:ascii="Arial" w:eastAsia="Times New Roman" w:hAnsi="Arial" w:cs="Arial"/>
          <w:color w:val="000000"/>
          <w:lang w:eastAsia="es-CO"/>
        </w:rPr>
      </w:pPr>
      <w:bookmarkStart w:id="1717" w:name="ver_30103800"/>
      <w:bookmarkEnd w:id="1717"/>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2.12.3.8.2.5.Destinación de los retiros. Los recursos cuyo retiro se autoriza de conformidad con la presente sección solamente podrán destinarse al pago de las obligaciones pensionales de la entidad territorial en el sector correspondiente. Sin perjuicio de las sanciones previstas en las normas legales aplicables, la destinación de los recursos a otros fines implica el incumplimiento de la Ley 549 de 1999, para todos los efectos previstos en las disposiciones pertinentes.  </w:t>
      </w:r>
    </w:p>
    <w:p w14:paraId="316C4372" w14:textId="428C581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2.12.3.8.2.6.Utilización de los recursos acumulados en el Sector Salud del Fonpet para financiar Contratos de Concurrencia. Las entidades territoriales que tienen una responsabilidad financiera con el Sector Salud, derivada o que pueda derivar de los Contratos de Concurrencia </w:t>
      </w:r>
      <w:r w:rsidR="00404266" w:rsidRPr="002C1480">
        <w:rPr>
          <w:rFonts w:ascii="Arial" w:eastAsia="Times New Roman" w:hAnsi="Arial" w:cs="Arial"/>
          <w:color w:val="000000"/>
          <w:lang w:eastAsia="es-CO"/>
        </w:rPr>
        <w:lastRenderedPageBreak/>
        <w:t>que se hayan suscrito o se suscriban en virtud de las Leyes 60 de 1993 y 715 de 2001 y las demás normas que las reglamenten, modifiquen o sustituyan, podrán utilizar los recursos acumulados en el Sector Salud del Fonpet para financiar las obligaciones contenidas en los mismos, en los siguientes casos:  </w:t>
      </w:r>
    </w:p>
    <w:p w14:paraId="21642D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B3EE7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Cuando en el Contrato de Concurrencia se incluya como fuente de financiación los recursos acumulados en el Sector Salud del Fonpet para financiar la parte de la concurrencia a su cargo.  </w:t>
      </w:r>
    </w:p>
    <w:p w14:paraId="5741DA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6A40C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 aquellos casos en que la entidad territorial tiene un Contrato de Concurrencia suscrito, pero no ha realizado el pago de la obligación, puede solicitar que se realice un modificatorio al Contrato con el fin de que se incluya como fuente de financiación los recursos acumulados en el Sector Salud del Fonpet.  </w:t>
      </w:r>
    </w:p>
    <w:p w14:paraId="4B438E7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BD87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Para pagar las actualizaciones financieras de los Contratos de Concurrencia que sean susceptibles de ser modificadas a través de un otrosí, que incluyan como fuente de financiación los recursos acumulados en el Sector Salud del Fonpet.  </w:t>
      </w:r>
    </w:p>
    <w:p w14:paraId="770B023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61CAE1" w14:textId="069A84A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En el evento en que aún no se haya suscrito el Contrato de Concurrencia, la entidad territorial podrá solicitar, en la forma que establezca la Dirección General de Regulación Económica de la Seguridad Social del Ministerio de Hacienda y Crédito Público en el instructivo que expida para el efecto, el retiro de los recursos acumulados en el Sector Salud del Fonpet para financiar la parte de la concurrencia que resulte a cargo de la entidad territorial siempre y cuando se realice el respectivo corte de cuentas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242 de la Ley 100 de 1993. Una vez se suscriba el respectivo contrato de concurrencia se tendrán en cuenta los valores pagados por la Entidad Territorial.  </w:t>
      </w:r>
    </w:p>
    <w:p w14:paraId="4EB109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B92143" w14:textId="3C42F84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En aquellos casos en que la Institución Hospitalaria haya asumido con sus propios recursos el pago de obligaciones pensionales que puedan ser financiados a través de los contratos de concurrencia, la entidad territorial podrá solicitar el retiro de los recursos abonados en el Sector Salud del Fonpet para reembolsar a la Institución Hospitalaria lo pagado por este concepto. Sin embargo, previamente deberá realizarse el corte de cuentas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242 de la Ley 100 de 1993, con el fin de determinar el valor que le corresponde abonar a la entidad territorial de acuerdo con su porcentaje de concurrencia.  </w:t>
      </w:r>
    </w:p>
    <w:p w14:paraId="713E10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0A41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Una vez se suscriba el respectivo contrato de concurrencia se tendrán en cuenta los valores pagados por la Entidad Territorial a la Institución Hospitalaria.  </w:t>
      </w:r>
    </w:p>
    <w:p w14:paraId="22E1F52C" w14:textId="3E09CD2B"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54AD3D" w14:textId="45409B31" w:rsidR="00404266" w:rsidRPr="002C1480" w:rsidRDefault="002C1480" w:rsidP="00C32F85">
      <w:pPr>
        <w:spacing w:after="0" w:line="254" w:lineRule="atLeast"/>
        <w:jc w:val="both"/>
        <w:rPr>
          <w:rFonts w:ascii="Arial" w:eastAsia="Times New Roman" w:hAnsi="Arial" w:cs="Arial"/>
          <w:color w:val="000000"/>
          <w:lang w:eastAsia="es-CO"/>
        </w:rPr>
      </w:pPr>
      <w:bookmarkStart w:id="1718" w:name="ver_30103802"/>
      <w:bookmarkEnd w:id="1718"/>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2.12.3.8.2.7.Giro de los recursos acumulados en el Sector Salud del Fonpet, diferentes a los de Lotto en Línea, para financiar Contratos de Concurrencia. El giro de los recursos acumulados en el Sector Salud del Fonpet, diferentes a los de Lotto en Línea, para financiar el valor comprometido por la entidad territorial en los Contratos de Concurrencia, deberá realizarse a los patrimonios autónomos o a los encargos fiduciarios constituidos para administrar los recursos de la concurrencia o a los Fondos Territoriales de Pensiones.  </w:t>
      </w:r>
    </w:p>
    <w:p w14:paraId="1D86F9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25D0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la entidad territorial presentará la solicitud de retiro de los recursos en los formatos establecidos para tal fin por la Dirección General de Regulación Económica de la Seguridad Social del Ministerio de Hacienda y Crédito Público, quien la revisará, y si la encuentra conforme a las normas vigentes, autorizará el giro de los recursos comprometidos con base en el monto de recursos registrados en el Sistema de Información del Fonpet a 31 de diciembre de la vigencia inmediatamente anterior.  </w:t>
      </w:r>
    </w:p>
    <w:p w14:paraId="69487E76" w14:textId="3186F55B"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bookmarkStart w:id="1719" w:name="ver_30103803"/>
      <w:bookmarkEnd w:id="1719"/>
    </w:p>
    <w:p w14:paraId="1D286051" w14:textId="6093D9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2.12.3.8.2.8.Uso de los recursos acumulados en el Sector Salud del Fonpet, diferentes a los de Lotto en Línea, para pagar las otras obligaciones pensionales con el Sector Salud. Las entidades territoriales también podrán financiar con los recursos acumulados en el Sector Salud del Fonpet, diferentes a los de Lotto en Línea, los siguientes pasivos pensionales con el Sector Salud, bajo la condición de que los hayan asumido, o los asuman, como propios:  </w:t>
      </w:r>
    </w:p>
    <w:p w14:paraId="3103C9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442E4A" w14:textId="6A5F5A9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El pasivo pensional con el Sector Salud de aquellas personas que no fueron incluidas dentro de la Certificación de Beneficiarios del extinto Fondo Nacional del Pasivo Prestacional del Sector Salud,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2.12.4.2.7.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47B0CC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AD17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pasivo pensional causado por las Instituciones Hospitalarias desde el 1° de enero de 1994 hasta el 30 de junio de 1995, fecha en que entró a regir el Sistema General de Pensiones en las entidades territoriales.  </w:t>
      </w:r>
    </w:p>
    <w:p w14:paraId="5F6209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1196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demás obligaciones pensionales con el Sector Salud que la entidad territorial haya decidido asumir como propias.  </w:t>
      </w:r>
    </w:p>
    <w:p w14:paraId="70B88A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2A1C61D" w14:textId="2187DA8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estos efectos, la entidad territorial deberá enviar a la Dirección General de Regulación Económica de la Seguridad Social del Ministerio de Hacienda y Crédito Público el acto administrativo de reconocimiento y asunción de las otras obligaciones pensionales con el Sector Salud,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6DEDAF6" w14:textId="49CA3D44"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20" w:name="ver_30103804"/>
      <w:bookmarkEnd w:id="1720"/>
    </w:p>
    <w:p w14:paraId="4E82C76A" w14:textId="13EF115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2.12.3.8.2.9.Cálculo del pasivo pensional de las otras obligaciones pensionales asumidas por las entidades territoriales. Para efectos de realizar el cálculo actuarial del pasivo pensional asumido por las entidades territoriales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2.12.3.8.2.8.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estas deberán registrar la información de las historias laborales de los funcionarios activos, pensionados, beneficiarios y retirados de la Institución o Instituciones Hospitalarias, en el Programa Pasivocol, del Ministerio de Hacienda y Crédito Público.  </w:t>
      </w:r>
    </w:p>
    <w:p w14:paraId="1AAEE845" w14:textId="58EFE1C0"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21" w:name="ver_30103805"/>
      <w:bookmarkEnd w:id="1721"/>
    </w:p>
    <w:p w14:paraId="431158D6" w14:textId="12BBF78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2.12.3.8.2.10.Giro de los recursos acumulados en el Sector Salud del Fonpet, diferentes a los de Lotto en Línea, para pagar las otras obligaciones pensionales con el Sector Salud. El giro de los recursos acumulados en el Sector Salud del Fonpet, diferentes a los de Lotto en Línea, destinados a pagar las otras obligaciones pensionales con el Sector Salud, deberá efectuarse a los patrimonios autónomos o a los encargos fiduciarios constituidos para tal fin, al Fondo Territorial de Pensiones o a una cuenta especial creada con este propósito por la entidad territorial que autoriza el retiro de los recursos del Fonpet.  </w:t>
      </w:r>
    </w:p>
    <w:p w14:paraId="0B89E5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2EB9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la entidad territorial presentará la solicitud de retiro de los recursos a la Dirección General de Regulación Económica de la Seguridad Social del Ministerio de Hacienda y Crédito Público, quien deberá revisarla y si la encuentra conforme a las normas vigentes, autorizará el giro de los recursos comprometidos, con base en el monto de recursos registrados en el Sistema de Información del Fonpet a 31 de diciembre de la vigencia inmediatamente anterior.  </w:t>
      </w:r>
    </w:p>
    <w:p w14:paraId="5C799559" w14:textId="5D671266"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22" w:name="ver_30103806"/>
      <w:bookmarkEnd w:id="1722"/>
    </w:p>
    <w:p w14:paraId="3F635CDC" w14:textId="298DA4C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2.12.3.8.2.11.Traslado de recursos del Sector Propósito General para financiar el pasivo pensional de los Sectores Salud y/o Educación del Fonpet. Una vez registrado el pasivo pensional por sector en el Sistema de Información del Fonpet, las entidades territoriales podrán autorizar el traslado de los recursos del Sector Propósito General a los Sectores Salud y/o </w:t>
      </w:r>
      <w:r w:rsidR="00404266" w:rsidRPr="002C1480">
        <w:rPr>
          <w:rFonts w:ascii="Arial" w:eastAsia="Times New Roman" w:hAnsi="Arial" w:cs="Arial"/>
          <w:color w:val="000000"/>
          <w:lang w:eastAsia="es-CO"/>
        </w:rPr>
        <w:lastRenderedPageBreak/>
        <w:t>Educación del Fonpet, cuando estos últimos no cuenten con los recursos suficientes para atender sus pasivos pensionales.  </w:t>
      </w:r>
    </w:p>
    <w:p w14:paraId="61EE42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794B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traslado de los recursos del Sector Propósito General aplicará únicamente para las entidades territoriales que hayan alcanzado el cubrimiento del pasivo pensional de dicho sector, el cual se realizará con base en el monto de recursos registrados en el Sistema de Información del Fonpet a 31 de diciembre de la vigencia inmediatamente anterior.  </w:t>
      </w:r>
    </w:p>
    <w:p w14:paraId="244D11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95852F" w14:textId="381157E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trasladados podrán ser utilizados por las entidades territoriales durante la misma vigencia en la cual se efectúe el traslado, para el cumplimiento de las obligaciones por concepto del saldo de la deuda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18 de la Ley 715 del 2001, en el caso del Sector Educación, y para el pago del pasivo pensional del Sector Salud, en los términos del presente capítulo.  </w:t>
      </w:r>
    </w:p>
    <w:p w14:paraId="722330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FACDA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Si una vez cubierto el pasivo pensional de los Sectores Salud y Educación, llegaran a presentarse saldos no requeridos de los recursos trasladados provenientes del Sector Propósito General, la Dirección General de Regulación Económica de la Seguridad Social del Ministerio de Hacienda y Crédito Público, realizará por cada entidad territorial el traslado de estos recursos al Sector Propósito General en el Fonpet.  </w:t>
      </w:r>
    </w:p>
    <w:p w14:paraId="69095771" w14:textId="036C94F9" w:rsidR="00404266" w:rsidRPr="002C1480" w:rsidRDefault="00404266" w:rsidP="00253DDA">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23" w:name="ver_30103807"/>
      <w:bookmarkEnd w:id="1723"/>
    </w:p>
    <w:p w14:paraId="266C7952" w14:textId="43AA8F7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2.12.3.8.2.12.Giro de recursos del Fonpet para el pago de obligaciones pensionales corrientes. La Dirección General de Regulación Económica de la Seguridad Social del Ministerio de Hacienda y Crédito Público, determinará el monto de recursos que puede retirar la entidad territorial del Fonpet para financiar el pago de obligaciones pensionales corrientes del Sector Propósito General, teniendo en cuenta el monto de recursos disponibles en el Fondo, el valor presupuestado para pagar la nómina de pensionados durante la actual vigencia o el valor efectivamente pagado por este concepto durante la vigencia inmediatamente anterior.  </w:t>
      </w:r>
    </w:p>
    <w:p w14:paraId="2A770E8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749B9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Fonpet deberá efectuar el giro de estos recursos al Fondo Territorial de Pensiones, al patrimonio autónomo o encargo fiduciario constituidos, o a la cuenta especial establecida por la entidad territorial para el pago de obligaciones pensionales, de acuerdo con la certificación que el representante legal de la entidad territorial presente a la Dirección General de Regulación Económica de la Seguridad Social, dentro de los tres primeros meses de cada vigencia.  </w:t>
      </w:r>
    </w:p>
    <w:p w14:paraId="46C3ECFE" w14:textId="2BCC7800" w:rsidR="00CA2D72" w:rsidRDefault="00404266" w:rsidP="00717AAC">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24" w:name="ver_30103808"/>
      <w:bookmarkEnd w:id="1724"/>
    </w:p>
    <w:p w14:paraId="33715502" w14:textId="41431D32" w:rsidR="00404266" w:rsidRPr="00CA2D72" w:rsidRDefault="00404266"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SECCIÓN 3</w:t>
      </w:r>
    </w:p>
    <w:p w14:paraId="1DD70133" w14:textId="77777777" w:rsidR="00404266" w:rsidRPr="00CA2D72" w:rsidRDefault="00404266"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OBLIGACIÓN DE CUBRIMIENTO DEL PASIVO PENSIONAL</w:t>
      </w:r>
    </w:p>
    <w:p w14:paraId="610D620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25" w:name="ver_30103809"/>
      <w:bookmarkEnd w:id="1725"/>
    </w:p>
    <w:p w14:paraId="59760832" w14:textId="5761607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2.12.3.8.3.1.Cubrimiento del pasivo pensional. Teniendo en cuenta la obligación de cobertura integral del pasivo pensional prevista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 de la Ley 549 de 1999, para efectos de establecer el cubrimiento del ciento por ciento (100%) del pasivo pensional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6º de la misma ley, se calculará, en términos porcentuales, la proporción existente entre las reservas y los pasivos de las entidades territoriales y sus descentralizadas así:  </w:t>
      </w:r>
    </w:p>
    <w:p w14:paraId="12ED028E" w14:textId="77777777" w:rsidR="00CA2D72" w:rsidRDefault="00CA2D72" w:rsidP="00C32F85">
      <w:pPr>
        <w:spacing w:after="0" w:line="254" w:lineRule="atLeast"/>
        <w:jc w:val="both"/>
        <w:rPr>
          <w:rFonts w:ascii="Arial" w:eastAsia="Times New Roman" w:hAnsi="Arial" w:cs="Arial"/>
          <w:color w:val="000000"/>
          <w:lang w:eastAsia="es-CO"/>
        </w:rPr>
      </w:pPr>
    </w:p>
    <w:p w14:paraId="202550B7" w14:textId="4F4E891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reservas serán el resultado de sumar:  </w:t>
      </w:r>
    </w:p>
    <w:p w14:paraId="5A41EA0E" w14:textId="77777777" w:rsidR="00CA2D72" w:rsidRDefault="00CA2D72" w:rsidP="00C32F85">
      <w:pPr>
        <w:spacing w:after="0" w:line="254" w:lineRule="atLeast"/>
        <w:jc w:val="both"/>
        <w:rPr>
          <w:rFonts w:ascii="Arial" w:eastAsia="Times New Roman" w:hAnsi="Arial" w:cs="Arial"/>
          <w:color w:val="000000"/>
          <w:lang w:eastAsia="es-CO"/>
        </w:rPr>
      </w:pPr>
    </w:p>
    <w:p w14:paraId="52963B32" w14:textId="2987CFF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Los recursos de la cuenta en Fonpet de la entidad territorial.  </w:t>
      </w:r>
    </w:p>
    <w:p w14:paraId="477CBDB5" w14:textId="77777777" w:rsidR="00CA2D72" w:rsidRDefault="00CA2D72" w:rsidP="00C32F85">
      <w:pPr>
        <w:spacing w:after="0" w:line="254" w:lineRule="atLeast"/>
        <w:jc w:val="both"/>
        <w:rPr>
          <w:rFonts w:ascii="Arial" w:eastAsia="Times New Roman" w:hAnsi="Arial" w:cs="Arial"/>
          <w:color w:val="000000"/>
          <w:lang w:eastAsia="es-CO"/>
        </w:rPr>
      </w:pPr>
    </w:p>
    <w:p w14:paraId="6869C846" w14:textId="2DBD053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Los recursos existentes en los fondos de pensiones territoriales.  </w:t>
      </w:r>
    </w:p>
    <w:p w14:paraId="213E283B" w14:textId="77777777" w:rsidR="00CA2D72" w:rsidRDefault="00CA2D72" w:rsidP="00C32F85">
      <w:pPr>
        <w:spacing w:after="0" w:line="254" w:lineRule="atLeast"/>
        <w:jc w:val="both"/>
        <w:rPr>
          <w:rFonts w:ascii="Arial" w:eastAsia="Times New Roman" w:hAnsi="Arial" w:cs="Arial"/>
          <w:color w:val="000000"/>
          <w:lang w:eastAsia="es-CO"/>
        </w:rPr>
      </w:pPr>
    </w:p>
    <w:p w14:paraId="3D3520D6" w14:textId="689A2E4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1.3. Los recursos existentes en los patrimonios autónomos de garantía o patrimonios autónomos pensionales constituidos por la entidad territorial de conformidad con el Capítulo 3 sobre Patrimonios Autónomos o Encargo Fiduciarios, Título 9, y con lo estipulado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2.2.8.8.20 al 2.2.8.8.38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1833 de 2016.  </w:t>
      </w:r>
    </w:p>
    <w:p w14:paraId="7DED771C"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3A3991CD" w14:textId="39BCA718"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1.4. Los recursos existentes en los patrimonios autónomos de garantía o patrimonios autónomos pensionales constituidos por las entidades descentralizadas de conformidad con el Capítulo 3 sobre Patrimonios Autónomos o Encargo Fiduciarios, Título 9, y con lo estipulado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2.2.8.8.20 al 2.2.8.8.38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1833 de 2016.  </w:t>
      </w:r>
    </w:p>
    <w:p w14:paraId="15630668"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4D9B3A1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Los demás activos liquidables destinados de manera específica por las entidades descentralizadas para respaldar el pago de sus obligaciones pensionales.  </w:t>
      </w:r>
    </w:p>
    <w:p w14:paraId="570F7AC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pasivos serán el resultado de sumar:  </w:t>
      </w:r>
    </w:p>
    <w:p w14:paraId="4269E31C" w14:textId="77777777" w:rsidR="00CA2D72" w:rsidRDefault="00CA2D72" w:rsidP="00C32F85">
      <w:pPr>
        <w:spacing w:after="0" w:line="254" w:lineRule="atLeast"/>
        <w:jc w:val="both"/>
        <w:rPr>
          <w:rFonts w:ascii="Arial" w:eastAsia="Times New Roman" w:hAnsi="Arial" w:cs="Arial"/>
          <w:color w:val="000000"/>
          <w:lang w:eastAsia="es-CO"/>
        </w:rPr>
      </w:pPr>
    </w:p>
    <w:p w14:paraId="07E65E58" w14:textId="5BA0C9C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 Las obligaciones compuestas por los bonos pensionales, el valor correspondiente a las reservas matemáticas de pensiones y las cuotas partes de bonos y de pensiones de la entidad territorial de conformidad con el respectivo cálculo actuarial.  </w:t>
      </w:r>
    </w:p>
    <w:p w14:paraId="266A9FA5" w14:textId="77777777" w:rsidR="00CA2D72" w:rsidRDefault="00CA2D72" w:rsidP="00C32F85">
      <w:pPr>
        <w:spacing w:after="0" w:line="254" w:lineRule="atLeast"/>
        <w:jc w:val="both"/>
        <w:rPr>
          <w:rFonts w:ascii="Arial" w:eastAsia="Times New Roman" w:hAnsi="Arial" w:cs="Arial"/>
          <w:color w:val="000000"/>
          <w:lang w:eastAsia="es-CO"/>
        </w:rPr>
      </w:pPr>
    </w:p>
    <w:p w14:paraId="2BBE09F8" w14:textId="637B388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2.2. Las obligaciones compuestas por los bonos pensionales, el valor correspondiente a las reservas matemáticas de pensiones y las cuotas partes de bonos y de pensiones de las entidades descentralizadas de conformidad con el respectivo cálculo actuarial.  </w:t>
      </w:r>
    </w:p>
    <w:p w14:paraId="0933BC94"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34914B2F" w14:textId="6CAD0B9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los efectos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las entidades territoriales deberán acreditar que tienen constituidos los Fondos Territoriales de Pensiones, los Patrimonios Autónomos y las reservas correspondientes, con las certificaciones que en tal sentido requiera el Ministerio de Hacienda y Crédito Público - Dirección de Regulación Económica de la Seguridad Social.  </w:t>
      </w:r>
    </w:p>
    <w:p w14:paraId="76D9D575" w14:textId="6C92F31F" w:rsidR="00404266" w:rsidRDefault="002C1480" w:rsidP="00C32F85">
      <w:pPr>
        <w:spacing w:after="0" w:line="254" w:lineRule="atLeast"/>
        <w:jc w:val="both"/>
        <w:rPr>
          <w:rFonts w:ascii="Arial" w:eastAsia="Times New Roman" w:hAnsi="Arial" w:cs="Arial"/>
          <w:color w:val="000000"/>
          <w:lang w:eastAsia="es-CO"/>
        </w:rPr>
      </w:pPr>
      <w:bookmarkStart w:id="1726" w:name="ver_30103810"/>
      <w:bookmarkEnd w:id="1726"/>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2.12.3.8.3.2.Cesación de obligaciones. Mientras el cubrimiento del pasivo pensional sea inferior al ciento por ciento (100%), la entidad territorial deberá continuar realizando aportes al Fonpet con las fuentes a su cargo previstas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y las disposiciones que lo modifiquen o adicionen.  </w:t>
      </w:r>
    </w:p>
    <w:p w14:paraId="5C85E7E4"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1DDEDC39" w14:textId="181E0AF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entidad territorial haya cubierto el ciento por ciento (100%) de su pasivo pensional, cesará su obligación de continuar realizando aportes a Fonpet en relación con las fuentes a su cargo previstas en la Ley 549 de 1999. Dichos recursos podrán ser destinados por la entidad territorial a los mismos fines que correspondan de acuerdo con las leyes que regulan su destinación.  </w:t>
      </w:r>
    </w:p>
    <w:p w14:paraId="539695B8"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09B32DC8" w14:textId="52FA8956"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Asimismo, cesará la obligación de la Nación de transferir a la cuenta de la entidad territorial en Fonpet los recursos de origen nacional previstos en la Ley 549 de 1999 y las disposiciones que la modifiquen o adicionen. Los recursos de origen nacional se distribuirán entre las demás entidades territoriales.  </w:t>
      </w:r>
    </w:p>
    <w:p w14:paraId="70738BBF"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39F0188A" w14:textId="1BC5009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cualquier evento en que se demuestre que la entidad territorial ha asumido nuevas obligaciones pensionales o el monto de cubrimiento del pasivo es inferior al inicialmente previsto, se reiniciará su obligación de realizar aportes al Fonpet y, correlativamente, la Nación reiniciará la transferencia de recursos de origen nacional. Para estos efectos, el Ministerio de Hacienda y Crédito Público - Dirección de Regulación Económica de la Seguridad Social, realizará la actualización anual de los cálculos actuariales y la revisión de las reservas existentes.  </w:t>
      </w:r>
    </w:p>
    <w:p w14:paraId="22E75E40" w14:textId="696A38BB" w:rsidR="00404266" w:rsidRDefault="002C1480" w:rsidP="00C32F85">
      <w:pPr>
        <w:spacing w:after="0" w:line="254" w:lineRule="atLeast"/>
        <w:jc w:val="both"/>
        <w:rPr>
          <w:rFonts w:ascii="Arial" w:eastAsia="Times New Roman" w:hAnsi="Arial" w:cs="Arial"/>
          <w:color w:val="000000"/>
          <w:lang w:eastAsia="es-CO"/>
        </w:rPr>
      </w:pPr>
      <w:bookmarkStart w:id="1727" w:name="ver_30103811"/>
      <w:bookmarkEnd w:id="1727"/>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2.12.3.8.3.3.Retiro de recursos. Mientras el cubrimiento del pasivo pensional sea inferior al ciento por ciento (100%), no se podrán retirar recursos de la cuenta de la entidad </w:t>
      </w:r>
      <w:r w:rsidR="00404266" w:rsidRPr="002C1480">
        <w:rPr>
          <w:rFonts w:ascii="Arial" w:eastAsia="Times New Roman" w:hAnsi="Arial" w:cs="Arial"/>
          <w:color w:val="000000"/>
          <w:lang w:eastAsia="es-CO"/>
        </w:rPr>
        <w:lastRenderedPageBreak/>
        <w:t>territorial en el Fonpet. En este evento, la entidad deberá atender sus obligaciones pensionales exigibles con los recursos del Fondo Territorial de Pensiones, el Patrimonio Autónomo o las reservas constituidas para ese fin, o con otros recursos.  </w:t>
      </w:r>
    </w:p>
    <w:p w14:paraId="0C715A3A"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21179093" w14:textId="739F2D6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el cubrimiento del pasivo pensional sea igual o superior al ciento por ciento (100%), la entidad territorial tendrá derecho a retirar del Fonpet una suma no superior al monto de sus obligaciones corrientes de cada vigencia fiscal, con destino al pago de los pasivos de que trata el numeral 2.1.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2.12.3.8.3.1.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3C9D8316"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20120A48" w14:textId="01BAC58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serán transferidos por el Fonpet al Fondo Territorial de Pensiones o al Patrimonio Autónomo constituido por la entidad territorial para el pago de obligaciones pensionales.  </w:t>
      </w:r>
    </w:p>
    <w:p w14:paraId="75387A0C"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6F212C71" w14:textId="12AF0C6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todo caso, las obligaciones pensionales de la entidad territorial se continuarán atendiendo de manera preferente con los recursos del Fondo Territorial de Pensiones o del Patrimonio Autónomo hasta su agotamiento. En consecuencia, para que pueda efectuarse la transferencia de recursos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 entidad territorial deberá acreditar ante el Fonpet que el monto de las reservas de que tratan los numerales 1.2. y 1.3.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2.12.3.8.3.1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son insuficientes para atender sus obligaciones pensionales corrientes.  </w:t>
      </w:r>
    </w:p>
    <w:p w14:paraId="607CC248"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66B2E568" w14:textId="2D363AB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Para el retiro de recursos de que trata el presente capítulo, las entidades territoriales deberán acreditar ante el Ministerio de Hacienda y Crédito Público - Dirección de Regulación Económica de la Seguridad Social, el cumplimiento de los requisitos establecidos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2.12.3.6.2. y 2.12.3.6.3.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y las normas que lo modifiquen o adicionen, en aquellos aspectos que les fueren aplicables.  </w:t>
      </w:r>
    </w:p>
    <w:p w14:paraId="14767FC8"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7817B872" w14:textId="2110C93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la entidad territorial no cumpla con la totalidad de los requisitos aplicables de acuerdo con el inciso anterior, pero haya alcanzado un cubrimiento de su pasivo pensional no inferior a tres (3) veces el monto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podrá solicitar por una sola vez al Fonpet la entrega, de hasta el 30% del saldo en cuenta de la entidad. Estos recursos deberán destinarse por la entidad territorial a los mismos fines que correspondan de acuerdo con las leyes que regulan su destinación original.  </w:t>
      </w:r>
    </w:p>
    <w:p w14:paraId="1C04073E"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410BDC4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entidad territorial tenga obligaciones pendientes por aportes al Fonpet, el Ministerio de Hacienda descontará dicha suma antes de efectuar el desembolso de que trata el inciso anterior.  </w:t>
      </w:r>
    </w:p>
    <w:p w14:paraId="036F2905" w14:textId="77777777" w:rsidR="00717AAC" w:rsidRDefault="00717AAC" w:rsidP="00C32F85">
      <w:pPr>
        <w:spacing w:after="0" w:line="254" w:lineRule="atLeast"/>
        <w:jc w:val="both"/>
        <w:rPr>
          <w:rFonts w:ascii="Arial" w:eastAsia="Times New Roman" w:hAnsi="Arial" w:cs="Arial"/>
          <w:color w:val="000000"/>
          <w:lang w:eastAsia="es-CO"/>
        </w:rPr>
      </w:pPr>
    </w:p>
    <w:p w14:paraId="7F916CAB" w14:textId="397CCA7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2.12.3.8.3.4.</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Nuevas entidades territoriales. El cubrimiento del pasivo pensional por parte de las nuevas entidades territoriales será verificado por el Ministerio de Hacienda y Crédito Público-Dirección de Regulación Económica de la Seguridad Social, con base en el acto de creación y en cruces de información que realice con la Contaduría General de la Nación, los organismos de control y las entidades de las cuales las nuevas entidades fueren segregadas.  </w:t>
      </w:r>
    </w:p>
    <w:p w14:paraId="04C843FE" w14:textId="77777777" w:rsidR="00CA2D72" w:rsidRPr="002C1480" w:rsidRDefault="00CA2D72" w:rsidP="00C32F85">
      <w:pPr>
        <w:spacing w:after="0" w:line="240" w:lineRule="auto"/>
        <w:jc w:val="both"/>
        <w:rPr>
          <w:rFonts w:ascii="Arial" w:eastAsia="Times New Roman" w:hAnsi="Arial" w:cs="Arial"/>
          <w:color w:val="000000"/>
          <w:lang w:eastAsia="es-CO"/>
        </w:rPr>
      </w:pPr>
      <w:bookmarkStart w:id="1728" w:name="ver_30103813"/>
      <w:bookmarkEnd w:id="1728"/>
    </w:p>
    <w:p w14:paraId="1BAEC412" w14:textId="15DBC07C"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2.12.3.8.3.5.</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Destinación específica. Los recursos entregados de acuerdo con el presente capítulo deberán destinarse exclusivamente al pago de obligaciones pensionales de la misma entidad territorial, de acuerdo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2.12.3.8.3.1., numeral 2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Si la entidad territorial no tuviere pasivos a cargo, los recursos previstos en los numerales 1 y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y los recursos del Sistema General de Participaciones conservarán en todo caso la destinación prevista en la Constitución y en la ley.  </w:t>
      </w:r>
    </w:p>
    <w:p w14:paraId="4150AF2A"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01AA0AAB" w14:textId="2A742140" w:rsidR="00404266" w:rsidRDefault="002C1480" w:rsidP="00C32F85">
      <w:pPr>
        <w:spacing w:after="0" w:line="254" w:lineRule="atLeast"/>
        <w:jc w:val="both"/>
        <w:rPr>
          <w:rFonts w:ascii="Arial" w:eastAsia="Times New Roman" w:hAnsi="Arial" w:cs="Arial"/>
          <w:color w:val="000000"/>
          <w:lang w:eastAsia="es-CO"/>
        </w:rPr>
      </w:pPr>
      <w:bookmarkStart w:id="1729" w:name="ver_30103814"/>
      <w:bookmarkEnd w:id="1729"/>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2.12.3.8.3.6.</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Procedimiento para realizar el giro de los recursos excedentes acumulados en el Sector Salud del Fonpet, diferentes a los de Lotto en Línea. Las entidades </w:t>
      </w:r>
      <w:r w:rsidR="00404266" w:rsidRPr="002C1480">
        <w:rPr>
          <w:rFonts w:ascii="Arial" w:eastAsia="Times New Roman" w:hAnsi="Arial" w:cs="Arial"/>
          <w:color w:val="000000"/>
          <w:lang w:eastAsia="es-CO"/>
        </w:rPr>
        <w:lastRenderedPageBreak/>
        <w:t>territoriales que no tengan obligaciones pensionales con el Sector Salud o que las tengan plenamente financiadas, destinarán los recursos excedentes acumulados en el Sector Salud del Fonpet, diferentes a los de Lotto en Línea, exclusivamente para el financiamiento del Régimen Subsidiado. </w:t>
      </w:r>
    </w:p>
    <w:p w14:paraId="300D0B6A"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7367E2B6" w14:textId="392B05A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estos efectos, se aplicará el procedimiento previsto por la ley, siguiendo las instrucciones operativas definidas por la Dirección General de Regulación Económica de la Seguridad Social del Ministerio de Hacienda y Crédito Público, la cual procederá a efectuar el giro de estos recursos al mecanismo único de recaudo y giro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31 de la Ley 1438 de 2011, o a quien haga sus veces, para que sean aplicados a la respectiva entidad territorial.  </w:t>
      </w:r>
    </w:p>
    <w:p w14:paraId="737160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9D2618" w14:textId="78B9294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su vez, cuando las entidades territoriales tienen pasivo pensional con el Sector Salud, pero se encuentra plenamente financiado, la entidad territorial presentará solicitud de retiro de los recursos excedentes acumulados en el Sector Salud del Fonpet, diferentes a los de Lotto en Línea, a la Dirección General de Regulación Económica de la Seguridad Social del Ministerio de Hacienda y Crédito Público, quien la revisará, y si la encuentra conforme a las normas vigentes, autorizará el giro de estos recursos excedentes al mecanismo único de recaudo y giro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31 de la Ley 1438 de 2011, o a quien haga sus veces, con base en el monto de recursos acumulados en el Sistema de Información del Fonpet a 31 de diciembre de la vigencia anterior. </w:t>
      </w:r>
    </w:p>
    <w:p w14:paraId="44A40C4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30" w:name="ver_30103815"/>
      <w:bookmarkEnd w:id="1730"/>
    </w:p>
    <w:p w14:paraId="6478684B" w14:textId="1920125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2.12.3.8.3.7.Retiro de los recursos excedentes acumulados en el Sector Educación del Fonpet. Las entidades territoriales que no tengan obligaciones pensionales con el Sector Educación o que las tengan plenamente financiadas, en los términos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2.12.3.9.2.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una vez trasladados los recursos al Fondo de Prestaciones Sociales del Magisterio (Fomag), destinarán los recursos excedentes acumulados en el Sector Educación del Fonpet para la financiación de proyectos de inversión y atenderá la destinación específica de la fuente de que provengan estos recursos. </w:t>
      </w:r>
    </w:p>
    <w:p w14:paraId="7E6C018B" w14:textId="77777777" w:rsidR="00CA2D72" w:rsidRPr="002C1480" w:rsidRDefault="00CA2D72" w:rsidP="00C32F85">
      <w:pPr>
        <w:spacing w:after="0" w:line="254" w:lineRule="atLeast"/>
        <w:jc w:val="both"/>
        <w:rPr>
          <w:rFonts w:ascii="Arial" w:eastAsia="Times New Roman" w:hAnsi="Arial" w:cs="Arial"/>
          <w:color w:val="000000"/>
          <w:lang w:eastAsia="es-CO"/>
        </w:rPr>
      </w:pPr>
    </w:p>
    <w:p w14:paraId="7A45F7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la entidad territorial presentará la solicitud de retiro de los recursos excedentes del Sector Educación a la Dirección General de Regulación Económica de la Seguridad Social del Ministerio de Hacienda y Crédito Público, quien la revisará, y si la encuentra conforme, autorizará el giro de los recursos solicitados en retiro, con base en el monto de recursos registrados en el Sistema de Información del Fonpet a 31 de diciembre de la vigencia inmediatamente anterior. </w:t>
      </w:r>
    </w:p>
    <w:p w14:paraId="59176FB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31" w:name="ver_30103816"/>
      <w:bookmarkEnd w:id="1731"/>
    </w:p>
    <w:p w14:paraId="73265F5A" w14:textId="07FBEA66"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2.12.3.8.3.8. Retiro de los recursos excedentes acumulados en el Sector Propósito General. Las entidades territoriales que no tengan obligaciones pensionales con el Sector Central de la Administración, o que las tengan plenamente financiadas y una vez hayan efectuado la reserva necesaria para dar cumplimiento a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2.12.3.8.2.11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destinarán los recursos excedentes acumulados en el Sector Propósito General para la financiación de proyectos de inversión y atenderán la destinación específica de la fuente de que provengan estos recursos. </w:t>
      </w:r>
    </w:p>
    <w:p w14:paraId="14011128" w14:textId="77777777" w:rsidR="00CA2D72" w:rsidRDefault="00CA2D72" w:rsidP="00C32F85">
      <w:pPr>
        <w:spacing w:after="0" w:line="293" w:lineRule="atLeast"/>
        <w:jc w:val="both"/>
        <w:rPr>
          <w:rFonts w:ascii="Arial" w:eastAsia="Times New Roman" w:hAnsi="Arial" w:cs="Arial"/>
          <w:color w:val="000000"/>
          <w:lang w:eastAsia="es-CO"/>
        </w:rPr>
      </w:pPr>
      <w:bookmarkStart w:id="1732" w:name="ver_30103817"/>
      <w:bookmarkEnd w:id="1732"/>
    </w:p>
    <w:p w14:paraId="22CC66CB" w14:textId="7C8BA335" w:rsidR="00404266" w:rsidRPr="00CA2D72" w:rsidRDefault="00404266"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CAPÍTULO 9</w:t>
      </w:r>
    </w:p>
    <w:p w14:paraId="16902FD9" w14:textId="77777777" w:rsidR="00404266" w:rsidRPr="00CA2D72" w:rsidRDefault="00404266"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TRANSFERENCIAS DE RECURSOS PARA AMORTIZACIÓN DE LA DEUDA CONSOLIDADA CON EL FONDO NACIONAL DE PRESTACIONES SOCIALESDEL MAGISTERIO</w:t>
      </w:r>
    </w:p>
    <w:p w14:paraId="6C929DC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33" w:name="ver_30103818"/>
      <w:bookmarkEnd w:id="1733"/>
    </w:p>
    <w:p w14:paraId="4FBC9CCF" w14:textId="5FEB792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2.12.3.9.1.</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Saldo consolidado de la deuda. De conformidad con el parágrafo 4°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18 de la Ley 715 de 2001, el valor del cálculo actuarial por concepto de pensiones que representa el saldo consolidado de la deuda, de que trata el mismo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se establecerá en la forma prevista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2.4.4.2.1.4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1075 de 2015 y se verificará por el </w:t>
      </w:r>
      <w:r w:rsidR="00404266" w:rsidRPr="002C1480">
        <w:rPr>
          <w:rFonts w:ascii="Arial" w:eastAsia="Times New Roman" w:hAnsi="Arial" w:cs="Arial"/>
          <w:color w:val="000000"/>
          <w:lang w:eastAsia="es-CO"/>
        </w:rPr>
        <w:lastRenderedPageBreak/>
        <w:t xml:space="preserve">Ministerio de Hacienda y Crédito Público - Dirección de Regulación Económica de la Seguridad Social. Para establecer el saldo consolidado de la deuda se tendrán en cuenta los aportes y amortizaciones de deuda realizados por la entidad territorial, los cuales se actualizarán de conformidad con el parágrafo 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2.4.4.2.1.5.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1075 de 2015.  </w:t>
      </w:r>
    </w:p>
    <w:p w14:paraId="11D89B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C7B4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del cálculo actuarial deberá actualizarse anualmente, con el fin de mantener ajustado el saldo de la deuda con respecto al valor real del pasivo.  </w:t>
      </w:r>
    </w:p>
    <w:p w14:paraId="315F72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A96E9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Mientras se establece el valor del cálculo actuarial por concepto de pensiones, se tendrá en cuenta como saldo consolidado de la deuda el valor del pasivo que por este concepto se encuentre registrado en el SIF.  </w:t>
      </w:r>
    </w:p>
    <w:p w14:paraId="2A3DE2AE" w14:textId="77777777" w:rsidR="00CA2D72" w:rsidRDefault="00CA2D72" w:rsidP="00C32F85">
      <w:pPr>
        <w:spacing w:after="0" w:line="254" w:lineRule="atLeast"/>
        <w:jc w:val="both"/>
        <w:rPr>
          <w:rFonts w:ascii="Arial" w:eastAsia="Times New Roman" w:hAnsi="Arial" w:cs="Arial"/>
          <w:color w:val="000000"/>
          <w:lang w:eastAsia="es-CO"/>
        </w:rPr>
      </w:pPr>
    </w:p>
    <w:p w14:paraId="33CAAF40" w14:textId="628F305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2.12.3.9.2.Transferencia de recursos por el Fonpet. El Fonpet transferirá anualmente de la cuenta de cada una de las entidades territoriales al Fondo de Prestaciones Sociales del Magisterio (FPSM) recursos del sector educación, para el cumplimiento de las obligaciones por concepto del saldo de la deuda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18 de la Ley 715 de 2001. Cumplidas dichas obligaciones, los recursos que se trasladen al Fonpet mantendrán su destinación al pago de obligaciones pensionales del sector educación.  </w:t>
      </w:r>
    </w:p>
    <w:p w14:paraId="01B1E96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5466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Previa solicitud del FPSM, la DRESS verificará anualmente el saldo de la deuda por las obligaciones pensionales de la entidad territorial, con el fin de establecer si se presentan excedentes para el pago de las demás obligaciones adquiridas con el FPSM, una vez cubierto el pasivo pensional. Se exceptúan de este pago las obligaciones por concepto de los aportes directos descontados a los docentes con destino al FPSM. Si se presentan excedentes en la cuenta de la entidad, la DRESS autorizará la transferencia al FPSM hasta por el monto del excedente anual.  </w:t>
      </w:r>
    </w:p>
    <w:p w14:paraId="3DDC7C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EAED6DE" w14:textId="7E737CF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la entidad territorial solicite el retiro de los excedentes de los recursos del sector educación para obligaciones distintas a las pensionales, la DRESS autorizará el retiro previa la realización de una reserva especial del 20% del monto del cálculo actuarial del sector educación, para fines de la actualización de dicho cálculo, en adición a los factores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2475DF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0894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los efectos anteriores, las entidades territoriales deberán incluir en sus presupuestos, máximo, el monto de los recursos del sector de educación registrado en el SIF a 31 de diciembre de la vigencia anterior. La apropiación de esta partida por parte de cada entidad territorial será verificada por el FPSM y será indispensable para que el Fonpet le transfiera los recursos a este, quien informará a la Dirección de Regulación Económica de la Seguridad Social del Ministerio de Hacienda y Crédito Público el cumplimiento de esta condición, para que proceda a autorizar la transferencia de estos recursos.  </w:t>
      </w:r>
    </w:p>
    <w:p w14:paraId="392415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6369F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 la transferencia que realice el Fonpet no podrá ser superior, para cada entidad territorial, al monto de los recursos registrados en el SIF a 31 de diciembre de la vigencia anterior ni al saldo consolidado de la deuda de la entidad con el FPSM.  </w:t>
      </w:r>
    </w:p>
    <w:p w14:paraId="58E46B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EF1214" w14:textId="6AA63F4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Mientras no se haya cubierto el saldo de la deuda con el Fondo de Prestaciones Sociales del Magisterio, las entidades territoriales serán responsables del pago de las obligaciones que no sean cubiertas con los recursos del Fonpet. Por lo anterior, si los recursos transferidos por el Fonpet en cumplimiento del mencionado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fueren suficientes para el cubrimiento de dichas obligaciones, la entidad territorial seguirá aportando los recursos faltantes, en concordancia con lo establecido en el convenio respectivo.  </w:t>
      </w:r>
    </w:p>
    <w:p w14:paraId="6795667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69892EA9" w14:textId="6930E07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todo caso, mientras se realiza el ajuste de los convenios previsto en la Sección 1, del Capítulo 2 Fondo Nacional de Prestaciones Sociales del Magisterio,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1075 de 2015, para efectos de las transferencias por parte del Fonpet se tomará el valor del cálculo actuarial que aparezca registrado en el Fonpet.  </w:t>
      </w:r>
    </w:p>
    <w:p w14:paraId="5427EA56" w14:textId="77777777" w:rsidR="00CA2D72" w:rsidRDefault="00CA2D72" w:rsidP="00C32F85">
      <w:pPr>
        <w:spacing w:after="0" w:line="293" w:lineRule="atLeast"/>
        <w:jc w:val="both"/>
        <w:rPr>
          <w:rFonts w:ascii="Arial" w:eastAsia="Times New Roman" w:hAnsi="Arial" w:cs="Arial"/>
          <w:color w:val="000000"/>
          <w:lang w:eastAsia="es-CO"/>
        </w:rPr>
      </w:pPr>
      <w:bookmarkStart w:id="1734" w:name="ver_30103820"/>
      <w:bookmarkEnd w:id="1734"/>
    </w:p>
    <w:p w14:paraId="4D9C6CE8" w14:textId="6A1CB16E" w:rsidR="00404266" w:rsidRPr="00CA2D72" w:rsidRDefault="00CA2D72"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CAPÍTULO 10</w:t>
      </w:r>
    </w:p>
    <w:p w14:paraId="050AE909" w14:textId="4A91DDE2" w:rsidR="00404266" w:rsidRPr="00CA2D72" w:rsidRDefault="00CA2D72"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RETIRO DE RECURSOS PARA EL PAGO DE BONOS PENSIONALES Y CUOTAS PARTES DE BONOS PENSIONALES</w:t>
      </w:r>
    </w:p>
    <w:p w14:paraId="5F40027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35" w:name="ver_30103821"/>
      <w:bookmarkEnd w:id="1735"/>
    </w:p>
    <w:p w14:paraId="35AB0E8F" w14:textId="44CFB1C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2.12.3.10.1.Procedimiento. Para el retiro de recursos con destino al pago de bonos pensionales y cuotas partes de bonos pensionales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51 de la Ley 863 de 2003 deberán cumplirse los siguientes requisitos:  </w:t>
      </w:r>
    </w:p>
    <w:p w14:paraId="7E5A45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26AA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administradora de pensiones presentará la solicitud a la Oficina de Bonos Pensionales del Ministerio de Hacienda y Crédito Público, a la cual deberá adjuntarse la aprobación del bono pensional o de la cuota parte por parte de la entidad territorial y la autorización del representante legal de la entidad territorial para realizar el pago con los recursos de Fonpet. La Oficina de Bonos Pensionales elaborará los formatos requeridos para estos efectos.  </w:t>
      </w:r>
    </w:p>
    <w:p w14:paraId="2E57E4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D5EE83" w14:textId="41018FE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La Oficina de Bonos Pensionales verificará la liquidación del bono pensional o de la cuota parte y solicitará el pago al Fonpet con base en los cupos por entidad territorial y subcuenta suministrados por el Fonpet. El Fonpet determinará los cupos con base en el saldo de la cuenta de la entidad territorial,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2.12.3.8.1.1.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362C25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AA80B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pago se realizará directamente por el Fonpet a la entidad administradora de pensiones en que se encuentre afiliado el beneficiario, previos los trámites presupuestales a que haya lugar por parte de la entidad territorial.  </w:t>
      </w:r>
    </w:p>
    <w:p w14:paraId="6618160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1159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No podrá realizarse pago parcial de bonos pensionales o cuotas partes de bonos pensionales con recursos del Fonpet. Si el saldo en cuenta para retiros es insuficiente, Fonpet no realizará el pago solicitado.  </w:t>
      </w:r>
    </w:p>
    <w:p w14:paraId="3F175812" w14:textId="70B373B7" w:rsidR="00404266" w:rsidRPr="002C1480" w:rsidRDefault="00404266" w:rsidP="005E3C1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36" w:name="ver_30103826"/>
      <w:bookmarkEnd w:id="1736"/>
    </w:p>
    <w:p w14:paraId="7D9A83B3" w14:textId="1589563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2.12.3.10.2.Pago de intereses de mora. Los recursos del Fonpet no podrán destinarse al pago de intereses de mora por concepto de bonos pensionales o cuotas partes de bonos pensionales. Si dichos intereses llegaren a causarse, deberán ser pagados con recursos propios de la entidad territorial. La administradora de pensiones deberá en todo caso certificar que los recursos entregados por este concepto se destinaron exclusivamente en la forma prevista en el presente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w:t>
      </w:r>
    </w:p>
    <w:p w14:paraId="29172A57" w14:textId="6C24EF41" w:rsidR="00CA2D72" w:rsidRDefault="00404266" w:rsidP="005E3C1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37" w:name="ver_30103828"/>
      <w:bookmarkEnd w:id="1737"/>
    </w:p>
    <w:p w14:paraId="40C3DBB3" w14:textId="7EB9D476" w:rsidR="00404266" w:rsidRPr="00CA2D72" w:rsidRDefault="00CA2D72"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CAPÍTULO 11</w:t>
      </w:r>
    </w:p>
    <w:p w14:paraId="34D026F6" w14:textId="0848B339" w:rsidR="00404266" w:rsidRPr="00CA2D72" w:rsidRDefault="00CA2D72" w:rsidP="00CA2D72">
      <w:pPr>
        <w:spacing w:after="0" w:line="293" w:lineRule="atLeast"/>
        <w:jc w:val="center"/>
        <w:rPr>
          <w:rFonts w:ascii="Arial" w:eastAsia="Times New Roman" w:hAnsi="Arial" w:cs="Arial"/>
          <w:b/>
          <w:bCs/>
          <w:color w:val="000000"/>
          <w:lang w:eastAsia="es-CO"/>
        </w:rPr>
      </w:pPr>
      <w:r w:rsidRPr="00CA2D72">
        <w:rPr>
          <w:rFonts w:ascii="Arial" w:eastAsia="Times New Roman" w:hAnsi="Arial" w:cs="Arial"/>
          <w:b/>
          <w:bCs/>
          <w:color w:val="000000"/>
          <w:lang w:eastAsia="es-CO"/>
        </w:rPr>
        <w:t>CONDICIONES PARA EL PAGO Y COBRO COACTIVO</w:t>
      </w:r>
    </w:p>
    <w:p w14:paraId="5B6B0CA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38" w:name="ver_30103829"/>
      <w:bookmarkEnd w:id="1738"/>
    </w:p>
    <w:p w14:paraId="34D26E5E" w14:textId="3DBFECF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2.12.3.11.1.Condiciones de pago y cobro coactivo. Cuando la entidad no haya cumplido oportunamente con su obligación de transferir recursos al Fonpet, la entidad podrá acogerse a las condiciones de pago que establezca de manera general mediante resolución el Ministerio de Hacienda y Crédito Público, en su calidad de administrador del Fonpet. Los plazos para el pago tendrán en cuenta la capacidad financiera de la entidad y no excederán el término </w:t>
      </w:r>
      <w:r w:rsidR="00404266" w:rsidRPr="002C1480">
        <w:rPr>
          <w:rFonts w:ascii="Arial" w:eastAsia="Times New Roman" w:hAnsi="Arial" w:cs="Arial"/>
          <w:color w:val="000000"/>
          <w:lang w:eastAsia="es-CO"/>
        </w:rPr>
        <w:lastRenderedPageBreak/>
        <w:t xml:space="preserve">previsto para la cobertura de los pasivos pensionales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 de la Ley 549 de 1999. Cuando se trate de aportes que haya debido realizar la nación, el Confis determinará el mecanismo para que el monto de los aportes pendientes de pago y su actualización se incorporen en el Marco Fiscal de Mediano Plazo y en presupuestos de las vigencias fiscales correspondientes.  </w:t>
      </w:r>
    </w:p>
    <w:p w14:paraId="07E0C8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8B7E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el propósito de preservar la capacidad adquisitiva de las reservas pensionales de las entidades territoriales en el Fonpet, los aportes no transferidos oportunamente se actualizarán conforme al valor de la unidad del Fonpet, desde la fecha en que ha debido realizarse el aporte hasta la fecha del pago efectivo.  </w:t>
      </w:r>
    </w:p>
    <w:p w14:paraId="6385D5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692313" w14:textId="1FF2562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Antes del inicio del procedimiento de cobro coactivo, el Ministerio de Hacienda y Crédito Público comunicará a la entidad el monto de las obligaciones exigibles, tanto por la última vigencia fiscal de la cual se tenga información como por las vigencias anteriores, y la respectiva actualización, con el fin de que la entidad manifieste su interés en acogerse a las condiciones de pago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entidad deberá pronunciarse en el plazo que el ministerio señale en la comunicación. El silencio de la entidad territorial o su respuesta negativa darán lugar al inicio del procedimiento de cobro coactivo, sin perjuicio de la responsabilidad disciplinaria a que hubiere lugar.  </w:t>
      </w:r>
    </w:p>
    <w:p w14:paraId="7C7349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D5876F" w14:textId="608F85C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efectos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el monto de la deuda de los departamentos se determinará anualmente por la Dirección General de Regulación Económica de la Seguridad Social del Ministerio de Hacienda y Crédito Público, DRESS, con fundamento en el informe emitido por la Dirección de Apoyo Fiscal del Ministerio de Hacienda y Crédito Público, DAF, sobre recaudos efectivos de los recursos de que tratan los numerales 7, 8 y 9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La DAF podrá utilizar directamente las ejecuciones presupuestales certificadas por la entidad territorial u obtenerlas a través de la Contraloría General de la República o la Contaduría General de la Nación.  </w:t>
      </w:r>
    </w:p>
    <w:p w14:paraId="33B9924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2C94DD" w14:textId="313F54F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mismos efectos, el monto de la deuda de los municipios y distritos se determinará anualmente por la Dirección General de Regulación Económica de la Seguridad Social del Ministerio de Hacienda y Crédito Público, DRESS, con fundamento en la información que sobre el recaudo efectivo de los recursos de que trata el numeral 7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suministre la Contaduría General de la Nación.  </w:t>
      </w:r>
    </w:p>
    <w:p w14:paraId="5657C6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687779" w14:textId="1D4F222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aportes que deban realizar al Fonpet entidades distintas de las entidades territoriales, la DRESS determinará el total de la deuda con la información oficial que corresponda y aplicará los mismos criterios de actualización y plazos ordenados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42BC208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3948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establecer el monto de la deuda de las entidades territoriales, la DRESS tomará como fecha de corte el decimoquinto día hábil del mes de enero de la vigencia fiscal siguiente a aquella en que se efectuaron los recaudos por parte de las entidades territoriales.  </w:t>
      </w:r>
    </w:p>
    <w:p w14:paraId="1E9363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6C88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Cuando de conformidad con las disposiciones aplicables, se establezca como condición para la distribución de recursos nacionales o para el retiro o reembolso de recursos del Fonpet que la entidad territorial se encuentre al día en el pago de aportes al fondo, se entenderá que dicha condición también se cumple cuando la entidad se haya acogido a las condiciones de pago establecidas por el Ministerio de Hacienda y Crédito Público.  </w:t>
      </w:r>
    </w:p>
    <w:p w14:paraId="39BEAD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31907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el evento en que se presenten controversias jurídicas respecto a la determinación del monto adeudado, la entidad podrá acogerse parcialmente a las condiciones establecidas por el Ministerio </w:t>
      </w:r>
      <w:r w:rsidRPr="002C1480">
        <w:rPr>
          <w:rFonts w:ascii="Arial" w:eastAsia="Times New Roman" w:hAnsi="Arial" w:cs="Arial"/>
          <w:color w:val="000000"/>
          <w:lang w:eastAsia="es-CO"/>
        </w:rPr>
        <w:lastRenderedPageBreak/>
        <w:t>de Hacienda y Crédito Público. Para el efecto, bastará con que la entidad territorial manifieste por escrito su decisión de aceptar las sumas no controvertidas, así como el resto de las demás condiciones, proponiendo el mecanismo que permita resolver las sumas objeto de controversia.  </w:t>
      </w:r>
    </w:p>
    <w:p w14:paraId="5244BB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CC3004" w14:textId="147142C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Una vez resuelta la controversia, si resulta un mayor valor a cargo de la entidad, la entidad podrá solicitar que el pago de este valor adicional se realice utilizando el Modelo de Administración Financiera previsto en el parágrafo 8°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siempre y cuando cumpla con los demás requisitos establecidos para la aplicación del modelo.  </w:t>
      </w:r>
    </w:p>
    <w:p w14:paraId="497515BF" w14:textId="3868060B" w:rsidR="00143144"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5307B7" w14:textId="61C1235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2.12.3.11.2.Comisiones de administración. Teniendo en cuenta lo dispuesto en el numeral 6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72 de la Ley 549 de 1999, para el pago de las comisiones de administración de los patrimonios autónomos del Fonpet, la distribución de los recursos del Presupuesto General de la Nación que se realice por parte del Ministerio de Hacienda y Crédito Público incluirá el valor de las comisiones que las entidades administradoras deban descontar de los rendimientos obtenidos en las cuentas de las entidades territoriales en el Fonpet.  </w:t>
      </w:r>
    </w:p>
    <w:p w14:paraId="5E5BFD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229BC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las entidades administradoras distribuirán el valor de las comisiones entre las entidades territoriales de acuerdo con la participación de cada una de ellas en el total de los rendimientos financieros obtenidos por los patrimonios autónomos durante cada trimestre calendario.  </w:t>
      </w:r>
    </w:p>
    <w:p w14:paraId="2914F765" w14:textId="5F56C403" w:rsidR="00143144" w:rsidRDefault="00404266" w:rsidP="002B509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39" w:name="ver_30103831"/>
      <w:bookmarkEnd w:id="1739"/>
    </w:p>
    <w:p w14:paraId="08F5D093" w14:textId="01929C14" w:rsidR="00404266" w:rsidRPr="00B67D4C" w:rsidRDefault="00B67D4C" w:rsidP="00143144">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CAPÍTULO 12</w:t>
      </w:r>
    </w:p>
    <w:p w14:paraId="594F5870" w14:textId="219A1050" w:rsidR="00404266" w:rsidRPr="00B67D4C" w:rsidRDefault="00B67D4C" w:rsidP="00143144">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CONSIDERACIONES POR VENTA DE ACTIVOS</w:t>
      </w:r>
    </w:p>
    <w:p w14:paraId="3A0652B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40" w:name="ver_30103832"/>
      <w:bookmarkEnd w:id="1740"/>
    </w:p>
    <w:p w14:paraId="1FA12EB3" w14:textId="5DBCBEB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2.12.3.12.1.Enajenación de acciones y activos de las entidades territoriales. Para los efectos del numeral 7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se entienden también como ingresos producto de la enajenación al sector privado de acciones o activos de las entidades territoriales, los ingresos obtenidos en la venta de acciones o activos a entidades en las cuales la participación estatal, directa o indirecta, sea inferior al 50% de su capital social.  </w:t>
      </w:r>
    </w:p>
    <w:p w14:paraId="05893D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FCD1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se considerarán ingresos obtenidos por la venta de acciones o activos de las entidades territoriales, cuando la operación corresponda a la administración del portafolio de las inversiones financieras de la entidad. Para este propósito se tendrá en cuenta el Catálogo General de Cuentas del Plan General de Contabilidad Pública expedido por la Contaduría General de la Nación, de conformidad con las instrucciones que a este respecto expida la misma entidad.  </w:t>
      </w:r>
    </w:p>
    <w:p w14:paraId="32544D09" w14:textId="558A4A39" w:rsidR="00B67D4C" w:rsidRDefault="00404266" w:rsidP="002B509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41" w:name="ver_30103833"/>
      <w:bookmarkEnd w:id="1741"/>
    </w:p>
    <w:p w14:paraId="4CBB22A4" w14:textId="3B9C04F6"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CAPÍTULO 13</w:t>
      </w:r>
    </w:p>
    <w:p w14:paraId="422CC189" w14:textId="54B60DF4"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ADMINISTRACIÓN DE LOS RECURSOS DEL FONPET</w:t>
      </w:r>
    </w:p>
    <w:p w14:paraId="697616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42" w:name="ver_30103834"/>
      <w:bookmarkEnd w:id="1742"/>
    </w:p>
    <w:p w14:paraId="724655B7" w14:textId="6472ABD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2.12.3.13.1.Patrimonios autónomos. De conformidad con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 de la Ley 549 de 1999, los recursos del Fondo Nacional de Pensiones de las Entidades Territoriales (Fonpet), serán administrados a través de patrimonios autónomos. Los recursos que se destinen al Fonpet por las entidades aportantes deberán haber sido apropiados con dicho objeto y su entrega constituirá ejecución de la respectiva partida presupuestal. En consecuencia, en caso de prórroga de los contratos de administración o para adelantar procesos de selección y posterior suscripción y ejecución de los mismos, no requerirán el certificado de disponibilidad presupuestal ni la autorización de vigencias futuras.  </w:t>
      </w:r>
    </w:p>
    <w:p w14:paraId="0F5347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E904E2" w14:textId="4A96636D" w:rsidR="00404266" w:rsidRPr="002C1480" w:rsidRDefault="002C1480" w:rsidP="00C32F85">
      <w:pPr>
        <w:spacing w:after="0" w:line="254" w:lineRule="atLeast"/>
        <w:jc w:val="both"/>
        <w:rPr>
          <w:rFonts w:ascii="Arial" w:eastAsia="Times New Roman" w:hAnsi="Arial" w:cs="Arial"/>
          <w:color w:val="000000"/>
          <w:lang w:eastAsia="es-CO"/>
        </w:rPr>
      </w:pPr>
      <w:bookmarkStart w:id="1743" w:name="ver_30103836"/>
      <w:bookmarkEnd w:id="1743"/>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2.12.3.13.2.Rendimientos financieros. Los rendimientos financieros obtenidos en la gestión de los recursos del Fonpet tendrán el mismo tratamiento establecido en la excepción que </w:t>
      </w:r>
      <w:r w:rsidR="00404266" w:rsidRPr="002C1480">
        <w:rPr>
          <w:rFonts w:ascii="Arial" w:eastAsia="Times New Roman" w:hAnsi="Arial" w:cs="Arial"/>
          <w:color w:val="000000"/>
          <w:lang w:eastAsia="es-CO"/>
        </w:rPr>
        <w:lastRenderedPageBreak/>
        <w:t xml:space="preserve">para los recursos de los órganos de previsión y seguridad social establece el parágrafo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16 del Estatuto Orgánico del Presupuesto y no se incorporarán al Presupuesto General de la Nación ni a los presupuestos de las entidades territoriales, mientras no se haya autorizado su retiro.  </w:t>
      </w:r>
    </w:p>
    <w:p w14:paraId="486D194D" w14:textId="11521585" w:rsidR="00B67D4C"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744" w:name="ver_30103838"/>
    </w:p>
    <w:p w14:paraId="25C19E5D" w14:textId="16474D4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2.12.3.13.3 Comisiones de administración. Las comisiones de administración de los patrimonios autónomos del Fondo Nacional de Pensiones de las Entidades Territoriales -(Fonpet) se pagarán con cargo a los rendimientos financieros de los recursos, de tal suerte que las entidades administradoras deben descontar previa autorización del Ministerio de Hacienda y Crédito Público el valor de las mismas de los rendimientos obtenidos en el Fondo Nacional de Pensiones de las Entidades Territoriales - (Fonpet). El Ministerio de Hacienda y Crédito Público podrá ordenar ·la constitución de reservas con los rendimientos obtenidos para el pago de las comisiones que se establezcan en los contratos de administración </w:t>
      </w:r>
    </w:p>
    <w:p w14:paraId="4A72F83B"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37A9D423" w14:textId="64C34548" w:rsidR="00404266" w:rsidRPr="00B67D4C" w:rsidRDefault="00B67D4C" w:rsidP="00B67D4C">
      <w:pPr>
        <w:spacing w:after="0" w:line="293" w:lineRule="atLeast"/>
        <w:jc w:val="center"/>
        <w:rPr>
          <w:rFonts w:ascii="Arial" w:eastAsia="Times New Roman" w:hAnsi="Arial" w:cs="Arial"/>
          <w:b/>
          <w:bCs/>
          <w:color w:val="000000"/>
          <w:lang w:eastAsia="es-CO"/>
        </w:rPr>
      </w:pPr>
      <w:bookmarkStart w:id="1745" w:name="ver_30103999"/>
      <w:bookmarkEnd w:id="1744"/>
      <w:bookmarkEnd w:id="1745"/>
      <w:r w:rsidRPr="00B67D4C">
        <w:rPr>
          <w:rFonts w:ascii="Arial" w:eastAsia="Times New Roman" w:hAnsi="Arial" w:cs="Arial"/>
          <w:b/>
          <w:bCs/>
          <w:color w:val="000000"/>
          <w:lang w:eastAsia="es-CO"/>
        </w:rPr>
        <w:t>CAPÍTULO 14</w:t>
      </w:r>
    </w:p>
    <w:p w14:paraId="093C215A" w14:textId="0E959E63"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REEMBOLSO POR PAGO DE BONOS PENSIONALES</w:t>
      </w:r>
    </w:p>
    <w:p w14:paraId="1CA8475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46" w:name="ver_30103839"/>
      <w:bookmarkEnd w:id="1746"/>
    </w:p>
    <w:p w14:paraId="7EC6C759" w14:textId="5F7F820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2.12.3.14.1.Pago de bonos pensionales y reembolso. En desarrollo de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51 de la Ley 863 de 2003, las entidades territoriales podrán utilizar hasta el cincuenta por ciento (50%) del saldo disponible en la cuenta del Fondo Nacional de Pensiones de las Entidades Territoriales (Fonpet), aun cuando la reserva constituida no haya alcanzado el ciento por ciento (100%) del pasivo pensional, con destino al cubrimiento de las obligaciones por concepto de bonos pensionales y cuotas partes de bonos pensionales.  </w:t>
      </w:r>
    </w:p>
    <w:p w14:paraId="39AD10AD"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2ADA983F" w14:textId="3F65A28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Fonpet reembolsará a las entidades territoriales los pagos de bonos pensionales y cuotas partes de bonos pensionales que hayan realizado durante el período comprendido entre la entrada en vigencia de la Ley 863 de 2003 y el 31 de marzo de 2006.  </w:t>
      </w:r>
    </w:p>
    <w:p w14:paraId="3918DB2D"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1F0F668E" w14:textId="072A10B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Al reembolso de que trata el presente capítulo no se aplicará el procedimiento previsto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2.12.3.10.1 y 2.12.3.10.2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No obstante, estará sometido al límite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51 de la Ley 863 de 2003, en concordancia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2.12.3.8.1.1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219A8BC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47" w:name="ver_30104000"/>
      <w:bookmarkEnd w:id="1747"/>
    </w:p>
    <w:p w14:paraId="40F24E61" w14:textId="5BFCC29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2.12.3.14.2.Solicitud para el reembolso. Para efectos del reembolso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el representante legal de la entidad territorial deberá presentar la solicitud correspondiente ante el Ministerio de Hacienda y Crédito Público - Dirección de Regulación Económica de la Seguridad Social. En la solicitud se deberá certificar:  </w:t>
      </w:r>
    </w:p>
    <w:p w14:paraId="2AB5B256" w14:textId="4A9C277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Que la entidad ha realizado los aportes a su cargo en el Fonpet, establecidos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o que ha celebrado un acuerdo de pago respecto de los aportes adeudados.  </w:t>
      </w:r>
    </w:p>
    <w:p w14:paraId="4A0A7319" w14:textId="77777777" w:rsidR="00B67D4C" w:rsidRDefault="00B67D4C" w:rsidP="00C32F85">
      <w:pPr>
        <w:spacing w:after="0" w:line="254" w:lineRule="atLeast"/>
        <w:jc w:val="both"/>
        <w:rPr>
          <w:rFonts w:ascii="Arial" w:eastAsia="Times New Roman" w:hAnsi="Arial" w:cs="Arial"/>
          <w:color w:val="000000"/>
          <w:lang w:eastAsia="es-CO"/>
        </w:rPr>
      </w:pPr>
    </w:p>
    <w:p w14:paraId="17875194" w14:textId="421C5214"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la entidad ha cumplido con la Ley 100 de 1993, en cuanto a afiliación de los servidores públicos al Sistema de Seguridad Social. Igualmente se deberá certificar la situación de la entidad en cuanto al pago de cotizaciones y pago de mesadas pensionales.  </w:t>
      </w:r>
    </w:p>
    <w:p w14:paraId="5385AAF9" w14:textId="77777777" w:rsidR="002B5096" w:rsidRPr="002C1480" w:rsidRDefault="002B5096" w:rsidP="00C32F85">
      <w:pPr>
        <w:spacing w:after="0" w:line="254" w:lineRule="atLeast"/>
        <w:jc w:val="both"/>
        <w:rPr>
          <w:rFonts w:ascii="Arial" w:eastAsia="Times New Roman" w:hAnsi="Arial" w:cs="Arial"/>
          <w:color w:val="000000"/>
          <w:lang w:eastAsia="es-CO"/>
        </w:rPr>
      </w:pPr>
    </w:p>
    <w:p w14:paraId="3D51676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la entidad no se encuentra al día en cuanto al pago de cotizaciones y mesadas pensionales, los recursos que se reciban por concepto del reembolso deberán destinarse exclusivamente al pago de estas obligaciones.  </w:t>
      </w:r>
    </w:p>
    <w:p w14:paraId="0C221B13" w14:textId="77777777" w:rsidR="00B67D4C" w:rsidRDefault="00B67D4C" w:rsidP="00C32F85">
      <w:pPr>
        <w:spacing w:after="0" w:line="254" w:lineRule="atLeast"/>
        <w:jc w:val="both"/>
        <w:rPr>
          <w:rFonts w:ascii="Arial" w:eastAsia="Times New Roman" w:hAnsi="Arial" w:cs="Arial"/>
          <w:color w:val="000000"/>
          <w:lang w:eastAsia="es-CO"/>
        </w:rPr>
      </w:pPr>
    </w:p>
    <w:p w14:paraId="76F946BD" w14:textId="0DEE5AE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Si la entidad se encuentra en un proceso de reestructuración de pasivos de conformidad con la Ley 550 de 1999, la certificación deberá referirse a las obligaciones causadas con posterioridad a la iniciación del proceso.  </w:t>
      </w:r>
    </w:p>
    <w:p w14:paraId="19507DA0" w14:textId="77777777" w:rsidR="00B67D4C" w:rsidRDefault="00B67D4C" w:rsidP="00C32F85">
      <w:pPr>
        <w:spacing w:after="0" w:line="254" w:lineRule="atLeast"/>
        <w:jc w:val="both"/>
        <w:rPr>
          <w:rFonts w:ascii="Arial" w:eastAsia="Times New Roman" w:hAnsi="Arial" w:cs="Arial"/>
          <w:color w:val="000000"/>
          <w:lang w:eastAsia="es-CO"/>
        </w:rPr>
      </w:pPr>
    </w:p>
    <w:p w14:paraId="541BBCD1" w14:textId="1375628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Que las sumas cuyo reembolso se solicitan correspondan a pagos efectivamente realizados durante el período comprendido entre la entrada en vigencia de la Ley 863 de 2003 y el 31 de marzo de 2006.  </w:t>
      </w:r>
    </w:p>
    <w:p w14:paraId="44BDFBA1" w14:textId="77777777" w:rsidR="00B67D4C" w:rsidRDefault="00B67D4C" w:rsidP="00C32F85">
      <w:pPr>
        <w:spacing w:after="0" w:line="254" w:lineRule="atLeast"/>
        <w:jc w:val="both"/>
        <w:rPr>
          <w:rFonts w:ascii="Arial" w:eastAsia="Times New Roman" w:hAnsi="Arial" w:cs="Arial"/>
          <w:color w:val="000000"/>
          <w:lang w:eastAsia="es-CO"/>
        </w:rPr>
      </w:pPr>
    </w:p>
    <w:p w14:paraId="47277704" w14:textId="1AA19AD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solicitud deberá estar acompañada de la constancia de pago de los bonos y cuotas partes de bono emitida por Colpensiones o de las Sociedades Administradoras de Fondos de Pensiones y Cesantías sin incluir los intereses de mora que se hubieren causado y pagado por parte de la entidad territorial.  </w:t>
      </w:r>
    </w:p>
    <w:p w14:paraId="37B926DC"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10F48807" w14:textId="3A9723A0" w:rsidR="00404266" w:rsidRPr="00B67D4C" w:rsidRDefault="00B67D4C" w:rsidP="00B67D4C">
      <w:pPr>
        <w:spacing w:after="0" w:line="293" w:lineRule="atLeast"/>
        <w:jc w:val="center"/>
        <w:rPr>
          <w:rFonts w:ascii="Arial" w:eastAsia="Times New Roman" w:hAnsi="Arial" w:cs="Arial"/>
          <w:b/>
          <w:bCs/>
          <w:color w:val="000000"/>
          <w:lang w:eastAsia="es-CO"/>
        </w:rPr>
      </w:pPr>
      <w:bookmarkStart w:id="1748" w:name="ver_30104002"/>
      <w:bookmarkEnd w:id="1748"/>
      <w:r w:rsidRPr="00B67D4C">
        <w:rPr>
          <w:rFonts w:ascii="Arial" w:eastAsia="Times New Roman" w:hAnsi="Arial" w:cs="Arial"/>
          <w:b/>
          <w:bCs/>
          <w:color w:val="000000"/>
          <w:lang w:eastAsia="es-CO"/>
        </w:rPr>
        <w:t>CAPÍTULO 15</w:t>
      </w:r>
    </w:p>
    <w:p w14:paraId="10132866" w14:textId="205AA36F"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ADMINISTRACIÓN DE TÍTULO DE TESORERÍA</w:t>
      </w:r>
    </w:p>
    <w:p w14:paraId="3585BB4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49" w:name="ver_30104004"/>
      <w:bookmarkEnd w:id="1749"/>
    </w:p>
    <w:p w14:paraId="666D7CB6" w14:textId="5A3EE60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2.12.3.15.1.Representante de los pensionados en el Comité Directivo del Fonpet. Para efectos de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8° de la Ley 549 de 1999, el Ministerio del Trabajo publicará un aviso en un diario de amplia circulación nacional, invitando a los Presidentes de las Agremiaciones de Pensionados de las Entidades Territoriales que se encuentren debidamente registradas en las diferentes Direcciones Territoriales del Ministerio del Trabajo, para que postulen candidatos ante dicho ministerio con el fin de elegir el representante de los pensionados en el Fonpet. En el aviso se establecerá el plazo para la postulación, la fecha de la elección, la forma del escrutinio, y todas las demás condiciones para llevar a cabo la elección.  </w:t>
      </w:r>
    </w:p>
    <w:p w14:paraId="3A0BB160"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115632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candidato que haya obtenido el mayor número de votos será declarado elegido como miembro del Comité Directivo del Fonpet, mediante acto administrativo emitido por el Ministerio del Trabajo, por un período de dos años. En caso de presentarse empate, el Ministerio del trabajo elegirá dicho miembro entre los candidatos que hayan obtenido el mayor número de votos. </w:t>
      </w:r>
    </w:p>
    <w:p w14:paraId="3268A4A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50" w:name="ver_30104006"/>
      <w:bookmarkEnd w:id="1750"/>
    </w:p>
    <w:p w14:paraId="7380B55D" w14:textId="7BE8AFC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2.12.3.15.2.Recursos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Los recursos correspondientes al 5% de las regalías directas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se trasladarán al Fonpet con la misma periodicidad y oportunidad prevista en las normas pertinentes para el traslado de los recursos al Fondo Nacional de Regalías y a las entidades territoriales beneficiarias de las mismas, respectivamente, por parte de las entidades recaudadoras de estos recursos.  </w:t>
      </w:r>
    </w:p>
    <w:p w14:paraId="2BBA9AC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0D1D1F0" w14:textId="17D07A0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por concepto de regalías que no se hubieren transferido al Fonpet por parte de las entidades recaudadoras, se trasladarán a más tardar dentro del mes siguiente al 15 de diciembre de 2006 junto con los rendimientos financieros netos que se hubieren causado hasta la fecha de traslado de acuerdo con la certificación que para el efecto expida el representante legal de la entidad recaudadora de las regalías.  </w:t>
      </w:r>
    </w:p>
    <w:p w14:paraId="4C87F62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51" w:name="ver_30104007"/>
      <w:bookmarkEnd w:id="1751"/>
    </w:p>
    <w:p w14:paraId="16FB6009" w14:textId="618179A4"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2.12.3.15.3.Administración transitoria de recursos por la Dirección General de Crédito Público y del Tesoro Nacional. Para efectos de la administración transitoria de recursos del Fonpet prevista en las disposiciones vigentes, la Dirección General de Crédito Público y del Tesoro Nacional del Ministerio de Hacienda y Crédito Público, recibirá los Títulos de Tesorería, TES, Clase B, valorados a precios de mercado a la tasa de valoración vigente en la fecha de entrega, de acuerdo con la metodología establecida por la Superintendencia Financiera de Colombia. Los TES deberán ser trasladados a la cuenta en el Depósito Central de Valores en el Banco de la República </w:t>
      </w:r>
      <w:r w:rsidR="00404266" w:rsidRPr="002C1480">
        <w:rPr>
          <w:rFonts w:ascii="Arial" w:eastAsia="Times New Roman" w:hAnsi="Arial" w:cs="Arial"/>
          <w:color w:val="000000"/>
          <w:lang w:eastAsia="es-CO"/>
        </w:rPr>
        <w:lastRenderedPageBreak/>
        <w:t>que para tal efecto informe por escrito la Dirección General de Crédito Público y del Tesoro Nacional a cada entidad de la cual se van a recibir los títulos.  </w:t>
      </w:r>
    </w:p>
    <w:p w14:paraId="3F247B5E"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449FE4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hubiere lugar al traslado de disponibilidades de caja, la mencionada Dirección General deberá informar previamente por escrito a cada entidad la cuenta en el Banco de la República a la cual se deberán trasladar estos recursos.  </w:t>
      </w:r>
    </w:p>
    <w:p w14:paraId="45055BA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99AB431" w14:textId="239D81D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proceso de entrega de los títulos respectivos deberá constar en un acta de recibo, que en señal de aceptación deberá suscribir la Dirección de Crédito Público y del Tesoro Nacional junto con el representante legal de las entidades y los supervisores de los contratos. </w:t>
      </w:r>
    </w:p>
    <w:p w14:paraId="1D24EF7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52" w:name="ver_30104009"/>
      <w:bookmarkEnd w:id="1752"/>
    </w:p>
    <w:p w14:paraId="2D0445B5" w14:textId="280096F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2.12.3.15.4.Inversiones de la Dirección de Crédito Público y del Tesoro Nacional. Los Títulos de Tesorería, TES, Clase B, y las disponibilidades de caja del Fonpet serán administrados en las cuentas y en un portafolio de inversión independiente de los demás recursos que para tal fin administre la Dirección General de Crédito Público y del Tesoro Nacional del Ministerio de Hacienda y Crédito Público. Para el manejo y administración de este portafolio, la Dirección General de Crédito Público y del Tesoro Nacional podrá realizar todas aquellas operaciones legalmente autorizadas para el manejo de sus excedentes y de los fondos que administre.  </w:t>
      </w:r>
    </w:p>
    <w:p w14:paraId="39AC6CA7"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17F30C8B" w14:textId="26EF9AC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rentabilidad de los recursos del Fondo Nacional de Pensiones de las Entidades Territoriales (Fonpet), que administre en forma transitoria la Dirección General de Crédito Público y del Tesoro Nacional del Ministerio de Hacienda y Crédito Público, conforme al presente capítulo, no se tendrá en cuenta para efectos del cálculo de la rentabilidad mínima de que trata el numeral 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7° de la Ley 549 de 1999 y sus disposiciones reglamentarias.  </w:t>
      </w:r>
    </w:p>
    <w:p w14:paraId="6234F78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08D760" w14:textId="26D1243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el objeto de que la administración transitoria de la Dirección General de Crédito Público y del Tesoro Nacional mantenga actualizada la información relacionada con los recursos de las entidades territoriales en el Fonpet, la Dirección General de Crédito Público y del Tesoro Nacional del Ministerio de Hacienda y Crédito Público deberá suministrar diariamente la información que para tal efecto previamente determine la Dirección de Regulación Económica de Seguridad Social del mismo Ministerio.  </w:t>
      </w:r>
    </w:p>
    <w:p w14:paraId="57323526" w14:textId="77777777" w:rsidR="00B67D4C" w:rsidRDefault="00B67D4C" w:rsidP="00C32F85">
      <w:pPr>
        <w:spacing w:after="0" w:line="293" w:lineRule="atLeast"/>
        <w:jc w:val="both"/>
        <w:rPr>
          <w:rFonts w:ascii="Arial" w:eastAsia="Times New Roman" w:hAnsi="Arial" w:cs="Arial"/>
          <w:color w:val="000000"/>
          <w:lang w:eastAsia="es-CO"/>
        </w:rPr>
      </w:pPr>
      <w:bookmarkStart w:id="1753" w:name="ver_30104010"/>
      <w:bookmarkEnd w:id="1753"/>
    </w:p>
    <w:p w14:paraId="1C3E151C" w14:textId="45ABB51F"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CAPÍTULO 16</w:t>
      </w:r>
    </w:p>
    <w:p w14:paraId="14BC9AE2" w14:textId="2450F562"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EXCLUSIÓN DE REALIZAR APORTES AL FONPET</w:t>
      </w:r>
    </w:p>
    <w:p w14:paraId="4F6081B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54" w:name="ver_30104011"/>
      <w:bookmarkEnd w:id="1754"/>
    </w:p>
    <w:p w14:paraId="445C2397" w14:textId="6792CE0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2.12.3.16.1.</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Entidades excluidas de la obligación de realizar aportes por concepto de regalías, derechos o compensaciones al Fonpet. De conformidad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las entidades territoriales que hayan cubierto el ciento por ciento (100%) de las provisiones del pasivo pensional en los términos previstos en la Ley 549 de 1999, están excluidas de la obligación de realizar aportes al Fonpet por concepto de regalías, derechos o compensaciones provenientes de la explotación de recursos no renovables, de acuerdo con la certificación que expida al efecto el Ministerio de Hacienda y Crédito Público.  </w:t>
      </w:r>
    </w:p>
    <w:p w14:paraId="1DCE2BDA" w14:textId="27C50D49"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efectos de la expedición de la certificación a que hace referencia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el Ministerio de Hacienda y Crédito Público tendrá en cuenta las disposiciones que respecto del cubrimiento del pasivo pensional se establecen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Copia de esta certificación se remitirá a las entidades responsables del recaudo de los aportes.  </w:t>
      </w:r>
    </w:p>
    <w:p w14:paraId="19D242C4" w14:textId="77777777" w:rsidR="002B5096" w:rsidRDefault="002B5096" w:rsidP="00C32F85">
      <w:pPr>
        <w:spacing w:after="0" w:line="254" w:lineRule="atLeast"/>
        <w:jc w:val="both"/>
        <w:rPr>
          <w:rFonts w:ascii="Arial" w:eastAsia="Times New Roman" w:hAnsi="Arial" w:cs="Arial"/>
          <w:color w:val="000000"/>
          <w:lang w:eastAsia="es-CO"/>
        </w:rPr>
      </w:pPr>
      <w:bookmarkStart w:id="1755" w:name="ver_30104012"/>
      <w:bookmarkEnd w:id="1755"/>
    </w:p>
    <w:p w14:paraId="4B980BD5" w14:textId="5961D91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2.12.3.16.2.</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Entidades excluidas de la obligación de realizar aportes por concepto de recursos de la participación de propósito general. De conformidad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22 de la Ley </w:t>
      </w:r>
      <w:r w:rsidR="00404266" w:rsidRPr="002C1480">
        <w:rPr>
          <w:rFonts w:ascii="Arial" w:eastAsia="Times New Roman" w:hAnsi="Arial" w:cs="Arial"/>
          <w:color w:val="000000"/>
          <w:lang w:eastAsia="es-CO"/>
        </w:rPr>
        <w:lastRenderedPageBreak/>
        <w:t>1176 de 2007, están excluidos de la obligación de realizar aportes al Fonpet por concepto de recursos de la participación de propósito general del Sistema General de Participaciones, los departamentos, distritos o municipios, que no tengan pasivo pensional, y aquellos que teniendo pasivo pensional estén dentro de un acuerdo de reestructuración de pasivos conforme a la Ley 550 de 1999, o a las normas que la sustituyan o modifiquen, siempre y cuando estos recursos se encuentren comprometidos en dicho acuerdo de reestructuración.  </w:t>
      </w:r>
    </w:p>
    <w:p w14:paraId="4FEBF6DA"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230ACA5D" w14:textId="2B76BA5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las entidades que no tengan pasivo pensional, la Dirección de Regulación Económica de la Seguridad Social del Ministerio de Hacienda y Crédito Público certificará dicha circunstancia, 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Copia de esta certificación se remitirá al Departamento Nacional de Planeación.  </w:t>
      </w:r>
    </w:p>
    <w:p w14:paraId="70021F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7BDF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las entidades que se encuentren en acuerdo de reestructuración, la Dirección General de Apoyo Fiscal del Ministerio de Hacienda y Crédito Público remitirá a la Dirección de Regulación Económica de la Seguridad Social copia de la certificación que expida con destino al Departamento Nacional de Planeación, en la cual se manifieste que se han reorientado recursos del Sistema General de Participaciones para financiar el acuerdo de reestructuración.  </w:t>
      </w:r>
    </w:p>
    <w:p w14:paraId="58578E9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56" w:name="ver_30104014"/>
      <w:bookmarkEnd w:id="1756"/>
    </w:p>
    <w:p w14:paraId="3205C910" w14:textId="52FF441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2.12.3.16.3.</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Cubrimiento del pasivo pensional. Para los efectos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se entenderá que una entidad tiene cubierto su pasivo pensional cuando (i) la suma de las reservas constituidas en el Fonpet y las reservas líquidas constituidas en el Fondo Territorial de Pensiones y los demás patrimonios autónomos de la entidad territorial que tengan por finalidad el pago de pasivos pensionales, sean equivalentes al valor del pasivo pensional, en los términos del inciso 4° del presente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y (ii) cuando sus entidades descentralizadas hayan cubierto su pasivo pensional en los términos del inciso 5° del presente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w:t>
      </w:r>
    </w:p>
    <w:p w14:paraId="280D206E"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22FF49F9" w14:textId="1AA1D608"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reservas constituidas en el Fonpet para cada entidad territorial se obtendrán de la cuenta en Fonpet de la entidad, de acuerdo con el Sistema de Información del Fonpet previsto en los capítulos 8 y 9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4D9CC1FA"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36C5A329" w14:textId="662EC19B"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reservas líquidas constituidas en el Fondo Territorial de Pensiones y en los patrimonios autónomos serán certificadas por los administradores del Fondo Territorial de Pensiones o del patrimonio autónomo respectivo. Las reservas líquidas deberán corresponder a inversiones admisibles de los Fondos de Pensiones Obligatorias y serán certificadas a precios de mercado.  </w:t>
      </w:r>
    </w:p>
    <w:p w14:paraId="2AC63F76"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57111D3B" w14:textId="11CA823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del pasivo pensional será igual a la suma de los cálculos actuariales de las entidades territoriales registradas en el Fonpet, adicionados en una provisión del cinco por ciento (5%) para gastos de administración y un veinte por ciento (20%) para desviaciones del cálculo actuarial y contingencias.  </w:t>
      </w:r>
    </w:p>
    <w:p w14:paraId="20F15AA2"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469B4942" w14:textId="127D57C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relación con las entidades descentralizadas de las entidades territoriales, se entenderá que estas tienen cubierto el pasivo pensional cuando hayan adoptado un mecanismo de normalización de pasivos pensionales, de conformidad con las reglas contenidas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39 de la Ley 1151 de 2007 y las demás normas legales y reglamentarias previstas en dicha disposición. La entidad territorial deberá acreditar la normalización del pasivo pensional de sus entidades descentralizadas.  </w:t>
      </w:r>
    </w:p>
    <w:p w14:paraId="6D9D32D3"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4E56473C" w14:textId="1DA65DD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retiro de los recursos de la cuenta en Fonpet de la entidad territorial, que excedan los montos señalados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aplicará el procedimiento previsto en el Capítulo 8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así como la destinación señalada para los mismos en dicho capítulo.  </w:t>
      </w:r>
    </w:p>
    <w:p w14:paraId="5EF7B5F7" w14:textId="42B3B81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Para efectos del retiro de los recursos para el pago de obligaciones pensionales corrientes del sector Propósito General, no se tendrán en cuenta dentro del valor del pasivo pensional, las provisiones de gastos de administración y desviaciones del cálculo actuarial y contingencias, señaladas en el inciso anterior.  </w:t>
      </w:r>
    </w:p>
    <w:p w14:paraId="1C693EB3" w14:textId="77777777" w:rsidR="00B67D4C" w:rsidRDefault="00B67D4C" w:rsidP="00C32F85">
      <w:pPr>
        <w:spacing w:after="0" w:line="254" w:lineRule="atLeast"/>
        <w:jc w:val="both"/>
        <w:rPr>
          <w:rFonts w:ascii="Arial" w:eastAsia="Times New Roman" w:hAnsi="Arial" w:cs="Arial"/>
          <w:color w:val="000000"/>
          <w:lang w:eastAsia="es-CO"/>
        </w:rPr>
      </w:pPr>
    </w:p>
    <w:p w14:paraId="08E6A7C6" w14:textId="25E3C36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2.12.3.16.4.</w:t>
      </w:r>
      <w:r w:rsidR="0074565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Reducción o suspensión de aportes al Fonpet con base en el modelo de administración financiera. De acuerdo con lo establecido en el parágrafo 8°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las entidades territoriales que cumplan las metas señaladas en el modelo de administración financiera de aportes al Fonpet adoptado por el Ministerio de Hacienda y Crédito Público, podrán solicitar a dicho ministerio la reducción o suspensión de los aportes al Fonpet con cargo a los ingresos de origen territorial.  </w:t>
      </w:r>
    </w:p>
    <w:p w14:paraId="13BF02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BD17F1" w14:textId="7C82BC0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quiera que los aportes de la entidad territorial se reduzcan o suspendan en virtud de lo dispuesto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participación de la entidad en los ingresos de origen nacional se reducirá o suspenderá en la misma proporción.  </w:t>
      </w:r>
    </w:p>
    <w:p w14:paraId="6E4C2CC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5E98EB" w14:textId="05B58E8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anteriores efectos se entiende por ingresos de origen territorial, los previstos en los numerales 7, 8 y 9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 la Ley 863 de 2003 y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78 de la Ley 715 de 2001,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 de la Ley 1176 de 2007. Para los mismos efectos, se entiende por ingreso de origen nacional, los previstos en los numerales 4 y 11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w:t>
      </w:r>
    </w:p>
    <w:p w14:paraId="771D6C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CFB1D7" w14:textId="59A90D2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modelo de administración financiera del Fonpet tendrá en cuenta el monto del pasivo pensional,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2.12.3.16.3.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las reservas acumuladas en el Fonpet y el comportamiento esperado de los pagos a cargo de la entidad territorial. De acuerdo con el comportamiento esperado de los pagos y las necesidades de financiación de pasivos pensionales por sectores específicos, el Ministerio de Hacienda y Crédito Público podrá autorizar la reducción o suspensión parcial de aportes por tipos de ingreso de origen territorial.  </w:t>
      </w:r>
    </w:p>
    <w:p w14:paraId="40E65B0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3FC24F" w14:textId="470C7726"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cualquier evento en que la entidad territorial solicite la reducción de aportes al Fonpet de conformidad con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deberá cumplir con las condiciones previstas para el retiro de recursos de acuerdo con el Capítulo 8 del presente título.  </w:t>
      </w:r>
    </w:p>
    <w:p w14:paraId="4443BE40"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090E4092" w14:textId="2C73EB06"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quiera que los recursos disponibles en el Fondo Territorial de Pensiones o en el patrimonio autónomo de garantía se reduzcan, los aportes al Fonpet deberán continuarse realizando en la forma inicialmente prevista en la Ley 549 de 1999 y sus disposiciones complementarias.  </w:t>
      </w:r>
    </w:p>
    <w:p w14:paraId="280001AC" w14:textId="77777777" w:rsidR="00B67D4C" w:rsidRPr="002C1480" w:rsidRDefault="00B67D4C" w:rsidP="00C32F85">
      <w:pPr>
        <w:spacing w:after="0" w:line="254" w:lineRule="atLeast"/>
        <w:jc w:val="both"/>
        <w:rPr>
          <w:rFonts w:ascii="Arial" w:eastAsia="Times New Roman" w:hAnsi="Arial" w:cs="Arial"/>
          <w:color w:val="000000"/>
          <w:lang w:eastAsia="es-CO"/>
        </w:rPr>
      </w:pPr>
    </w:p>
    <w:p w14:paraId="4368DD6C" w14:textId="35D84E3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2.12.3.16.5.Cubrimiento del Pasivo Pensional por Sector del Fonpet. Se entenderá cubierto el pasivo pensional de la entidad territorial, cuando para cada sector se cumplan las condiciones establecidas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290363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0B5693" w14:textId="234CEE3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calcular el cubrimiento del pasivo pensional por cada sector, las entidades territoriales deberán certificar a la Dirección General de Regulación Económica de la Seguridad Social del Ministerio de Hacienda y Crédito Público, el valor de las reservas constituidas en los Fondos Territoriales de Pensiones, patrimonios autónomos, encargos fiduciarios y/o cuentas especiales, que tengan por finalidad el pago de pasivos pensionales. Las certificaciones deberán expedirse con corte a 31 de diciembre del año inmediatamente anterior, en los formatos que establezca el Ministerio de Hacienda y Crédito Público y se presentarán dentro de los dos meses siguientes a esta fecha.  </w:t>
      </w:r>
    </w:p>
    <w:p w14:paraId="01BDA32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57" w:name="ver_30104018"/>
      <w:bookmarkEnd w:id="1757"/>
    </w:p>
    <w:p w14:paraId="6329BB2E" w14:textId="599AE62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2.12.3.16.6.</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Distribución de recursos. Las entidades responsables del giro de recursos al Fonpet en cumplimiento de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y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y el Ministerio que haya elaborado el programa de enajenación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 de la Ley 226 de 1995, para el caso de las privatizaciones de que trata el numeral 4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deberán expedir un acto administrativo motivado en el cual se distribuyan porcentualmente los recursos entre las cuentas de las entidades territoriales en el Fonpet y se explique el mecanismo utilizado para este propósito.  </w:t>
      </w:r>
    </w:p>
    <w:p w14:paraId="52FEB8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0FE4FC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caso de los aportes al Fonpet que estén incorporados en el Presupuesto General de la Nación y con fundamento en el acto administrativo mencionado, el Ministerio de Hacienda y Crédito Público asignará mediante resolución los recursos en las cuentas de las entidades territoriales, a medida que dichos recursos se apropien presupuestalmente.  </w:t>
      </w:r>
    </w:p>
    <w:p w14:paraId="3A8321CC"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3496DE27" w14:textId="267CEFDE" w:rsidR="00404266" w:rsidRDefault="002C1480" w:rsidP="00C32F85">
      <w:pPr>
        <w:spacing w:after="0" w:line="254" w:lineRule="atLeast"/>
        <w:jc w:val="both"/>
        <w:rPr>
          <w:rFonts w:ascii="Arial" w:eastAsia="Times New Roman" w:hAnsi="Arial" w:cs="Arial"/>
          <w:color w:val="000000"/>
          <w:lang w:eastAsia="es-CO"/>
        </w:rPr>
      </w:pPr>
      <w:bookmarkStart w:id="1758" w:name="ver_30104021"/>
      <w:bookmarkEnd w:id="1758"/>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2.12.3.16.7.</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Saldo en cuenta para retiros. Para los efectos de la Sección 2, Capítulo 8 del presente título, el saldo en cuenta para retiros incluirá las fuentes de recursos previstas en el numeral 7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de la Ley 549 de 1999 que se encuentren acreditadas en la cuenta de Fonpet a la fecha de la solicitud. </w:t>
      </w:r>
    </w:p>
    <w:p w14:paraId="26D2FB88" w14:textId="6084CB9D" w:rsidR="00404266" w:rsidRDefault="00404266" w:rsidP="00C32F85">
      <w:pPr>
        <w:spacing w:after="0" w:line="240" w:lineRule="auto"/>
        <w:jc w:val="both"/>
        <w:rPr>
          <w:rFonts w:ascii="Arial" w:eastAsia="Times New Roman" w:hAnsi="Arial" w:cs="Arial"/>
          <w:color w:val="000000"/>
          <w:lang w:eastAsia="es-CO"/>
        </w:rPr>
      </w:pPr>
      <w:bookmarkStart w:id="1759" w:name="ver_30104022"/>
      <w:bookmarkEnd w:id="1759"/>
    </w:p>
    <w:p w14:paraId="07084F93" w14:textId="220ACED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2.12.3.16.8.</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Autorización de retiro. La autorización del retiro de recursos del Fonpet a que se refieren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51 de la Ley 863 de 2003 y la Sección 3 del Capítulo 8, y Capítulo 9 y 10 del presente título se realizará mediante comunicación del Ministerio de Hacienda y Crédito Público, en su condición de administrador del Fonpet, a través de la Dirección de Regulación Económica de la Seguridad Social, previo el cumplimiento de las disposiciones legales y reglamentarias aplicables para el efecto.  </w:t>
      </w:r>
    </w:p>
    <w:p w14:paraId="37F63A43"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58A6E5C5" w14:textId="42912C11" w:rsidR="00404266" w:rsidRPr="00B67D4C" w:rsidRDefault="00B67D4C" w:rsidP="00B67D4C">
      <w:pPr>
        <w:spacing w:after="0" w:line="293" w:lineRule="atLeast"/>
        <w:jc w:val="center"/>
        <w:rPr>
          <w:rFonts w:ascii="Arial" w:eastAsia="Times New Roman" w:hAnsi="Arial" w:cs="Arial"/>
          <w:b/>
          <w:bCs/>
          <w:color w:val="000000"/>
          <w:lang w:eastAsia="es-CO"/>
        </w:rPr>
      </w:pPr>
      <w:bookmarkStart w:id="1760" w:name="ver_30104023"/>
      <w:bookmarkEnd w:id="1760"/>
      <w:r w:rsidRPr="00B67D4C">
        <w:rPr>
          <w:rFonts w:ascii="Arial" w:eastAsia="Times New Roman" w:hAnsi="Arial" w:cs="Arial"/>
          <w:b/>
          <w:bCs/>
          <w:color w:val="000000"/>
          <w:lang w:eastAsia="es-CO"/>
        </w:rPr>
        <w:t>CAPÍTULO 17</w:t>
      </w:r>
    </w:p>
    <w:p w14:paraId="15C98AB7" w14:textId="222B8E4E" w:rsidR="00404266" w:rsidRPr="00B67D4C" w:rsidRDefault="00B67D4C" w:rsidP="00B67D4C">
      <w:pPr>
        <w:spacing w:after="0" w:line="293" w:lineRule="atLeast"/>
        <w:jc w:val="center"/>
        <w:rPr>
          <w:rFonts w:ascii="Arial" w:eastAsia="Times New Roman" w:hAnsi="Arial" w:cs="Arial"/>
          <w:b/>
          <w:bCs/>
          <w:color w:val="000000"/>
          <w:lang w:eastAsia="es-CO"/>
        </w:rPr>
      </w:pPr>
      <w:r w:rsidRPr="00B67D4C">
        <w:rPr>
          <w:rFonts w:ascii="Arial" w:eastAsia="Times New Roman" w:hAnsi="Arial" w:cs="Arial"/>
          <w:b/>
          <w:bCs/>
          <w:color w:val="000000"/>
          <w:lang w:eastAsia="es-CO"/>
        </w:rPr>
        <w:t>REGLAMENTACIÓN PARCIAL DEL ARTÍCULO 48 DE LA LEY 863 DE 2003</w:t>
      </w:r>
    </w:p>
    <w:p w14:paraId="02A4D6E0" w14:textId="77777777" w:rsidR="00A42694" w:rsidRDefault="00A42694" w:rsidP="00C32F85">
      <w:pPr>
        <w:spacing w:after="0" w:line="254" w:lineRule="atLeast"/>
        <w:jc w:val="both"/>
        <w:rPr>
          <w:rFonts w:ascii="Arial" w:eastAsia="Times New Roman" w:hAnsi="Arial" w:cs="Arial"/>
          <w:color w:val="000000"/>
          <w:lang w:eastAsia="es-CO"/>
        </w:rPr>
      </w:pPr>
    </w:p>
    <w:p w14:paraId="26FE7E4C" w14:textId="13AF15D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2.12.3.17.1.</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Distribución de los recursos. El Departamento Nacional de Planeación distribuirá, anualmente, entre las entidades territoriales existentes a diciembre 31 de cada vigencia, los recursos a que se refiere el inciso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teniendo en cuenta la participación porcentual de cada grupo de entidades territoriales en el monto total de los pasivos pensionales no cubiertos que se encuentren registrados en el sistema de información del Fonpet, así: i) un grupo correspondiente a los Departamentos y Distrito Capital, y ii) un grupo correspondiente a los Municipios y demás Distritos.  </w:t>
      </w:r>
    </w:p>
    <w:p w14:paraId="47420518" w14:textId="77777777" w:rsidR="00A42694" w:rsidRPr="002C1480" w:rsidRDefault="00A42694" w:rsidP="00C32F85">
      <w:pPr>
        <w:spacing w:after="0" w:line="254" w:lineRule="atLeast"/>
        <w:jc w:val="both"/>
        <w:rPr>
          <w:rFonts w:ascii="Arial" w:eastAsia="Times New Roman" w:hAnsi="Arial" w:cs="Arial"/>
          <w:color w:val="000000"/>
          <w:lang w:eastAsia="es-CO"/>
        </w:rPr>
      </w:pPr>
    </w:p>
    <w:p w14:paraId="0C3FFB6F" w14:textId="4ACA530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Al interior de cada uno de estos grupos, se distribuirán los recursos entre las entidades territoriales de la siguiente forma: i) El 30% en proporción a la proyección de población certificada por el DANE para la vigencia en que se realiza la distribución; ii) el 35% en proporción al índice de desempeño fiscal del año anterior al que se realiza la distribución, calculado por el DNP, y iii) el 35% restante en proporción inversa al índice de desarrollo del año anterior al que se realiza la distribución, calculado por el DNP.  </w:t>
      </w:r>
    </w:p>
    <w:p w14:paraId="4EE13FD7" w14:textId="77777777" w:rsidR="00A42694" w:rsidRPr="002C1480" w:rsidRDefault="00A42694" w:rsidP="00C32F85">
      <w:pPr>
        <w:spacing w:after="0" w:line="254" w:lineRule="atLeast"/>
        <w:jc w:val="both"/>
        <w:rPr>
          <w:rFonts w:ascii="Arial" w:eastAsia="Times New Roman" w:hAnsi="Arial" w:cs="Arial"/>
          <w:color w:val="000000"/>
          <w:lang w:eastAsia="es-CO"/>
        </w:rPr>
      </w:pPr>
    </w:p>
    <w:p w14:paraId="0D9D924A" w14:textId="325AE95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Departamento Nacional de Planeación junto con el Ministerio de Hacienda y Crédito Público establecerán en un documento técnico, la metodología de combinación de los criterios señalados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64B62DA1" w14:textId="77777777" w:rsidR="00A42694" w:rsidRPr="002C1480" w:rsidRDefault="00A42694" w:rsidP="00C32F85">
      <w:pPr>
        <w:spacing w:after="0" w:line="254" w:lineRule="atLeast"/>
        <w:jc w:val="both"/>
        <w:rPr>
          <w:rFonts w:ascii="Arial" w:eastAsia="Times New Roman" w:hAnsi="Arial" w:cs="Arial"/>
          <w:color w:val="000000"/>
          <w:lang w:eastAsia="es-CO"/>
        </w:rPr>
      </w:pPr>
    </w:p>
    <w:p w14:paraId="7101E6DD" w14:textId="3363B86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Los recursos señalados serán distribuidos entre las entidades territoriales que no hayan cubierto su pasivo pensional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2.12.3.16.3.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w:t>
      </w:r>
      <w:r w:rsidRPr="002C1480">
        <w:rPr>
          <w:rFonts w:ascii="Arial" w:eastAsia="Times New Roman" w:hAnsi="Arial" w:cs="Arial"/>
          <w:color w:val="000000"/>
          <w:lang w:eastAsia="es-CO"/>
        </w:rPr>
        <w:lastRenderedPageBreak/>
        <w:t>conformidad con la certificación que expida para tal efecto el Ministerio de Hacienda y Crédito Público.  </w:t>
      </w:r>
    </w:p>
    <w:p w14:paraId="4C3CC7B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61" w:name="ver_30104025"/>
      <w:bookmarkEnd w:id="1761"/>
    </w:p>
    <w:p w14:paraId="52C66629" w14:textId="00792DB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2.12.3.17.2.Certificación del monto a distribuir. La distribución anual de los recursos, convertidos a Unidades Fonpet, con corte a 31 de diciembre de cada vigencia, se hará con base en el monto de reservas acumuladas, registrado con cargo a las fuentes “Fondo Nacional de Regalías” en el sistema de información del Fonpet, sobre el 50% de los recursos del FNR que ingresaron al Fonpet, en los términos señalados por el inciso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Esta información será suministrada por la Dirección General de Regulación Económica de la Seguridad Social (DRESS) del Ministerio de Hacienda y Crédito Público al Departamento Nacional de Planeación.  </w:t>
      </w:r>
    </w:p>
    <w:p w14:paraId="32445C1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62" w:name="ver_30104027"/>
      <w:bookmarkEnd w:id="1762"/>
    </w:p>
    <w:p w14:paraId="038E2BD0" w14:textId="7F5BDD5C"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2.12.3.17.3.</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Certificación del monto total del pasivo pensional y su composición. El Ministerio de Hacienda y Crédito Público a través de la Dirección General de Regulación Económica de la Seguridad Social (DRESS), a más tardar el último día hábil del mes de junio de cada vigencia, certificará de conformidad con el anterior capítulo al Departamento Nacional de Planeación, junto con lo requerido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el monto total del pasivo pensional a 31 de diciembre de la vigencia inmediatamente anterior y los porcentajes de composición de los pasivos por grupos de entidades territoriales mencionados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Así mismo, certificará el monto individual del pasivo pensional de cada entidad territorial y su porcentaje de cobertura del pasivo pensional a la fecha en que se esté suministrando la información.  </w:t>
      </w:r>
    </w:p>
    <w:p w14:paraId="4ED5F64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63" w:name="ver_30104029"/>
      <w:bookmarkEnd w:id="1763"/>
    </w:p>
    <w:p w14:paraId="01555F1B" w14:textId="3EE5578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2.12.3.17.4.</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Información y abono. El Departamento Nacional de Planeación, establecerá, mediante acto administrativo, el monto asignado a cada entidad territorial por concepto de los recursos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48 de la Ley 863 de 2003, el cual debe informar al Ministerio de Hacienda y Crédito Público para su abono, a más tardar el último día hábil del mes de agosto de cada año, y a las entidades territoriales beneficiarias mediante comunicación y publicación en la página web del Departamento Nacional de Planeación. </w:t>
      </w:r>
    </w:p>
    <w:p w14:paraId="2EA03C71" w14:textId="77777777" w:rsidR="000C599B" w:rsidRDefault="000C599B" w:rsidP="00C32F85">
      <w:pPr>
        <w:spacing w:after="0" w:line="293" w:lineRule="atLeast"/>
        <w:jc w:val="both"/>
        <w:rPr>
          <w:rFonts w:ascii="Arial" w:eastAsia="Times New Roman" w:hAnsi="Arial" w:cs="Arial"/>
          <w:color w:val="000000"/>
          <w:lang w:eastAsia="es-CO"/>
        </w:rPr>
      </w:pPr>
      <w:bookmarkStart w:id="1764" w:name="ver_30104031"/>
      <w:bookmarkEnd w:id="1764"/>
    </w:p>
    <w:p w14:paraId="318C60E6" w14:textId="09538877"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CAPÍTULO 18</w:t>
      </w:r>
    </w:p>
    <w:p w14:paraId="716E2CBF" w14:textId="74787565"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GASTOS ADMINISTRATIVOS DEL FONPET</w:t>
      </w:r>
    </w:p>
    <w:p w14:paraId="5E1E40F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65" w:name="ver_30104033"/>
      <w:bookmarkEnd w:id="1765"/>
    </w:p>
    <w:p w14:paraId="49AEAE00" w14:textId="0248144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2.12.3.18.1.</w:t>
      </w:r>
      <w:r w:rsidR="003B1B42">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Gastos administrativos. Para efectos de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25 de la Ley 1450 de 2011, se entiende por gastos administrativos los indispensables para garantizar el funcionamiento del Fonpet en el momento de publicación de la ley en mención, dentro de los cuales se encuentran:  </w:t>
      </w:r>
    </w:p>
    <w:p w14:paraId="2ADF08B1" w14:textId="77777777" w:rsidR="000C599B" w:rsidRDefault="000C599B" w:rsidP="00C32F85">
      <w:pPr>
        <w:spacing w:after="0" w:line="254" w:lineRule="atLeast"/>
        <w:jc w:val="both"/>
        <w:rPr>
          <w:rFonts w:ascii="Arial" w:eastAsia="Times New Roman" w:hAnsi="Arial" w:cs="Arial"/>
          <w:color w:val="000000"/>
          <w:lang w:eastAsia="es-CO"/>
        </w:rPr>
      </w:pPr>
    </w:p>
    <w:p w14:paraId="4D561C47" w14:textId="5E66DAA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comisiones que deban pagarse a las entidades administradoras de los patrimonios autónomos del Fondo Nacional de Pensiones de las Entidades Territoriales (Fonpet).  </w:t>
      </w:r>
    </w:p>
    <w:p w14:paraId="1A99DF45" w14:textId="77777777" w:rsidR="000C599B" w:rsidRDefault="000C599B" w:rsidP="00C32F85">
      <w:pPr>
        <w:spacing w:after="0" w:line="254" w:lineRule="atLeast"/>
        <w:jc w:val="both"/>
        <w:rPr>
          <w:rFonts w:ascii="Arial" w:eastAsia="Times New Roman" w:hAnsi="Arial" w:cs="Arial"/>
          <w:color w:val="000000"/>
          <w:lang w:eastAsia="es-CO"/>
        </w:rPr>
      </w:pPr>
    </w:p>
    <w:p w14:paraId="7B87A74E" w14:textId="495D47D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gastos asociados al Sistema de Información del Fondo, siempre y cuando estos gastos no se encuentren incluidos dentro del pago de las comisiones.  </w:t>
      </w:r>
    </w:p>
    <w:p w14:paraId="3DD6837E" w14:textId="77777777" w:rsidR="000C599B" w:rsidRDefault="000C599B" w:rsidP="00C32F85">
      <w:pPr>
        <w:spacing w:after="0" w:line="254" w:lineRule="atLeast"/>
        <w:jc w:val="both"/>
        <w:rPr>
          <w:rFonts w:ascii="Arial" w:eastAsia="Times New Roman" w:hAnsi="Arial" w:cs="Arial"/>
          <w:color w:val="000000"/>
          <w:lang w:eastAsia="es-CO"/>
        </w:rPr>
      </w:pPr>
    </w:p>
    <w:p w14:paraId="1E2A6189" w14:textId="1C171D9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La auditoría especializada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 de la Ley 1450 de 2011.  </w:t>
      </w:r>
    </w:p>
    <w:p w14:paraId="549122B5" w14:textId="77777777" w:rsidR="000C599B" w:rsidRDefault="000C599B" w:rsidP="00C32F85">
      <w:pPr>
        <w:spacing w:after="0" w:line="254" w:lineRule="atLeast"/>
        <w:jc w:val="both"/>
        <w:rPr>
          <w:rFonts w:ascii="Arial" w:eastAsia="Times New Roman" w:hAnsi="Arial" w:cs="Arial"/>
          <w:color w:val="000000"/>
          <w:lang w:eastAsia="es-CO"/>
        </w:rPr>
      </w:pPr>
    </w:p>
    <w:p w14:paraId="5AEC8488" w14:textId="697F529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Los gastos administrativos para el seguimiento y actualización de cálculos actuariales, los del Programa de Historias Laborales y del Modelo de Administración Financiera, en consonancia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 la Ley 863 de 2003.  </w:t>
      </w:r>
    </w:p>
    <w:p w14:paraId="519B80AA" w14:textId="77777777" w:rsidR="000C599B" w:rsidRDefault="000C599B" w:rsidP="00C32F85">
      <w:pPr>
        <w:spacing w:after="0" w:line="254" w:lineRule="atLeast"/>
        <w:jc w:val="both"/>
        <w:rPr>
          <w:rFonts w:ascii="Arial" w:eastAsia="Times New Roman" w:hAnsi="Arial" w:cs="Arial"/>
          <w:color w:val="000000"/>
          <w:lang w:eastAsia="es-CO"/>
        </w:rPr>
      </w:pPr>
    </w:p>
    <w:p w14:paraId="3EA54559" w14:textId="5EED532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5. Los gastos ordenados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243 de la Ley 1450 de 2011.  </w:t>
      </w:r>
    </w:p>
    <w:p w14:paraId="0C9CBC5B" w14:textId="77777777" w:rsidR="000C599B" w:rsidRDefault="000C599B" w:rsidP="00C32F85">
      <w:pPr>
        <w:spacing w:after="0" w:line="254" w:lineRule="atLeast"/>
        <w:jc w:val="both"/>
        <w:rPr>
          <w:rFonts w:ascii="Arial" w:eastAsia="Times New Roman" w:hAnsi="Arial" w:cs="Arial"/>
          <w:color w:val="000000"/>
          <w:lang w:eastAsia="es-CO"/>
        </w:rPr>
      </w:pPr>
    </w:p>
    <w:p w14:paraId="65624F68" w14:textId="55A3EBD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gastos asociados a la implementación de la contabilidad del Fonpet conforme lo ordenado en la Resolución 423 de diciembre de 2011, de la Contaduría General de la Nación.  </w:t>
      </w:r>
    </w:p>
    <w:p w14:paraId="34A40FB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66" w:name="ver_30104034"/>
      <w:bookmarkEnd w:id="1766"/>
    </w:p>
    <w:p w14:paraId="14FC42F7" w14:textId="3271A82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2.12.3.18.2.Límite de gastos. En cumplimiento de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25 de la Ley 1450 de 2011, los gastos anuales de administración del Fondo a los que se refieren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no podrán superar el equivalente al 8% de los rendimientos financieros que arroje la administración de sus recursos durante el mismo período de tiempo.  </w:t>
      </w:r>
    </w:p>
    <w:p w14:paraId="1CD0097E" w14:textId="525EBB94" w:rsidR="00404266" w:rsidRDefault="00404266" w:rsidP="00C32F85">
      <w:pPr>
        <w:spacing w:after="0" w:line="240" w:lineRule="auto"/>
        <w:jc w:val="both"/>
        <w:rPr>
          <w:rFonts w:ascii="Arial" w:eastAsia="Times New Roman" w:hAnsi="Arial" w:cs="Arial"/>
          <w:color w:val="000000"/>
          <w:lang w:eastAsia="es-CO"/>
        </w:rPr>
      </w:pPr>
      <w:bookmarkStart w:id="1767" w:name="ver_30104037"/>
      <w:bookmarkEnd w:id="1767"/>
    </w:p>
    <w:p w14:paraId="7408D90C" w14:textId="70C3B86F" w:rsidR="00404266" w:rsidRPr="000C599B" w:rsidRDefault="002B5096" w:rsidP="000C599B">
      <w:pPr>
        <w:spacing w:after="0" w:line="254"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CAPÍTULO 19</w:t>
      </w:r>
    </w:p>
    <w:p w14:paraId="127B9CFF" w14:textId="2B26C235" w:rsidR="00404266" w:rsidRPr="000C599B" w:rsidRDefault="002B5096" w:rsidP="000C599B">
      <w:pPr>
        <w:spacing w:after="0" w:line="254"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LA RENTABILIDAD MÍNIMA DEL FONPET Y OTRAS DISPOSICIONES</w:t>
      </w:r>
    </w:p>
    <w:p w14:paraId="6189742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68" w:name="ver_30177886"/>
      <w:bookmarkStart w:id="1769" w:name="ver_30104038"/>
      <w:bookmarkEnd w:id="1768"/>
    </w:p>
    <w:p w14:paraId="713A04C2" w14:textId="07B12BA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 Régimen de inversiones aplicable. El Régimen de Inversiones aplicable a los patrimonios autónomos del Fondo Nacional de Pensiones de las Entidades Territoriales -(Fonpet) y a otros patrimonios autónomos públicos destinados a la garantía y pago de pensiones, estará sujeto a los activos señalados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2.6.12.1.2. del Título 12 del Libro 6 de la Parte 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con los siguientes límites: </w:t>
      </w:r>
    </w:p>
    <w:p w14:paraId="388CA280" w14:textId="77777777" w:rsidR="000C599B" w:rsidRDefault="000C599B" w:rsidP="00C32F85">
      <w:pPr>
        <w:spacing w:after="0" w:line="254" w:lineRule="atLeast"/>
        <w:jc w:val="both"/>
        <w:rPr>
          <w:rFonts w:ascii="Arial" w:eastAsia="Times New Roman" w:hAnsi="Arial" w:cs="Arial"/>
          <w:color w:val="000000"/>
          <w:lang w:eastAsia="es-CO"/>
        </w:rPr>
      </w:pPr>
    </w:p>
    <w:p w14:paraId="59D58BB3" w14:textId="006EDFC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Hasta en un cincuenta por ciento (50%) para los instrumentos descritos en el subnumeral 1.1. </w:t>
      </w:r>
    </w:p>
    <w:p w14:paraId="4D8AB0E8" w14:textId="77777777" w:rsidR="000C599B" w:rsidRDefault="000C599B" w:rsidP="00C32F85">
      <w:pPr>
        <w:spacing w:after="0" w:line="254" w:lineRule="atLeast"/>
        <w:jc w:val="both"/>
        <w:rPr>
          <w:rFonts w:ascii="Arial" w:eastAsia="Times New Roman" w:hAnsi="Arial" w:cs="Arial"/>
          <w:color w:val="000000"/>
          <w:lang w:eastAsia="es-CO"/>
        </w:rPr>
      </w:pPr>
    </w:p>
    <w:p w14:paraId="705D2A5D" w14:textId="0642D8F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Hasta en un veinte por ciento (20%) para los instrumentos descritos en el subnumeral 1.1.2. </w:t>
      </w:r>
    </w:p>
    <w:p w14:paraId="23D6BF3A" w14:textId="77777777" w:rsidR="000C599B" w:rsidRDefault="000C599B" w:rsidP="00C32F85">
      <w:pPr>
        <w:spacing w:after="0" w:line="254" w:lineRule="atLeast"/>
        <w:jc w:val="both"/>
        <w:rPr>
          <w:rFonts w:ascii="Arial" w:eastAsia="Times New Roman" w:hAnsi="Arial" w:cs="Arial"/>
          <w:color w:val="000000"/>
          <w:lang w:eastAsia="es-CO"/>
        </w:rPr>
      </w:pPr>
    </w:p>
    <w:p w14:paraId="412F37E8" w14:textId="5CB1961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Hasta en un treinta por ciento (30%) para los instrumentos descritos en el subnumeral 1.2. </w:t>
      </w:r>
    </w:p>
    <w:p w14:paraId="51D36FB3" w14:textId="77777777" w:rsidR="000C599B" w:rsidRDefault="000C599B" w:rsidP="00C32F85">
      <w:pPr>
        <w:spacing w:after="0" w:line="254" w:lineRule="atLeast"/>
        <w:jc w:val="both"/>
        <w:rPr>
          <w:rFonts w:ascii="Arial" w:eastAsia="Times New Roman" w:hAnsi="Arial" w:cs="Arial"/>
          <w:color w:val="000000"/>
          <w:lang w:eastAsia="es-CO"/>
        </w:rPr>
      </w:pPr>
    </w:p>
    <w:p w14:paraId="4B809E84" w14:textId="0072DEA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Hasta en un quince por ciento (15%) para los instrumentos descritos en el subnumeral 1.3. </w:t>
      </w:r>
    </w:p>
    <w:p w14:paraId="04850B41" w14:textId="77777777" w:rsidR="000C599B" w:rsidRDefault="000C599B" w:rsidP="00C32F85">
      <w:pPr>
        <w:spacing w:after="0" w:line="254" w:lineRule="atLeast"/>
        <w:jc w:val="both"/>
        <w:rPr>
          <w:rFonts w:ascii="Arial" w:eastAsia="Times New Roman" w:hAnsi="Arial" w:cs="Arial"/>
          <w:color w:val="000000"/>
          <w:lang w:eastAsia="es-CO"/>
        </w:rPr>
      </w:pPr>
    </w:p>
    <w:p w14:paraId="204E02A0" w14:textId="3770FC1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Hasta en un cinco por ciento (5%) para los instrumentos descritos en los subnumerales 1.4 y 1.9.5. </w:t>
      </w:r>
    </w:p>
    <w:p w14:paraId="426F4A12" w14:textId="77777777" w:rsidR="000C599B" w:rsidRDefault="000C599B" w:rsidP="00C32F85">
      <w:pPr>
        <w:spacing w:after="0" w:line="254" w:lineRule="atLeast"/>
        <w:jc w:val="both"/>
        <w:rPr>
          <w:rFonts w:ascii="Arial" w:eastAsia="Times New Roman" w:hAnsi="Arial" w:cs="Arial"/>
          <w:color w:val="000000"/>
          <w:lang w:eastAsia="es-CO"/>
        </w:rPr>
      </w:pPr>
    </w:p>
    <w:p w14:paraId="6BC77157" w14:textId="7F0D75D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Hasta un sesenta por ciento (60%) para los instrumentos descritos en el subnumeral 1.6. </w:t>
      </w:r>
    </w:p>
    <w:p w14:paraId="45EE6388" w14:textId="77777777" w:rsidR="000C599B" w:rsidRDefault="000C599B" w:rsidP="00C32F85">
      <w:pPr>
        <w:spacing w:after="0" w:line="254" w:lineRule="atLeast"/>
        <w:jc w:val="both"/>
        <w:rPr>
          <w:rFonts w:ascii="Arial" w:eastAsia="Times New Roman" w:hAnsi="Arial" w:cs="Arial"/>
          <w:color w:val="000000"/>
          <w:lang w:eastAsia="es-CO"/>
        </w:rPr>
      </w:pPr>
    </w:p>
    <w:p w14:paraId="5D53FFCE" w14:textId="4279639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Hasta en un cinco por ciento (5%) para la suma de los instrumentos descritos en los subnumerales 1.7 y 1.9.3. </w:t>
      </w:r>
    </w:p>
    <w:p w14:paraId="2BCE0E4C" w14:textId="77777777" w:rsidR="000C599B" w:rsidRDefault="000C599B" w:rsidP="00C32F85">
      <w:pPr>
        <w:spacing w:after="0" w:line="254" w:lineRule="atLeast"/>
        <w:jc w:val="both"/>
        <w:rPr>
          <w:rFonts w:ascii="Arial" w:eastAsia="Times New Roman" w:hAnsi="Arial" w:cs="Arial"/>
          <w:color w:val="000000"/>
          <w:lang w:eastAsia="es-CO"/>
        </w:rPr>
      </w:pPr>
    </w:p>
    <w:p w14:paraId="7A895C92" w14:textId="656D43C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Hasta en un diez por ciento (10%) para los instrumentos descritos en el subnumeral 1.9. </w:t>
      </w:r>
    </w:p>
    <w:p w14:paraId="023EBE48" w14:textId="77777777" w:rsidR="000C599B" w:rsidRDefault="000C599B" w:rsidP="00C32F85">
      <w:pPr>
        <w:spacing w:after="0" w:line="254" w:lineRule="atLeast"/>
        <w:jc w:val="both"/>
        <w:rPr>
          <w:rFonts w:ascii="Arial" w:eastAsia="Times New Roman" w:hAnsi="Arial" w:cs="Arial"/>
          <w:color w:val="000000"/>
          <w:lang w:eastAsia="es-CO"/>
        </w:rPr>
      </w:pPr>
    </w:p>
    <w:p w14:paraId="02B14BF9" w14:textId="3C16897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Hasta en un cuarenta por ciento (40%) para los instrumentos descritos en el numeral 2 y el subnumeral 3.3. Los títulos o valores de emisores del exterior que hagan parte de los instrumentos descritos en los subnumerales 1.7 y 1.9.3 computarán para efectos del límite establecido en el presente numeral. </w:t>
      </w:r>
    </w:p>
    <w:p w14:paraId="47A4E570"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66BC378B" w14:textId="765E8F2B"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10. Hasta en un veinte por ciento (20%) para las participaciones en fondos representativos de índices de acciones, incluidos los ETF's descritos en el subnumeral 2.6.1 teniendo en cuenta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2.6.12.1.4 del Título 12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24A75AEF"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5DABB0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Hasta en un diez por ciento (10%) para los depósitos del subnumeral 3.2. </w:t>
      </w:r>
    </w:p>
    <w:p w14:paraId="643B1167" w14:textId="77777777" w:rsidR="000D359C" w:rsidRDefault="000D359C" w:rsidP="00C32F85">
      <w:pPr>
        <w:spacing w:after="0" w:line="254" w:lineRule="atLeast"/>
        <w:jc w:val="both"/>
        <w:rPr>
          <w:rFonts w:ascii="Arial" w:eastAsia="Times New Roman" w:hAnsi="Arial" w:cs="Arial"/>
          <w:color w:val="000000"/>
          <w:lang w:eastAsia="es-CO"/>
        </w:rPr>
      </w:pPr>
    </w:p>
    <w:p w14:paraId="1E91C527" w14:textId="527EC43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12. Hasta un cinco por ciento (5%) para la suma de los depósitos descritos en los subnumerales 3.1 y 3.3. Para determinar el límite previsto en este numeral no se deben tener en cuenta dentro del saldo de los depósitos del fondo, las sumas recibidas durante los últimos veinte (20) días hábiles por concepto de aportes, traslados de otros fondos y vencimientos de capital e intereses de las inversiones, de acuerdo con las condiciones nominales de las mismas, así como aquellos recursos que por disposición expresa deben mantenerse en depósitos a la vista con antelación a la fecha de cumplimiento de la adquisición de la inversión. Tampoco serán tenidos en cuenta dentro del saldo de los depósitos a la vista las sumas asociadas a las operaciones a que hacen referencia los subnumerales 3.5.2 y 3.7. </w:t>
      </w:r>
    </w:p>
    <w:p w14:paraId="2ED3C3D9" w14:textId="77777777" w:rsidR="000C599B" w:rsidRDefault="000C599B" w:rsidP="00C32F85">
      <w:pPr>
        <w:spacing w:after="0" w:line="254" w:lineRule="atLeast"/>
        <w:jc w:val="both"/>
        <w:rPr>
          <w:rFonts w:ascii="Arial" w:eastAsia="Times New Roman" w:hAnsi="Arial" w:cs="Arial"/>
          <w:color w:val="000000"/>
          <w:lang w:eastAsia="es-CO"/>
        </w:rPr>
      </w:pPr>
    </w:p>
    <w:p w14:paraId="59451BBE" w14:textId="0D0D1AD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Hasta en un cinco por ciento (5%) en las operaciones señaladas en el subnumeral 3.4.1 y hasta en un tres por ciento (3%) para las operaciones señaladas en el subnumeral 3.4.2. </w:t>
      </w:r>
    </w:p>
    <w:p w14:paraId="4ACBC774"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4B46392A" w14:textId="06AF981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14. Hasta en un dos por ciento (2%) para los instrumentos descritos en el subnumeral 3.5.2. Así mismo, los activos subyacentes objeto de estas operaciones computarán para el cálculo de todos los límites previstos en el Título 12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19697F5F"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600BE4BC" w14:textId="7F482604"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efecto, los límites se calcularán con base en el precio fijado en el contrato y en el caso de las opciones compradas computarán por el valor del derecho contabilizado, de conformidad con las instrucciones impartidas por la Superintendencia Financiera de Colombia. </w:t>
      </w:r>
    </w:p>
    <w:p w14:paraId="0DE764BD"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4352F06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Hasta en un diez por ciento (10%) para las operaciones señaladas en el subnumeral 3.7. </w:t>
      </w:r>
    </w:p>
    <w:p w14:paraId="69A9D60B" w14:textId="77777777" w:rsidR="000C599B" w:rsidRDefault="000C599B" w:rsidP="00C32F85">
      <w:pPr>
        <w:spacing w:after="0" w:line="254" w:lineRule="atLeast"/>
        <w:jc w:val="both"/>
        <w:rPr>
          <w:rFonts w:ascii="Arial" w:eastAsia="Times New Roman" w:hAnsi="Arial" w:cs="Arial"/>
          <w:color w:val="000000"/>
          <w:lang w:eastAsia="es-CO"/>
        </w:rPr>
      </w:pPr>
    </w:p>
    <w:p w14:paraId="5FDCFBFA" w14:textId="01104EC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16. La suma de las inversiones en moneda extranjera sin cobertura cambiaría no podrá exceder del quince por ciento (15%) del valor del fondo. Dentro de esta suma deberán tenerse en cuenta las inversiones en moneda extranjera que tengan los instrumentos descritos en los subnumerales 1.7 y 1.9.3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2.6.12.1.2 del Título 12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1B73C2EE" w14:textId="77777777" w:rsidR="000C599B" w:rsidRDefault="000C599B" w:rsidP="00C32F85">
      <w:pPr>
        <w:spacing w:after="0" w:line="254" w:lineRule="atLeast"/>
        <w:jc w:val="both"/>
        <w:rPr>
          <w:rFonts w:ascii="Arial" w:eastAsia="Times New Roman" w:hAnsi="Arial" w:cs="Arial"/>
          <w:color w:val="000000"/>
          <w:lang w:eastAsia="es-CO"/>
        </w:rPr>
      </w:pPr>
    </w:p>
    <w:p w14:paraId="3BBB82E2" w14:textId="338549F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17. Hasta en un cinco por ciento (5%) en los instrumentos previstos en los subnumerales 1.10 y 2.7, siempre y cuando los fondos de capital privado destinen el aporte de la inversión del Fondo Nacional de Pensiones de las Entidades Territoriales -(FONPET) o de los otros patrimonios autónomos públicos destinados a la garantía y pago de pensiones, exclusivamente a proyectos de infraestructura bajo el esquema de Asociaciones Público Privadas (APP), que correspondan a los proyectos de iniciativa pública previstos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26 y 27 de la Ley 1508 de 2012. </w:t>
      </w:r>
    </w:p>
    <w:p w14:paraId="6DD8AAE6" w14:textId="77777777" w:rsidR="000C599B" w:rsidRDefault="000C599B" w:rsidP="00C32F85">
      <w:pPr>
        <w:spacing w:after="0" w:line="254" w:lineRule="atLeast"/>
        <w:jc w:val="both"/>
        <w:rPr>
          <w:rFonts w:ascii="Arial" w:eastAsia="Times New Roman" w:hAnsi="Arial" w:cs="Arial"/>
          <w:color w:val="000000"/>
          <w:lang w:eastAsia="es-CO"/>
        </w:rPr>
      </w:pPr>
    </w:p>
    <w:p w14:paraId="2398E282" w14:textId="4309E66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18. Hasta en un cien por ciento (100%) para las operaciones señaladas en el subnumeral 1.5. </w:t>
      </w:r>
    </w:p>
    <w:p w14:paraId="3B3656DD" w14:textId="2C211D36"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No se podrá invertir en los instrumentos descritos en los subnumerales 1.8, 1.9.1, 1.9.2, 1.9.4, 1.11, 2.6.2, 2.8, 2.9, 2.10 y 3.6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2.6.12.1.2 del Título 12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0D6A6A93"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2EAF3A9F" w14:textId="46874798"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No se podrán generar comisiones adicionales a las que se establezcan en los contratos de administración respectivos, por la administración de los recursos del Fondo Nacional de Pensiones de las Entidades Territoriales -(FONPET) y a otros patrimonios autónomos públicos destinados a la garantía y pago de pensiones. </w:t>
      </w:r>
    </w:p>
    <w:p w14:paraId="4ED262EA"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1368B38A" w14:textId="4748A07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Cuando el monto de los recursos administrados en los patrimonios autónomos públicos destinados a la garantía y pago de pensiones que se encuentren en etapa de desacumulación sea inferior a diez mil (10.000) salarios mínimos legales mensuales vigentes, serán aplicables los límites globales de inversión establecidos para el Portafolio de Corto Plazo del </w:t>
      </w:r>
      <w:r w:rsidRPr="002C1480">
        <w:rPr>
          <w:rFonts w:ascii="Arial" w:eastAsia="Times New Roman" w:hAnsi="Arial" w:cs="Arial"/>
          <w:color w:val="000000"/>
          <w:lang w:eastAsia="es-CO"/>
        </w:rPr>
        <w:lastRenderedPageBreak/>
        <w:t xml:space="preserve">Fondo de Cesantía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2.6.12.1.9. del Título 12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2555 de 2010. </w:t>
      </w:r>
    </w:p>
    <w:p w14:paraId="0E665AA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0" w:name="ver_30177894"/>
      <w:bookmarkStart w:id="1771" w:name="ver_30104040"/>
      <w:bookmarkEnd w:id="1769"/>
      <w:bookmarkEnd w:id="1770"/>
    </w:p>
    <w:p w14:paraId="07B0056C" w14:textId="491793EE"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2.12.3.19.2. Gobierno Corporativo. Las entidades administradoras de los patrimonios autónomos del Fondo Nacional de Pensiones de las Entidades Territoriales - (Fonpet) y otros patrimonios autónomos públicos destinados a la garantía y pago de pensiones deberán cumplir las reglas de gobierno corporativo comunes al proceso de inversión previstas en el Título 13 del Libro 6 de la Parte 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número 2555 de 2010, que resulten aplicables. </w:t>
      </w:r>
    </w:p>
    <w:p w14:paraId="2892E070" w14:textId="77777777" w:rsidR="000D359C" w:rsidRPr="002C1480" w:rsidRDefault="000D359C" w:rsidP="00C32F85">
      <w:pPr>
        <w:spacing w:after="0" w:line="254" w:lineRule="atLeast"/>
        <w:jc w:val="both"/>
        <w:rPr>
          <w:rFonts w:ascii="Arial" w:eastAsia="Times New Roman" w:hAnsi="Arial" w:cs="Arial"/>
          <w:color w:val="000000"/>
          <w:lang w:eastAsia="es-CO"/>
        </w:rPr>
      </w:pPr>
    </w:p>
    <w:p w14:paraId="06CCAA6C" w14:textId="6976509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los recursos sean administrados mediante consorcios o uniones temporales, deberán definirse claramente las reglas que se aplicarán internamente para el cumplimiento de lo previsto del Título 13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2555 de 2010. En los contratos de administración de los recursos, se deben establecer los procedimientos y controles para verificar el cumplimiento de las reglas de gobierno corporativo requeridas por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549FDF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2" w:name="ver_30104042"/>
      <w:bookmarkEnd w:id="1771"/>
      <w:bookmarkEnd w:id="1772"/>
    </w:p>
    <w:p w14:paraId="72A1B211" w14:textId="56BB8543"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2.12.3.19.3.Régimen de transición. Las entidades administradoras que como resultado de la distribución de recursos asociados a un nuevo contrato de administración, presenten excesos en los límites señalados o tengan inversiones no autorizadas, deberán convenir con la Superintendencia Financiera de Colombia un plan de ajuste orientado a adecuarse al régimen de inversiones previsto en el presente capítulo, el cual podrá considerar la posibilidad de mantener las inversiones hasta su redención o vencimiento. Lo anterior deberá realizarse dentro de los veinte (20) días hábiles posteriores a la fecha de entrega de los títulos en administración.  </w:t>
      </w:r>
    </w:p>
    <w:p w14:paraId="72F44F8D"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40392A3D" w14:textId="645C3C9D"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plan de ajuste o de desmonte se deberá ejecutar dentro de un plazo no superior a seis (6) meses. En todo caso no podrán realizarse nuevas inversiones en la clase de activos que se encuentren excedidos mientras no se ajusten a los límites vigentes. </w:t>
      </w:r>
    </w:p>
    <w:p w14:paraId="7A0EC15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3" w:name="ver_30104043"/>
      <w:bookmarkEnd w:id="1773"/>
    </w:p>
    <w:p w14:paraId="231B097C" w14:textId="62460A9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2.12.3.19.4.Criterios para la realización de las inversiones. Sin perjuicio de las reglas y límites establecidos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la constitución, administración, redención y liquidación de las inversiones con cargo a los recursos de los patrimonios autónomos previstos en el presente capítulo, deberá realizarse en condiciones de mercado, de acuerdo con los deberes de diligencia y responsabilidad profesionales propios de esta actividad, atendiendo a criterios de seguridad, rentabilidad y liquidez, y teniendo en cuenta la destinación especial de los recursos y el carácter público de los patrimonios.  </w:t>
      </w:r>
    </w:p>
    <w:p w14:paraId="3215F9C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4" w:name="ver_30104044"/>
      <w:bookmarkEnd w:id="1774"/>
    </w:p>
    <w:p w14:paraId="101B824A" w14:textId="2E0A96DC"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2.12.3.19.5.Determinación de la rentabilidad mínima del Fonpet. La rentabilidad mínima, neta de comisión causada, que deberán garantizar las administradoras de los patrimonios autónomos del Fonpet, será la que resulte de calcular el retorno mínimo, neto de comisión, que se obtenga de combinaciones de clases de activos representativos de las inversiones de los patrimonios autónomos del Fonpet.  </w:t>
      </w:r>
    </w:p>
    <w:p w14:paraId="674A43EC"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0A61F93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el efecto del cálculo de la Rentabilidad Mínima del Fonpet se tendrá en cuenta lo siguiente:  </w:t>
      </w:r>
    </w:p>
    <w:p w14:paraId="0E17C942" w14:textId="77777777" w:rsidR="000C599B" w:rsidRDefault="000C599B" w:rsidP="00C32F85">
      <w:pPr>
        <w:spacing w:after="0" w:line="254" w:lineRule="atLeast"/>
        <w:jc w:val="both"/>
        <w:rPr>
          <w:rFonts w:ascii="Arial" w:eastAsia="Times New Roman" w:hAnsi="Arial" w:cs="Arial"/>
          <w:color w:val="000000"/>
          <w:lang w:eastAsia="es-CO"/>
        </w:rPr>
      </w:pPr>
    </w:p>
    <w:p w14:paraId="6BA1C25C" w14:textId="271C91F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Se tomarán índices que representen el comportamiento del mercado, tanto para las inversiones en renta fija como para renta variable, tanto en moneda local como extranjera, así como para los depósitos a la vista nacional.  </w:t>
      </w:r>
    </w:p>
    <w:p w14:paraId="37AA436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Se establecerán rangos de participación para cada una de las clases de activos.  </w:t>
      </w:r>
    </w:p>
    <w:p w14:paraId="64B1F598" w14:textId="77777777" w:rsidR="000C599B" w:rsidRDefault="000C599B" w:rsidP="00C32F85">
      <w:pPr>
        <w:spacing w:after="0" w:line="254" w:lineRule="atLeast"/>
        <w:jc w:val="both"/>
        <w:rPr>
          <w:rFonts w:ascii="Arial" w:eastAsia="Times New Roman" w:hAnsi="Arial" w:cs="Arial"/>
          <w:color w:val="000000"/>
          <w:lang w:eastAsia="es-CO"/>
        </w:rPr>
      </w:pPr>
    </w:p>
    <w:p w14:paraId="19E88330" w14:textId="4190A25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3. El retorno mínimo se calculará considerando los rangos de participación asociados a cada clase de activo y la rentabilidad generada por cada índice para el período de cálculo de rentabilidad mínima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2.12.3.19.6.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07FD87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rentabilidad mínima será la más baja obtenida entre todas las combinaciones posibles de las clases de activos, dentro de sus rangos de participación, utilizando los índices respectivos. Esta rentabilidad se expresará en términos efectivos anuales.  </w:t>
      </w:r>
    </w:p>
    <w:p w14:paraId="24509D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3A85E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establecerá mediante resolución los rangos de participación de cada clase de activo, así como los índices que se utilizarán y las fuentes de información para cada uno de los índices. En caso de no contarse con índices adecuados para alguna o algunas de las clases de activos, corresponderá al Ministerio de Hacienda y Crédito Público su implementación y publicación de acuerdo con lo que se establezca en la resolución.  </w:t>
      </w:r>
    </w:p>
    <w:p w14:paraId="32B79AA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5" w:name="ver_30104045"/>
      <w:bookmarkEnd w:id="1775"/>
    </w:p>
    <w:p w14:paraId="48B4F460" w14:textId="65E990E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2.12.3.19.6.Verificación y período de cálculo de la rentabilidad mínima del Fonpet. La Superintendencia Financiera de Colombia calculará, verificará e informará la rentabilidad mínima obligatoria de los recursos del Fonpet.  </w:t>
      </w:r>
    </w:p>
    <w:p w14:paraId="4C69BFD8"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610FDC7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verificación del cumplimiento de la rentabilidad mínima se efectuará trimestralmente, con corte al 31 de marzo, al 30 de junio, al 30 de septiembre y al 31 de diciembre, para períodos de cálculo de los últimos treinta y seis (36) meses. La primera verificación se hará cuando las administradoras lleven por lo menos dieciocho (18) meses administrando recursos, momento en el cual el período de cálculo será el transcurrido entre la fecha de inicio de la administración y la fecha de corte, y de allí en adelante se incorporará un trimestre adicional hasta completar los treinta seis (36) meses.  </w:t>
      </w:r>
    </w:p>
    <w:p w14:paraId="6244712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6" w:name="ver_30104046"/>
      <w:bookmarkEnd w:id="1776"/>
    </w:p>
    <w:p w14:paraId="76B55CA0" w14:textId="36EDD2A9"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2.12.3.19.7.Reserva de estabilización del Fonpet. Con el fin de garantizar la rentabilidad mínima ordenada por la Ley 1450 de 2011, las entidades administradoras de los recursos del Fonpet deberán mantener una reserva de estabilización de rendimientos, constituida con sus propios recursos. El monto mínimo de la reserva de estabilización de rendimientos será equivalente al uno por ciento (1%) del promedio mensual del valor a precios de mercado de los activos que constituyen los patrimonios autónomos que administren. Para efectos de la Reserva de Estabilización se tendrá en cuenta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2.6.4.1.6 Título 4 del Libro 6 de la Parte 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w:t>
      </w:r>
    </w:p>
    <w:p w14:paraId="5CB77BCE"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26AF4B3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rentabilidad acumulada en términos efectivos anuales obtenida por alguna de las entidades administradoras durante el período de cálculo correspondiente sea inferior a la rentabilidad mínima obligatoria exigida, las mismas deberán responder con sus propios recursos por los defectos. En este caso, se afectará en primer término la reserva de estabilización de rendimientos constituida, mediante el aporte de la diferencia entre el valor del patrimonio autónomo al momento de la verificación y el valor que este debería tener para alcanzar la rentabilidad mínima obligatoria.  </w:t>
      </w:r>
    </w:p>
    <w:p w14:paraId="400E69E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7" w:name="ver_30177887"/>
      <w:bookmarkEnd w:id="1777"/>
    </w:p>
    <w:p w14:paraId="04019C03" w14:textId="32D0FDEA"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2.12.3.19.8. Límites de concentración por emisor Fonpet y otros patrimonios autónomos públicos destinados a la garantía y pago de pensiones. La exposición a una misma entidad o emisor, incluidas sus filiales y subsidiarias, su matriz y las filiales y subsidiarias de esta no podrá exceder del diez por ciento (10%) del valor del fondo. Se entiende por exposición la suma de las inversiones en uno o varios instrumentos de una misma entidad o emisor, incluyendo los depósitos a la vista realizados en ella, las exposiciones netas de la contraparte resultantes de las operaciones descritas en los numerales 12 y 13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y las exposiciones crediticias en operaciones con instrumentos financieros derivados, </w:t>
      </w:r>
      <w:r w:rsidR="00404266" w:rsidRPr="002C1480">
        <w:rPr>
          <w:rFonts w:ascii="Arial" w:eastAsia="Times New Roman" w:hAnsi="Arial" w:cs="Arial"/>
          <w:color w:val="000000"/>
          <w:lang w:eastAsia="es-CO"/>
        </w:rPr>
        <w:lastRenderedPageBreak/>
        <w:t>en las que dicha entidad es la contraparte, salvo que su compensación y liquidación se realice a través de cámaras de riesgo central de contraparte. </w:t>
      </w:r>
    </w:p>
    <w:p w14:paraId="16A9DA12"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4CCAD171" w14:textId="023A0D9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efectos de lo previsto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dentro del saldo de los depósitos a la vista descritos en los numerales 12 y 13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no se incluirán las sumas recibidas durante los últimos veinte (20) días hábiles por concepto de aportes, traslados entre administradoras y vencimientos de capital e intereses de las inversiones, de acuerdo con las condiciones nominales de las mismas, así como aquellos recursos que por disposición expresa deben mantenerse en depósitos a la vista con antelación a la fecha de cumplimiento de la adquisición de inversiones en el exterior. En ningún caso, el saldo a tener en cuenta por este concepto podrá ser negativo. </w:t>
      </w:r>
    </w:p>
    <w:p w14:paraId="1BD1B84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97B95C" w14:textId="0D1F92C6"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Se entiende como exposición neta en las operaciones descritas en el numeral 14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el monto que resulte de restar la posición deudora de la posición acreedora de la contraparte en cada operación, siempre que este monto sea positivo. Para el cálculo de dichas posiciones deberán tenerse en cuenta el precio justo de intercambio de los valores cuya propiedad se transfiera y/o la suma de dinero entregada como parte de la operación, así como los intereses o rendimientos causados asociados a la misma. </w:t>
      </w:r>
    </w:p>
    <w:p w14:paraId="0F4E6C2E"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72AEED63" w14:textId="4E98E7AB"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para determinar la exposición crediticia en operaciones con instrumentos financieros derivados serán aplicables las definiciones que para el efecto determine la Superintendencia Financiera de Colombia. </w:t>
      </w:r>
    </w:p>
    <w:p w14:paraId="5AFC657C"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3BD5EF8B" w14:textId="1FCE2223"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límites individuales establecidos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no son aplicables a los emisores de los títulos descritos en los numerales 1 y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ni a los títulos de deuda emitidos por el Fondo de Garantías de Instituciones Financieras – (Fogafin) y el Fondo de Garantías de Entidades Cooperativas – (Fogacoop). </w:t>
      </w:r>
    </w:p>
    <w:p w14:paraId="42005542"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195375A6" w14:textId="21D395D4"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Respecto a la inversión en títulos derivados de procesos de titularización, los límites de concentración por emisor se aplicarán sobre el valor total de cada universalidad o patrimonio autónomo. Cuando la titularización prevea algún tipo de garantía sobre los títulos emitidos, para efectos del cálculo de los límites individuales la proporción garantizada computará para el límite del garante y el porcentaje no garantizado sólo computará para el límite de cada universalidad o patrimonio autónomo. Para efectos del cálculo de los límites individuales en el caso de títulos aceptados o garantizados, la proporción garantizada computará para el límite del garante o aceptante y la no garantizada o aceptada para el límite del emisor." </w:t>
      </w:r>
    </w:p>
    <w:p w14:paraId="4D27991E"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31D52617" w14:textId="78EB8C4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Las administradoras de los recursos del Fondo Nacional de Pensiones de las Entidades Territoriales -(FONPET) y los demás patrimonios autónomos públicos destinados a la garantía y pago de pensiones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deberán aplicar los límites de inversión en vinculados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2.6.12.1.15. del Título 12 del Libro 6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7F716BE9" w14:textId="77777777" w:rsidR="000D359C" w:rsidRPr="002C1480" w:rsidRDefault="000D359C" w:rsidP="00C32F85">
      <w:pPr>
        <w:spacing w:after="0" w:line="254" w:lineRule="atLeast"/>
        <w:jc w:val="both"/>
        <w:rPr>
          <w:rFonts w:ascii="Arial" w:eastAsia="Times New Roman" w:hAnsi="Arial" w:cs="Arial"/>
          <w:color w:val="000000"/>
          <w:lang w:eastAsia="es-CO"/>
        </w:rPr>
      </w:pPr>
    </w:p>
    <w:p w14:paraId="42C91438" w14:textId="50C37460" w:rsidR="00404266" w:rsidRDefault="002C1480" w:rsidP="00C32F85">
      <w:pPr>
        <w:spacing w:after="0" w:line="254" w:lineRule="atLeast"/>
        <w:jc w:val="both"/>
        <w:rPr>
          <w:rFonts w:ascii="Arial" w:eastAsia="Times New Roman" w:hAnsi="Arial" w:cs="Arial"/>
          <w:color w:val="000000"/>
          <w:lang w:eastAsia="es-CO"/>
        </w:rPr>
      </w:pPr>
      <w:bookmarkStart w:id="1778" w:name="ver_30177888"/>
      <w:bookmarkEnd w:id="1778"/>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2.12.3.19.9. Límites máximos de inversión por emisión. Con el valor de los recursos administrados del Fondo Nacional de Pensiones de las Entidades Territoriales - (Fonpet) y para cada uno de los demás patrimonios autónomos públicos destinados a la garantía y pago de pensiones, no podrán adquirirse más del treinta por ciento (30%) de cualquier emisión de títulos. Quedan exceptuadas de este límite las inversiones en Certificados de Depósito a Término (CDT) y de Ahorro a Término (CDAT) emitidos por establecimientos de crédito y las inversiones en los instrumentos descritos en los numerales 1 y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lastRenderedPageBreak/>
        <w:t>así como los titules de deuda emitidos o garantizados por el Fondo de Garantías de Instituciones Financieras –(Fogafin) y el Fondo de Garantías de Entidades Cooperativas –(Fogacop). </w:t>
      </w:r>
    </w:p>
    <w:p w14:paraId="755465F5"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371971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Tratándose de la inversión en Fondos de Capital Privado, los recursos del Fondo Nacional de Pensiones de las Entidades Territoriales -(Fonpet) y otros patrimonios autónomos públicos destinados a la garantía y pago de pensiones, no podrá mantener una participación que exceda el cincuenta por ciento (50%) del patrimonio del fondo de inversión colectiva. </w:t>
      </w:r>
    </w:p>
    <w:p w14:paraId="7BF0F18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79" w:name="ver_30177889"/>
      <w:bookmarkEnd w:id="1779"/>
    </w:p>
    <w:p w14:paraId="656DBC26" w14:textId="72D82DDF"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2.12.3.19.10. Inversiones en títulos inscritos en el Registro Nacional de Valores y Emisores y mecanismos de transacción.Todas las inversiones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en los instrumentos descritos en los numerales 1, 2, 3, 4, 5, 6, 7, 8, deben realizarse sobre títulos· inscritos en el Registro Nacional de Valores y Emisores, salvo que se trate de emisiones de emisores nacionales colocadas exclusivamente en el exterior que hayan dado cumplimiento a las normas de la Superintendencia Financiera de Colombia. </w:t>
      </w:r>
    </w:p>
    <w:p w14:paraId="6A64B4ED"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3DD7F95D" w14:textId="347DDE1C"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negociaciones de las inversiones de los numerales 1, 2, 3, 4, 5, 6, 7, 8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 emisores nacionales y los emitidos en Colombia por emisores del exterior deberán realizarse a través de sistemas de negociación de valores o sistemas de cotización de valores extranjeros aprobados por la Superintendencia Financiera de Colombia, o en el mercado mostrador registradas en un sistema de registro de operaciones sobre valores debidamente autorizado por la Superintendencia Financiera de Colombia, siempre y cuando las mismas sean compensadas y liquidadas mediante un sistema de liquidación y compensación de valores, autorizado por dicha Superintendencia. </w:t>
      </w:r>
    </w:p>
    <w:p w14:paraId="5BBEB53B"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21862C6B" w14:textId="6F3DE48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Toda transacción de las inversiones a las que se refieren los numerales 1, 2, 3, 4, 5, 6, 7, 8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debe realizarse a través de las bolsas de valores que establezca la Superintendencia Financiera de Colombia, la que tendrá en cuenta para el efecto consideraciones tales como el riesgo país, las características de los sistemas institucionales de regulación, fiscalización y control sobre el emisor y sus títulos en el respectivo país, la liquidez del mercado secundario, los requisitos mínimos que las bolsas de valores exigen a los emisores y a sus respectivos títulos para que estos puedan ser cotizados en las mismas y los sistemas de regulación, fiscalización y control sobre la bolsa de valores por parte de la autoridad reguladora pertinente. La relación de las bolsas de valores autorizadas deberá ser publicada por la Superintendencia Financiera de Colombia en su página de Internet. Las inversiones admisibles de los numerales 9 y 10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podrán negociarse a través de sistemas de cotización de valores extranjeros, previamente autorizados por la Superintendencia Financiera de Colombia. </w:t>
      </w:r>
    </w:p>
    <w:p w14:paraId="5B29537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0" w:name="ver_30177890"/>
      <w:bookmarkEnd w:id="1780"/>
    </w:p>
    <w:p w14:paraId="5B7360BB" w14:textId="7EE3611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2.12.3.19.11. Mecanismo de registro de operaciones. Las Administradoras de los recursos del Fondo Nacional de Pensiones de las Entidades Territoriales -(Fonpet) y otros patrimonios autónomos públicos destinados a la garantía y pago de pensiones deberán implementar un mecanismo que permita identificar de manera completa, clara y suficiente el portafolio para el cual se efectúa la operación. Los efectos y/o resultados de las operaciones realizadas, directamente o a través de un intermediario de valores, no podrán afectar el portafolio administrado distinto del que se haya identificado en dicho mecanismo, ni a la administradora. </w:t>
      </w:r>
    </w:p>
    <w:p w14:paraId="7452CCB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852A3B" w14:textId="20C3B0E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 Superintendencia Financiera de Colombia establecerá, mediante instrucciones de carácter general, las reglas y requisitos para el funcionamiento del mecanismo de registro de operaciones que se establece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AB1DC7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64BD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2. Los sistemas de negociación de valores y los sistemas de registro de valores deberán adoptar las medidas necesarias para permitir la identificación del portafolio al momento de la recepción de las órdenes o la información sobre las operaciones realizadas. La Superintendencia Financiera, mediante instrucciones de carácter general, definirá las condiciones requeridas para el efecto. </w:t>
      </w:r>
    </w:p>
    <w:p w14:paraId="613D54A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1" w:name="ver_30177891"/>
      <w:bookmarkEnd w:id="1781"/>
    </w:p>
    <w:p w14:paraId="08E62141" w14:textId="6C46387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2.12.3.19.12. Excesos en las inversiones u operaciones. Cuando se presenten excesos en los límites previstos en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como consecuencia de la valorización o desvalorización de las inversiones que conforman cada uno de los patrimonios autónomos, y los mismos permanezcan de manera continua durante los quince (15) días calendario siguientes, las administradoras de los recursos, el día hábil siguiente al vencimiento del citado plazo, deberán someter a consideración de la Superintendencia Financiera de Colombia un plan que permita ajustar el patrimonio autónomo a los límites vigentes en un plazo no superior a los siguientes cuarenta y cinco (45) días calendario. La Superintendencia Financiera de Colombia podrá prorrogar el plazo de ajuste definido en el presente inciso, previo análisis de las razones, evidencias y evaluaciones de riesgo e impacto suministradas por la administradora de los recursos en su solicitud de prórroga, con las cuales justifique el no haberse ajustado a los límites legales dentro del plazo antes mencionado. </w:t>
      </w:r>
    </w:p>
    <w:p w14:paraId="7F967B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AFE638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una inversión o jurisdicción pierda la calificación de grado de inversión, que torne en inadmisible dicha inversión con posterioridad a su adquisición, la administradora deberá remitir a la Superintendencia Financiera de Colombia dentro de los diez (10) días hábiles siguientes a la ocurrencia del hecho, un plan de ajuste o de desmonte con los respectivos análisis de riesgo e impacto. </w:t>
      </w:r>
    </w:p>
    <w:p w14:paraId="1C3CF0E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F2DD54" w14:textId="1E3744F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Así mismo, cuando las inversiones, la celebración de operaciones repo, simultáneas y de transferencia temporal de valores y la realización de operaciones con instrumentos financieros derivados sean efectuadas excediendo los límites de que trata el numeral 14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la administradora deberá adoptar de manera inmediata las acciones conducentes al cumplimiento de los límites, sin perjuicio de las sanciones a que haya lugar. </w:t>
      </w:r>
    </w:p>
    <w:p w14:paraId="4821D2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9C3E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no se podrán realizar nuevas inversiones en la clase de activos que se encuentran excedidos, mientras no se ajusten a los límites vigentes. </w:t>
      </w:r>
    </w:p>
    <w:p w14:paraId="090413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67D6E9" w14:textId="159AB88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Cuando en el caso de las inversiones descritas en el numeral 17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2.12.3.19.1 se presenten llamados de capital o distribuciones de capital que generen excesos en los límites previstos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procederá como lo establece el inciso primero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En estos casos no se aplicará lo establecido en el inciso cuarto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EC99652" w14:textId="77777777" w:rsidR="000C599B" w:rsidRDefault="000C599B" w:rsidP="00C32F85">
      <w:pPr>
        <w:spacing w:after="0" w:line="254" w:lineRule="atLeast"/>
        <w:jc w:val="both"/>
        <w:rPr>
          <w:rFonts w:ascii="Arial" w:eastAsia="Times New Roman" w:hAnsi="Arial" w:cs="Arial"/>
          <w:color w:val="000000"/>
          <w:lang w:eastAsia="es-CO"/>
        </w:rPr>
      </w:pPr>
    </w:p>
    <w:p w14:paraId="766030C4" w14:textId="7F0F735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2.12.3.19.13. Custodia. La totalidad de los títulos o valores representativos de las inversiones del Fondo Nacional de Pensiones de las Entidades Territoriales -(Fonpet) y otros patrimonios autónomos públicos destinados a la garantía y pago de pensiones susceptibles de ser custodiados deben mantenerse en todo momento en los depósitos centralizados de valores debidamente autorizados para funcionar por la Superintendencia Financiera de Colombia. Para efectos de los depósitos se tendrán en cuenta los términos establecidos en los reglamentos de operaciones de los citados depósitos centralizados de valores, contados a partir de la fecha de la adquisición o de la transferencia de propiedad del título o valor. </w:t>
      </w:r>
    </w:p>
    <w:p w14:paraId="633BD6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9A48E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Las inversiones en títulos de emisores del exterior o nacionales que se adquieran y permanezcan en el extranjero y que por su naturaleza sean susceptibles de ser custodiados también podrán mantenerse en depósito y custodia en bancos extranjeros, instituciones constituidas en el exterior que presten servicios de custodia o en instituciones de depósito y custodia de valores constituidas en el exterior que tengan como giro exclusivo el servicio de custodia, siempre y cuando cumplan las siguientes condiciones: </w:t>
      </w:r>
    </w:p>
    <w:p w14:paraId="08ECC2E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FE05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Tener una experiencia mínima de cinco (5) años en servicios de custodia; </w:t>
      </w:r>
    </w:p>
    <w:p w14:paraId="15388E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B546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Tratándose de bancos extranjeros o instituciones constituidas en el exterior que presten servicios de custodia, estos deben estar calificados como grado de inversión; </w:t>
      </w:r>
    </w:p>
    <w:p w14:paraId="06651B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CEE1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entidad de custodia se encuentre regulada y supervisada en el Estado en el cual se encuentre constituida, y </w:t>
      </w:r>
    </w:p>
    <w:p w14:paraId="6EB5CE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B9ED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En los contratos de custodia, se haya establecido: </w:t>
      </w:r>
    </w:p>
    <w:p w14:paraId="2AE841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2ABC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La obligación del custodio extranjero de remitir a la Superintendencia Financiera de Colombia, cuando esta la solicite, en la forma prevista en el contrato de custodia o en el celebrado con el depositante directo, las posiciones mantenidas en las cuentas de custodia de cada uno de los portafolios y los movimientos de las mismas o, la obligación para que el custodio le permita a la Superintendencia Financiera de Colombia el acceso directo a través de medios informáticos a las cuentas de custodia. </w:t>
      </w:r>
    </w:p>
    <w:p w14:paraId="2196A2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EAC94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Que el custodio no puede prestar los activos de los portafolios ni usar los mismos para liquidar deudas que tenga con las administradoras de los recursos. Para el efecto, tas administradoras deberán remitir a la Superintendencia Financiera de Colombia, dentro de los quince (15) días siguientes a su suscripción, una copia del respectivo contrato y de sus modificaciones, con traducción oficial al español, si fuere el caso. </w:t>
      </w:r>
    </w:p>
    <w:p w14:paraId="6958281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2" w:name="ver_30177893"/>
      <w:bookmarkEnd w:id="1782"/>
    </w:p>
    <w:p w14:paraId="76069C85" w14:textId="491571B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2.12.3.19.14. Ajuste en los portafolios de inversiones. Si como efecto de la aplicación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se hiciere necesario acordar un ajuste en los portafolios de inversiones, las administradoras de los recursos podrán dentro de los treinta (30) días hábiles siguientes a la fecha de entrada en vigencia del presente régimen de inversión, convenir con la Superintendencia Financiera de Colombia, un plan de ajuste o de desmonte con los respectivos análisis de riesgo e impacto, cuando de acuerdo con las condiciones particulares de determinada clase de inversión se requiera. </w:t>
      </w:r>
    </w:p>
    <w:p w14:paraId="24D289D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3" w:name="ver_30177895"/>
      <w:bookmarkEnd w:id="1783"/>
    </w:p>
    <w:p w14:paraId="3BFFE01E" w14:textId="223E9307"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2.12.3.19.15. Supervisión de los sistemas de administración de riesgos. Las administradoras de los recursos del Fondo Nacional de Pensiones de las Entidades Territoriales -(Fonpet) y otros patrimonios autónomos públicos destinados a la garantía y pago de pensiones, deberán garantizar que cuentan con los sistemas adecuados de administración de riesgos en el cumplimiento de los límites señalados en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559B45F7" w14:textId="77777777" w:rsidR="003B1B42" w:rsidRPr="002C1480" w:rsidRDefault="003B1B42" w:rsidP="00C32F85">
      <w:pPr>
        <w:spacing w:after="0" w:line="254" w:lineRule="atLeast"/>
        <w:jc w:val="both"/>
        <w:rPr>
          <w:rFonts w:ascii="Arial" w:eastAsia="Times New Roman" w:hAnsi="Arial" w:cs="Arial"/>
          <w:color w:val="000000"/>
          <w:lang w:eastAsia="es-CO"/>
        </w:rPr>
      </w:pPr>
    </w:p>
    <w:p w14:paraId="33833BEB" w14:textId="67D23F2B" w:rsidR="00404266" w:rsidRPr="000C599B" w:rsidRDefault="000C599B" w:rsidP="000C599B">
      <w:pPr>
        <w:spacing w:after="0" w:line="293" w:lineRule="atLeast"/>
        <w:jc w:val="center"/>
        <w:rPr>
          <w:rFonts w:ascii="Arial" w:eastAsia="Times New Roman" w:hAnsi="Arial" w:cs="Arial"/>
          <w:b/>
          <w:bCs/>
          <w:color w:val="000000"/>
          <w:lang w:eastAsia="es-CO"/>
        </w:rPr>
      </w:pPr>
      <w:bookmarkStart w:id="1784" w:name="ver_30104047"/>
      <w:bookmarkEnd w:id="1784"/>
      <w:r w:rsidRPr="000C599B">
        <w:rPr>
          <w:rFonts w:ascii="Arial" w:eastAsia="Times New Roman" w:hAnsi="Arial" w:cs="Arial"/>
          <w:b/>
          <w:bCs/>
          <w:color w:val="000000"/>
          <w:lang w:eastAsia="es-CO"/>
        </w:rPr>
        <w:t>CAPÍTULO 20</w:t>
      </w:r>
    </w:p>
    <w:p w14:paraId="4C9E7725" w14:textId="0C51F11C"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DEL IMPUESTO DE REGISTRO EN EL FONPET</w:t>
      </w:r>
    </w:p>
    <w:p w14:paraId="19F1088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5" w:name="ver_30104048"/>
      <w:bookmarkEnd w:id="1785"/>
    </w:p>
    <w:p w14:paraId="4EE0041F" w14:textId="157BBAA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2.12.3.20.1.Destinación del Impuesto de Registro. A partir de la vigencia de la Ley 1450 de 2011, el monto del impuesto de registro que se incorporaba a la base de los ingresos corrientes de libre destinación de los departamentos en los términos del numeral 9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 </w:t>
      </w:r>
      <w:r w:rsidR="00404266" w:rsidRPr="002C1480">
        <w:rPr>
          <w:rFonts w:ascii="Arial" w:eastAsia="Times New Roman" w:hAnsi="Arial" w:cs="Arial"/>
          <w:color w:val="000000"/>
          <w:lang w:eastAsia="es-CO"/>
        </w:rPr>
        <w:lastRenderedPageBreak/>
        <w:t>de la Ley 549 de 1999, no hará base para el cálculo del aporte al Fondo de Pensiones de las Entidades Territoriales (Fonpet).  </w:t>
      </w:r>
    </w:p>
    <w:p w14:paraId="46B47CC6"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030AE924" w14:textId="3057F5E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consecuencia, el porcentaje que del impuesto de registro se destinaba al Fonpet en los términos del numeral 9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se destinará por los departamentos al pago de cuotas partes pensionales y de mesadas pensionales.  </w:t>
      </w:r>
    </w:p>
    <w:p w14:paraId="549EAF5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B89AD4" w14:textId="1523852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 establecido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aplicará sin perjuicio de lo establecido en el numeral 8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 de la Ley 549 de 1999.  </w:t>
      </w:r>
    </w:p>
    <w:p w14:paraId="0EB919F8"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5318B724" w14:textId="6E25F3E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En caso de cancelación total de la deuda por concepto de cuotas partes pensionales y de mesadas pensionales de la respectiva entidad territorial, de conformidad con el respectivo cálculo actuarial, el monto del impuesto de registro al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se ejecutará como un ingreso corriente de libre destinación que no hace parte de la base de cálculo del aporte al Fonpet.  </w:t>
      </w:r>
    </w:p>
    <w:p w14:paraId="2BEA214A" w14:textId="77777777" w:rsidR="000C599B" w:rsidRDefault="000C599B" w:rsidP="00C32F85">
      <w:pPr>
        <w:spacing w:after="0" w:line="293" w:lineRule="atLeast"/>
        <w:jc w:val="both"/>
        <w:rPr>
          <w:rFonts w:ascii="Arial" w:eastAsia="Times New Roman" w:hAnsi="Arial" w:cs="Arial"/>
          <w:color w:val="000000"/>
          <w:lang w:eastAsia="es-CO"/>
        </w:rPr>
      </w:pPr>
      <w:bookmarkStart w:id="1786" w:name="ver_30104050"/>
      <w:bookmarkEnd w:id="1786"/>
    </w:p>
    <w:p w14:paraId="697470F1" w14:textId="74162A9A"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CAPÍTULO 21</w:t>
      </w:r>
    </w:p>
    <w:p w14:paraId="331DAC90" w14:textId="281C1DBF"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DISPOSICIONES PARA LA DISTRIBUCIÓN DE RECURSOS DEL FONPET</w:t>
      </w:r>
    </w:p>
    <w:p w14:paraId="6D4858D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7" w:name="ver_30104051"/>
      <w:bookmarkEnd w:id="1787"/>
    </w:p>
    <w:p w14:paraId="0B853E8C" w14:textId="1E55D77C"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2.12.3.21.1.Certificaciones para la distribución de recursos nacionales. El Ministerio de Hacienda y Crédito Público podrá requerir, por una sola vez, a las entidades territoriales que al 29 de agosto de 2013 no hubieran allegado a esa entidad la certificación de que tratan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2.12.3.6.1., 2.12.3.6.2., 2.12.3.6.3.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con el fin de que cumplan con dicho requisito en un plazo que no podrá exceder de tres (3) meses contados a partir de la fecha del requerimiento.  </w:t>
      </w:r>
    </w:p>
    <w:p w14:paraId="268CB08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8" w:name="ver_30104052"/>
      <w:bookmarkEnd w:id="1788"/>
    </w:p>
    <w:p w14:paraId="7E5C31BB" w14:textId="4F5F23DF" w:rsidR="00404266" w:rsidRPr="000C599B" w:rsidRDefault="000C599B" w:rsidP="000C599B">
      <w:pPr>
        <w:spacing w:after="0" w:line="254"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CAPÍTULO 22</w:t>
      </w:r>
    </w:p>
    <w:p w14:paraId="31ECD037" w14:textId="06277A27" w:rsidR="00404266" w:rsidRPr="000C599B" w:rsidRDefault="000C599B" w:rsidP="000C599B">
      <w:pPr>
        <w:spacing w:after="0" w:line="254"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COMPENSACIÓN Y/O PAGO DE CUOTAS PARTES PENSIONALES CON RECURSOS DEL FONPET</w:t>
      </w:r>
    </w:p>
    <w:p w14:paraId="66FEF3E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89" w:name="ver_30104053"/>
      <w:bookmarkEnd w:id="1789"/>
    </w:p>
    <w:p w14:paraId="5DDEEF0E" w14:textId="18DADD8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2.12.3.22.1.Pago de cuotas partes pensionales entre entidades territoriales a través del Fonpet. Las Entidades Territoriales podrán utilizar los recursos disponibles en sus cuentas individuales en el Fonpet, para la compensación y pago de cuotas partes pensionales adeudadas a otras entidades territoriales, tanto por su valor exigible como por su valor actuarial. Estas operaciones se realizarán mediante el traslado de recursos entre las cuentas del Fonpet y en ningún caso implicarán retiro de recursos del Fondo.  </w:t>
      </w:r>
    </w:p>
    <w:p w14:paraId="4C85D0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A1F4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se trate del pago del valor actuarial de las obligaciones por cuotas partes pensionales, estas deberán estar debidamente registradas en los cálculos actuariales de las entidades territoriales involucradas, dentro del programa Pasivocol del Ministerio de Hacienda y Crédito Público.  </w:t>
      </w:r>
    </w:p>
    <w:p w14:paraId="17C39D3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0" w:name="ver_30104054"/>
      <w:bookmarkEnd w:id="1790"/>
    </w:p>
    <w:p w14:paraId="46720238" w14:textId="71A287E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2.12.3.22.2.Acuerdos de pago de cuotas partes pensionales entre entidades territoriales. Para efectos de la autorización de compensación y/o pago que debe expedir el Ministerio de Hacienda y Crédito Público, en su condición de administrador del Fonpet, las entidades territoriales que soliciten las compensaciones y/o pagos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2.12.3.22.1. de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deberán remitir anexo a la solicitud un Acuerdo de Pago suscrito por los representantes legales de cada una de las entidades territoriales involucradas, en el cual deberá constar el valor actuarial de las cuotas partes pensionales, o el valor exigible dentro de los tres años inmediatamente anteriores al perfeccionamiento del Acuerdo, teniendo en cuenta el tipo </w:t>
      </w:r>
      <w:r w:rsidR="00404266" w:rsidRPr="002C1480">
        <w:rPr>
          <w:rFonts w:ascii="Arial" w:eastAsia="Times New Roman" w:hAnsi="Arial" w:cs="Arial"/>
          <w:color w:val="000000"/>
          <w:lang w:eastAsia="es-CO"/>
        </w:rPr>
        <w:lastRenderedPageBreak/>
        <w:t xml:space="preserve">de interés y el término de prescripción establecidos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 de la Ley 1066 de 2006. Dicho valor incluirá las obligaciones respecto de las cuales se hubiere interrumpido o suspendido la prescripción de acuerdo con las disposiciones legales vigentes. Lo anterior se implementará de conformidad con el Instructivo Operativo y los Formatos que se expidan para el efecto, según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2.12.3.22.6.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0344CF30"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1ECBF8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Acuerdos de Pago válidos para compensar y/o pagar cuotas partes pensionales con los recursos disponibles de las entidades territoriales en el Fonpet, serán los diligenciados en los términos del presente capítulo y en los Formatos que se expidan para ello, y en ningún caso serán admitidos los acuerdos de pago firmados con anterioridad por las partes.  </w:t>
      </w:r>
    </w:p>
    <w:p w14:paraId="120E33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EC98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Ministerio de Hacienda y Crédito Público verificará que el Acuerdo de Pago cumpla con los requisitos establecidos en el presente capítulo y en el Instructivo que para tal efecto se expida.  </w:t>
      </w:r>
    </w:p>
    <w:p w14:paraId="2E4BF5C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1" w:name="ver_30104056"/>
      <w:bookmarkEnd w:id="1791"/>
    </w:p>
    <w:p w14:paraId="33202ECE" w14:textId="0B4AF263"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2.12.3.22.3.Compensación y pago de cuotas partes entre entidades territoriales y entidades del orden nacional. De conformidad con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141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Ley 019 de 2012, las entidades territoriales podrán utilizar recursos disponibles en el Fonpet, dentro de los límites previstos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2.12.3.22.5.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para el pago de los saldos resultantes de las compensaciones por concepto de cuotas partes pensionales con entidades del orden nacional.  </w:t>
      </w:r>
    </w:p>
    <w:p w14:paraId="55418306"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74B05D10" w14:textId="2E4E5DD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estos efectos, deberán cumplirse los mismos requisitos previstos para la compensación y pago de cuotas partes entre entidades territoriales, de acuerdo con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precedentes.  </w:t>
      </w:r>
    </w:p>
    <w:p w14:paraId="2CEF32E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F80F779" w14:textId="4D4C6CD3"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pago se realizará directamente por el Fonpet a la entidad acreedora de la obligación de cuota parte pensional, previos los trámites presupuestales a que haya lugar por parte de la entidad territorial.  </w:t>
      </w:r>
    </w:p>
    <w:p w14:paraId="2DFCADF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2" w:name="ver_30104059"/>
      <w:bookmarkEnd w:id="1792"/>
    </w:p>
    <w:p w14:paraId="51ABCAFB" w14:textId="72836A8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2.12.3.22.4.Priorización de recursos. El Ministerio de Hacienda y Crédito Público solo podrá autorizar la utilización de los recursos del Fonpet para el pago o compensación de cuotas partes, en el caso de los departamentos, cuando dicha entidad demuestre haber agotado, para la respectiva vigencia fiscal, los recursos de que trata el inciso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25 de la Ley 1450 de 2011, provenientes del impuesto de registro y destinados al pago de cuotas partes pensionales, de acuerdo con certificación expedida por la respectiva entidad territorial.  </w:t>
      </w:r>
    </w:p>
    <w:p w14:paraId="6082266D" w14:textId="77777777" w:rsidR="000C599B" w:rsidRDefault="000C599B" w:rsidP="00C32F85">
      <w:pPr>
        <w:spacing w:after="0" w:line="254" w:lineRule="atLeast"/>
        <w:jc w:val="both"/>
        <w:rPr>
          <w:rFonts w:ascii="Arial" w:eastAsia="Times New Roman" w:hAnsi="Arial" w:cs="Arial"/>
          <w:color w:val="000000"/>
          <w:lang w:eastAsia="es-CO"/>
        </w:rPr>
      </w:pPr>
    </w:p>
    <w:p w14:paraId="49505407" w14:textId="3EEE8C1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2.12.3.22.5.Recursos disponibles en la cuenta de la entidad territorial para el retiro de recursos del Fonpet. Los recursos disponibles en la cuenta de la entidad territorial para el retiro o traslado de recursos del Fonpet, serán los siguientes:  </w:t>
      </w:r>
    </w:p>
    <w:p w14:paraId="29B476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Para los retiros de que trata la Sección 2, Capítulo 8 del presente título, hasta el 30% del saldo en cuenta total.  </w:t>
      </w:r>
    </w:p>
    <w:p w14:paraId="00797D28" w14:textId="77777777" w:rsidR="000C599B" w:rsidRDefault="000C599B" w:rsidP="00C32F85">
      <w:pPr>
        <w:spacing w:after="0" w:line="254" w:lineRule="atLeast"/>
        <w:jc w:val="both"/>
        <w:rPr>
          <w:rFonts w:ascii="Arial" w:eastAsia="Times New Roman" w:hAnsi="Arial" w:cs="Arial"/>
          <w:color w:val="000000"/>
          <w:lang w:eastAsia="es-CO"/>
        </w:rPr>
      </w:pPr>
    </w:p>
    <w:p w14:paraId="0B2B0EB7" w14:textId="7C09010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Para los retiros de que tratan el Capítulo 10 del presente título y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2.12.3.14.1.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hasta el 50% del saldo en cuenta para cada sector.  </w:t>
      </w:r>
    </w:p>
    <w:p w14:paraId="09FE7844" w14:textId="77777777" w:rsidR="000C599B" w:rsidRDefault="000C599B" w:rsidP="00C32F85">
      <w:pPr>
        <w:spacing w:after="0" w:line="254" w:lineRule="atLeast"/>
        <w:jc w:val="both"/>
        <w:rPr>
          <w:rFonts w:ascii="Arial" w:eastAsia="Times New Roman" w:hAnsi="Arial" w:cs="Arial"/>
          <w:color w:val="000000"/>
          <w:lang w:eastAsia="es-CO"/>
        </w:rPr>
      </w:pPr>
    </w:p>
    <w:p w14:paraId="0DE03270" w14:textId="4FC314B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Para el traslado de recursos entre cuentas de Fonpet, destinado a los pagos y compensaciones entre entidades territoriales por concepto de cuotas partes pensionales, hasta el 50% del saldo en cuenta para retiros.  </w:t>
      </w:r>
    </w:p>
    <w:p w14:paraId="1969CDD3" w14:textId="77777777" w:rsidR="000C599B" w:rsidRDefault="000C599B" w:rsidP="00C32F85">
      <w:pPr>
        <w:spacing w:after="0" w:line="254" w:lineRule="atLeast"/>
        <w:jc w:val="both"/>
        <w:rPr>
          <w:rFonts w:ascii="Arial" w:eastAsia="Times New Roman" w:hAnsi="Arial" w:cs="Arial"/>
          <w:color w:val="000000"/>
          <w:lang w:eastAsia="es-CO"/>
        </w:rPr>
      </w:pPr>
    </w:p>
    <w:p w14:paraId="6CFBAFC0" w14:textId="0258881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4. Para el retiro de recursos del Fonpet, destinados al pago de los saldos resultantes de las compensaciones por cuotas partes con entidades del orden nacional, hasta el 50% del saldo en cuenta para retiros.  </w:t>
      </w:r>
    </w:p>
    <w:p w14:paraId="113B7FBF" w14:textId="77777777" w:rsidR="000C599B" w:rsidRDefault="000C599B" w:rsidP="00C32F85">
      <w:pPr>
        <w:spacing w:after="0" w:line="254" w:lineRule="atLeast"/>
        <w:jc w:val="both"/>
        <w:rPr>
          <w:rFonts w:ascii="Arial" w:eastAsia="Times New Roman" w:hAnsi="Arial" w:cs="Arial"/>
          <w:color w:val="000000"/>
          <w:lang w:eastAsia="es-CO"/>
        </w:rPr>
      </w:pPr>
    </w:p>
    <w:p w14:paraId="0E925A61" w14:textId="0B09C79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excedentes para el retiro de recursos Fonpet por cubrimiento del pasivo pensional se determinarán como la diferencia entre el saldo en cuenta total y el pasivo pensional determinado conforme a lo establecido en el Capítulo 16 del presente título.  </w:t>
      </w:r>
    </w:p>
    <w:p w14:paraId="4FB13E26" w14:textId="77777777" w:rsidR="000C599B" w:rsidRDefault="000C599B" w:rsidP="00C32F85">
      <w:pPr>
        <w:spacing w:after="0" w:line="254" w:lineRule="atLeast"/>
        <w:jc w:val="both"/>
        <w:rPr>
          <w:rFonts w:ascii="Arial" w:eastAsia="Times New Roman" w:hAnsi="Arial" w:cs="Arial"/>
          <w:color w:val="000000"/>
          <w:lang w:eastAsia="es-CO"/>
        </w:rPr>
      </w:pPr>
    </w:p>
    <w:p w14:paraId="1FA1F802" w14:textId="32A06E3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excedentes para el retiro de recursos del Fonpet para el pago de obligaciones pensionales corrientes se determinarán como la diferencia entre el valor de los recursos acumulados en la cuenta de la entidad territorial, al cierre del semestre anterior a la fecha de solicitud, y el pasivo pensional determinado conforme a lo establecido en el Capítulo 16 del presente título.  </w:t>
      </w:r>
    </w:p>
    <w:p w14:paraId="60233C3C" w14:textId="77777777" w:rsidR="000C599B" w:rsidRDefault="000C599B" w:rsidP="00C32F85">
      <w:pPr>
        <w:spacing w:after="0" w:line="254" w:lineRule="atLeast"/>
        <w:jc w:val="both"/>
        <w:rPr>
          <w:rFonts w:ascii="Arial" w:eastAsia="Times New Roman" w:hAnsi="Arial" w:cs="Arial"/>
          <w:color w:val="000000"/>
          <w:lang w:eastAsia="es-CO"/>
        </w:rPr>
      </w:pPr>
    </w:p>
    <w:p w14:paraId="23B4241E" w14:textId="5DAA0F8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límite anual para los retiros acumulados de los numerales 1, 2 y 4 será de hasta el 50% del saldo de la cuenta total de la entidad territorial.  </w:t>
      </w:r>
    </w:p>
    <w:p w14:paraId="72EEB624" w14:textId="77777777" w:rsidR="000C599B" w:rsidRDefault="000C599B" w:rsidP="00C32F85">
      <w:pPr>
        <w:spacing w:after="0" w:line="254" w:lineRule="atLeast"/>
        <w:jc w:val="both"/>
        <w:rPr>
          <w:rFonts w:ascii="Arial" w:eastAsia="Times New Roman" w:hAnsi="Arial" w:cs="Arial"/>
          <w:color w:val="000000"/>
          <w:lang w:eastAsia="es-CO"/>
        </w:rPr>
      </w:pPr>
    </w:p>
    <w:p w14:paraId="50DA6000" w14:textId="42CAA37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Sistema de Información del Fonpet suministrará los saldos en cuenta y los saldos disponibles para los retiros, de tal manera que sirva de fuente de consulta para las entidades territoriales y para las demás entidades que lo requieran.  </w:t>
      </w:r>
    </w:p>
    <w:p w14:paraId="4BB81B4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3" w:name="ver_30104063"/>
      <w:bookmarkEnd w:id="1793"/>
    </w:p>
    <w:p w14:paraId="70FAFDE1" w14:textId="0716008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2.12.3.22.6.Instructivo. Los Ministerios de Hacienda y Crédito Público y del Trabajo, expedirán de manera conjunta el instructivo operativo de que trata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3C6323F4" w14:textId="77777777" w:rsidR="005D71D0" w:rsidRDefault="005D71D0" w:rsidP="00C32F85">
      <w:pPr>
        <w:spacing w:after="0" w:line="293" w:lineRule="atLeast"/>
        <w:jc w:val="both"/>
        <w:rPr>
          <w:rFonts w:ascii="Arial" w:eastAsia="Times New Roman" w:hAnsi="Arial" w:cs="Arial"/>
          <w:color w:val="000000"/>
          <w:lang w:eastAsia="es-CO"/>
        </w:rPr>
      </w:pPr>
      <w:bookmarkStart w:id="1794" w:name="ver_30104064"/>
      <w:bookmarkEnd w:id="1794"/>
    </w:p>
    <w:p w14:paraId="46854608" w14:textId="68565A00"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TÍTULO 4</w:t>
      </w:r>
    </w:p>
    <w:p w14:paraId="01DC8085" w14:textId="2DCD34EB"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LIQUIDACIÓN DEL FONDO DEL PASIVO PRESTACIONAL DEL SECTOR SALUD</w:t>
      </w:r>
    </w:p>
    <w:p w14:paraId="033B191B" w14:textId="5F11901B"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CAPÍTULO 1NORMAS RELATIVAS A LA SUPRESIÓN DEL FONDO</w:t>
      </w:r>
    </w:p>
    <w:p w14:paraId="3CC20FF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5" w:name="ver_30104065"/>
      <w:bookmarkEnd w:id="1795"/>
    </w:p>
    <w:p w14:paraId="7BEA6F5A" w14:textId="40BBB2D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2.12.4.1.1.Supresión del fondo. El ejercicio de las competencias relacionadas con el fondo del pasivo prestacional para el sector salud, cuya supresión fue ordenada a través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61 de la Ley 715 de 2001, se efectuará por el Ministerio de Hacienda y Crédito Público a través de la Dirección General de Regulación Económica de la Seguridad Social que será la responsable de la preparación técnica y actuarial de los convenios de concurrencia, así como de su revisión y actualización.  </w:t>
      </w:r>
    </w:p>
    <w:p w14:paraId="6BBEBF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C218C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administración y giro de los recursos destinados al pago del porcentaje de concurrencia de la Nación en estos convenios, estará a cargo de la Dirección General de Crédito Público y del Tesoro Nacional.  </w:t>
      </w:r>
    </w:p>
    <w:p w14:paraId="243C76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E99583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Al Ministerio de Hacienda y Crédito Público como sección presupuestal, le corresponde la programación y ejecución presupuestal de los recursos administrados por la Dirección General de Crédito Público y del Tesoro Nacional.  </w:t>
      </w:r>
    </w:p>
    <w:p w14:paraId="1DC19D4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6" w:name="ver_30104066"/>
      <w:bookmarkEnd w:id="1796"/>
    </w:p>
    <w:p w14:paraId="27BA85A1" w14:textId="4F83A5D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2.12.4.1.2.Responsables. El traslado de la totalidad de la información, expedientes, actos administrativos, corte de cuentas de los recursos administrados por el Ministerio de Salud y de Protección Social y demás documentos del Fondo del Pasivo Prestacional del Sector Salud, así como su contenido, será responsabilidad del Ministerio de Salud.  </w:t>
      </w:r>
    </w:p>
    <w:p w14:paraId="39A5421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3E61719" w14:textId="776EBE5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Respecto de los convenios ya suscritos y en ejecución, el Ministerio de Hacienda y Crédito Público responderá en el porcentaje de concurrencia que le corresponda a la Nación, por la deuda causada o acumulada a 31 de diciembre de 1993, solamente por aquellos beneficiarios que reconocidos </w:t>
      </w:r>
      <w:r w:rsidRPr="002C1480">
        <w:rPr>
          <w:rFonts w:ascii="Arial" w:eastAsia="Times New Roman" w:hAnsi="Arial" w:cs="Arial"/>
          <w:color w:val="000000"/>
          <w:lang w:eastAsia="es-CO"/>
        </w:rPr>
        <w:lastRenderedPageBreak/>
        <w:t xml:space="preserve">como tales en las resoluciones de reconocimiento de beneficiarios, dieron lugar a su suscripción, sin perjuicio de las facultades que le asigna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62 de la Ley 715 de 2001.  </w:t>
      </w:r>
    </w:p>
    <w:p w14:paraId="5CAD1C2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7" w:name="ver_30104067"/>
      <w:bookmarkEnd w:id="1797"/>
    </w:p>
    <w:p w14:paraId="781DBA57" w14:textId="1D2F2E6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2.12.4.1.3.Traslado de recursos. El Fondo Nacional de Ahorro trasladará a la Dirección General de Crédito Público y del Tesoro Nacional del Ministerio de Hacienda y Crédito Público, a la cuenta que para tal efecto señale la mencionada dirección, los recursos junto con sus rendimientos transferidos a esa entidad por parte del Ministerio de Salud y Protección Social, correspondientes al fondo del pasivo prestacional para el sector salud, suprimido por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61 de la Ley 715 de 2001.  </w:t>
      </w:r>
    </w:p>
    <w:p w14:paraId="2FC5BC7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8" w:name="ver_30104068"/>
      <w:bookmarkEnd w:id="1798"/>
    </w:p>
    <w:p w14:paraId="4FDC2DDF" w14:textId="7FCB1C6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2.12.4.1.4.Unidad de caja. La Dirección General de Crédito Público y del Tesoro Nacional deberá aplicar el principio de unidad de caja al manejo de los recursos recibidos, en virtud de lo dispuesto en el presente capítulo.  </w:t>
      </w:r>
    </w:p>
    <w:p w14:paraId="7E2AEA9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799" w:name="ver_30104069"/>
      <w:bookmarkEnd w:id="1799"/>
    </w:p>
    <w:p w14:paraId="4F75CF3C" w14:textId="6335118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2.12.4.1.5.Giro en desarrollo de los convenios de concurrencia. En los casos en que no sea posible efectuar el giro a través de los mecanismos previstos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61 de la Ley 715 de 2001, el Ministerio de Hacienda y Crédito Público procederá a hacerlos en desarrollo de los convenios de concurrencia para lo cual podrá celebrar, los convenios y contratos que la ley le autoriza.  </w:t>
      </w:r>
    </w:p>
    <w:p w14:paraId="759C15B9" w14:textId="41A9B2FD" w:rsidR="00404266" w:rsidRPr="002C1480" w:rsidRDefault="00404266" w:rsidP="00C32F85">
      <w:pPr>
        <w:spacing w:after="0" w:line="254" w:lineRule="atLeast"/>
        <w:jc w:val="both"/>
        <w:rPr>
          <w:rFonts w:ascii="Arial" w:eastAsia="Times New Roman" w:hAnsi="Arial" w:cs="Arial"/>
          <w:color w:val="000000"/>
          <w:lang w:eastAsia="es-CO"/>
        </w:rPr>
      </w:pPr>
    </w:p>
    <w:p w14:paraId="7FFA4DBE" w14:textId="77777777" w:rsidR="00404266" w:rsidRPr="000C599B" w:rsidRDefault="00404266" w:rsidP="000C599B">
      <w:pPr>
        <w:spacing w:after="0" w:line="254" w:lineRule="atLeast"/>
        <w:jc w:val="center"/>
        <w:rPr>
          <w:rFonts w:ascii="Arial" w:eastAsia="Times New Roman" w:hAnsi="Arial" w:cs="Arial"/>
          <w:b/>
          <w:bCs/>
          <w:color w:val="000000"/>
          <w:lang w:eastAsia="es-CO"/>
        </w:rPr>
      </w:pPr>
    </w:p>
    <w:p w14:paraId="5B05E69C" w14:textId="3853492D" w:rsidR="00404266" w:rsidRPr="000C599B" w:rsidRDefault="000C599B" w:rsidP="000C599B">
      <w:pPr>
        <w:spacing w:after="0" w:line="293" w:lineRule="atLeast"/>
        <w:jc w:val="center"/>
        <w:rPr>
          <w:rFonts w:ascii="Arial" w:eastAsia="Times New Roman" w:hAnsi="Arial" w:cs="Arial"/>
          <w:b/>
          <w:bCs/>
          <w:color w:val="000000"/>
          <w:lang w:eastAsia="es-CO"/>
        </w:rPr>
      </w:pPr>
      <w:bookmarkStart w:id="1800" w:name="ver_30104071"/>
      <w:bookmarkEnd w:id="1800"/>
      <w:r w:rsidRPr="000C599B">
        <w:rPr>
          <w:rFonts w:ascii="Arial" w:eastAsia="Times New Roman" w:hAnsi="Arial" w:cs="Arial"/>
          <w:b/>
          <w:bCs/>
          <w:color w:val="000000"/>
          <w:lang w:eastAsia="es-CO"/>
        </w:rPr>
        <w:t>CAPÍTULO 2</w:t>
      </w:r>
    </w:p>
    <w:p w14:paraId="0C6CC90A" w14:textId="2158B7F0" w:rsidR="00404266" w:rsidRPr="000C599B" w:rsidRDefault="000C599B" w:rsidP="000C599B">
      <w:pPr>
        <w:spacing w:after="0" w:line="293" w:lineRule="atLeast"/>
        <w:jc w:val="center"/>
        <w:rPr>
          <w:rFonts w:ascii="Arial" w:eastAsia="Times New Roman" w:hAnsi="Arial" w:cs="Arial"/>
          <w:b/>
          <w:bCs/>
          <w:color w:val="000000"/>
          <w:lang w:eastAsia="es-CO"/>
        </w:rPr>
      </w:pPr>
      <w:r w:rsidRPr="000C599B">
        <w:rPr>
          <w:rFonts w:ascii="Arial" w:eastAsia="Times New Roman" w:hAnsi="Arial" w:cs="Arial"/>
          <w:b/>
          <w:bCs/>
          <w:color w:val="000000"/>
          <w:lang w:eastAsia="es-CO"/>
        </w:rPr>
        <w:t>PROCEDIMIENTO PARA EL RECONOCIMIENTO Y PAGO DEL PASIVO PRESTACIONAL DEL SECTOR SALUD</w:t>
      </w:r>
    </w:p>
    <w:p w14:paraId="25E7E51A" w14:textId="77777777" w:rsidR="000C599B" w:rsidRDefault="000C599B" w:rsidP="000C599B">
      <w:pPr>
        <w:spacing w:after="0" w:line="293" w:lineRule="atLeast"/>
        <w:jc w:val="both"/>
        <w:rPr>
          <w:rFonts w:ascii="Arial" w:eastAsia="Times New Roman" w:hAnsi="Arial" w:cs="Arial"/>
          <w:color w:val="000000"/>
          <w:lang w:eastAsia="es-CO"/>
        </w:rPr>
      </w:pPr>
      <w:bookmarkStart w:id="1801" w:name="ver_30104072"/>
      <w:bookmarkEnd w:id="1801"/>
    </w:p>
    <w:p w14:paraId="1002AF95" w14:textId="71069DFD" w:rsidR="00404266" w:rsidRPr="002C1480" w:rsidRDefault="002C1480" w:rsidP="000C599B">
      <w:pPr>
        <w:spacing w:after="0" w:line="293"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2.12.4.2.1.Objeto. El presente capítulo tiene por objeto reglamentar el procedimiento general para el reconocimiento y pago del Pasivo Prestacional del Sector Salud causado a diciembre 31 de 1993 por concepto de cesantías netas y reservas requeridas para el pago de pensiones legalmente reconocidas de las instituciones de salud públicas o privadas, en cuya financiación deban contribuir en virtud de la Ley 715 de 2001, la Nación a través del Ministerio de Hacienda y Crédito Público y los entes territoriales cuando a ello hubiere lugar.  </w:t>
      </w:r>
    </w:p>
    <w:p w14:paraId="3AAAC79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2" w:name="ver_30104076"/>
      <w:bookmarkEnd w:id="1802"/>
    </w:p>
    <w:p w14:paraId="44B8AF65" w14:textId="7575FAE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2.12.4.2.2.Pasivo prestacional. El pasivo prestacional causado a 31 de diciembre de 1993 está constituido por:  </w:t>
      </w:r>
    </w:p>
    <w:p w14:paraId="3691EF74" w14:textId="77777777" w:rsidR="000C599B" w:rsidRDefault="000C599B" w:rsidP="00C32F85">
      <w:pPr>
        <w:spacing w:after="0" w:line="254" w:lineRule="atLeast"/>
        <w:jc w:val="both"/>
        <w:rPr>
          <w:rFonts w:ascii="Arial" w:eastAsia="Times New Roman" w:hAnsi="Arial" w:cs="Arial"/>
          <w:color w:val="000000"/>
          <w:lang w:eastAsia="es-CO"/>
        </w:rPr>
      </w:pPr>
    </w:p>
    <w:p w14:paraId="7C2D9BF7" w14:textId="742B275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Cesantías. Las cesantías pendientes de pago, una vez liquidadas y reconocidas, sin perjuicio de lo dispuesto en el inciso 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242 de la Ley 100 de 1993.  </w:t>
      </w:r>
    </w:p>
    <w:p w14:paraId="5A72F3C8" w14:textId="77777777" w:rsidR="000C599B" w:rsidRDefault="000C599B" w:rsidP="00C32F85">
      <w:pPr>
        <w:spacing w:after="0" w:line="254" w:lineRule="atLeast"/>
        <w:jc w:val="both"/>
        <w:rPr>
          <w:rFonts w:ascii="Arial" w:eastAsia="Times New Roman" w:hAnsi="Arial" w:cs="Arial"/>
          <w:color w:val="000000"/>
          <w:lang w:eastAsia="es-CO"/>
        </w:rPr>
      </w:pPr>
    </w:p>
    <w:p w14:paraId="7CC5509B" w14:textId="179C18D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Pensiones. Las pensiones de jubilación o vejez, invalidez y sustituciones pensionales que las entidades beneficiarias tenían a su cargo, siempre y cuando correspondan a derechos adquiridos, sin perjuicio de lo dispuesto en el inciso 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242 de la Ley 100 de 1993.  </w:t>
      </w:r>
    </w:p>
    <w:p w14:paraId="0827F945" w14:textId="77777777" w:rsidR="000C599B" w:rsidRDefault="000C599B" w:rsidP="00C32F85">
      <w:pPr>
        <w:spacing w:after="0" w:line="254" w:lineRule="atLeast"/>
        <w:jc w:val="both"/>
        <w:rPr>
          <w:rFonts w:ascii="Arial" w:eastAsia="Times New Roman" w:hAnsi="Arial" w:cs="Arial"/>
          <w:color w:val="000000"/>
          <w:lang w:eastAsia="es-CO"/>
        </w:rPr>
      </w:pPr>
    </w:p>
    <w:p w14:paraId="38B25082" w14:textId="06FF388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Reserva pensional de activos. Las reservas requeridas para el pago de las obligaciones pensionales de trabajadores privados y servidores públicos reconocidos como beneficiarios, la cual estará representada en bonos o títulos pensionales.  </w:t>
      </w:r>
    </w:p>
    <w:p w14:paraId="122AA707" w14:textId="77777777" w:rsidR="000C599B" w:rsidRDefault="000C599B" w:rsidP="00C32F85">
      <w:pPr>
        <w:spacing w:after="0" w:line="254" w:lineRule="atLeast"/>
        <w:jc w:val="both"/>
        <w:rPr>
          <w:rFonts w:ascii="Arial" w:eastAsia="Times New Roman" w:hAnsi="Arial" w:cs="Arial"/>
          <w:color w:val="000000"/>
          <w:lang w:eastAsia="es-CO"/>
        </w:rPr>
      </w:pPr>
    </w:p>
    <w:p w14:paraId="2BC74AFE" w14:textId="0092935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Reserva pensional de retirados. Las reservas requeridas para el pago de bonos o las cuotas partes de bonos de los servidores públicos que prestaron sus servicios en las instituciones hospitalarias beneficiarías y se encontraban retirados a dicha fecha.  </w:t>
      </w:r>
    </w:p>
    <w:p w14:paraId="56F21259" w14:textId="77777777" w:rsidR="000C599B" w:rsidRDefault="000C599B" w:rsidP="00C32F85">
      <w:pPr>
        <w:spacing w:after="0" w:line="254" w:lineRule="atLeast"/>
        <w:jc w:val="both"/>
        <w:rPr>
          <w:rFonts w:ascii="Arial" w:eastAsia="Times New Roman" w:hAnsi="Arial" w:cs="Arial"/>
          <w:color w:val="000000"/>
          <w:lang w:eastAsia="es-CO"/>
        </w:rPr>
      </w:pPr>
    </w:p>
    <w:p w14:paraId="1794BBDB" w14:textId="0956832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Igualmente se incluyen dentro del pasivo prestacional las obligaciones pensionales convencionales vigentes a 31 de diciembre de 1993, válidamente pactadas por la respectiva institución de acuerdo con la modalidad de vinculación del funcionario o servidor, así como las obligaciones correspondientes a la pensión compartida con Colpensiones, cuando a ello hubiere lugar.  </w:t>
      </w:r>
    </w:p>
    <w:p w14:paraId="3ECD9A3E" w14:textId="77777777" w:rsidR="000C599B" w:rsidRDefault="000C599B" w:rsidP="00C32F85">
      <w:pPr>
        <w:spacing w:after="0" w:line="254" w:lineRule="atLeast"/>
        <w:jc w:val="both"/>
        <w:rPr>
          <w:rFonts w:ascii="Arial" w:eastAsia="Times New Roman" w:hAnsi="Arial" w:cs="Arial"/>
          <w:color w:val="000000"/>
          <w:lang w:eastAsia="es-CO"/>
        </w:rPr>
      </w:pPr>
    </w:p>
    <w:p w14:paraId="3FF78245" w14:textId="1FB6B1B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determinar las obligaciones correspondientes al pasivo prestacional, se considerarán los requisitos consagrados en las disposiciones legales y convencionales vigentes en el momento de causarse el derecho sobre cesantías y pensiones de jubilación, de acuerdo con la modalidad de vinculación del funcionario o servidor público.  </w:t>
      </w:r>
    </w:p>
    <w:p w14:paraId="57C2E42A"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31ACA590" w14:textId="0596AD2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2.12.4.2.3.Reconocimiento del pasivo prestacional. El pasivo prestacional que al 3 de febrero de 2004 aún no hubiere sido reconocido por el entonces Ministerio de Salud en calidad de administrador del extinto Fondo del Pasivo Prestacional del Sector Salud, será reconocido por el Ministerio de Hacienda y Crédito Público mediante acto administrativo.  </w:t>
      </w:r>
    </w:p>
    <w:p w14:paraId="47584A7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2DD0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continuar con la ejecución de los contratos de concurrencia que fueron suscritos por el Ministerio de Salud antes de entrar en vigencia la Ley 715 de 2001 y para la suscripción de los nuevos contratos, el Ministerio de Hacienda y Crédito Público podrá:  </w:t>
      </w:r>
    </w:p>
    <w:p w14:paraId="30A8F964" w14:textId="77777777" w:rsidR="000C599B" w:rsidRDefault="000C599B" w:rsidP="00C32F85">
      <w:pPr>
        <w:spacing w:after="0" w:line="254" w:lineRule="atLeast"/>
        <w:jc w:val="both"/>
        <w:rPr>
          <w:rFonts w:ascii="Arial" w:eastAsia="Times New Roman" w:hAnsi="Arial" w:cs="Arial"/>
          <w:color w:val="000000"/>
          <w:lang w:eastAsia="es-CO"/>
        </w:rPr>
      </w:pPr>
    </w:p>
    <w:p w14:paraId="75A5E3AB" w14:textId="584D830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Revisar los cálculos actuariales de cada institución hospitalaria teniendo en cuenta únicamente el pasivo legal calculado a 31 de diciembre de 1993.  </w:t>
      </w:r>
    </w:p>
    <w:p w14:paraId="4FBCB614" w14:textId="77777777" w:rsidR="000C599B" w:rsidRDefault="000C599B" w:rsidP="00C32F85">
      <w:pPr>
        <w:spacing w:after="0" w:line="254" w:lineRule="atLeast"/>
        <w:jc w:val="both"/>
        <w:rPr>
          <w:rFonts w:ascii="Arial" w:eastAsia="Times New Roman" w:hAnsi="Arial" w:cs="Arial"/>
          <w:color w:val="000000"/>
          <w:lang w:eastAsia="es-CO"/>
        </w:rPr>
      </w:pPr>
    </w:p>
    <w:p w14:paraId="781C1765" w14:textId="5D743FB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Revisar y modificar las certificaciones de beneficiarios expedidas por el entonces Ministerio de Salud verificando que los reconocimientos prestacionales estén ajustados a las normas legales y convencionales que regían a la fecha del cálculo del pasivo para cada una de estas instituciones.  </w:t>
      </w:r>
    </w:p>
    <w:p w14:paraId="04015C6C" w14:textId="77777777" w:rsidR="000C599B" w:rsidRDefault="000C599B" w:rsidP="00C32F85">
      <w:pPr>
        <w:spacing w:after="0" w:line="254" w:lineRule="atLeast"/>
        <w:jc w:val="both"/>
        <w:rPr>
          <w:rFonts w:ascii="Arial" w:eastAsia="Times New Roman" w:hAnsi="Arial" w:cs="Arial"/>
          <w:color w:val="000000"/>
          <w:lang w:eastAsia="es-CO"/>
        </w:rPr>
      </w:pPr>
    </w:p>
    <w:p w14:paraId="68BA7CB1" w14:textId="15A2075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Expedir o modificar los actos administrativos de reconocimiento del monto del pasivo, de beneficiarios y de porcentajes de concurrencia.  </w:t>
      </w:r>
    </w:p>
    <w:p w14:paraId="06552322" w14:textId="77777777" w:rsidR="000C599B" w:rsidRDefault="000C599B" w:rsidP="00C32F85">
      <w:pPr>
        <w:spacing w:after="0" w:line="254" w:lineRule="atLeast"/>
        <w:jc w:val="both"/>
        <w:rPr>
          <w:rFonts w:ascii="Arial" w:eastAsia="Times New Roman" w:hAnsi="Arial" w:cs="Arial"/>
          <w:color w:val="000000"/>
          <w:lang w:eastAsia="es-CO"/>
        </w:rPr>
      </w:pPr>
    </w:p>
    <w:p w14:paraId="554E8E02" w14:textId="4343425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Establecer o modificar en concertación con los entes territoriales los plazos y los mecanismos para el pago de las obligaciones.  </w:t>
      </w:r>
    </w:p>
    <w:p w14:paraId="03CE43B4" w14:textId="77777777" w:rsidR="000C599B" w:rsidRDefault="000C599B" w:rsidP="00C32F85">
      <w:pPr>
        <w:spacing w:after="0" w:line="254" w:lineRule="atLeast"/>
        <w:jc w:val="both"/>
        <w:rPr>
          <w:rFonts w:ascii="Arial" w:eastAsia="Times New Roman" w:hAnsi="Arial" w:cs="Arial"/>
          <w:color w:val="000000"/>
          <w:lang w:eastAsia="es-CO"/>
        </w:rPr>
      </w:pPr>
    </w:p>
    <w:p w14:paraId="41AAB84B" w14:textId="0B3177D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Celebrar los contratos que se encuentran pendientes o suscribir los modificatorios de los que se encuentran en ejecución, de acuerdo con las revisiones efectuadas. En los convenios o en sus modificatorios deberán incluirse los mecanismos de actualización de los montos de la concurrencia a la fecha de pago de las mismas.  </w:t>
      </w:r>
    </w:p>
    <w:p w14:paraId="1C445BF0" w14:textId="77777777" w:rsidR="000C599B" w:rsidRDefault="000C599B" w:rsidP="00C32F85">
      <w:pPr>
        <w:spacing w:after="0" w:line="254" w:lineRule="atLeast"/>
        <w:jc w:val="both"/>
        <w:rPr>
          <w:rFonts w:ascii="Arial" w:eastAsia="Times New Roman" w:hAnsi="Arial" w:cs="Arial"/>
          <w:color w:val="000000"/>
          <w:lang w:eastAsia="es-CO"/>
        </w:rPr>
      </w:pPr>
    </w:p>
    <w:p w14:paraId="4D6CFFB8" w14:textId="1B07FB6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Ministerio de Hacienda y Crédito Público podrá reconocer, suscribir contratos y pagar el pasivo prestacional de cesantías y pensiones en actos separados. Igualmente, el Ministerio podrá hacer contratos donde se incluyan parcialmente beneficiarios ya reconocidos.  </w:t>
      </w:r>
    </w:p>
    <w:p w14:paraId="67B01DB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3" w:name="ver_30104083"/>
      <w:bookmarkEnd w:id="1803"/>
    </w:p>
    <w:p w14:paraId="6A713957" w14:textId="62B3365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2.12.4.2.4.Cesantías. El procedimiento para el reconocimiento y pago de las cesantías se desarrollará conforme a los siguientes parámetros:  </w:t>
      </w:r>
    </w:p>
    <w:p w14:paraId="4E58C65A" w14:textId="77777777" w:rsidR="000C599B" w:rsidRDefault="000C599B" w:rsidP="00C32F85">
      <w:pPr>
        <w:spacing w:after="0" w:line="254" w:lineRule="atLeast"/>
        <w:jc w:val="both"/>
        <w:rPr>
          <w:rFonts w:ascii="Arial" w:eastAsia="Times New Roman" w:hAnsi="Arial" w:cs="Arial"/>
          <w:color w:val="000000"/>
          <w:lang w:eastAsia="es-CO"/>
        </w:rPr>
      </w:pPr>
    </w:p>
    <w:p w14:paraId="14B1B778" w14:textId="2A8513E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valor neto de la cesantía de una persona activa o retirada a 31 de diciembre de 1993 equivaldrá a las cesantías causadas y pendientes de pago a dicha fecha, descontando los valores cancelados por concepto de cesantías parciales, todo debidamente actualizado.  </w:t>
      </w:r>
    </w:p>
    <w:p w14:paraId="263DD796" w14:textId="77777777" w:rsidR="000C599B" w:rsidRDefault="000C599B" w:rsidP="00C32F85">
      <w:pPr>
        <w:spacing w:after="0" w:line="254" w:lineRule="atLeast"/>
        <w:jc w:val="both"/>
        <w:rPr>
          <w:rFonts w:ascii="Arial" w:eastAsia="Times New Roman" w:hAnsi="Arial" w:cs="Arial"/>
          <w:color w:val="000000"/>
          <w:lang w:eastAsia="es-CO"/>
        </w:rPr>
      </w:pPr>
    </w:p>
    <w:p w14:paraId="00D8298D" w14:textId="3EBE513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Nación a través del Ministerio de Hacienda y Crédito Público se abstendrá de pagar con sus recursos la retroactividad de cesantías que corresponda al servidor público o el trabajador privado afiliado con anterioridad al 23 de diciembre de 1993 al Fondo Nacional de Ahorro o a otra Administradora de Fondo de Cesantías legalmente constituida, teniendo en cuenta que el régimen que administran dichas entidades no contempla a su cargo el pago de dicha retroactividad.  </w:t>
      </w:r>
    </w:p>
    <w:p w14:paraId="7FBEA71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1DF9C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la negligencia imputable al empleador en el pago oportuno de los aportes para cesantías de sus trabajadores dé origen a la cancelación de intereses de mora, estos no podrán ser cancelados con la concurrencia a cargo de las entidades que colaboran en la financiación del pasivo prestacional del sector salud.  </w:t>
      </w:r>
    </w:p>
    <w:p w14:paraId="5B76F043" w14:textId="77777777" w:rsidR="00542CFA" w:rsidRDefault="00542CFA" w:rsidP="00C32F85">
      <w:pPr>
        <w:spacing w:after="0" w:line="254" w:lineRule="atLeast"/>
        <w:jc w:val="both"/>
        <w:rPr>
          <w:rFonts w:ascii="Arial" w:eastAsia="Times New Roman" w:hAnsi="Arial" w:cs="Arial"/>
          <w:color w:val="000000"/>
          <w:lang w:eastAsia="es-CO"/>
        </w:rPr>
      </w:pPr>
      <w:bookmarkStart w:id="1804" w:name="ver_30104084"/>
      <w:bookmarkEnd w:id="1804"/>
    </w:p>
    <w:p w14:paraId="7AFB033E" w14:textId="263F0A32"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2.12.4.2.5.Administración de los recursos por concepto de cesantías. Los aportes de la Nación, de las entidades territoriales y de las instituciones hospitalarias cuyos servidores sean beneficiarios del extinto Fondo del Pasivo Prestacional del Sector Salud en los términos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242 de la Ley 100 de 1993, deberán manejarse como una subcuenta especial y separada denominada “Subcuenta del Pasivo Prestacional”, dentro del patrimonio autónomo que tenga a su cargo la administración de los aportes patronales por concepto de cesantías de los servidores públicos del sector salud afiliados a los fondos de cesantías creados por la Ley 50 de 1990 y de los servidores públicos del mismo sector con régimen retroactivo de cesantías.  </w:t>
      </w:r>
    </w:p>
    <w:p w14:paraId="149491FA" w14:textId="77777777" w:rsidR="000C599B" w:rsidRPr="002C1480" w:rsidRDefault="000C599B" w:rsidP="00C32F85">
      <w:pPr>
        <w:spacing w:after="0" w:line="254" w:lineRule="atLeast"/>
        <w:jc w:val="both"/>
        <w:rPr>
          <w:rFonts w:ascii="Arial" w:eastAsia="Times New Roman" w:hAnsi="Arial" w:cs="Arial"/>
          <w:color w:val="000000"/>
          <w:lang w:eastAsia="es-CO"/>
        </w:rPr>
      </w:pPr>
    </w:p>
    <w:p w14:paraId="0AB860C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administración de estos recursos se aplicarán en lo pertinente las disposiciones relativas a la administración de los aportes patronales de que trata el inciso anterior.  </w:t>
      </w:r>
    </w:p>
    <w:p w14:paraId="5E6490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4F2B3C5" w14:textId="77777777" w:rsidR="000C599B"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subcuenta especial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administrará de manera global para todo el grupo de beneficiarios y solo se debitará cuando haya lugar a la liquidación parcial o definitiva del auxilio de cesantías, sin perjuicio de la obligación de la entidad administradora de mantener la información detallada sobre los pagos efectuados y sobre las personas beneficiarías. </w:t>
      </w:r>
    </w:p>
    <w:p w14:paraId="52F7F913" w14:textId="22B0D54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6C5AC2" w14:textId="77777777" w:rsidR="000C599B"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de esta subcuenta en ningún caso podrán destinarse al pago de cesantías de los servidores vinculados a las entidades empleadoras con posterioridad al 31 de diciembre de 1993.</w:t>
      </w:r>
    </w:p>
    <w:p w14:paraId="0E1B3562" w14:textId="1DE7888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DB9E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terminación de los contratos de administración, los recursos deberán mantener siempre su destinación especial y serán transferidos a la nueva administradora que se contrate para estos efectos.  </w:t>
      </w:r>
    </w:p>
    <w:p w14:paraId="384F4F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9C773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la entidad empleadora hubiere realizado pagos del auxilio de cesantía en la porción correspondiente a la concurrencia de la Nación o de las entidades territoriales, en el contrato de concurrencia deberá preverse el cruce de cuentas.  </w:t>
      </w:r>
    </w:p>
    <w:p w14:paraId="75C358E7" w14:textId="77777777" w:rsidR="000C599B" w:rsidRDefault="000C599B" w:rsidP="00C32F85">
      <w:pPr>
        <w:spacing w:after="0" w:line="254" w:lineRule="atLeast"/>
        <w:jc w:val="both"/>
        <w:rPr>
          <w:rFonts w:ascii="Arial" w:eastAsia="Times New Roman" w:hAnsi="Arial" w:cs="Arial"/>
          <w:color w:val="000000"/>
          <w:lang w:eastAsia="es-CO"/>
        </w:rPr>
      </w:pPr>
    </w:p>
    <w:p w14:paraId="5BC0721F" w14:textId="105DB3B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2.12.4.2.6.Pensiones. Para garantizar el pago de las pensiones de los servidores públicos y trabajadores privados jubilados o retirados con derecho a pensión a cargo de las instituciones hospitalarias frente al cual se deba concurrir para su financiación, las instituciones deberán establecer alguno de los mecanismos previstos en el presente capítulo, para que se les puedan girar los recursos que les permitan constituir la respectiva reserva pensional.  </w:t>
      </w:r>
    </w:p>
    <w:p w14:paraId="6BADF9A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5" w:name="ver_30104086"/>
      <w:bookmarkEnd w:id="1805"/>
    </w:p>
    <w:p w14:paraId="0C4EE75E" w14:textId="722394F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2.12.4.2.7.Beneficiarios. Se consideran beneficiarios del Pasivo Prestacional del Sector Salud aquellos servidores públicos y trabajadores privados que fueron certificados como tales por el Ministerio de Salud de conformidad a la normatividad entonces vigente, sin perjuicio de las modificaciones a que haya lugar con ocasión de la revisión que efectúe el Ministerio de Hacienda y Crédito Público.  </w:t>
      </w:r>
    </w:p>
    <w:p w14:paraId="4A0EAC1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2FEC7E8B" w14:textId="3336AAE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Serán considerados como beneficiarios los trabajadores del sector salud que a diciembre de 1993 pertenecían a una de las siguientes entidades o dependencias y tenían acreencias prestacionales legales a las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2.12.4.2.2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vigentes con las mismas:  </w:t>
      </w:r>
    </w:p>
    <w:p w14:paraId="5347B371"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1EBF56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Instituciones o dependencias de salud del subsector oficial del sector salud.  </w:t>
      </w:r>
    </w:p>
    <w:p w14:paraId="2D780B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Entidades del subsector privado del sector salud, cuando hayan estado sostenidas o administradas por el Estado, o cuyos bienes se hayan destinado a una entidad pública en un evento de liquidación.  </w:t>
      </w:r>
    </w:p>
    <w:p w14:paraId="3ED2DEA2" w14:textId="77777777" w:rsidR="00925C02" w:rsidRDefault="00925C02" w:rsidP="00C32F85">
      <w:pPr>
        <w:spacing w:after="0" w:line="254" w:lineRule="atLeast"/>
        <w:jc w:val="both"/>
        <w:rPr>
          <w:rFonts w:ascii="Arial" w:eastAsia="Times New Roman" w:hAnsi="Arial" w:cs="Arial"/>
          <w:color w:val="000000"/>
          <w:lang w:eastAsia="es-CO"/>
        </w:rPr>
      </w:pPr>
    </w:p>
    <w:p w14:paraId="71623D41" w14:textId="00BBC72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Entidades de naturaleza jurídica indefinida del sector salud cuando se trate de instituciones que hayan estado sostenidas y administradas por el Estado, o que se liquiden y cuyos bienes se destinen a una entidad pública.  </w:t>
      </w:r>
    </w:p>
    <w:p w14:paraId="3BF3081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6" w:name="ver_30104087"/>
      <w:bookmarkEnd w:id="1806"/>
    </w:p>
    <w:p w14:paraId="758A78AD" w14:textId="628BD90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2.12.4.2.8.Reconocimiento de nuevos beneficiarios. El Ministerio de Hacienda y Crédito Público solo podrá reconocer como nuevos beneficiarios a quienes reúnan los requisitos legalmente establecidos, siempre y cuando se encuentren en alguna de las siguientes situaciones:  </w:t>
      </w:r>
    </w:p>
    <w:p w14:paraId="454704E7" w14:textId="77777777" w:rsidR="00925C02" w:rsidRDefault="00925C02" w:rsidP="00C32F85">
      <w:pPr>
        <w:spacing w:after="0" w:line="254" w:lineRule="atLeast"/>
        <w:jc w:val="both"/>
        <w:rPr>
          <w:rFonts w:ascii="Arial" w:eastAsia="Times New Roman" w:hAnsi="Arial" w:cs="Arial"/>
          <w:color w:val="000000"/>
          <w:lang w:eastAsia="es-CO"/>
        </w:rPr>
      </w:pPr>
    </w:p>
    <w:p w14:paraId="5C447DA1" w14:textId="6080B90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Que una vez asumidas las funciones por parte del Ministerio de Hacienda y Crédito Público, se establezca que el entonces Ministerio de Salud a cuyo cargo se encontraba el extinto Fondo del Pasivo Prestacional del Sector Salud, no les había efectuado el reconocimiento como beneficiarios siempre y cuando la reclamación haya sido presentada dentro del término previsto en su momento por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530 de 1994.  </w:t>
      </w:r>
    </w:p>
    <w:p w14:paraId="577A4F9E" w14:textId="77777777" w:rsidR="00925C02" w:rsidRDefault="00925C02" w:rsidP="00C32F85">
      <w:pPr>
        <w:spacing w:after="0" w:line="254" w:lineRule="atLeast"/>
        <w:jc w:val="both"/>
        <w:rPr>
          <w:rFonts w:ascii="Arial" w:eastAsia="Times New Roman" w:hAnsi="Arial" w:cs="Arial"/>
          <w:color w:val="000000"/>
          <w:lang w:eastAsia="es-CO"/>
        </w:rPr>
      </w:pPr>
    </w:p>
    <w:p w14:paraId="4A948233" w14:textId="5093F71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Que la institución a la cual pertenecen haya interpuesto recurso de reposición contra la resolución de reconocimiento de beneficiarios en los términos del Código de Procedimiento Administrativo y de lo Contencioso Administrativo y este se encuentre pendiente de resolver, siempre y cuando el Ministerio resuelva favorablemente la decisión al recurrente.  </w:t>
      </w:r>
    </w:p>
    <w:p w14:paraId="5429B502" w14:textId="77777777" w:rsidR="00925C02" w:rsidRDefault="00925C02" w:rsidP="00C32F85">
      <w:pPr>
        <w:spacing w:after="0" w:line="254" w:lineRule="atLeast"/>
        <w:jc w:val="both"/>
        <w:rPr>
          <w:rFonts w:ascii="Arial" w:eastAsia="Times New Roman" w:hAnsi="Arial" w:cs="Arial"/>
          <w:color w:val="000000"/>
          <w:lang w:eastAsia="es-CO"/>
        </w:rPr>
      </w:pPr>
    </w:p>
    <w:p w14:paraId="3E53A9E8" w14:textId="0A4D57B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Que hayan obtenido u obtengan por vía judicial la declaración de sus derechos en materia de cesantías y pensiones.  </w:t>
      </w:r>
    </w:p>
    <w:p w14:paraId="4B9D267A" w14:textId="77777777" w:rsidR="00925C02" w:rsidRDefault="00925C02" w:rsidP="00C32F85">
      <w:pPr>
        <w:spacing w:after="0" w:line="254" w:lineRule="atLeast"/>
        <w:jc w:val="both"/>
        <w:rPr>
          <w:rFonts w:ascii="Arial" w:eastAsia="Times New Roman" w:hAnsi="Arial" w:cs="Arial"/>
          <w:color w:val="000000"/>
          <w:lang w:eastAsia="es-CO"/>
        </w:rPr>
      </w:pPr>
    </w:p>
    <w:p w14:paraId="2AA9F8C8" w14:textId="5F11DEC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Si realizada la revisión por parte del Ministerio de Hacienda y Crédito Público se establece que algunos beneficiarios reconocidos como tales por el Ministerio de Salud fueron pensionados sin reunir los requisitos establecidos en la ley o en las convenciones colectivas, el pago del pasivo causado en relación con dichos beneficiarios quedará a cargo de la respectiva entidad empleadora, sin perjuicio de la posibilidad de las instituciones de proceder de conformidad con lo establecido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s 19 y 20 de la Ley 797 de 2003.  </w:t>
      </w:r>
    </w:p>
    <w:p w14:paraId="250E3B1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7" w:name="ver_30104088"/>
      <w:bookmarkEnd w:id="1807"/>
    </w:p>
    <w:p w14:paraId="2DFD8B9E" w14:textId="41A3B84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2.12.4.2.9.Contratos de concurrencia. El Ministerio de Hacienda y Crédito Público al revisar los contratos de concurrencia en ejecución y suscribir los nuevos contratos según lo establecido en la ley, determinará la concurrencia para la colaboración a las instituciones públicas de salud a cuyo cargo esté el pasivo prestacional causado a 31 de diciembre de 1993, que fueron reconocidas como beneficiarías del extinto Fondo del Pasivo Prestacional del Sector Salud, de conformidad con las ejecuciones presupuestales de cada institución de los últimos cinco (5) años anteriores al 1° de enero de 1994, tal como lo señala el presente capítulo.  </w:t>
      </w:r>
    </w:p>
    <w:p w14:paraId="40E10ADB"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72E1F0F4" w14:textId="3479553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Establecida la responsabilidad financiera de cada una de las entidades participantes se firmarán los contratos de concurrencia entre la Nación a través del Ministerio de Hacienda y Crédito Público, los entes territoriales que participan en el pago del pasivo.  </w:t>
      </w:r>
    </w:p>
    <w:p w14:paraId="2DC81267" w14:textId="77777777" w:rsidR="00542CFA" w:rsidRPr="002C1480" w:rsidRDefault="00542CFA" w:rsidP="00C32F85">
      <w:pPr>
        <w:spacing w:after="0" w:line="254" w:lineRule="atLeast"/>
        <w:jc w:val="both"/>
        <w:rPr>
          <w:rFonts w:ascii="Arial" w:eastAsia="Times New Roman" w:hAnsi="Arial" w:cs="Arial"/>
          <w:color w:val="000000"/>
          <w:lang w:eastAsia="es-CO"/>
        </w:rPr>
      </w:pPr>
    </w:p>
    <w:p w14:paraId="60E5C8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El giro de los recursos de la concurrencia a cargo de la Nación estará sujeto al cumplimiento de las obligaciones de las entidades que suscriben el contrato; en consecuencia, la Nación podrá abstenerse de girar los recursos correspondientes a su concurrencia cuando se establezca que las demás entidades concurrentes no han cumplido con las obligaciones de giro.  </w:t>
      </w:r>
    </w:p>
    <w:p w14:paraId="6A4C02F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1AC8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Adicionalmente, el Ministerio de Hacienda y Crédito Público deberá comprobar la afiliación del personal activo de las instituciones a las administradoras de fondos de pensiones y cesantías, Fondo Nacional de Ahorro y a las entidades administradoras del Sistema General de Pensiones de conformidad con la Ley 100 de 1993, en la medida que la Nación solo puede girar su concurrencia teniendo en cuenta la normatividad que rige cada uno de los sistemas: El sistema pensional y el de cesantías.  </w:t>
      </w:r>
    </w:p>
    <w:p w14:paraId="370ADF2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8" w:name="ver_30104089"/>
      <w:bookmarkEnd w:id="1808"/>
    </w:p>
    <w:p w14:paraId="371F6DAD" w14:textId="0BECFFB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2.12.4.2.10.Ordenador del gasto. El ordenador del gasto para el giro de los recursos correspondientes a la concurrencia a cargo de la Nación será el Ministro de Hacienda y Crédito Público.  </w:t>
      </w:r>
    </w:p>
    <w:p w14:paraId="0E29FC0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09" w:name="ver_30104090"/>
      <w:bookmarkEnd w:id="1809"/>
    </w:p>
    <w:p w14:paraId="7BB730EC" w14:textId="1DB10D4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2.12.4.2.11.Financiación del pasivo prestacional del sector salud. La financiación del pasivo causado hasta el 31 de diciembre de 1993 por concepto de cesantías y pensiones de los trabajadores del sector salud que hubieren sido reconocidos como beneficiarios del extinto Fondo del Pasivo Prestacional del Sector Salud, es responsabilidad de la Nación y de las entidades territoriales.  </w:t>
      </w:r>
    </w:p>
    <w:p w14:paraId="7B8EEBF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10" w:name="ver_30104091"/>
      <w:bookmarkEnd w:id="1810"/>
    </w:p>
    <w:p w14:paraId="34FEC117" w14:textId="4267143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2.12.4.2.12.</w:t>
      </w:r>
      <w:r w:rsidR="005D71D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Determinación de las concurrencias. Para determinar la responsabilidad que asumirán la Nación y las entidades territoriales para el pago de la concurrencia frente al pasivo prestacional de las instituciones de salud beneficiarías, se procederá así:  </w:t>
      </w:r>
    </w:p>
    <w:p w14:paraId="29778123"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2C4253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Nación a través del Ministerio de Hacienda y Crédito Público, asumirá el pago de la concurrencia, en una suma equivalente a la proporción de la participación del situado fiscal en la financiación de las instituciones de salud, en los cinco (5) años anteriores al 1° de enero de 1994.  </w:t>
      </w:r>
    </w:p>
    <w:p w14:paraId="0D19995E" w14:textId="77777777" w:rsidR="00925C02" w:rsidRDefault="00925C02" w:rsidP="00C32F85">
      <w:pPr>
        <w:spacing w:after="0" w:line="254" w:lineRule="atLeast"/>
        <w:jc w:val="both"/>
        <w:rPr>
          <w:rFonts w:ascii="Arial" w:eastAsia="Times New Roman" w:hAnsi="Arial" w:cs="Arial"/>
          <w:color w:val="000000"/>
          <w:lang w:eastAsia="es-CO"/>
        </w:rPr>
      </w:pPr>
    </w:p>
    <w:p w14:paraId="079A1991" w14:textId="4984F78C"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Departamentos, los Municipios y los Distritos en donde esté localizada la institución de salud, deberán concurrir en una proporción equivalente al porcentaje en que participan las rentas de destinación especial para salud incluyendo las cedidas, en la financiación de las instituciones de salud en los cinco años anteriores al 1° de enero de 1994.  </w:t>
      </w:r>
    </w:p>
    <w:p w14:paraId="26ACAD66"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3DD3962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porcentaje restante, esto es, el derivado de los recursos propios de cada entidad hospitalaria, será asumido por la Nación y las entidades territoriales, a prorrata de la participación de cada entidad en la concurrencia.  </w:t>
      </w:r>
    </w:p>
    <w:p w14:paraId="0FB061BA"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67BFA222" w14:textId="098754A8" w:rsidR="00404266" w:rsidRPr="00925C02" w:rsidRDefault="00925C02" w:rsidP="00925C02">
      <w:pPr>
        <w:spacing w:after="0" w:line="293" w:lineRule="atLeast"/>
        <w:jc w:val="center"/>
        <w:rPr>
          <w:rFonts w:ascii="Arial" w:eastAsia="Times New Roman" w:hAnsi="Arial" w:cs="Arial"/>
          <w:b/>
          <w:bCs/>
          <w:color w:val="000000"/>
          <w:lang w:eastAsia="es-CO"/>
        </w:rPr>
      </w:pPr>
      <w:bookmarkStart w:id="1811" w:name="ver_30104092"/>
      <w:bookmarkEnd w:id="1811"/>
      <w:r w:rsidRPr="00925C02">
        <w:rPr>
          <w:rFonts w:ascii="Arial" w:eastAsia="Times New Roman" w:hAnsi="Arial" w:cs="Arial"/>
          <w:b/>
          <w:bCs/>
          <w:color w:val="000000"/>
          <w:lang w:eastAsia="es-CO"/>
        </w:rPr>
        <w:t>CAPÍTULO 3</w:t>
      </w:r>
    </w:p>
    <w:p w14:paraId="3DBBD063" w14:textId="66F91546" w:rsidR="00404266" w:rsidRDefault="00925C02" w:rsidP="00925C02">
      <w:pPr>
        <w:spacing w:after="0" w:line="293" w:lineRule="atLeast"/>
        <w:jc w:val="center"/>
        <w:rPr>
          <w:rFonts w:ascii="Arial" w:eastAsia="Times New Roman" w:hAnsi="Arial" w:cs="Arial"/>
          <w:b/>
          <w:bCs/>
          <w:color w:val="000000"/>
          <w:lang w:eastAsia="es-CO"/>
        </w:rPr>
      </w:pPr>
      <w:r w:rsidRPr="00925C02">
        <w:rPr>
          <w:rFonts w:ascii="Arial" w:eastAsia="Times New Roman" w:hAnsi="Arial" w:cs="Arial"/>
          <w:b/>
          <w:bCs/>
          <w:color w:val="000000"/>
          <w:lang w:eastAsia="es-CO"/>
        </w:rPr>
        <w:t>PASIVO PENSIONAL DE LOS EXTRABAJADORES DEL SAN JUAN DE DIOS RETIRADOS A 31 DE DICIEMBRE DE 1993</w:t>
      </w:r>
    </w:p>
    <w:p w14:paraId="7CB20AD9" w14:textId="77777777" w:rsidR="00542CFA" w:rsidRPr="00925C02" w:rsidRDefault="00542CFA" w:rsidP="00925C02">
      <w:pPr>
        <w:spacing w:after="0" w:line="293" w:lineRule="atLeast"/>
        <w:jc w:val="center"/>
        <w:rPr>
          <w:rFonts w:ascii="Arial" w:eastAsia="Times New Roman" w:hAnsi="Arial" w:cs="Arial"/>
          <w:b/>
          <w:bCs/>
          <w:color w:val="000000"/>
          <w:lang w:eastAsia="es-CO"/>
        </w:rPr>
      </w:pPr>
    </w:p>
    <w:p w14:paraId="13730BEA" w14:textId="077F7440" w:rsidR="00404266" w:rsidRPr="002C1480" w:rsidRDefault="002C1480" w:rsidP="00C32F85">
      <w:pPr>
        <w:spacing w:after="0" w:line="254" w:lineRule="atLeast"/>
        <w:jc w:val="both"/>
        <w:rPr>
          <w:rFonts w:ascii="Arial" w:eastAsia="Times New Roman" w:hAnsi="Arial" w:cs="Arial"/>
          <w:color w:val="000000"/>
          <w:lang w:eastAsia="es-CO"/>
        </w:rPr>
      </w:pPr>
      <w:bookmarkStart w:id="1812" w:name="ver_30104093"/>
      <w:bookmarkEnd w:id="1812"/>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2.12.4.3.1.</w:t>
      </w:r>
      <w:r w:rsidR="005D71D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Cálculo actuarial. Es responsabilidad del liquidador de la Fundación San Juan de Dios en Liquidación, elaborar el cálculo actuarial de las obligaciones pensionales causadas a treinta y uno (31) de diciembre de 1993, antes de la culminación del proceso </w:t>
      </w:r>
      <w:r w:rsidR="00404266" w:rsidRPr="002C1480">
        <w:rPr>
          <w:rFonts w:ascii="Arial" w:eastAsia="Times New Roman" w:hAnsi="Arial" w:cs="Arial"/>
          <w:color w:val="000000"/>
          <w:lang w:eastAsia="es-CO"/>
        </w:rPr>
        <w:lastRenderedPageBreak/>
        <w:t>liquidatorio, en lo que corresponda al personal retirado de la entidad y por los tiempos no incluidos dentro del cálculo actuarial inicialmente elaborado del personal activo desde su vinculación laboral.  </w:t>
      </w:r>
    </w:p>
    <w:p w14:paraId="3F9CD6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D89D20" w14:textId="6DD8E22B"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el efecto el Ministerio de Hacienda y Crédito Público deberá aprobar el cálculo actuarial presentado por el liquidador de la Fundación San Juan de Dios, de acuerdo con lo establecido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254 de 2000.  </w:t>
      </w:r>
    </w:p>
    <w:p w14:paraId="34696B88"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5710D1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elaboración del referido cálculo actuarial, y su posterior aprobación deberá quedar finiquitada antes de la terminación del proceso liquidatorio.  </w:t>
      </w:r>
    </w:p>
    <w:p w14:paraId="667C13BB" w14:textId="77777777" w:rsidR="00925C02" w:rsidRDefault="00925C02" w:rsidP="00C32F85">
      <w:pPr>
        <w:spacing w:after="0" w:line="254" w:lineRule="atLeast"/>
        <w:jc w:val="both"/>
        <w:rPr>
          <w:rFonts w:ascii="Arial" w:eastAsia="Times New Roman" w:hAnsi="Arial" w:cs="Arial"/>
          <w:color w:val="000000"/>
          <w:lang w:eastAsia="es-CO"/>
        </w:rPr>
      </w:pPr>
    </w:p>
    <w:p w14:paraId="76316A83" w14:textId="3F9B6EC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2.12.4.3.2.</w:t>
      </w:r>
      <w:r w:rsidR="005D71D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Reconocimiento y pago de los bonos pensionales y cuotas partes de bonos pensionales. La Oficina de Bonos Pensionales del Ministerio de Hacienda y Crédito Público deberá reconocer y pagar los bonos pensionales y cuota parte de los bonos pensionales correspondientes a los tiempos laborados o servidos en la Fundación San Juan de Dios en Liquidación hasta el treinta y uno (31) de diciembre de 1993, para lo cual deberá realizarse el trámite presupuestal que corresponda.  </w:t>
      </w:r>
    </w:p>
    <w:p w14:paraId="60D017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142A6D" w14:textId="410DDA4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Para los efectos mencionados, la Fundación San Juan de Dios en liquidación, deberá entregar al Ministerio de Hacienda y Crédito Público - Oficina de Bonos Pensionales- toda la información adicional que sea necesaria.  </w:t>
      </w:r>
    </w:p>
    <w:p w14:paraId="4B7AC9FA"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62AC5E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Fundación San Juan de Dios en Liquidación elaborará y llevará a término las acciones que conduzcan a la aprobación por parte del Ministerio de Hacienda y Crédito Público, de los cálculos actuariales por los derechos pensionales que no se encuentren incluidos en el cálculo aprobado. La Oficina de Bonos Pensionales pagará los bonos y cuotas partes de bonos de los funcionarios activos y retirados a treinta y uno (31) de diciembre de 1993, siempre que se encuentren en el cálculo actuarial debidamente aprobado.  </w:t>
      </w:r>
    </w:p>
    <w:p w14:paraId="69CC22D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13" w:name="ver_30104095"/>
      <w:bookmarkEnd w:id="1813"/>
    </w:p>
    <w:p w14:paraId="5761FA4F" w14:textId="51495A9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2.12.4.3.3.Certificación laboral y cálculo actuarial posterior al cierre de liquidación. La Fundación San Juan de Dios en Liquidación deberá expedir las certificaciones de Historia Laboral que se requieran conforme a lo establecido en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1833 de 2016 y en la Circular número 013 de 2007 del Ministerio de Hacienda y Crédito Público y Ministerio de Trabajo y las demás normas que así los dispongan, hasta la fecha de su liquidación.  </w:t>
      </w:r>
    </w:p>
    <w:p w14:paraId="64CC7E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2BE025" w14:textId="4A9B3A6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Una vez se efectúe la liquidación la entidad responsable de emitir las certificaciones de historia laboral será la entidad que sea designada por la norma reglamentaria para llevar a cabo esta actividad.  </w:t>
      </w:r>
    </w:p>
    <w:p w14:paraId="401B9EF6"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7242A8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Terminado el proceso liquidatorio, la entidad que sea designada para emitir las certificaciones laborales, será la encargada de la elaboración del cálculo actuarial del personal no incluido en la actual cuantificación, para que a través de la Oficina de Bonos Pensionales sea pagado el respectivo bono reclamado.  </w:t>
      </w:r>
    </w:p>
    <w:p w14:paraId="56DBA11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14" w:name="ver_30104096"/>
      <w:bookmarkEnd w:id="1814"/>
    </w:p>
    <w:p w14:paraId="42C107DD" w14:textId="0899F88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2.12.4.3.4.Traslado de títulos pensionales del personal activo. Cuando se hubiere pagado un título pensional por una persona activa, al anteriormente denominado Instituto de Seguro Social (ISS), hoy Colpensiones, y dicha persona se hubiere trasladado al Régimen de Ahorro Individual con solidaridad, Colpensiones deberá efectuar el traslado del título a la Administradora de Fondos de Pensiones que corresponda, de conformidad con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2.2.4.4.11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1833 de 2016.  </w:t>
      </w:r>
    </w:p>
    <w:p w14:paraId="5634C1DC" w14:textId="77777777" w:rsidR="00404266" w:rsidRPr="00925C02" w:rsidRDefault="00404266" w:rsidP="00925C02">
      <w:pPr>
        <w:spacing w:after="0" w:line="293" w:lineRule="atLeast"/>
        <w:jc w:val="center"/>
        <w:rPr>
          <w:rFonts w:ascii="Arial" w:eastAsia="Times New Roman" w:hAnsi="Arial" w:cs="Arial"/>
          <w:b/>
          <w:bCs/>
          <w:color w:val="000000"/>
          <w:lang w:eastAsia="es-CO"/>
        </w:rPr>
      </w:pPr>
      <w:bookmarkStart w:id="1815" w:name="ver_30107471"/>
      <w:bookmarkEnd w:id="1815"/>
      <w:r w:rsidRPr="00925C02">
        <w:rPr>
          <w:rFonts w:ascii="Arial" w:eastAsia="Times New Roman" w:hAnsi="Arial" w:cs="Arial"/>
          <w:b/>
          <w:bCs/>
          <w:color w:val="000000"/>
          <w:lang w:eastAsia="es-CO"/>
        </w:rPr>
        <w:lastRenderedPageBreak/>
        <w:t>CAPÍTULO 4</w:t>
      </w:r>
    </w:p>
    <w:p w14:paraId="40FDF1C2" w14:textId="77777777" w:rsidR="00404266" w:rsidRPr="00925C02" w:rsidRDefault="00404266" w:rsidP="00925C02">
      <w:pPr>
        <w:spacing w:after="0" w:line="293" w:lineRule="atLeast"/>
        <w:jc w:val="center"/>
        <w:rPr>
          <w:rFonts w:ascii="Arial" w:eastAsia="Times New Roman" w:hAnsi="Arial" w:cs="Arial"/>
          <w:b/>
          <w:bCs/>
          <w:color w:val="000000"/>
          <w:lang w:eastAsia="es-CO"/>
        </w:rPr>
      </w:pPr>
      <w:r w:rsidRPr="00925C02">
        <w:rPr>
          <w:rFonts w:ascii="Arial" w:eastAsia="Times New Roman" w:hAnsi="Arial" w:cs="Arial"/>
          <w:b/>
          <w:bCs/>
          <w:color w:val="000000"/>
          <w:lang w:eastAsia="es-CO"/>
        </w:rPr>
        <w:t>PROCEDIMIENTO PARA EL CÁLCULO Y PAGO DEL PASIVO PENSIONAL DEL SECTOR SALUD CAUSADO A TREINTA Y UNO (31) DE DICIEMBRE DE 1993, DEL PERSONAL CERTIFICADO COMO RETIRADO DE LAS INSTITUCIONES DE SALUD BENEFICIARIAS DEL FONDO DEL PASIVO PRESTACIONAL DEL SECTOR SALUD</w:t>
      </w:r>
    </w:p>
    <w:p w14:paraId="03F8869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16" w:name="ver_30107474"/>
      <w:bookmarkEnd w:id="1816"/>
    </w:p>
    <w:p w14:paraId="7050C584" w14:textId="1F19B2B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2.12.4.4.1. Objeto.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tiene por objeto, establecer el procedimiento para el cálculo del pasivo pensional del sector salud, generado por el personal retirado a treinta y uno (31) de diciembre de 1993, que haya sido certificado por el extinto Fondo del Pasivo Prestacional del Sector Salud, así como el procedimiento para el pago de las reservas asociadas a dicho pasivo y establecer presupuestos para la suscripción de los contratos de concurrencia, la administración y giro de estos recursos y la responsabilidad de las instituciones hospitalarias y los entes territoriales.  </w:t>
      </w:r>
    </w:p>
    <w:p w14:paraId="5676FB6A" w14:textId="77777777" w:rsidR="00925C02" w:rsidRDefault="00925C02" w:rsidP="00C32F85">
      <w:pPr>
        <w:spacing w:after="0" w:line="254" w:lineRule="atLeast"/>
        <w:jc w:val="both"/>
        <w:rPr>
          <w:rFonts w:ascii="Arial" w:eastAsia="Times New Roman" w:hAnsi="Arial" w:cs="Arial"/>
          <w:color w:val="000000"/>
          <w:lang w:eastAsia="es-CO"/>
        </w:rPr>
      </w:pPr>
    </w:p>
    <w:p w14:paraId="50AC5F37" w14:textId="2D97FE01"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2.12.4.4.2. Procedimiento para el cálculo y pago del pasivo pensional del sector salud generado por el personal retirado a treinta y uno (31) de diciembre de 1993. Para determinar el monto total del pasivo a concurrir por parte de la Nación, Ministerio de Hacienda y Crédito Público, y de las entidades territoriales, en el financiamiento del pasivo prestacional causado al treinta y uno (31) de diciembre de 1993, de las Instituciones Hospitalarias por su personal retirado certificado como beneficiario conforme con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2.12.4.2.7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y para el pago, a continuación se establece el siguiente procedimiento:  </w:t>
      </w:r>
    </w:p>
    <w:p w14:paraId="3AF846CD"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7FCDAD2D" w14:textId="7DA949F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Dentro de los tres (3) meses siguientes a la expedición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la Dirección General de Regulación Económica de la Seguridad Social del Ministerio de Hacienda y Crédito Público, diseñará el formato que las instituciones hospitalarias deberán diligenciar para la entrega de la información que detalle la relación de las personas por las cuales las instituciones hospitalarias han recibido solicitudes de pago de bonos pensionales, cuotas partes de bonos pensionales, títulos pensionales, o cuotas partes pensionales; así como los pagos efectuados a las administradoras de pensiones u otras entidades que han reconocido pensiones.  </w:t>
      </w:r>
    </w:p>
    <w:p w14:paraId="45975ED4" w14:textId="77777777" w:rsidR="00925C02" w:rsidRDefault="00925C02" w:rsidP="00C32F85">
      <w:pPr>
        <w:spacing w:after="0" w:line="254" w:lineRule="atLeast"/>
        <w:jc w:val="both"/>
        <w:rPr>
          <w:rFonts w:ascii="Arial" w:eastAsia="Times New Roman" w:hAnsi="Arial" w:cs="Arial"/>
          <w:color w:val="000000"/>
          <w:lang w:eastAsia="es-CO"/>
        </w:rPr>
      </w:pPr>
    </w:p>
    <w:p w14:paraId="107987BE" w14:textId="61C1098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Una vez diseñado el formato para la entrega de la información de que trata el presente Capítulo, la Dirección General de Regulación Económica de la Seguridad Social del Ministerio de Hacienda y Crédito Público, lo enviará a las instituciones hospitalarias que lo soliciten ante esa dependencia, para su diligenciamiento, anexo de soportes, y posterior envío.  </w:t>
      </w:r>
    </w:p>
    <w:p w14:paraId="1ECB461B" w14:textId="77777777" w:rsidR="00925C02" w:rsidRDefault="00925C02" w:rsidP="00C32F85">
      <w:pPr>
        <w:spacing w:after="0" w:line="254" w:lineRule="atLeast"/>
        <w:jc w:val="both"/>
        <w:rPr>
          <w:rFonts w:ascii="Arial" w:eastAsia="Times New Roman" w:hAnsi="Arial" w:cs="Arial"/>
          <w:color w:val="000000"/>
          <w:lang w:eastAsia="es-CO"/>
        </w:rPr>
      </w:pPr>
    </w:p>
    <w:p w14:paraId="2159492F" w14:textId="5B1DBC3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Recibido el formato en las instituciones hospitalarias que lo soliciten previamente, estas procederán a diligenciarlo y anexar los soportes que acrediten: i) los cobros de bonos pensionales, cuotas partes de bonos pensionales, títulos pensionales, o cuotas partes pensionales, por las personas que las instituciones hospitalarias han recibido solicitudes de pago por estos conceptos; ii) los pagos efectuados por las entidades territoriales o las instituciones hospitalarias a las entidades públicas o privadas reconocedoras de pensiones, y iii) el reconocimiento de las respectivas pensiones expedido por el competente.  </w:t>
      </w:r>
    </w:p>
    <w:p w14:paraId="68C6248F" w14:textId="77777777" w:rsidR="00925C02" w:rsidRDefault="00925C02" w:rsidP="00C32F85">
      <w:pPr>
        <w:spacing w:after="0" w:line="254" w:lineRule="atLeast"/>
        <w:jc w:val="both"/>
        <w:rPr>
          <w:rFonts w:ascii="Arial" w:eastAsia="Times New Roman" w:hAnsi="Arial" w:cs="Arial"/>
          <w:color w:val="000000"/>
          <w:lang w:eastAsia="es-CO"/>
        </w:rPr>
      </w:pPr>
    </w:p>
    <w:p w14:paraId="79595CA6" w14:textId="774D3A6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Dentro de los seis (6) meses siguientes al recibo del formato en las instituciones hospitalarias, este deberá ser enviado una vez diligenciado, a la Dirección General de Regulación Económica de la Seguridad Social del Ministerio de Hacienda y Crédito Público, junto con los soportes a que alude el numeral 3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7668D961" w14:textId="77777777" w:rsidR="00925C02" w:rsidRDefault="00925C02" w:rsidP="00C32F85">
      <w:pPr>
        <w:spacing w:after="0" w:line="254" w:lineRule="atLeast"/>
        <w:jc w:val="both"/>
        <w:rPr>
          <w:rFonts w:ascii="Arial" w:eastAsia="Times New Roman" w:hAnsi="Arial" w:cs="Arial"/>
          <w:color w:val="000000"/>
          <w:lang w:eastAsia="es-CO"/>
        </w:rPr>
      </w:pPr>
    </w:p>
    <w:p w14:paraId="74443E91" w14:textId="2F6849C3"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5. Una vez recibida la información de manera oportuna en la Dirección General de Regulación Económica de la Seguridad Social del Ministerio de Hacienda y CréDito Público, es decir dentro de los seis (6) meses siguientes al recibo del formato por parte de las instituciones hospitalarias, se procederá a su revisión y validación, o devolución según el caso.  </w:t>
      </w:r>
    </w:p>
    <w:p w14:paraId="4EE28A7E"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7810487D" w14:textId="77777777" w:rsidR="00925C02"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6. Luego de revisar la información remitida por las instituciones hospitalarias, validar los soportes, y establecer que son pertinentes los valores cobrados por concepto de bonos pensionales, cuotas partes de bonos pensionales, títulos pensionales, o cuotas partes pensionales, así como los pagos efectuados a las administradoras de pensiones u otras entidades que han reconocido pensiones, el Ministerio de Hacienda y Crédito Público, expedirá el acto administrativo que corresponda para determinar el monto total del pasivo a concurrir por parte de la Nación, Ministerio de Hacienda y Crédito Público y de las entidades territoriales, en el financiamiento del pasivo prestacional causado al treinta y uno (31) de diciembre de 1993, de las instituciones hospitalarias por su personal retirado certificado como beneficiario conforme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2.12.4.2.7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para determinar los porcentajes de concurrencia. El valor a pagar por concepto de la reserva de retirados al treinta y uno (31) de diciembre de 1993, corresponde al valor de bonos pensionales, cuotas partes de bonos pensionales, títulos pensionales, o cuotas partes pensionales, cobradas a la institución hospitalaria, de las personas que fueron certificadas como beneficiarias por el Extinto Fondo Territorial del Pasivo Prestacional del Sector Salud dentro del formulario 18, que contiene el reporte detallado del personal retirado a cargo de la institución hospitalaria. El Ministerio de Hacienda y Crédito Público, previo agotamiento del trámite establecido en el presente Capítulo, reconocerá los valores cobrados conforme con el </w:t>
      </w:r>
    </w:p>
    <w:p w14:paraId="79214106" w14:textId="7F97A7E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tiempo y monto contenidos en el cálculo actuarial.  </w:t>
      </w:r>
    </w:p>
    <w:p w14:paraId="5D6012B3" w14:textId="77777777" w:rsidR="00925C02" w:rsidRDefault="00925C02" w:rsidP="00C32F85">
      <w:pPr>
        <w:spacing w:after="0" w:line="254" w:lineRule="atLeast"/>
        <w:jc w:val="both"/>
        <w:rPr>
          <w:rFonts w:ascii="Arial" w:eastAsia="Times New Roman" w:hAnsi="Arial" w:cs="Arial"/>
          <w:color w:val="000000"/>
          <w:lang w:eastAsia="es-CO"/>
        </w:rPr>
      </w:pPr>
    </w:p>
    <w:p w14:paraId="0BC8893B" w14:textId="405A259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7. Contra el acto administrativo que se profiera para determinar el monto total del pasivo a concurrir por parte de la Nación, Ministerio de Hacienda y Crédito Público, y de las entidades territoriales, en el financiamiento del pasivo prestacional causado al treinta y uno (31) de diciembre de 1993, de las instituciones hospitalarias por su personal retirado certificado como beneficiario conforme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2.12.4.2.7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determinar los porcentajes de concurrencia, procederá el recurso de reposición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74 de la Ley 1437 de 2011. </w:t>
      </w:r>
    </w:p>
    <w:p w14:paraId="0909363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17" w:name="ver_30107480"/>
      <w:bookmarkEnd w:id="1817"/>
    </w:p>
    <w:p w14:paraId="4171EEB1" w14:textId="5F5F859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2.12.4.4.3. Envío anual de la información. Con posterioridad al envío de la información a la Dirección General de Regulación Económica de la Seguridad Social del Ministerio de Hacienda y Crédito Público, dentro del término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los representantes legales de las instituciones hospitalarias y de las entidades territoriales, o los funcionarios que se deleguen para tal fin, deberán seguir entregando a más tardar el treinta y uno (31) de marzo de cada año la respectiva información.  </w:t>
      </w:r>
    </w:p>
    <w:p w14:paraId="53580938" w14:textId="77777777" w:rsidR="00925C02" w:rsidRDefault="00925C02" w:rsidP="00C32F85">
      <w:pPr>
        <w:spacing w:after="0" w:line="254" w:lineRule="atLeast"/>
        <w:jc w:val="both"/>
        <w:rPr>
          <w:rFonts w:ascii="Arial" w:eastAsia="Times New Roman" w:hAnsi="Arial" w:cs="Arial"/>
          <w:color w:val="000000"/>
          <w:lang w:eastAsia="es-CO"/>
        </w:rPr>
      </w:pPr>
      <w:bookmarkStart w:id="1818" w:name="ver_30107482"/>
      <w:bookmarkEnd w:id="1818"/>
    </w:p>
    <w:p w14:paraId="486FC636" w14:textId="73668A4C"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2.12.4.4.4. Contratos de concurrencia. Una vez efectuada la verificación del valor de la reserva pensional de retirados y determinado el valor del pasivo conforme con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la Dirección General de Regulación Económica de la Seguridad Social del Ministerio de Hacienda y Crédito Público, procederá a la suscripción de los contratos de concurrencia de acuerdo con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2.12.4.2.9, 2.12.4.2.11 y 2.12.4.2.12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En la medida en que se realicen nuevos cobros a la institución hospitalaria, se procederá a celebrar un nuevo contrato de concurrencia o una adición al contrato inicial, previo agotamiento del procedimiento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3FD48776"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0313DE90" w14:textId="575D8B77"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1°. Los pagos efectuados por concepto de bonos pensionales, cuotas partes de bonos pensionales, títulos pensionales, o cuotas partes pensionales, por las instituciones hospitalarias o las entidades territoriales, se reembolsarán hasta el valor que resulte de la revisión de los tiempos contenidos en el cálculo actuarial con base en la información y los soportes remitidos a la Dirección General de Regulación Económica de la Seguridad Social del Ministerio de Hacienda y Crédito Público, para el corte de cuentas que se realice, valor que quedará contenido dentro del contrato de concurrencia o sus adiciones.  </w:t>
      </w:r>
    </w:p>
    <w:p w14:paraId="3ABC26A7"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2C4DDEBB" w14:textId="4492960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En aquellos casos en que no se haya efectuado el corte de cuentas, ni suscrito el contrato de concurrencia o sus adiciones o modificaciones, se deberá dar aplicación a lo consagrado en el inciso quinto (5º)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242 de la Ley 100 de 1993. </w:t>
      </w:r>
    </w:p>
    <w:p w14:paraId="777E301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19" w:name="ver_30107485"/>
      <w:bookmarkEnd w:id="1819"/>
    </w:p>
    <w:p w14:paraId="3F079A07" w14:textId="59BAD22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2.12.4.4.5. Anticipo a la concurrencia. En el evento en que no se haya suscrito el contrato de concurrencia, el Departamento, Municipio o Distrito, podrá efectuar anticipos a su concurrencia con los recursos acumulados en el Fondo Nacional de Pensiones de las Entidades Territoriales (FONPET), abonados en el sector salud, de conformidad con lo establecido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147 de la Ley 1753 de 2015,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2.12.3.8.2.6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y demás normas reglamentarias vigentes. Para tal efecto es necesario que se efectúe el corte de cuentas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242 de la Ley 100 de 1993. </w:t>
      </w:r>
    </w:p>
    <w:p w14:paraId="1FE8860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0" w:name="ver_30107488"/>
      <w:bookmarkEnd w:id="1820"/>
    </w:p>
    <w:p w14:paraId="3669C189" w14:textId="7960CC6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2.12.4.4.6. Administración y giro de los recursos. Una vez suscrito el contrato de concurrencia, la Nación Ministerio de Hacienda y Crédito Público y las entidades territoriales, girarán los recursos correspondientes a la reserva de retirados conforme con lo establecido en el contrato, al encargo fiduciario, al patrimonio autónomo, a las administradoras de pensiones, a los fondos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23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-ley 1299 de 1994, o a los fideicomisos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19, numeral 3 del mismo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para que estos a su vez realicen el pago a la entidad que reconoció la pensión. </w:t>
      </w:r>
    </w:p>
    <w:p w14:paraId="4E1FB95B" w14:textId="77777777" w:rsidR="00925C02" w:rsidRDefault="00925C02" w:rsidP="00C32F85">
      <w:pPr>
        <w:spacing w:after="0" w:line="254" w:lineRule="atLeast"/>
        <w:jc w:val="both"/>
        <w:rPr>
          <w:rFonts w:ascii="Arial" w:eastAsia="Times New Roman" w:hAnsi="Arial" w:cs="Arial"/>
          <w:color w:val="000000"/>
          <w:lang w:eastAsia="es-CO"/>
        </w:rPr>
      </w:pPr>
    </w:p>
    <w:p w14:paraId="004B805B" w14:textId="3216B91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2.12.4.4.7. Responsabilidad de las entidades territoriales y las instituciones hospitalarias. Las entidades territoriales y las instituciones hospitalarias deberán impartir instrucciones claras, precisas y oportunas, a los encargos fiduciarios, los patrimonios autónomos, las administradoras de pensiones, los fondos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23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-ley 1299 de 1994, o los fideicomisos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19, numeral 3 del mismo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según el caso, para que los recursos girados por los conceptos mencionados, se ejecuten en cumplimiento de las finalidades del presente Capítulo y demás normas que regulan la materia.  </w:t>
      </w:r>
    </w:p>
    <w:p w14:paraId="2CC789D0"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6B87D9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deberán verificar que los recursos fueron ejecutados conforme con las respectivas instrucciones, y a más tardar al treinta y uno (31) de enero de cada año la entidad territorial o institución hospitalaria deberá presentar ante la Dirección General de Regulación Económica de la Seguridad Social del Ministerio de Hacienda y Crédito Público, un informe detallado con corte a treinta y uno (31) de diciembre del año anterior de toda la gestión realizada con los recursos de la concurrencia, en el formato que diseñe y publique la Dirección General de Regulación Económica de la Seguridad Social del Ministerio de Hacienda y Crédito Público.  </w:t>
      </w:r>
    </w:p>
    <w:p w14:paraId="30CA788F" w14:textId="77777777" w:rsidR="00925C02" w:rsidRDefault="00925C02" w:rsidP="00C32F85">
      <w:pPr>
        <w:spacing w:after="0" w:line="254" w:lineRule="atLeast"/>
        <w:jc w:val="both"/>
        <w:rPr>
          <w:rFonts w:ascii="Arial" w:eastAsia="Times New Roman" w:hAnsi="Arial" w:cs="Arial"/>
          <w:color w:val="000000"/>
          <w:lang w:eastAsia="es-CO"/>
        </w:rPr>
      </w:pPr>
    </w:p>
    <w:p w14:paraId="559CF32D" w14:textId="7DFEBDF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encontrarse alguna inconsistencia o de haberse efectuado un pago sin tener lugar a su reconocimiento, se notificará a la respectiva entidad que haya contratado el encargo fiduciario, patrimonio autónomo, administradora de pensiones, fondos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-ley 1299 de 1994, o los fideicomisos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19, numeral 3 del mismo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-ley, para que proceda a restituir los valores pagados indebidamente. </w:t>
      </w:r>
    </w:p>
    <w:p w14:paraId="7CFD2B9E" w14:textId="15D346A6" w:rsidR="00404266" w:rsidRPr="00925C02" w:rsidRDefault="00925C02" w:rsidP="00925C02">
      <w:pPr>
        <w:spacing w:after="0" w:line="293" w:lineRule="atLeast"/>
        <w:jc w:val="center"/>
        <w:rPr>
          <w:rFonts w:ascii="Arial" w:eastAsia="Times New Roman" w:hAnsi="Arial" w:cs="Arial"/>
          <w:b/>
          <w:bCs/>
          <w:color w:val="000000"/>
          <w:lang w:eastAsia="es-CO"/>
        </w:rPr>
      </w:pPr>
      <w:bookmarkStart w:id="1821" w:name="ver_30104097"/>
      <w:bookmarkEnd w:id="1821"/>
      <w:r w:rsidRPr="00925C02">
        <w:rPr>
          <w:rFonts w:ascii="Arial" w:eastAsia="Times New Roman" w:hAnsi="Arial" w:cs="Arial"/>
          <w:b/>
          <w:bCs/>
          <w:color w:val="000000"/>
          <w:lang w:eastAsia="es-CO"/>
        </w:rPr>
        <w:lastRenderedPageBreak/>
        <w:t>TÍTULO 5</w:t>
      </w:r>
    </w:p>
    <w:p w14:paraId="177F505A" w14:textId="66B6DED9" w:rsidR="00404266" w:rsidRPr="00925C02" w:rsidRDefault="00925C02" w:rsidP="00925C02">
      <w:pPr>
        <w:spacing w:after="0" w:line="293" w:lineRule="atLeast"/>
        <w:jc w:val="center"/>
        <w:rPr>
          <w:rFonts w:ascii="Arial" w:eastAsia="Times New Roman" w:hAnsi="Arial" w:cs="Arial"/>
          <w:b/>
          <w:bCs/>
          <w:color w:val="000000"/>
          <w:lang w:eastAsia="es-CO"/>
        </w:rPr>
      </w:pPr>
      <w:r w:rsidRPr="00925C02">
        <w:rPr>
          <w:rFonts w:ascii="Arial" w:eastAsia="Times New Roman" w:hAnsi="Arial" w:cs="Arial"/>
          <w:b/>
          <w:bCs/>
          <w:color w:val="000000"/>
          <w:lang w:eastAsia="es-CO"/>
        </w:rPr>
        <w:t>PASIVO PENSIONAL DE LAS UNIVERSIDADES PÚBLICAS</w:t>
      </w:r>
    </w:p>
    <w:p w14:paraId="0A3A3B3B" w14:textId="022993FA" w:rsidR="00404266" w:rsidRPr="00925C02" w:rsidRDefault="00925C02" w:rsidP="00925C02">
      <w:pPr>
        <w:spacing w:after="0" w:line="293" w:lineRule="atLeast"/>
        <w:jc w:val="center"/>
        <w:rPr>
          <w:rFonts w:ascii="Arial" w:eastAsia="Times New Roman" w:hAnsi="Arial" w:cs="Arial"/>
          <w:b/>
          <w:bCs/>
          <w:color w:val="000000"/>
          <w:lang w:eastAsia="es-CO"/>
        </w:rPr>
      </w:pPr>
      <w:r w:rsidRPr="00925C02">
        <w:rPr>
          <w:rFonts w:ascii="Arial" w:eastAsia="Times New Roman" w:hAnsi="Arial" w:cs="Arial"/>
          <w:b/>
          <w:bCs/>
          <w:color w:val="000000"/>
          <w:lang w:eastAsia="es-CO"/>
        </w:rPr>
        <w:t>CAPÍTULO 1CONCURRENCIA EN EL PASIVO PENSIONAL DE LAS UNIVERSIDADES PÚBLICAS</w:t>
      </w:r>
    </w:p>
    <w:p w14:paraId="2D9E1EA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2" w:name="ver_30104098"/>
      <w:bookmarkEnd w:id="1822"/>
    </w:p>
    <w:p w14:paraId="260A2F27" w14:textId="7AC6BC1F"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2.12.5.1.1. Concurrencia en el pago del pasivo pensional. La Nación concurrirá en el pago del pasivo pensional de las universidades estatales del orden nacional, en los términos de la Ley 1371 de 2009, y de conformidad con el presente reglamento.  </w:t>
      </w:r>
    </w:p>
    <w:p w14:paraId="352BF01E"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6FBFC0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universidades objeto de la concurrencia son aquellas que con anterioridad al 23 de diciembre de 1993 tenían a su cargo el reconocimiento y pago de pensiones, bien fuera de manera directa o a través de una caja de previsión.  </w:t>
      </w:r>
    </w:p>
    <w:p w14:paraId="2A3AD7C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75D2A1" w14:textId="71A7764D"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pasivo objeto de concurrencia estará conformado por las pensiones de vejez o jubilación, de invalidez, de sobrevivientes o sustituciones reconocidas antes de la Ley 100 de 1993, los bonos pensionales, las cuotas partes de bonos y de pensiones, así como las pensiones que se reconozcan o se hayan reconocido por efecto de la aplicación de la Ley 100 de 1993 y las demás obligaciones pensionales derivadas del régimen pensional vigente.  </w:t>
      </w:r>
    </w:p>
    <w:p w14:paraId="40726C25" w14:textId="77777777" w:rsidR="00925C02" w:rsidRPr="002C1480" w:rsidRDefault="00925C02" w:rsidP="00C32F85">
      <w:pPr>
        <w:spacing w:after="0" w:line="254" w:lineRule="atLeast"/>
        <w:jc w:val="both"/>
        <w:rPr>
          <w:rFonts w:ascii="Arial" w:eastAsia="Times New Roman" w:hAnsi="Arial" w:cs="Arial"/>
          <w:color w:val="000000"/>
          <w:lang w:eastAsia="es-CO"/>
        </w:rPr>
      </w:pPr>
    </w:p>
    <w:p w14:paraId="791E27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obligaciones por bonos pensionales también incluirán las obligaciones relacionadas con las personas que hubieran cumplido los requisitos para pensión a la fecha de entrada en vigencia del presente capítulo, y que no se les hubiere reconocido la prestación.  </w:t>
      </w:r>
    </w:p>
    <w:p w14:paraId="2D28B95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3" w:name="ver_30104099"/>
      <w:bookmarkEnd w:id="1823"/>
    </w:p>
    <w:p w14:paraId="0E5C122F" w14:textId="1AC3D7E8"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2.12.5.1.2.Estimación de la concurrencia. La concurrencia en el pago del pasivo pensional de que trata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se estimará de la siguiente manera:  </w:t>
      </w:r>
    </w:p>
    <w:p w14:paraId="663EA915" w14:textId="77777777" w:rsidR="00231732" w:rsidRPr="002C1480" w:rsidRDefault="00231732" w:rsidP="00C32F85">
      <w:pPr>
        <w:spacing w:after="0" w:line="254" w:lineRule="atLeast"/>
        <w:jc w:val="both"/>
        <w:rPr>
          <w:rFonts w:ascii="Arial" w:eastAsia="Times New Roman" w:hAnsi="Arial" w:cs="Arial"/>
          <w:color w:val="000000"/>
          <w:lang w:eastAsia="es-CO"/>
        </w:rPr>
      </w:pPr>
    </w:p>
    <w:p w14:paraId="7D32500A" w14:textId="03F9BF4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Concurrencia de la universidad: será igual a la suma denominada “Recursos para Pensiones del Año Base” prevista en la Ley 1371 de 2009, actualizada con el IPC causado anualmente. Este valor corresponde a la suma destinada para el pago de pensiones en el año 1993, y que fue incluida en la base para determinar la transferencia para funcionamiento establecida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86 de Ley 30 de 1992.  </w:t>
      </w:r>
    </w:p>
    <w:p w14:paraId="0E358D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93F9CC" w14:textId="24BF7444"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Concurrencia de la Nación: será igual a la diferencia entre el valor del pasivo pensional legalmente reconocido y la concurrencia de la universidad.  </w:t>
      </w:r>
    </w:p>
    <w:p w14:paraId="5FDC0A33" w14:textId="77777777" w:rsidR="00542CFA" w:rsidRPr="002C1480" w:rsidRDefault="00542CFA" w:rsidP="00C32F85">
      <w:pPr>
        <w:spacing w:after="0" w:line="254" w:lineRule="atLeast"/>
        <w:jc w:val="both"/>
        <w:rPr>
          <w:rFonts w:ascii="Arial" w:eastAsia="Times New Roman" w:hAnsi="Arial" w:cs="Arial"/>
          <w:color w:val="000000"/>
          <w:lang w:eastAsia="es-CO"/>
        </w:rPr>
      </w:pPr>
    </w:p>
    <w:p w14:paraId="42E2E2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para Pensiones del Año Base serán certificados para cada una de las universidades por la Dirección General de Presupuesto del Ministerio de Hacienda y Crédito Público, mediante resolución, dentro de los tres (3) meses al 14 de marzo de 2012.  </w:t>
      </w:r>
    </w:p>
    <w:p w14:paraId="61DFB61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4" w:name="ver_30104100"/>
      <w:bookmarkEnd w:id="1824"/>
    </w:p>
    <w:p w14:paraId="5E59A157" w14:textId="22F17B3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2.12.5.1.3.Pago de la concurrencia. La concurrencia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2.12.5.1.2 se calculará por anualidades, y se pagará por cuatrimestre anticipado mediante el giro de los recursos respectivos al Fondo, de acuerdo con el mecanismo previsto para la elaboración y aprobación de las proyecciones de pago de las obligaciones pensionales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siguiente.  </w:t>
      </w:r>
    </w:p>
    <w:p w14:paraId="2F8F72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2E47A9" w14:textId="31B3AFD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concurrencia a cargo de la universidad se pagará exclusivamente con los Recursos para Pensiones del Año Base, sin perjuicio de su obligación de transferir al Fondo la titularidad y el recaudo efectivo de los recursos que de acuerdo con la ley le han sido asignados, según lo previsto en el inciso 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 de la Ley 1371 de 2009. Ningún otro recurso de la universidad podrá ser utilizado para pagar estas obligaciones.  </w:t>
      </w:r>
    </w:p>
    <w:p w14:paraId="637FF3D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3EB94F19" w14:textId="71C1147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concurrencia a cargo de la Nación se pagará con los recursos destinados en la ley anual de presupuesto para el pago de pensiones en cada una de las universidades, descontando los Recursos para Pensiones del Año Base y las reservas y demás recursos en cabeza del Fondo, y adicionando las demás sumas que sean necesarias para realizar el pago anual del pasivo pensional legalmente reconocido. Estos recursos deberán siempre estar discriminados en el rubro presupuestal respectivo, con el fin de garantizar su afectación al fin previsto, y son distintos de aquellos que corresponde transferir a la Nación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86 de la Ley 30 de 1992.  </w:t>
      </w:r>
    </w:p>
    <w:p w14:paraId="33C8472A" w14:textId="77777777" w:rsidR="00231732" w:rsidRDefault="00231732" w:rsidP="00C32F85">
      <w:pPr>
        <w:spacing w:after="0" w:line="254" w:lineRule="atLeast"/>
        <w:jc w:val="both"/>
        <w:rPr>
          <w:rFonts w:ascii="Arial" w:eastAsia="Times New Roman" w:hAnsi="Arial" w:cs="Arial"/>
          <w:color w:val="000000"/>
          <w:lang w:eastAsia="es-CO"/>
        </w:rPr>
      </w:pPr>
    </w:p>
    <w:p w14:paraId="225E63E2" w14:textId="77777777" w:rsidR="00542CFA"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2.12.5.1.4.Cálculo actuarial y proyecciones anuales. Para la estimación del pasivo pensional la universidad deberá elaborar un cálculo actuarial, con corte a 31 de diciembre de 2011, de acuerdo con los estándares y especificaciones técnicas establecidas en las normas aplicables, el cual deberá someterse a la aprobación del Ministerio de Hacienda y Crédito Público. El cálculo actuarial inicial se presentará por parte de la universidad durante los tres meses siguientes a la entrada en vigencia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el Ministerio de Hacienda enviará a la universidad sus observaciones dentro de los tres (3) meses siguientes al recibo del cálculo. En todo caso, el cálculo actuarial permitirá distinguir con claridad el valor total de las obligaciones de que trata el </w:t>
      </w:r>
    </w:p>
    <w:p w14:paraId="4666BCFE" w14:textId="1A2AA92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2.12.5.1.1. y dentro de ellas, las obligaciones pensionales que son objeto de revisión administrativa y judicial, de acuerdo con el inciso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2.12.5.1.5.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6E6D33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E6B8C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Durante el primer semestre de cada año, la universidad presentará ante el Ministerio de Hacienda y Crédito Público la proyección anual del valor de las obligaciones pensionales de la siguiente vigencia fiscal, teniendo en cuenta el requerimiento real de recursos, para efectos de determinar el valor de la concurrencia a cargo de ambas partes, el cual se transferirá por la Nación al Fondo por cuatrimestre anticipado en la vigencia siguiente.  </w:t>
      </w:r>
    </w:p>
    <w:p w14:paraId="6334EC8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5" w:name="ver_30104102"/>
      <w:bookmarkEnd w:id="1825"/>
    </w:p>
    <w:p w14:paraId="0063ACBA" w14:textId="6E3D393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2.12.5.1.5.Convenios interadministrativos de concurrencia. La concurrencia en el pago del pasivo pensional de que trata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se instrumentará en un convenio interadministrativo de concurrencia que suscribirán para el efecto la Nación - Ministerios de Hacienda y Crédito Público y de Educación, y la universidad. El convenio tendrá por objeto realizar las acciones necesarias para la determinación y pago del monto del pasivo pensional total y de la concurrencia anual de las partes, así como la organización del Fondo para el Pago del Pasivo Pensional, e incluirá las actividades a cargo de cada una de las partes para la debida ejecución de dicho objeto.  </w:t>
      </w:r>
    </w:p>
    <w:p w14:paraId="0AE6045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410387" w14:textId="2F19AC8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convenio interadministrativo de concurrencia definirá los mecanismos para la revisión administrativa y judicial de las pensiones, de acuerdo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19 de la Ley 797 de 2003, los instrumentos que utilizará la Nación para financiar transitoriamente el pago de estas obligaciones a través del Fondo mientras se profieren las decisiones judiciales respectivas, los mecanismos de seguimiento y control que deberán instaurarse en protección de los recursos públicos, entre otros.  </w:t>
      </w:r>
    </w:p>
    <w:p w14:paraId="7308BDA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6" w:name="ver_30104103"/>
      <w:bookmarkEnd w:id="1826"/>
    </w:p>
    <w:p w14:paraId="31615038" w14:textId="17F78B02"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2.12.5.1.6.Fondos para el Pago del Pasivo Pensional. Las universidades de que trata el presente capítulo deberán constituir un Fondo para el Pago del Pasivo Pensional, que tendrá las funciones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 de la Ley 1371 de 2009, y las que especialmente se le asignen en el convenio de concurrencia.  </w:t>
      </w:r>
    </w:p>
    <w:p w14:paraId="0E9C9C94" w14:textId="77777777" w:rsidR="00231732" w:rsidRPr="002C1480" w:rsidRDefault="00231732" w:rsidP="00C32F85">
      <w:pPr>
        <w:spacing w:after="0" w:line="254" w:lineRule="atLeast"/>
        <w:jc w:val="both"/>
        <w:rPr>
          <w:rFonts w:ascii="Arial" w:eastAsia="Times New Roman" w:hAnsi="Arial" w:cs="Arial"/>
          <w:color w:val="000000"/>
          <w:lang w:eastAsia="es-CO"/>
        </w:rPr>
      </w:pPr>
    </w:p>
    <w:p w14:paraId="7D4F3AFF" w14:textId="292F8CDE"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El Fondo se organizará como una cuenta especial sin personería jurídica de la respectiva universidad, y será administrado mediante patrimonio autónomo por una sociedad fiduciaria. La fiduciaria será seleccionada por la universidad de acuerdo con las normas aplicables.  </w:t>
      </w:r>
    </w:p>
    <w:p w14:paraId="203BF5D8" w14:textId="77777777" w:rsidR="00231732" w:rsidRPr="002C1480" w:rsidRDefault="00231732" w:rsidP="00C32F85">
      <w:pPr>
        <w:spacing w:after="0" w:line="254" w:lineRule="atLeast"/>
        <w:jc w:val="both"/>
        <w:rPr>
          <w:rFonts w:ascii="Arial" w:eastAsia="Times New Roman" w:hAnsi="Arial" w:cs="Arial"/>
          <w:color w:val="000000"/>
          <w:lang w:eastAsia="es-CO"/>
        </w:rPr>
      </w:pPr>
    </w:p>
    <w:p w14:paraId="639753DA" w14:textId="3753271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sociedad fiduciaria y el Fondo estarán sometidos a las disposiciones aplicables en materia de administración de pasivos pensionales y a la gestión de recursos públicos destinados al mismo fin.  </w:t>
      </w:r>
    </w:p>
    <w:p w14:paraId="507992D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7" w:name="ver_30104104"/>
      <w:bookmarkEnd w:id="1827"/>
    </w:p>
    <w:p w14:paraId="63046208" w14:textId="09266EF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2.12.5.1.7.Recursos de los Fondos para el Pago del Pasivo Pensional. Los Fondos para el Pago del Pasivo Pensional de las universidades estatales del orden nacional tendrán como recursos:  </w:t>
      </w:r>
    </w:p>
    <w:p w14:paraId="21121DB9" w14:textId="77777777" w:rsidR="00231732" w:rsidRDefault="00231732" w:rsidP="00C32F85">
      <w:pPr>
        <w:spacing w:after="0" w:line="254" w:lineRule="atLeast"/>
        <w:jc w:val="both"/>
        <w:rPr>
          <w:rFonts w:ascii="Arial" w:eastAsia="Times New Roman" w:hAnsi="Arial" w:cs="Arial"/>
          <w:color w:val="000000"/>
          <w:lang w:eastAsia="es-CO"/>
        </w:rPr>
      </w:pPr>
    </w:p>
    <w:p w14:paraId="3A31B1C3" w14:textId="16DC6B6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valor de las transferencias anuales que realice la Nación, en su nombre y de la universidad, por concepto de la concurrencia de que trata el presente capítulo.  </w:t>
      </w:r>
    </w:p>
    <w:p w14:paraId="7756F481" w14:textId="77777777" w:rsidR="00231732" w:rsidRDefault="00231732" w:rsidP="00C32F85">
      <w:pPr>
        <w:spacing w:after="0" w:line="254" w:lineRule="atLeast"/>
        <w:jc w:val="both"/>
        <w:rPr>
          <w:rFonts w:ascii="Arial" w:eastAsia="Times New Roman" w:hAnsi="Arial" w:cs="Arial"/>
          <w:color w:val="000000"/>
          <w:lang w:eastAsia="es-CO"/>
        </w:rPr>
      </w:pPr>
    </w:p>
    <w:p w14:paraId="1F7D4C0D" w14:textId="4F0B15F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Las reservas que fueron acumuladas por las cajas de previsión de las universidades y que formaban parte de los activos de dichas entidades al momento de su liquidación, bien sean recursos líquidos o en otros activos.  </w:t>
      </w:r>
    </w:p>
    <w:p w14:paraId="320CC769" w14:textId="77777777" w:rsidR="00231732" w:rsidRDefault="00231732" w:rsidP="00C32F85">
      <w:pPr>
        <w:spacing w:after="0" w:line="254" w:lineRule="atLeast"/>
        <w:jc w:val="both"/>
        <w:rPr>
          <w:rFonts w:ascii="Arial" w:eastAsia="Times New Roman" w:hAnsi="Arial" w:cs="Arial"/>
          <w:color w:val="000000"/>
          <w:lang w:eastAsia="es-CO"/>
        </w:rPr>
      </w:pPr>
    </w:p>
    <w:p w14:paraId="24DB49C5" w14:textId="5DEEED2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Las cuotas partes pensionales que hayan ingresado o ingresen en el futuro, por concepto de pensiones reconocidas por la universidad o por la caja de previsión.  </w:t>
      </w:r>
    </w:p>
    <w:p w14:paraId="670A90B1" w14:textId="77777777" w:rsidR="00231732" w:rsidRDefault="00231732" w:rsidP="00C32F85">
      <w:pPr>
        <w:spacing w:after="0" w:line="254" w:lineRule="atLeast"/>
        <w:jc w:val="both"/>
        <w:rPr>
          <w:rFonts w:ascii="Arial" w:eastAsia="Times New Roman" w:hAnsi="Arial" w:cs="Arial"/>
          <w:color w:val="000000"/>
          <w:lang w:eastAsia="es-CO"/>
        </w:rPr>
      </w:pPr>
    </w:p>
    <w:p w14:paraId="0BA9C324" w14:textId="2F4AE39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aportes que por ley deban devolver los empleadores o administradoras de pensiones a nombre de los pensionados de las universidades.  </w:t>
      </w:r>
    </w:p>
    <w:p w14:paraId="0AAFF4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Las cotizaciones provenientes de la respectiva universidad de quienes al 1° de abril de 1994 tenían la condición de afiliados a sus cajas de previsión hasta el cierre o liquidación de la respectiva caja.  </w:t>
      </w:r>
    </w:p>
    <w:p w14:paraId="758B779E" w14:textId="77777777" w:rsidR="00231732" w:rsidRDefault="00231732" w:rsidP="00C32F85">
      <w:pPr>
        <w:spacing w:after="0" w:line="254" w:lineRule="atLeast"/>
        <w:jc w:val="both"/>
        <w:rPr>
          <w:rFonts w:ascii="Arial" w:eastAsia="Times New Roman" w:hAnsi="Arial" w:cs="Arial"/>
          <w:color w:val="000000"/>
          <w:lang w:eastAsia="es-CO"/>
        </w:rPr>
      </w:pPr>
    </w:p>
    <w:p w14:paraId="1B520314" w14:textId="1B5DB8E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rendimientos de los recursos anteriores.  </w:t>
      </w:r>
    </w:p>
    <w:p w14:paraId="344CD7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recursos y los rendimientos del Fondo tendrán destinación específica para pagar el pasivo pensional y los gastos de administración del patrimonio autónomo.  </w:t>
      </w:r>
    </w:p>
    <w:p w14:paraId="692C2F1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28" w:name="ver_30104105"/>
      <w:bookmarkEnd w:id="1828"/>
    </w:p>
    <w:p w14:paraId="5F16E5F5" w14:textId="24C114E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2.12.5.1.8.Sustitución en el pago de obligaciones. Colpensiones, podrá sustituir a la universidad en el pago de las obligaciones pensionales a su cargo, a cambio de la transferencia del valor del cálculo actuarial correspondiente a dichas obligaciones y previa celebración de un contrato con dicho objeto entre ambas partes. Si existiera un valor en revisión administrativa o judicial, de acuerdo con lo previsto en el inciso 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2.12.5.1.4.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dicho valor deberá seguir siendo pagado por la universidad con cargo a la misma fuente de recursos de que trata el numeral 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0C80E41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BAF2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cálculo actuarial que se realice para efecto de la sustitución de las mencionadas obligaciones tendrá en cuenta tanto las cotizaciones efectivamente pagadas como las no pagadas al Instituto durante el tiempo que el servidor estuvo afiliado a este.  </w:t>
      </w:r>
    </w:p>
    <w:p w14:paraId="7464F17B" w14:textId="77777777" w:rsidR="00404266" w:rsidRPr="00231732" w:rsidRDefault="00404266" w:rsidP="00231732">
      <w:pPr>
        <w:spacing w:after="0" w:line="254" w:lineRule="atLeast"/>
        <w:jc w:val="center"/>
        <w:rPr>
          <w:rFonts w:ascii="Arial" w:eastAsia="Times New Roman" w:hAnsi="Arial" w:cs="Arial"/>
          <w:b/>
          <w:bCs/>
          <w:color w:val="000000"/>
          <w:lang w:eastAsia="es-CO"/>
        </w:rPr>
      </w:pPr>
    </w:p>
    <w:p w14:paraId="56477A37" w14:textId="2EB41E4E" w:rsidR="00404266" w:rsidRPr="00231732" w:rsidRDefault="00231732" w:rsidP="00231732">
      <w:pPr>
        <w:spacing w:after="0" w:line="293" w:lineRule="atLeast"/>
        <w:jc w:val="center"/>
        <w:rPr>
          <w:rFonts w:ascii="Arial" w:eastAsia="Times New Roman" w:hAnsi="Arial" w:cs="Arial"/>
          <w:b/>
          <w:bCs/>
          <w:color w:val="000000"/>
          <w:lang w:eastAsia="es-CO"/>
        </w:rPr>
      </w:pPr>
      <w:bookmarkStart w:id="1829" w:name="ver_30104106"/>
      <w:bookmarkEnd w:id="1829"/>
      <w:r w:rsidRPr="00231732">
        <w:rPr>
          <w:rFonts w:ascii="Arial" w:eastAsia="Times New Roman" w:hAnsi="Arial" w:cs="Arial"/>
          <w:b/>
          <w:bCs/>
          <w:color w:val="000000"/>
          <w:lang w:eastAsia="es-CO"/>
        </w:rPr>
        <w:t>CAPÍTULO 2</w:t>
      </w:r>
    </w:p>
    <w:p w14:paraId="0F287CEE" w14:textId="1E9E04F0" w:rsidR="00404266" w:rsidRPr="00231732" w:rsidRDefault="00231732" w:rsidP="00231732">
      <w:pPr>
        <w:spacing w:after="0" w:line="293" w:lineRule="atLeast"/>
        <w:jc w:val="center"/>
        <w:rPr>
          <w:rFonts w:ascii="Arial" w:eastAsia="Times New Roman" w:hAnsi="Arial" w:cs="Arial"/>
          <w:b/>
          <w:bCs/>
          <w:color w:val="000000"/>
          <w:lang w:eastAsia="es-CO"/>
        </w:rPr>
      </w:pPr>
      <w:r w:rsidRPr="00231732">
        <w:rPr>
          <w:rFonts w:ascii="Arial" w:eastAsia="Times New Roman" w:hAnsi="Arial" w:cs="Arial"/>
          <w:b/>
          <w:bCs/>
          <w:color w:val="000000"/>
          <w:lang w:eastAsia="es-CO"/>
        </w:rPr>
        <w:t>CONCURRENCIA DE LA NACIÓN</w:t>
      </w:r>
    </w:p>
    <w:p w14:paraId="788126D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0" w:name="ver_30104107"/>
      <w:bookmarkEnd w:id="1830"/>
    </w:p>
    <w:p w14:paraId="0DBD4069" w14:textId="3DACC69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2.12.5.2.1. Contrato de concurrencia. Para la ejecución del mecanismo de concurrencia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131 de la Ley 100 de 1993, en aquellos eventos en los cuales dicho pasivo se encuentra a cargo de las cajas de previsión territoriales o quienes las </w:t>
      </w:r>
      <w:r w:rsidR="00404266" w:rsidRPr="002C1480">
        <w:rPr>
          <w:rFonts w:ascii="Arial" w:eastAsia="Times New Roman" w:hAnsi="Arial" w:cs="Arial"/>
          <w:color w:val="000000"/>
          <w:lang w:eastAsia="es-CO"/>
        </w:rPr>
        <w:lastRenderedPageBreak/>
        <w:t>hubieren sustituido, será necesario que el departamento o el fondo territorial de pensiones que hubiere sustituido a la caja de previsión suscriba con la universidad y la Nación un contrato de concurrencia en el que se establezcan las obligaciones a cargo de cada una de las partes, previa aprobación del cálculo actuarial respectivo, y de las proyecciones correspondientes, por parte de la Dirección General de Regulación Económica de la Seguridad Social del Ministerio de Hacienda y Crédito Público.  </w:t>
      </w:r>
    </w:p>
    <w:p w14:paraId="305CB85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17A96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los efectos anteriores, se entenderá que si la universidad territorial venía cumpliendo integralmente con las disposiciones legales aplicables antes y después de la entrada en vigencia de la Ley 100 de 1993, no tiene a su cargo obligaciones pensionales y por tanto no está obligada a concurrir financieramente en el pago del pasivo pensional. Si la universidad incumplió con el deber de afiliar oportunamente a sus servidores al Sistema General de Pensiones o reconoció pensiones de manera irregular, deberá asumir estas obligaciones por su cuenta.  </w:t>
      </w:r>
    </w:p>
    <w:p w14:paraId="2DD20A3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1" w:name="ver_30104108"/>
      <w:bookmarkEnd w:id="1831"/>
    </w:p>
    <w:p w14:paraId="6DDFC0E4" w14:textId="3D5FEBB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2.12.5.2.2.Régimen de transición. Mientras se suscribe el contrato de concurrencia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2.12.5.2.1., el Ministerio de Hacienda y Crédito Público podrá expedir bonos de valor constante en los términos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131 de la Ley 100 de 1993 y sus </w:t>
      </w:r>
      <w:r w:rsidR="00731A76">
        <w:rPr>
          <w:rFonts w:ascii="Arial" w:eastAsia="Times New Roman" w:hAnsi="Arial" w:cs="Arial"/>
          <w:color w:val="000000"/>
          <w:lang w:eastAsia="es-CO"/>
        </w:rPr>
        <w:t>DECRETOS</w:t>
      </w:r>
      <w:r w:rsidR="00404266" w:rsidRPr="002C1480">
        <w:rPr>
          <w:rFonts w:ascii="Arial" w:eastAsia="Times New Roman" w:hAnsi="Arial" w:cs="Arial"/>
          <w:color w:val="000000"/>
          <w:lang w:eastAsia="es-CO"/>
        </w:rPr>
        <w:t xml:space="preserve"> reglamentarios, con el fin de reconocer la responsabilidad por la concurrencia a cargo de la Nación.  </w:t>
      </w:r>
    </w:p>
    <w:p w14:paraId="7F27AF57" w14:textId="77777777" w:rsidR="00231732" w:rsidRDefault="00231732" w:rsidP="00C32F85">
      <w:pPr>
        <w:spacing w:after="0" w:line="254" w:lineRule="atLeast"/>
        <w:jc w:val="both"/>
        <w:rPr>
          <w:rFonts w:ascii="Arial" w:eastAsia="Times New Roman" w:hAnsi="Arial" w:cs="Arial"/>
          <w:color w:val="000000"/>
          <w:lang w:eastAsia="es-CO"/>
        </w:rPr>
      </w:pPr>
    </w:p>
    <w:p w14:paraId="3BF7D8E6" w14:textId="22A3C0C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primero de los títulos mencionados en el inciso anterior comprenderá el período completo transcurrido entre el 1° de enero y el 31 de julio de 2008 y el segundo comprenderá el período completo transcurrido entre el 1° de agosto y el 31 de diciembre de 2008.  </w:t>
      </w:r>
    </w:p>
    <w:p w14:paraId="2E48C2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6BC47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Previo el visto bueno de la Dirección General de Regulación Económica de la Seguridad Social del Ministerio de Hacienda y Crédito Público, dichos títulos serán expedidos con fundamento en el cálculo actuarial con fecha de corte al 23 de diciembre de 1993 que fue presentado por la universidad y las proyecciones de pagos que suministren o hayan sido suministradas por la universidad o el departamento. Este reconocimiento se realizará por períodos vencidos de cuatro (4) meses.  </w:t>
      </w:r>
    </w:p>
    <w:p w14:paraId="046DD1C2" w14:textId="77777777" w:rsidR="00231732" w:rsidRDefault="00231732" w:rsidP="00C32F85">
      <w:pPr>
        <w:spacing w:after="0" w:line="254" w:lineRule="atLeast"/>
        <w:jc w:val="both"/>
        <w:rPr>
          <w:rFonts w:ascii="Arial" w:eastAsia="Times New Roman" w:hAnsi="Arial" w:cs="Arial"/>
          <w:color w:val="000000"/>
          <w:lang w:eastAsia="es-CO"/>
        </w:rPr>
      </w:pPr>
    </w:p>
    <w:p w14:paraId="195DAB95" w14:textId="307E9D8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títulos de deuda pública a que hace referencia el presente capítulo podrán ser expedidos en nombre de la universidad, previa autorización del departamento o el fondo territorial de pensiones, de conformidad con el convenio interadministrativo que para este efecto suscriban las dos entidades.  </w:t>
      </w:r>
    </w:p>
    <w:p w14:paraId="2A839C68" w14:textId="77777777" w:rsidR="00231732" w:rsidRDefault="00231732" w:rsidP="00C32F85">
      <w:pPr>
        <w:spacing w:after="0" w:line="254" w:lineRule="atLeast"/>
        <w:jc w:val="both"/>
        <w:rPr>
          <w:rFonts w:ascii="Arial" w:eastAsia="Times New Roman" w:hAnsi="Arial" w:cs="Arial"/>
          <w:color w:val="000000"/>
          <w:lang w:eastAsia="es-CO"/>
        </w:rPr>
      </w:pPr>
    </w:p>
    <w:p w14:paraId="398C2123" w14:textId="0414BC2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dicho convenio deberán preverse además las condiciones para la entrega de la información de historias laborales de las extintas Cajas de Previsión y de la universidad y las demás que sean necesarias para la elaboración de los cálculos actuariales.  </w:t>
      </w:r>
    </w:p>
    <w:p w14:paraId="444AC64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2" w:name="ver_30104109"/>
      <w:bookmarkEnd w:id="1832"/>
    </w:p>
    <w:p w14:paraId="03A67256" w14:textId="57A21B5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2.12.5.2.3.Sustitución de obligaciones por Colpensiones. Colpensiones, podrá sustituir a la universidad en el pago de las obligaciones pensionales legales, a cambio de la transferencia del valor del cálculo actuarial correspondiente a dichas obligaciones.  </w:t>
      </w:r>
    </w:p>
    <w:p w14:paraId="0100B40D"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237CF2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cálculo actuarial que se realice para efecto de la sustitución de las mencionadas obligaciones tendrá en cuenta tanto las cotizaciones efectivamente pagadas como las no pagadas al Instituto durante el tiempo que el servidor estuvo afiliado a este.  </w:t>
      </w:r>
    </w:p>
    <w:p w14:paraId="0B60DD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existiera un mayor valor por razón de una convención o pacto colectivo u otras, estas deberán seguir siendo pagadas por la universidad mientras se realiza la revisión correspondiente en los casos en que a ello hubiere lugar.  </w:t>
      </w:r>
    </w:p>
    <w:p w14:paraId="13C7C898" w14:textId="06CD8A96" w:rsidR="00404266" w:rsidRPr="00D01C00" w:rsidRDefault="00D01C00" w:rsidP="00D01C00">
      <w:pPr>
        <w:spacing w:after="0" w:line="293" w:lineRule="atLeast"/>
        <w:jc w:val="center"/>
        <w:rPr>
          <w:rFonts w:ascii="Arial" w:eastAsia="Times New Roman" w:hAnsi="Arial" w:cs="Arial"/>
          <w:b/>
          <w:bCs/>
          <w:color w:val="000000"/>
          <w:lang w:eastAsia="es-CO"/>
        </w:rPr>
      </w:pPr>
      <w:bookmarkStart w:id="1833" w:name="ver_30104110"/>
      <w:bookmarkEnd w:id="1833"/>
      <w:r w:rsidRPr="00D01C00">
        <w:rPr>
          <w:rFonts w:ascii="Arial" w:eastAsia="Times New Roman" w:hAnsi="Arial" w:cs="Arial"/>
          <w:b/>
          <w:bCs/>
          <w:color w:val="000000"/>
          <w:lang w:eastAsia="es-CO"/>
        </w:rPr>
        <w:lastRenderedPageBreak/>
        <w:t>CAPÍTULO 3</w:t>
      </w:r>
    </w:p>
    <w:p w14:paraId="72673C18" w14:textId="3AA2FD82" w:rsidR="00404266" w:rsidRPr="00D01C00" w:rsidRDefault="00D01C00"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FONDO PARA EL PAGO DEL PASIVO PENSIONAL DE LAS UNIVERSIDADES OFICIALES</w:t>
      </w:r>
    </w:p>
    <w:p w14:paraId="31786DA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4" w:name="ver_30104111"/>
      <w:bookmarkEnd w:id="1834"/>
    </w:p>
    <w:p w14:paraId="74130DC2" w14:textId="4AFD63C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2.12.5.3.1. Objeto. El presente capítulo tiene por objeto establecer el régimen general para el reconocimiento del pasivo pensional de las universidades oficiales y de las instituciones oficiales de educación superior de naturaleza territorial.  </w:t>
      </w:r>
    </w:p>
    <w:p w14:paraId="1FE40B3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5" w:name="ver_30104112"/>
      <w:bookmarkEnd w:id="1835"/>
    </w:p>
    <w:p w14:paraId="0A8F16E6" w14:textId="39D4F4B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2.12.5.3.2.Reconocimiento del pasivo pensional. El presente capítulo, se aplicará a aquellas universidades oficiales e instituciones oficiales de educación superior, que con anterioridad al 23 de diciembre de 1993, tenían a su cargo el reconocimiento y pago de las pensiones en calidad de empleadoras y así mismo a aquellas que a través de una caja con personería jurídica, reconocían y pagaban directamente las obligaciones pensionales, de los servidores públicos, trabajadores oficiales y personal docente, con vinculación contractual, legal o reglamentaria con las universidades o instituciones de educación superior.  </w:t>
      </w:r>
    </w:p>
    <w:p w14:paraId="2E6E27D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FAEBA5" w14:textId="13AC63EB"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De conformidad con la Ley 100 de 1993, para los servidores públicos, trabajadores oficiales y personal docente de aquellas instituciones que reconocían y pagaban directamente las pensiones, la afiliación a uno de los dos regímenes del Sistema General de Pensiones, debe haberse efectuado a más tardar el 30 de junio de 1995, fecha en la cual, vencía el plazo para la entrada en vigencia del Sistema General de Pensiones para las entidades territoriales, sin perjuicio de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2.2.4.1.2.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1833 de 2016.  </w:t>
      </w:r>
    </w:p>
    <w:p w14:paraId="5781EC30"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7F2F0DE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respecto al pago de las cotizaciones recibidas o causadas entre la fecha de entrada en vigencia del sistema en la respectiva universidad o institución y la de afiliación a una de las administradoras de pensiones, la modalidad de transferencia de los correspondientes recursos, podrá ser convenida entre la universidad o institución y la administradora seleccionada por el afiliado.  </w:t>
      </w:r>
    </w:p>
    <w:p w14:paraId="4B35458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B89053" w14:textId="2E4EC1A9"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Las cajas con personería jurídica, declaradas solventes y autorizadas por la autoridad competente para administrar el régimen solidario de Prima Media con prestación definida, lo harán mientras subsistan y con respecto a los afiliados que tenían a 30 de junio de 1995 o en la fecha en la cual entró en vigencia el Sistema General de Pensiones en la respectiva universidad o institución oficial de naturaleza territorial y se regirán por lo dispuesto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1888 de 1994.  </w:t>
      </w:r>
    </w:p>
    <w:p w14:paraId="49EAF5B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6" w:name="ver_30104113"/>
      <w:bookmarkEnd w:id="1836"/>
    </w:p>
    <w:p w14:paraId="55E055F9" w14:textId="0341848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2.12.5.3.3.Naturaleza de los fondos para el pago del pasivo pensional. Los fondos que de conformidad con la ley deberán constituir para el pago del pasivo pensional, las universidades oficiales y de las instituciones oficiales de educación superior de naturaleza territorial, que en su calidad de empleadoras reconocían y pagaban las pensiones correspondientes, serán cuentas especiales, sin personería jurídica, de la respectiva universidad o institución de educación superior, cuyos recursos serán administrados en forma independiente de conformidad con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2.12.5.3.5.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Los recursos y los rendimientos tendrán destinación específica para pagar el pasivo pensional, esto es, pensiones de vejez o jubilación, de invalidez, de sobrevivientes o sustitución y demás obligaciones pensionales derivadas del régimen pensional vigente, legal o extralegal válidamente definidas o pactadas.  </w:t>
      </w:r>
    </w:p>
    <w:p w14:paraId="1A4F270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98C46E" w14:textId="403CE298"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Este fondo para pago de pasivo pensional que deben constituir cada una de las universidades o instituciones de educación superior, tendrá las siguientes subcuentas independientes:  </w:t>
      </w:r>
    </w:p>
    <w:p w14:paraId="7ACDC5FE"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24B49318" w14:textId="5DF4DB9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1. Subcuenta o fondo del pasivo pensional causado hasta el 23 de diciembre de 1993: Será igual al resultado del cálculo actuarial al 23 de diciembre de 1993, más los rendimientos financieros, calculados en la forma prevista en el inciso 1° del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2.12.5.3.7.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que debieran haberse causado entre el 23 de diciembre de 1993 y la fecha en que efectivamente sea reconocido dicho pasivo por las partes a quienes corresponda esta obligación, menos las reservas en las Cajas de Previsión o Fondos autorizados cuando ellos existan y descontando el valor actuarial de las futuras cotizaciones en la forma prevista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131 de la Ley 100 de 1993.  </w:t>
      </w:r>
    </w:p>
    <w:p w14:paraId="3E7BBF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C5F62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Subcuenta del pasivo pensional causado con posterioridad al 23 de diciembre de 1993: este pasivo comprende las obligaciones pensionales legales y extralegales regidas por las normas expedidas con anterioridad al 23 de diciembre de 1993; el cual es equivalente a la diferencia entre el cálculo actuarial al 23 de diciembre de 1993 más sus rendimientos, y el cálculo a la fecha de entrada en vigencia del sistema en la respectiva entidad territorial, a más tardar el 30 de junio de 1995.  </w:t>
      </w:r>
    </w:p>
    <w:p w14:paraId="6249EDB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329BD1" w14:textId="2BBEFFB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Subcuenta del pasivo pensional causado por obligaciones pensionales extralegales: Este pasivo comprende las obligaciones pensionales extralegales válidamente definidas o pactadas por la universidad o institución, con posterioridad al 23 de diciembre de 1993, con respecto a sus trabajadores,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100 de 1993 y en el inciso 2° del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Esta subcuenta deberá tener la característica prevista en el inciso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100 y deberá constituirse cuando la respectiva entidad no haya destinado activos líquidos para cubrir en su totalidad, las reservas necesarias para estos efectos.  </w:t>
      </w:r>
    </w:p>
    <w:p w14:paraId="35907C3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F9206C" w14:textId="7046064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Subcuenta para las cotizaciones: Comprende las cotizaciones dejadas de pagar desde la entrada en vigencia del sistema y la fecha en que efectivamente los trabajadores de la respectiva universidad o institución de educación superior se afiliaron al sistema, en los términos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1642 de 1995; y las cotizaciones que deban realizarse al sistema de acuerdo con la Ley 100 de 1993, para los trabajadores de estas entidades.  </w:t>
      </w:r>
    </w:p>
    <w:p w14:paraId="2686FBF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7" w:name="ver_30104114"/>
      <w:bookmarkEnd w:id="1837"/>
    </w:p>
    <w:p w14:paraId="237D84C2" w14:textId="2C0D484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2.12.5.3.4.Funciones de los fondos para pagar el pasivo pensional. Los fondos para el pago del pasivo pensional en favor de los empleados públicos, trabajadores oficiales y personal docente, constituidos como una cuenta especial de las universidades oficiales e instituciones de educación superior de carácter oficial y naturaleza territorial, tendrán las siguientes funciones:  </w:t>
      </w:r>
    </w:p>
    <w:p w14:paraId="7D741F56" w14:textId="77777777" w:rsidR="00D01C00" w:rsidRDefault="00D01C00" w:rsidP="00C32F85">
      <w:pPr>
        <w:spacing w:after="0" w:line="254" w:lineRule="atLeast"/>
        <w:jc w:val="both"/>
        <w:rPr>
          <w:rFonts w:ascii="Arial" w:eastAsia="Times New Roman" w:hAnsi="Arial" w:cs="Arial"/>
          <w:color w:val="000000"/>
          <w:lang w:eastAsia="es-CO"/>
        </w:rPr>
      </w:pPr>
    </w:p>
    <w:p w14:paraId="215ABF46" w14:textId="26FAC56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pago de las pensiones de vejez o jubilación, de invalidez y de sobrevivencia o sustitución de los pensionados que estas entidades tenían a su cargo, y el reconocimiento y pago de quienes tenían cumplidos los requisitos para tener derecho a la pensión de vejez o jubilación, invalidez y sobrevivencia de acuerdo con el régimen pensional vigente, antes del 23 de diciembre de 1993.  </w:t>
      </w:r>
    </w:p>
    <w:p w14:paraId="28C503E3" w14:textId="77777777" w:rsidR="00D01C00" w:rsidRDefault="00D01C00" w:rsidP="00C32F85">
      <w:pPr>
        <w:spacing w:after="0" w:line="254" w:lineRule="atLeast"/>
        <w:jc w:val="both"/>
        <w:rPr>
          <w:rFonts w:ascii="Arial" w:eastAsia="Times New Roman" w:hAnsi="Arial" w:cs="Arial"/>
          <w:color w:val="000000"/>
          <w:lang w:eastAsia="es-CO"/>
        </w:rPr>
      </w:pPr>
    </w:p>
    <w:p w14:paraId="3168AE22" w14:textId="6AE3306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reconocimiento y pago de las pensiones de vejez o jubilación, de invalidez y de sobrevivencia o sustitución de quienes cumplieron los requisitos entre el 23 de diciembre de 1993 y el 30 de junio de 1995 o la fecha de entrada en vigencia del Sistema General de Pensiones en el orden territorial o en la respectiva institución, según sea el caso, o entre esta última fecha y el 31 de diciembre de 1996.  </w:t>
      </w:r>
    </w:p>
    <w:p w14:paraId="214496AB" w14:textId="77777777" w:rsidR="00D01C00" w:rsidRDefault="00D01C00" w:rsidP="00C32F85">
      <w:pPr>
        <w:spacing w:after="0" w:line="254" w:lineRule="atLeast"/>
        <w:jc w:val="both"/>
        <w:rPr>
          <w:rFonts w:ascii="Arial" w:eastAsia="Times New Roman" w:hAnsi="Arial" w:cs="Arial"/>
          <w:color w:val="000000"/>
          <w:lang w:eastAsia="es-CO"/>
        </w:rPr>
      </w:pPr>
    </w:p>
    <w:p w14:paraId="17ED0FB1" w14:textId="2932E9E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El reconocimiento y pago de las pensiones de aquellos empleados públicos, trabajadores oficiales y personal docente que han cumplido con el tiempo de servicios al 31 de diciembre de 1996 y no han llegado a la edad señalada para adquirir el derecho a la pensión, de acuerdo con el </w:t>
      </w:r>
      <w:r w:rsidRPr="002C1480">
        <w:rPr>
          <w:rFonts w:ascii="Arial" w:eastAsia="Times New Roman" w:hAnsi="Arial" w:cs="Arial"/>
          <w:color w:val="000000"/>
          <w:lang w:eastAsia="es-CO"/>
        </w:rPr>
        <w:lastRenderedPageBreak/>
        <w:t>régimen que los venía rigiendo, siempre y cuando no se encuentren afiliados a algunas de las Administradoras del Sistema General de Pensiones.  </w:t>
      </w:r>
    </w:p>
    <w:p w14:paraId="55CB574D" w14:textId="77777777" w:rsidR="00D01C00" w:rsidRDefault="00D01C00" w:rsidP="00C32F85">
      <w:pPr>
        <w:spacing w:after="0" w:line="254" w:lineRule="atLeast"/>
        <w:jc w:val="both"/>
        <w:rPr>
          <w:rFonts w:ascii="Arial" w:eastAsia="Times New Roman" w:hAnsi="Arial" w:cs="Arial"/>
          <w:color w:val="000000"/>
          <w:lang w:eastAsia="es-CO"/>
        </w:rPr>
      </w:pPr>
    </w:p>
    <w:p w14:paraId="7C7FBBC2" w14:textId="51B5050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El pago de los bonos pensionales de los empleados públicos, personal docente y trabajadores oficiales, que se afiliaron al régimen de Prima Media con Prestación Definida administrado por Colpensiones o al régimen de ahorro individual con solidaridad administrado por las Administradoras de Fondos de Pensiones, de conformidad con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118 y 119 de la Ley 100 de 1993,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-ley 1299 y 1314 de 1994 y sus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reglamentarios.  </w:t>
      </w:r>
    </w:p>
    <w:p w14:paraId="08887250" w14:textId="77777777" w:rsidR="00D01C00" w:rsidRDefault="00D01C00" w:rsidP="00C32F85">
      <w:pPr>
        <w:spacing w:after="0" w:line="254" w:lineRule="atLeast"/>
        <w:jc w:val="both"/>
        <w:rPr>
          <w:rFonts w:ascii="Arial" w:eastAsia="Times New Roman" w:hAnsi="Arial" w:cs="Arial"/>
          <w:color w:val="000000"/>
          <w:lang w:eastAsia="es-CO"/>
        </w:rPr>
      </w:pPr>
    </w:p>
    <w:p w14:paraId="4B530619" w14:textId="1E50458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expedición de los bonos pensionales se hará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119 de la Ley 100 de 1993. En el evento de que el servidor público, trabajador oficial y personal docente, únicamente haya tenido vinculación contractual, legal y reglamentaria con la respectiva universidad o institución, tendrá derecho a que dicha institución efectúe la emisión del bono pensional, de acuerdo con la reglamentación para el efecto.  </w:t>
      </w:r>
    </w:p>
    <w:p w14:paraId="79FA9C6F" w14:textId="77777777" w:rsidR="00D01C00" w:rsidRDefault="00D01C00" w:rsidP="00C32F85">
      <w:pPr>
        <w:spacing w:after="0" w:line="254" w:lineRule="atLeast"/>
        <w:jc w:val="both"/>
        <w:rPr>
          <w:rFonts w:ascii="Arial" w:eastAsia="Times New Roman" w:hAnsi="Arial" w:cs="Arial"/>
          <w:color w:val="000000"/>
          <w:lang w:eastAsia="es-CO"/>
        </w:rPr>
      </w:pPr>
    </w:p>
    <w:p w14:paraId="4B1DDA67" w14:textId="1626C39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5. El pago de la cuota parte correspondiente de conformidad con lo establecido en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1299 y 1314 de 1994 de las universidades e instituciones de educación superior a la cual hubiese prestado servicios el beneficiario del bono pensional, para contribuir a la entidad emisora del bono.  </w:t>
      </w:r>
    </w:p>
    <w:p w14:paraId="1ADE0DCC" w14:textId="77777777" w:rsidR="00D01C00" w:rsidRDefault="00D01C00" w:rsidP="00C32F85">
      <w:pPr>
        <w:spacing w:after="0" w:line="254" w:lineRule="atLeast"/>
        <w:jc w:val="both"/>
        <w:rPr>
          <w:rFonts w:ascii="Arial" w:eastAsia="Times New Roman" w:hAnsi="Arial" w:cs="Arial"/>
          <w:color w:val="000000"/>
          <w:lang w:eastAsia="es-CO"/>
        </w:rPr>
      </w:pPr>
    </w:p>
    <w:p w14:paraId="53507BC8" w14:textId="75961CD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El pago de las obligaciones pensionales extralegales, válidamente definidas o pactadas por la respectiva institución, con posterioridad al 23 de diciembre de 1993, así como el pago de las obligaciones correspondientes a la pensión compartida con Colpensiones cuando a ella haya lugar.  </w:t>
      </w:r>
    </w:p>
    <w:p w14:paraId="24D62674" w14:textId="77777777" w:rsidR="00D01C00" w:rsidRDefault="00D01C00" w:rsidP="00C32F85">
      <w:pPr>
        <w:spacing w:after="0" w:line="254" w:lineRule="atLeast"/>
        <w:jc w:val="both"/>
        <w:rPr>
          <w:rFonts w:ascii="Arial" w:eastAsia="Times New Roman" w:hAnsi="Arial" w:cs="Arial"/>
          <w:color w:val="000000"/>
          <w:lang w:eastAsia="es-CO"/>
        </w:rPr>
      </w:pPr>
    </w:p>
    <w:p w14:paraId="51A983BE" w14:textId="53C417E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7. Garantizar el estricto control del uso de los recursos y constituir una base de datos de los pensionados, de las personas a las cuales deberán efectuar el reconocimiento y pago de las pensiones, de los beneficiarios de los bonos pensionales y de las cuotas partes, con el fin de cumplir todas las obligaciones que en materia pensional deba atender el respectivo fondo y administrar los recursos de las subcuentas correspondientes establecidas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504A4910" w14:textId="77777777" w:rsidR="00D01C00" w:rsidRDefault="00D01C00" w:rsidP="00C32F85">
      <w:pPr>
        <w:spacing w:after="0" w:line="254" w:lineRule="atLeast"/>
        <w:jc w:val="both"/>
        <w:rPr>
          <w:rFonts w:ascii="Arial" w:eastAsia="Times New Roman" w:hAnsi="Arial" w:cs="Arial"/>
          <w:color w:val="000000"/>
          <w:lang w:eastAsia="es-CO"/>
        </w:rPr>
      </w:pPr>
    </w:p>
    <w:p w14:paraId="6F2FF2ED" w14:textId="468DFDB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Velar por que la Nación, los departamentos, los distritos y los municipios cumplan oportunamente con la emisión de los bonos de valor constante y su redención a medida que se haga exigible el pago de las obligaciones pensionales.  </w:t>
      </w:r>
    </w:p>
    <w:p w14:paraId="0FBD2441" w14:textId="77777777" w:rsidR="00D01C00" w:rsidRDefault="00D01C00" w:rsidP="00C32F85">
      <w:pPr>
        <w:spacing w:after="0" w:line="254" w:lineRule="atLeast"/>
        <w:jc w:val="both"/>
        <w:rPr>
          <w:rFonts w:ascii="Arial" w:eastAsia="Times New Roman" w:hAnsi="Arial" w:cs="Arial"/>
          <w:color w:val="000000"/>
          <w:lang w:eastAsia="es-CO"/>
        </w:rPr>
      </w:pPr>
    </w:p>
    <w:p w14:paraId="1D876550" w14:textId="4CE1DBE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Velar por el cumplimiento de todas las obligaciones que las entidades territoriales, la Nación y la misma universidad o institución de educación superior, contraigan con el Fondo y en particular recaudar oportunamente y de acuerdo con los convenios que lo establezcan los valores que correspondan a las obligaciones adquiridas en favor del Fondo.  </w:t>
      </w:r>
    </w:p>
    <w:p w14:paraId="2046A9B9" w14:textId="77777777" w:rsidR="00D01C00" w:rsidRDefault="00D01C00" w:rsidP="00C32F85">
      <w:pPr>
        <w:spacing w:after="0" w:line="254" w:lineRule="atLeast"/>
        <w:jc w:val="both"/>
        <w:rPr>
          <w:rFonts w:ascii="Arial" w:eastAsia="Times New Roman" w:hAnsi="Arial" w:cs="Arial"/>
          <w:color w:val="000000"/>
          <w:lang w:eastAsia="es-CO"/>
        </w:rPr>
      </w:pPr>
    </w:p>
    <w:p w14:paraId="6E46613C" w14:textId="6624791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Recibir los recursos destinados a cubrir las cotizaciones para pensiones de los trabajadores de la universidad o institución de educación superior y girarlos a las administradoras correspondientes.  </w:t>
      </w:r>
    </w:p>
    <w:p w14:paraId="1D0D3D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F65CD1" w14:textId="5C00DF2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En el evento que los empleados públicos, trabajadores oficiales y personal docente de que trata el numeral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continúen con su vinculación contractual, legal o reglamentaria con la institución, con posterioridad a la entrada en vigencia del sistema en la respectiva entidad territorial o institución, según sea el caso, serán pensionados por dicha institución a través del fondo de que trata el presente Capítulo.  </w:t>
      </w:r>
    </w:p>
    <w:p w14:paraId="1320AC9C" w14:textId="77777777" w:rsidR="00D01C00" w:rsidRDefault="00D01C00" w:rsidP="00C32F85">
      <w:pPr>
        <w:spacing w:after="0" w:line="254" w:lineRule="atLeast"/>
        <w:jc w:val="both"/>
        <w:rPr>
          <w:rFonts w:ascii="Arial" w:eastAsia="Times New Roman" w:hAnsi="Arial" w:cs="Arial"/>
          <w:color w:val="000000"/>
          <w:lang w:eastAsia="es-CO"/>
        </w:rPr>
      </w:pPr>
    </w:p>
    <w:p w14:paraId="4953723A" w14:textId="51E9D86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en que estas personas se hayan afiliado al ISS, los tiempos de servicio en la universidad y las semanas cotizadas al ISS se suman, y el ISS -hoy Colpensiones- les reconocerá la cuota parte correspondiente al respectivo fondo, teniendo en cuenta el tiempo total efectivamente cotizado o laborado válido para el reconocimiento de pensión. La cual podrá ser cancelada en un pago único, tomando en cuenta el valor presente de la cuota parte o en pagos anuales.  </w:t>
      </w:r>
    </w:p>
    <w:p w14:paraId="2151ECA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F12E8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el cálculo del pasivo pensional causado en las universidades e instituciones de educación superior, no se incluirán las cuotas partes correspondientes a aquellos empleados públicos, trabajadores oficiales y personal docente, que con anterioridad a la fecha del cálculo del pasivo pensional en la respectiva institución, se hubiesen retirado de la misma y no hubieren solicitado la emisión de su bono pensional.  </w:t>
      </w:r>
    </w:p>
    <w:p w14:paraId="4BA03E44" w14:textId="77777777" w:rsidR="00D01C00" w:rsidRDefault="00D01C00" w:rsidP="00C32F85">
      <w:pPr>
        <w:spacing w:after="0" w:line="254" w:lineRule="atLeast"/>
        <w:jc w:val="both"/>
        <w:rPr>
          <w:rFonts w:ascii="Arial" w:eastAsia="Times New Roman" w:hAnsi="Arial" w:cs="Arial"/>
          <w:color w:val="000000"/>
          <w:lang w:eastAsia="es-CO"/>
        </w:rPr>
      </w:pPr>
    </w:p>
    <w:p w14:paraId="65935CD7" w14:textId="678A9C6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la fecha en que dichos afiliados soliciten la emisión de su respectivo bono pensional, la universidad o la institución de educación superior incluirá en el cálculo anual de su pasivo pensional el monto del cálculo de las cuotas partes del bono pensional que le correspondan a la respectiva institución, y dicha institución, la Nación y las entidades territoriales concurrirán a prorrata del aporte,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2.12.5.3.7.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en el pago de esta obligación en la fecha de redención del bono pensional. El cálculo anual del pasivo pensional deberá ser presentado al Ministerio de Hacienda y Crédito Público, dentro de los dos (2) primeros meses del año.  </w:t>
      </w:r>
    </w:p>
    <w:p w14:paraId="09F3B20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8" w:name="ver_30104115"/>
      <w:bookmarkEnd w:id="1838"/>
    </w:p>
    <w:p w14:paraId="6500DDFA" w14:textId="46C2473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2.12.5.3.5.Inversión de los recursos. Los recursos, sus rendimientos financieros y las inversiones de estos, serán administrados mediante encargo fiduciario, en el cual se mantendrán debidamente separados los recursos correspondientes a cada subcuenta, con las características previstas en la Ley 100 de 1993.  </w:t>
      </w:r>
    </w:p>
    <w:p w14:paraId="6D50A53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9DE6626" w14:textId="52B5F35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bonos de valor constante que se emitan con el fin de cancelar la porción del pasivo pensional a cargo de la Nación, que haya sido pagada por las Universidades o Instituciones de Educación Superior, se emitirán a la orden con las condiciones financieras señaladas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2.12.5.3.9.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para su expedición no se requerirá que previamente se haya firmado el contrato previsto en este mismo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únicamente se requerirá la suscripción de un documento en el cual conste la extinción de las obligaciones a cargo de la Nación por la porción del pasivo cancelado suscrito por el representante legal de la entidad correspondiente.  </w:t>
      </w:r>
    </w:p>
    <w:p w14:paraId="7401AA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FF8320" w14:textId="3BB749F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Nación expedirá títulos con las mismas características anteriormente indicadas con el fin de reembolsar la porción del pasivo pensional a cargo de la Nación, determinada de acuerdo con lo estipulado en el inciso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131 de la Ley 100 de 1993, que haya sido pagada por las Universidades o Instituciones de Educación Superior. Dichos títulos tendrán plazo de un año, a partir de la fecha de su expedición, que será la de la correspondiente acta de emisión. Esta porción del pasivo pensional deberá corresponder a los estudios del cálculo actuarial, lo cual se manifestará por el representante legal de la respectiva universidad o institución de Educación Superior, al solicitar la emisión del respectivo bono.  </w:t>
      </w:r>
    </w:p>
    <w:p w14:paraId="2B564FA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93A51DF" w14:textId="0D2D03B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Cada título podrá expedirse por las sumas pagadas correspondientes a períodos semestrales, cuando se trate de pagos correspondientes a mesadas anteriores al 31 de diciembre de 2000. Cuando se trate de reembolsos de pagos realizados con posterioridad a dicha fecha, el título podrá expedirse por períodos de cuatro meses, hasta que se celebre el contrato a que se refiere el </w:t>
      </w:r>
      <w:r w:rsidR="002C1480" w:rsidRPr="002C1480">
        <w:rPr>
          <w:rFonts w:ascii="Arial" w:eastAsia="Times New Roman" w:hAnsi="Arial" w:cs="Arial"/>
          <w:color w:val="000000"/>
          <w:lang w:eastAsia="es-CO"/>
        </w:rPr>
        <w:lastRenderedPageBreak/>
        <w:t>ARTÍCULO</w:t>
      </w:r>
      <w:r w:rsidRPr="002C1480">
        <w:rPr>
          <w:rFonts w:ascii="Arial" w:eastAsia="Times New Roman" w:hAnsi="Arial" w:cs="Arial"/>
          <w:color w:val="000000"/>
          <w:lang w:eastAsia="es-CO"/>
        </w:rPr>
        <w:t xml:space="preserve"> 2.12.5.3.9.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En todo caso los títulos se expedirán por los saldos a cargo de la Nación no incluidos en títulos anteriores.  </w:t>
      </w:r>
    </w:p>
    <w:p w14:paraId="3D63A53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C4FFB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Bonos de Valor Constante, en todo caso, solo se emitirán siempre y cuando se acredite al Icfes, en los términos que este señale, que la respectiva Universidad o Institución de Educación Superior se encuentra cumpliendo con lo dispuesto por la Ley 100 de 1993, en materia pensional.  </w:t>
      </w:r>
    </w:p>
    <w:p w14:paraId="59ED88A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39" w:name="ver_30104116"/>
      <w:bookmarkEnd w:id="1839"/>
    </w:p>
    <w:p w14:paraId="089FAC6F" w14:textId="0F778F6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2.12.5.3.6.Cajas de las universidades y de las instituciones de educación superior. De conformidad con lo establecido en el parágrafo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las cajas de las instituciones que tenían personería jurídica antes del 23 de diciembre de 1993 y fueron declaradas solventes, podrán administrar el régimen de Prima Media con Prestación Definida, y sus afiliados con anterioridad a la fecha de entrada en vigencia el sistema General de Pensiones en la entidad territorial o institución, según el caso, podrán continuar vinculados a dicha caja, mientras no se ordene su liquidación. Se regirán por lo establecido en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1888 de 1994, y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compilados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1833 de 2016, con respecto al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1068 de 1995 y demás normas que lo complementen o adicionen.  </w:t>
      </w:r>
    </w:p>
    <w:p w14:paraId="70A6E24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43DAB1" w14:textId="4B9B2EF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partir del 30 de junio de 1995 o en aquella fecha anterior en que entró a regir el Sistema General de Pensiones en la respectiva entidad territorial o institución, según sea el caso, estas cajas no podrán recibir nuevos afiliados,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1995, y de la Ley 100 de 1993.  </w:t>
      </w:r>
    </w:p>
    <w:p w14:paraId="3F299F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E928F4" w14:textId="78EDBC9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de la cuenta especial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131 de la Ley 100 de 1993, destinados al pago del pasivo pensional, los recursos y los rendimientos de los aportes destinados al pago del pasivo pensional de las cajas de las universidades y de las instituciones de educación superior, harán parte del fondo común de naturaleza pública de las administradoras del régimen de Prima Media con Prestación Definida, al cual ingresan los aportes de los afiliados y sus rendimientos, en los términos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 de la Ley 100 de 1993 y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1888 de 1994. Los recursos del fondo se manejarán de acuerdo con el Plan Único de Cuentas que rige para el régimen de Prima Media con Prestación Definida.  </w:t>
      </w:r>
    </w:p>
    <w:p w14:paraId="1DD4FB0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AEDB9E" w14:textId="539346A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bonos pensionales que deberá emitir la respectiva caja a aquellos empleados públicos, trabajadores oficiales y personal docente que se trasladen al régimen de ahorro individual con solidaridad, se regirán por lo dispuesto en el literal a) del inciso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115 de la Ley 100 de 1993.  </w:t>
      </w:r>
    </w:p>
    <w:p w14:paraId="652BE5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22C71E" w14:textId="43B0C21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régimen legal de las cajas de las universidades oficiales y de las instituciones oficiales de educación superior, autorizadas para administrar el Régimen de Prima Media con Prestación Definida de que trata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será el establecido para dichas cajas por la Ley 100 de 1993 y en sus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reglamentarios para todos los efectos.  </w:t>
      </w:r>
    </w:p>
    <w:p w14:paraId="60B707B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0" w:name="ver_30104117"/>
      <w:bookmarkEnd w:id="1840"/>
    </w:p>
    <w:p w14:paraId="68B060BB" w14:textId="31013376"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2.12.5.3.7.Aportes para el pago del pasivo pensional de las universidades oficiales y de las instituciones oficiales de educación superior del orden territorial.  </w:t>
      </w:r>
    </w:p>
    <w:p w14:paraId="1620140E"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517BD0EE" w14:textId="4CCBEEE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recursos para el pago del pasivo pensional de las instituciones de que trata el presente Capítulo, causado hasta el 23 de diciembre de 1993, serán sufragados, además de por la respectiva institución, por la Nación y por cada una de las entidades territoriales correspondientes, de acuerdo con la ejecución presupuestal, en un monto equivalente a su participación en la financiación de las universidades o instituciones de educación superior, en los últimos cinco (5) años anteriores a la vigencia de la Ley 100 de 1993 de conformidad con lo establecido en su </w:t>
      </w:r>
      <w:r w:rsidR="002C1480" w:rsidRPr="002C1480">
        <w:rPr>
          <w:rFonts w:ascii="Arial" w:eastAsia="Times New Roman" w:hAnsi="Arial" w:cs="Arial"/>
          <w:color w:val="000000"/>
          <w:lang w:eastAsia="es-CO"/>
        </w:rPr>
        <w:lastRenderedPageBreak/>
        <w:t>ARTÍCULO</w:t>
      </w:r>
      <w:r w:rsidRPr="002C1480">
        <w:rPr>
          <w:rFonts w:ascii="Arial" w:eastAsia="Times New Roman" w:hAnsi="Arial" w:cs="Arial"/>
          <w:color w:val="000000"/>
          <w:lang w:eastAsia="es-CO"/>
        </w:rPr>
        <w:t xml:space="preserve"> 131. Para determinar la participación en la financiación de este pasivo, de la ejecución presupuestal se descontarán los ingresos recibidos por la universidad por venta de servicios de investigación con destinación específica, clasificados como “otras rentas”, de acuerdo con lo establecido en las ejecuciones presupuestales anuales de las instituciones. Estas participaciones quedarán recogidas en el contrato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2.12.5.3.9.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160B22F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4A06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entidades que participarán en la financiación del fondo según corresponda serán las siguientes:  </w:t>
      </w:r>
    </w:p>
    <w:p w14:paraId="1D9880A6" w14:textId="77777777" w:rsidR="00D01C00" w:rsidRDefault="00D01C00" w:rsidP="00C32F85">
      <w:pPr>
        <w:spacing w:after="0" w:line="254" w:lineRule="atLeast"/>
        <w:jc w:val="both"/>
        <w:rPr>
          <w:rFonts w:ascii="Arial" w:eastAsia="Times New Roman" w:hAnsi="Arial" w:cs="Arial"/>
          <w:color w:val="000000"/>
          <w:lang w:eastAsia="es-CO"/>
        </w:rPr>
      </w:pPr>
    </w:p>
    <w:p w14:paraId="66E068E6" w14:textId="67AE1CE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Nación.  </w:t>
      </w:r>
    </w:p>
    <w:p w14:paraId="6063BFDE" w14:textId="77777777" w:rsidR="00D01C00" w:rsidRDefault="00D01C00" w:rsidP="00C32F85">
      <w:pPr>
        <w:spacing w:after="0" w:line="254" w:lineRule="atLeast"/>
        <w:jc w:val="both"/>
        <w:rPr>
          <w:rFonts w:ascii="Arial" w:eastAsia="Times New Roman" w:hAnsi="Arial" w:cs="Arial"/>
          <w:color w:val="000000"/>
          <w:lang w:eastAsia="es-CO"/>
        </w:rPr>
      </w:pPr>
    </w:p>
    <w:p w14:paraId="4A2530D9" w14:textId="7E8C1DE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departamento.  </w:t>
      </w:r>
    </w:p>
    <w:p w14:paraId="297709C1" w14:textId="77777777" w:rsidR="00D01C00" w:rsidRDefault="00D01C00" w:rsidP="00C32F85">
      <w:pPr>
        <w:spacing w:after="0" w:line="254" w:lineRule="atLeast"/>
        <w:jc w:val="both"/>
        <w:rPr>
          <w:rFonts w:ascii="Arial" w:eastAsia="Times New Roman" w:hAnsi="Arial" w:cs="Arial"/>
          <w:color w:val="000000"/>
          <w:lang w:eastAsia="es-CO"/>
        </w:rPr>
      </w:pPr>
    </w:p>
    <w:p w14:paraId="0FCFC0E3" w14:textId="6DC4943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El distrito.  </w:t>
      </w:r>
    </w:p>
    <w:p w14:paraId="4EBABDBC" w14:textId="77777777" w:rsidR="00D01C00" w:rsidRDefault="00D01C00" w:rsidP="00C32F85">
      <w:pPr>
        <w:spacing w:after="0" w:line="254" w:lineRule="atLeast"/>
        <w:jc w:val="both"/>
        <w:rPr>
          <w:rFonts w:ascii="Arial" w:eastAsia="Times New Roman" w:hAnsi="Arial" w:cs="Arial"/>
          <w:color w:val="000000"/>
          <w:lang w:eastAsia="es-CO"/>
        </w:rPr>
      </w:pPr>
    </w:p>
    <w:p w14:paraId="302785F4" w14:textId="56BDE9A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El municipio.  </w:t>
      </w:r>
    </w:p>
    <w:p w14:paraId="3F32F856" w14:textId="77777777" w:rsidR="00D01C00" w:rsidRDefault="00D01C00" w:rsidP="00C32F85">
      <w:pPr>
        <w:spacing w:after="0" w:line="254" w:lineRule="atLeast"/>
        <w:jc w:val="both"/>
        <w:rPr>
          <w:rFonts w:ascii="Arial" w:eastAsia="Times New Roman" w:hAnsi="Arial" w:cs="Arial"/>
          <w:color w:val="000000"/>
          <w:lang w:eastAsia="es-CO"/>
        </w:rPr>
      </w:pPr>
    </w:p>
    <w:p w14:paraId="774AB209" w14:textId="6D0DA2F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La universidad oficial o la institución oficial de educación superior.  </w:t>
      </w:r>
    </w:p>
    <w:p w14:paraId="0FD33E70" w14:textId="77777777" w:rsidR="00D01C00" w:rsidRDefault="00D01C00" w:rsidP="00C32F85">
      <w:pPr>
        <w:spacing w:after="0" w:line="254" w:lineRule="atLeast"/>
        <w:jc w:val="both"/>
        <w:rPr>
          <w:rFonts w:ascii="Arial" w:eastAsia="Times New Roman" w:hAnsi="Arial" w:cs="Arial"/>
          <w:color w:val="000000"/>
          <w:lang w:eastAsia="es-CO"/>
        </w:rPr>
      </w:pPr>
    </w:p>
    <w:p w14:paraId="079CFFA7" w14:textId="216DE41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universidades o instituciones de educación superior deberán presentar los cálculos actuariales de su pasivo pensional contraído hasta el 23 de diciembre de 1993 al Ministerio de Hacienda y Crédito Público, de acuerdo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131 de la Ley 100 de 1993, y en los términos sugeridos en el instructivo que para el efecto elaboró dicho Ministerio sobre el cálculo del pasivo por pensiones de jubilación de las instituciones de educación superior del nivel territorial.  </w:t>
      </w:r>
    </w:p>
    <w:p w14:paraId="2D0871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7EC83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Adicionalmente, a las obligaciones de que trata el inciso anterior, las universidades e instituciones de educación superior del nivel territorial, deberán presentar al Ministerio de Hacienda y Crédito Público, las proyecciones presupuestales y el plan financiero que contenga la forma y los plazos en los que dichas entidades deberán cumplir con la obligación de efectuar el aporte correspondiente.  </w:t>
      </w:r>
    </w:p>
    <w:p w14:paraId="077BDA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57EEBA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medio de un convenio que consulte la situación financiera particular de cada institución de educación superior, suscrito entre esta, el Ministerio de Hacienda y Crédito Público y, si es del caso, la entidad territorial respectiva, se establecerá (n) la (s) fecha (s) en las cuales la Nación, las entidades territoriales y la propia institución de educación superior efectuarán los aportes que resulten a su cargo. Para el efecto, será indispensable la aprobación previa por parte del Ministerio de Hacienda y Crédito Público de los cálculos actuariales, las proyecciones presupuestales y del plan financiero presentado por cada institución.  </w:t>
      </w:r>
    </w:p>
    <w:p w14:paraId="6123B3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B56730" w14:textId="6937C32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Los aportes que debe efectuar la Nación de acuerdo con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tendrán en cuenta el valor del pasivo pensional derivado de las obligaciones legales del régimen pensional respectivo y las extralegales vigentes antes del 23 de diciembre de 1993, debidamente establecidas, actualizado con los rendimientos financieros equivalentes a una tasa efectiva anual del interés compuesto de la inflación anual representada en la variación del IPC, adicionado en la tasa de interés técnico contemplada en los cálculos actuariales realizados al 23 de diciembre de 1993, correspondiente a los años o fracciones de año anteriores a la fecha en la cual la Nación efectúe la emisión de los bonos de valor constante que representan su aporte.  </w:t>
      </w:r>
    </w:p>
    <w:p w14:paraId="7BB8758F" w14:textId="77777777" w:rsidR="00D01C00" w:rsidRDefault="00D01C00" w:rsidP="00C32F85">
      <w:pPr>
        <w:spacing w:after="0" w:line="254" w:lineRule="atLeast"/>
        <w:jc w:val="both"/>
        <w:rPr>
          <w:rFonts w:ascii="Arial" w:eastAsia="Times New Roman" w:hAnsi="Arial" w:cs="Arial"/>
          <w:color w:val="000000"/>
          <w:lang w:eastAsia="es-CO"/>
        </w:rPr>
      </w:pPr>
    </w:p>
    <w:p w14:paraId="17445A42" w14:textId="360F157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El incremento del valor del pasivo pensional correspondiente a las obligaciones pensionales legales o extralegales determinadas por convención o pacto colectivo de trabajo o definidas de conformidad con las normas legales aplicables para tales efectos, con posterioridad al 23 de diciembre de 1993, estarán a cargo de la universidad o institución de educación superior, y harán parte de la subcuenta del fondo para pagar el pasivo pensional,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283 de la Ley 100 de 1993 y en el número 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31AFEACF" w14:textId="77777777" w:rsidR="00D01C00" w:rsidRDefault="00D01C00" w:rsidP="00C32F85">
      <w:pPr>
        <w:spacing w:after="0" w:line="254" w:lineRule="atLeast"/>
        <w:jc w:val="both"/>
        <w:rPr>
          <w:rFonts w:ascii="Arial" w:eastAsia="Times New Roman" w:hAnsi="Arial" w:cs="Arial"/>
          <w:color w:val="000000"/>
          <w:lang w:eastAsia="es-CO"/>
        </w:rPr>
      </w:pPr>
    </w:p>
    <w:p w14:paraId="344743D5" w14:textId="6E82F9A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fondo para pagar el pasivo pensional tendrá a su cargo el pago de las prestaciones pensionales a través del mecanismo de pensión compartida con Colpensiones, de conformidad con la ley y los reglamentos de ese instituto. Para ello se emitirán los bonos pensionales de acuerdo con los regímenes legales que Colpensiones debe administrar. La diferencia entre lo que pagará Colpensiones y aquellas obligaciones pensionales que se derivan de pactos o convenciones colectivas de trabajo, laudos arbitrales, serán pagados por el fondo. Esta normatividad no vulnera los derechos adquiridos por los empleados públicos, trabajadores oficiales y personal docente, sin perjuicio del derecho de denuncia que asiste a las partes de conformidad con el inciso 3°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 de la Ley 100 de 1993.  </w:t>
      </w:r>
    </w:p>
    <w:p w14:paraId="2D02228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F2D727" w14:textId="42BC4D6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El incremento del pasivo correspondiente al tiempo de servicios o al número de semanas cotizadas generado desde el 23 de diciembre de 1993, fecha de entrada en vigencia de la Ley 100 de 1993 hasta la fecha de entrada en vigencia del Sistema General de Pensiones en el orden territorial o en la respectiva universidad, según sea el caso, a más tardar el 30 de junio de 1995 estará a cargo de las respectivas universidades e instituciones de educación superior y no harán parte del pasivo pensional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131 de la Ley 100 de 1993. En el evento de que a partir del 1° de julio de 1995, los trabajadores no se hubieren afiliado a uno de los dos regímenes del Sistema General de Pensiones, se regirán por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2.2.4.1.2.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1833 de 2016 y lo dispuesto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1034CBA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75D9B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Como modalidades de pago de las obligaciones contenidas en los bonos BVC, las entidades aportantes podrán acordar amortizaciones anticipadas y compensaciones.  </w:t>
      </w:r>
    </w:p>
    <w:p w14:paraId="76BC8582" w14:textId="77777777" w:rsidR="00D01C00" w:rsidRDefault="00D01C00" w:rsidP="00C32F85">
      <w:pPr>
        <w:spacing w:after="0" w:line="254" w:lineRule="atLeast"/>
        <w:jc w:val="both"/>
        <w:rPr>
          <w:rFonts w:ascii="Arial" w:eastAsia="Times New Roman" w:hAnsi="Arial" w:cs="Arial"/>
          <w:color w:val="000000"/>
          <w:lang w:eastAsia="es-CO"/>
        </w:rPr>
      </w:pPr>
    </w:p>
    <w:p w14:paraId="482E8B69" w14:textId="44CFE62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acuerdo sobre estas modalidades de pago deberá constar en el contrato de concurrencia o en sus modificaciones. Cuando se acuerden compensaciones el contrato de concurrencia deberá prever los mecanismos que aseguren el pago completo y oportuno de las obligaciones pensionales, los cuales serán verificados y aprobados por el Ministerio de Hacienda y Crédito Público.  </w:t>
      </w:r>
    </w:p>
    <w:p w14:paraId="1A212AA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1" w:name="ver_30104119"/>
      <w:bookmarkEnd w:id="1841"/>
    </w:p>
    <w:p w14:paraId="056E73F5" w14:textId="48F6871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2.12.5.3.8.</w:t>
      </w:r>
      <w:r w:rsidR="005D71D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Características de los Bonos de Valor Constante (BVC). Los Bonos de Valor Constante (BVC) tendrán las siguientes características:  </w:t>
      </w:r>
    </w:p>
    <w:p w14:paraId="63A2370A" w14:textId="77777777" w:rsidR="00D01C00" w:rsidRDefault="00D01C00" w:rsidP="00C32F85">
      <w:pPr>
        <w:spacing w:after="0" w:line="254" w:lineRule="atLeast"/>
        <w:jc w:val="both"/>
        <w:rPr>
          <w:rFonts w:ascii="Arial" w:eastAsia="Times New Roman" w:hAnsi="Arial" w:cs="Arial"/>
          <w:color w:val="000000"/>
          <w:lang w:eastAsia="es-CO"/>
        </w:rPr>
      </w:pPr>
    </w:p>
    <w:p w14:paraId="79633A51" w14:textId="4E3508D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Su valor expresado en pesos.  </w:t>
      </w:r>
    </w:p>
    <w:p w14:paraId="1954F72C" w14:textId="77777777" w:rsidR="00D01C00" w:rsidRDefault="00D01C00" w:rsidP="00C32F85">
      <w:pPr>
        <w:spacing w:after="0" w:line="254" w:lineRule="atLeast"/>
        <w:jc w:val="both"/>
        <w:rPr>
          <w:rFonts w:ascii="Arial" w:eastAsia="Times New Roman" w:hAnsi="Arial" w:cs="Arial"/>
          <w:color w:val="000000"/>
          <w:lang w:eastAsia="es-CO"/>
        </w:rPr>
      </w:pPr>
    </w:p>
    <w:p w14:paraId="6EC13E18" w14:textId="6126674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No serán negociables, salvo en el caso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2.12.5.3.5.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35790CDC" w14:textId="77777777" w:rsidR="00D01C00" w:rsidRDefault="00D01C00" w:rsidP="00C32F85">
      <w:pPr>
        <w:spacing w:after="0" w:line="254" w:lineRule="atLeast"/>
        <w:jc w:val="both"/>
        <w:rPr>
          <w:rFonts w:ascii="Arial" w:eastAsia="Times New Roman" w:hAnsi="Arial" w:cs="Arial"/>
          <w:color w:val="000000"/>
          <w:lang w:eastAsia="es-CO"/>
        </w:rPr>
      </w:pPr>
    </w:p>
    <w:p w14:paraId="0678048D" w14:textId="6B9B076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Incorporarán la obligación de hacer pagos, en la forma en que se acuerde en el contrato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2.12.5.3.9.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45534301" w14:textId="2764761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Tendrán un rendimiento equivalente al establecido en el inciso 1° del parágrafo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que se pagará en su totalidad al vencimiento del título.  </w:t>
      </w:r>
    </w:p>
    <w:p w14:paraId="13657E6A" w14:textId="77777777" w:rsidR="00D01C00" w:rsidRDefault="00D01C00" w:rsidP="00C32F85">
      <w:pPr>
        <w:spacing w:after="0" w:line="254" w:lineRule="atLeast"/>
        <w:jc w:val="both"/>
        <w:rPr>
          <w:rFonts w:ascii="Arial" w:eastAsia="Times New Roman" w:hAnsi="Arial" w:cs="Arial"/>
          <w:color w:val="000000"/>
          <w:lang w:eastAsia="es-CO"/>
        </w:rPr>
      </w:pPr>
    </w:p>
    <w:p w14:paraId="263E5688" w14:textId="7FEF1E2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Se emitirán a favor de la universidad o institución de educación superior, indicando claramente la subcuenta respectiva.  </w:t>
      </w:r>
    </w:p>
    <w:p w14:paraId="5F570DF9" w14:textId="77777777" w:rsidR="00D01C00" w:rsidRDefault="00D01C00" w:rsidP="00C32F85">
      <w:pPr>
        <w:spacing w:after="0" w:line="254" w:lineRule="atLeast"/>
        <w:jc w:val="both"/>
        <w:rPr>
          <w:rFonts w:ascii="Arial" w:eastAsia="Times New Roman" w:hAnsi="Arial" w:cs="Arial"/>
          <w:color w:val="000000"/>
          <w:lang w:eastAsia="es-CO"/>
        </w:rPr>
      </w:pPr>
    </w:p>
    <w:p w14:paraId="408A58BA" w14:textId="37AF68D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Fecha y lugar de expedición.  </w:t>
      </w:r>
    </w:p>
    <w:p w14:paraId="4470CA66" w14:textId="77777777" w:rsidR="00D01C00" w:rsidRDefault="00D01C00" w:rsidP="00C32F85">
      <w:pPr>
        <w:spacing w:after="0" w:line="254" w:lineRule="atLeast"/>
        <w:jc w:val="both"/>
        <w:rPr>
          <w:rFonts w:ascii="Arial" w:eastAsia="Times New Roman" w:hAnsi="Arial" w:cs="Arial"/>
          <w:color w:val="000000"/>
          <w:lang w:eastAsia="es-CO"/>
        </w:rPr>
      </w:pPr>
    </w:p>
    <w:p w14:paraId="167AAFB0" w14:textId="29BFF6E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Nombre de la entidad emisora.  </w:t>
      </w:r>
    </w:p>
    <w:p w14:paraId="583E2135" w14:textId="77777777" w:rsidR="00D01C00" w:rsidRDefault="00D01C00" w:rsidP="00C32F85">
      <w:pPr>
        <w:spacing w:after="0" w:line="254" w:lineRule="atLeast"/>
        <w:jc w:val="both"/>
        <w:rPr>
          <w:rFonts w:ascii="Arial" w:eastAsia="Times New Roman" w:hAnsi="Arial" w:cs="Arial"/>
          <w:color w:val="000000"/>
          <w:lang w:eastAsia="es-CO"/>
        </w:rPr>
      </w:pPr>
    </w:p>
    <w:p w14:paraId="7BB2BDCA" w14:textId="36117EE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8. Los Bonos de Valor Constante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2.12.5.3.5.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son negociables y se identificarán como “Serie A”, y aquellos a que se refiere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2.12.3.7. no son negociables y se identificarán como “Serie B”.  </w:t>
      </w:r>
    </w:p>
    <w:p w14:paraId="513DABDA" w14:textId="77777777" w:rsidR="00D01C00" w:rsidRDefault="00D01C00" w:rsidP="00C32F85">
      <w:pPr>
        <w:spacing w:after="0" w:line="254" w:lineRule="atLeast"/>
        <w:jc w:val="both"/>
        <w:rPr>
          <w:rFonts w:ascii="Arial" w:eastAsia="Times New Roman" w:hAnsi="Arial" w:cs="Arial"/>
          <w:color w:val="000000"/>
          <w:lang w:eastAsia="es-CO"/>
        </w:rPr>
      </w:pPr>
    </w:p>
    <w:p w14:paraId="1327D9D5" w14:textId="628CDE6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El Ministerio de Hacienda y Crédito Público podrá determinar que la totalidad o parte de la emisión de los Bonos de Valor Constante sean administrados en un depósito central de valores legalmente autorizado por la Superintendencia de Valores, evento en el cual estos títulos circularán en forma desmaterializada.  </w:t>
      </w:r>
    </w:p>
    <w:p w14:paraId="21DD407F" w14:textId="77777777" w:rsidR="00D01C00" w:rsidRDefault="00D01C00" w:rsidP="00C32F85">
      <w:pPr>
        <w:spacing w:after="0" w:line="254" w:lineRule="atLeast"/>
        <w:jc w:val="both"/>
        <w:rPr>
          <w:rFonts w:ascii="Arial" w:eastAsia="Times New Roman" w:hAnsi="Arial" w:cs="Arial"/>
          <w:color w:val="000000"/>
          <w:lang w:eastAsia="es-CO"/>
        </w:rPr>
      </w:pPr>
    </w:p>
    <w:p w14:paraId="7ADC8622" w14:textId="45F6A32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el evento de que la Nación Ministerio de Hacienda y Crédito Público determine que la totalidad o parte de los Bonos de Valor Constante se entreguen a un depósito central de valores y contrate su administración, el título representativo de la emisión consistirá en el acta de emisión de los respectivos bonos.  </w:t>
      </w:r>
    </w:p>
    <w:p w14:paraId="257B4A76" w14:textId="77777777" w:rsidR="00D01C00" w:rsidRDefault="00D01C00" w:rsidP="00C32F85">
      <w:pPr>
        <w:spacing w:after="0" w:line="254" w:lineRule="atLeast"/>
        <w:jc w:val="both"/>
        <w:rPr>
          <w:rFonts w:ascii="Arial" w:eastAsia="Times New Roman" w:hAnsi="Arial" w:cs="Arial"/>
          <w:color w:val="000000"/>
          <w:lang w:eastAsia="es-CO"/>
        </w:rPr>
      </w:pPr>
    </w:p>
    <w:p w14:paraId="7912CAAC" w14:textId="08C5C09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Los títulos de la “Serie A” podrán fraccionarse en múltiplos de cien millones de pesos ($100.000.000).  </w:t>
      </w:r>
    </w:p>
    <w:p w14:paraId="50B8DA3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2" w:name="ver_30104120"/>
      <w:bookmarkEnd w:id="1842"/>
    </w:p>
    <w:p w14:paraId="5E986D42" w14:textId="2A70F17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2.12.5.3.9. Contratos. Una vez determinada la responsabilidad financiera de las entidades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2.12.5.3.7.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se firmarán contratos entre las universidades o instituciones de educación superior y la Nación, los departamentos, los distritos y los municipios, los cuales deben contener como mínimo lo siguiente:  </w:t>
      </w:r>
    </w:p>
    <w:p w14:paraId="49EBEAD9"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18A471C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valor de la deuda reconocida por las partes, para el pago del pasivo pensional causado hasta el 23 de diciembre de 1993 y el monto del aporte de la Nación, el departamento, el distrito, el municipio y la respectiva universidad o institución de educación superior.  </w:t>
      </w:r>
    </w:p>
    <w:p w14:paraId="01EE9F88" w14:textId="77777777" w:rsidR="00D01C00" w:rsidRDefault="00D01C00" w:rsidP="00C32F85">
      <w:pPr>
        <w:spacing w:after="0" w:line="254" w:lineRule="atLeast"/>
        <w:jc w:val="both"/>
        <w:rPr>
          <w:rFonts w:ascii="Arial" w:eastAsia="Times New Roman" w:hAnsi="Arial" w:cs="Arial"/>
          <w:color w:val="000000"/>
          <w:lang w:eastAsia="es-CO"/>
        </w:rPr>
      </w:pPr>
    </w:p>
    <w:p w14:paraId="77AE330A" w14:textId="7A9D5C6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Los plazos y la forma en que la Nación, los departamentos, los distritos, los municipios y la universidad o institución de educación superior, cumplirán con la obligación de efectuar el aporte, de acuerdo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2.12.5.3.7.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308F8347" w14:textId="77777777" w:rsidR="00D01C00" w:rsidRDefault="00D01C00" w:rsidP="00C32F85">
      <w:pPr>
        <w:spacing w:after="0" w:line="254" w:lineRule="atLeast"/>
        <w:jc w:val="both"/>
        <w:rPr>
          <w:rFonts w:ascii="Arial" w:eastAsia="Times New Roman" w:hAnsi="Arial" w:cs="Arial"/>
          <w:color w:val="000000"/>
          <w:lang w:eastAsia="es-CO"/>
        </w:rPr>
      </w:pPr>
    </w:p>
    <w:p w14:paraId="70E8EC9C" w14:textId="3A6ADC3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El plazo para la emisión de los bonos de valor constante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131 de la Ley 100 de 1993 y para la redención de estos una vez se haga exigible el pago de la obligación pensional.  </w:t>
      </w:r>
    </w:p>
    <w:p w14:paraId="3CEEA712" w14:textId="77777777" w:rsidR="00D01C00" w:rsidRDefault="00D01C00" w:rsidP="00C32F85">
      <w:pPr>
        <w:spacing w:after="0" w:line="254" w:lineRule="atLeast"/>
        <w:jc w:val="both"/>
        <w:rPr>
          <w:rFonts w:ascii="Arial" w:eastAsia="Times New Roman" w:hAnsi="Arial" w:cs="Arial"/>
          <w:color w:val="000000"/>
          <w:lang w:eastAsia="es-CO"/>
        </w:rPr>
      </w:pPr>
    </w:p>
    <w:p w14:paraId="32C9FEC1" w14:textId="0CABFBF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 duración del contrato que deberá extenderse hasta garantizar el saneamiento efectivo del pasivo pensional, causado hasta del 23 de diciembre de 1993.  </w:t>
      </w:r>
    </w:p>
    <w:p w14:paraId="0A3F031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El fondo para pagar el pasivo pensional o la caja que vaya a administrar los recursos, a los cuales deben efectuarse los giros.  </w:t>
      </w:r>
    </w:p>
    <w:p w14:paraId="621B200D" w14:textId="77777777" w:rsidR="00D01C00" w:rsidRDefault="00D01C00" w:rsidP="00C32F85">
      <w:pPr>
        <w:spacing w:after="0" w:line="254" w:lineRule="atLeast"/>
        <w:jc w:val="both"/>
        <w:rPr>
          <w:rFonts w:ascii="Arial" w:eastAsia="Times New Roman" w:hAnsi="Arial" w:cs="Arial"/>
          <w:color w:val="000000"/>
          <w:lang w:eastAsia="es-CO"/>
        </w:rPr>
      </w:pPr>
    </w:p>
    <w:p w14:paraId="2E673093" w14:textId="2A8C440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La periodicidad y el mecanismo a través del cual serán revisados estos contratos.  </w:t>
      </w:r>
    </w:p>
    <w:p w14:paraId="14820AC4" w14:textId="77777777" w:rsidR="00D01C00" w:rsidRDefault="00D01C00" w:rsidP="00C32F85">
      <w:pPr>
        <w:spacing w:after="0" w:line="254" w:lineRule="atLeast"/>
        <w:jc w:val="both"/>
        <w:rPr>
          <w:rFonts w:ascii="Arial" w:eastAsia="Times New Roman" w:hAnsi="Arial" w:cs="Arial"/>
          <w:color w:val="000000"/>
          <w:lang w:eastAsia="es-CO"/>
        </w:rPr>
      </w:pPr>
    </w:p>
    <w:p w14:paraId="47BF445B" w14:textId="45A98C8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7. Los mecanismos definidos entre las partes para asegurar el cumplimiento de las obligaciones derivadas del Sistema General de Pensiones por parte de los empleadores, tales como las derivadas de la subcuenta para las cotizaciones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2.12.5.3.3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al sistema de qué trata la subcuenta de cotizaciones.  </w:t>
      </w:r>
    </w:p>
    <w:p w14:paraId="25F8F75D"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1A92BF7F" w14:textId="26CBF09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2.12.5.3.10.Vigilancia y control de los fondos para el pago del pasivo pensional y de las cajas que administren el régimen de Prima Media. La vigilancia y control de los fondos para el pago del pasivo pensional de las universidades e instituciones de educación superior de naturaleza territorial estará a cargo de las autoridades correspondientes.  </w:t>
      </w:r>
    </w:p>
    <w:p w14:paraId="0AC93CB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2BCAB7" w14:textId="214CA34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De acuerdo con el literal k)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13 y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52 de la Ley 100 de 1993, en concordancia con el literal a) del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325 del Estatuto Orgánico del Sistema Financiero, la vigilancia y control de las cajas autorizadas para administrar el régimen de Prima Media con prestación definida, estará a cargo de la Superintendencia Financiera de Colombia.  </w:t>
      </w:r>
    </w:p>
    <w:p w14:paraId="5C0CC73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426E2D" w14:textId="444303C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vigilancia y control de los patrimonios autónomos y encargos fiduciarios que administran las reservas destinadas a la emisión y redención de bonos pensionales y del pago de las cuotas partes correspondientes, estará a cargo de la Superintendencia Financiera de Colombia, por virtud de lo dispuesto en el literal a) del numeral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325 del Estatuto Orgánico del Sistema Financiero, en concordancia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1299 de 1994.  </w:t>
      </w:r>
    </w:p>
    <w:p w14:paraId="6853A8D0" w14:textId="77777777" w:rsidR="00404266" w:rsidRPr="00D01C00" w:rsidRDefault="00404266" w:rsidP="00D01C00">
      <w:pPr>
        <w:spacing w:after="0" w:line="254" w:lineRule="atLeast"/>
        <w:jc w:val="center"/>
        <w:rPr>
          <w:rFonts w:ascii="Arial" w:eastAsia="Times New Roman" w:hAnsi="Arial" w:cs="Arial"/>
          <w:b/>
          <w:bCs/>
          <w:color w:val="000000"/>
          <w:lang w:eastAsia="es-CO"/>
        </w:rPr>
      </w:pPr>
    </w:p>
    <w:p w14:paraId="0D461844" w14:textId="77777777" w:rsidR="00404266" w:rsidRPr="00D01C00" w:rsidRDefault="00404266" w:rsidP="00D01C00">
      <w:pPr>
        <w:spacing w:after="0" w:line="293" w:lineRule="atLeast"/>
        <w:jc w:val="center"/>
        <w:rPr>
          <w:rFonts w:ascii="Arial" w:eastAsia="Times New Roman" w:hAnsi="Arial" w:cs="Arial"/>
          <w:b/>
          <w:bCs/>
          <w:color w:val="000000"/>
          <w:lang w:eastAsia="es-CO"/>
        </w:rPr>
      </w:pPr>
      <w:bookmarkStart w:id="1843" w:name="ver_30104122"/>
      <w:bookmarkEnd w:id="1843"/>
      <w:r w:rsidRPr="00D01C00">
        <w:rPr>
          <w:rFonts w:ascii="Arial" w:eastAsia="Times New Roman" w:hAnsi="Arial" w:cs="Arial"/>
          <w:b/>
          <w:bCs/>
          <w:color w:val="000000"/>
          <w:lang w:eastAsia="es-CO"/>
        </w:rPr>
        <w:t>TÍTULO 6</w:t>
      </w:r>
    </w:p>
    <w:p w14:paraId="551DA82B" w14:textId="77777777"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DEL REGISTRO ÚNICO DE APORTANTES (RUA)</w:t>
      </w:r>
    </w:p>
    <w:p w14:paraId="5EB6517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4" w:name="ver_30104123"/>
      <w:bookmarkEnd w:id="1844"/>
    </w:p>
    <w:p w14:paraId="13615905" w14:textId="447FB3D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2.12.6.1. Órgano de Administración del RUA. La Unidad Administrativa Especial de Gestión Pensional y Contribuciones Parafiscales de la Protección Social (UGPP), será el Órgano de Administración del Registro Único de Aportantes (RUA), entidad a la cual corresponderá administrar el sistema de información que conforma el RUA. Dicha administración podrá ejercerla en forma directa o a través de un tercero especializado.  </w:t>
      </w:r>
    </w:p>
    <w:p w14:paraId="18A0CD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EB8E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Unidad Administrativa Especial de Gestión Pensional y Contribuciones Parafiscales de la Protección Social (UGPP) ejercerá las funciones definidas para el Órgano de Administración del RUA.  </w:t>
      </w:r>
    </w:p>
    <w:p w14:paraId="46C711A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FD1A6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Unidad Administrativa Especial de Gestión Pensional y Contribuciones Parafiscales de la Protección Social (UGPP) con base en los recursos que le sean apropiados, deberá adelantar los procesos contractuales que sean necesarios para la administración del Registro Único de Aportantes (RUA).  </w:t>
      </w:r>
    </w:p>
    <w:p w14:paraId="41AC574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5" w:name="ver_30104125"/>
      <w:bookmarkEnd w:id="1845"/>
    </w:p>
    <w:p w14:paraId="0B9DE244" w14:textId="34AA38C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2.12.6.2.</w:t>
      </w:r>
      <w:r w:rsidR="005D71D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Registro Derecho de Autor. La Unidad Administrativa Especial de Gestión Pensional y Contribuciones Parafiscales de la Protección Social (UGPP), deberá continuar con los trámites de registro de derecho de autor ante las autoridades competentes, para formalizar el derecho patrimonial sobre el Registro Único de Aportantes (RUA). Para tal efecto, el Ministerio de Hacienda y Crédito Público deberá proporcionarle toda la documentación que reposa en sus archivos y que sea necesaria para adelantar los trámites ante dichas autoridades.  </w:t>
      </w:r>
    </w:p>
    <w:p w14:paraId="12767EE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6" w:name="ver_30104126"/>
      <w:bookmarkEnd w:id="1846"/>
    </w:p>
    <w:p w14:paraId="66F00836" w14:textId="0152057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2.12.6.3.</w:t>
      </w:r>
      <w:r w:rsidR="005D71D0">
        <w:rPr>
          <w:rFonts w:ascii="Arial" w:eastAsia="Times New Roman" w:hAnsi="Arial" w:cs="Arial"/>
          <w:color w:val="000000"/>
          <w:lang w:eastAsia="es-CO"/>
        </w:rPr>
        <w:t xml:space="preserve"> </w:t>
      </w:r>
      <w:r w:rsidR="00404266" w:rsidRPr="002C1480">
        <w:rPr>
          <w:rFonts w:ascii="Arial" w:eastAsia="Times New Roman" w:hAnsi="Arial" w:cs="Arial"/>
          <w:color w:val="000000"/>
          <w:lang w:eastAsia="es-CO"/>
        </w:rPr>
        <w:t xml:space="preserve">Ajustes Presupuestales. El Gobierno nacional realizará los traslados y ajustes presupuestales que permitan atender el traslado de la función que se deriva del presente Título según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86 del Estatuto Orgánico de Presupuesto compilado en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111 de 1996  </w:t>
      </w:r>
    </w:p>
    <w:p w14:paraId="1133E8C5" w14:textId="77777777" w:rsidR="00404266" w:rsidRPr="00D01C00" w:rsidRDefault="00404266" w:rsidP="00D01C00">
      <w:pPr>
        <w:spacing w:after="0" w:line="254" w:lineRule="atLeast"/>
        <w:jc w:val="center"/>
        <w:rPr>
          <w:rFonts w:ascii="Arial" w:eastAsia="Times New Roman" w:hAnsi="Arial" w:cs="Arial"/>
          <w:b/>
          <w:bCs/>
          <w:color w:val="000000"/>
          <w:lang w:eastAsia="es-CO"/>
        </w:rPr>
      </w:pPr>
    </w:p>
    <w:p w14:paraId="2A5FEF1C" w14:textId="77777777" w:rsidR="00404266" w:rsidRPr="00D01C00" w:rsidRDefault="00404266" w:rsidP="00D01C00">
      <w:pPr>
        <w:spacing w:after="0" w:line="293" w:lineRule="atLeast"/>
        <w:jc w:val="center"/>
        <w:rPr>
          <w:rFonts w:ascii="Arial" w:eastAsia="Times New Roman" w:hAnsi="Arial" w:cs="Arial"/>
          <w:b/>
          <w:bCs/>
          <w:color w:val="000000"/>
          <w:lang w:eastAsia="es-CO"/>
        </w:rPr>
      </w:pPr>
      <w:bookmarkStart w:id="1847" w:name="ver_30180974"/>
      <w:bookmarkEnd w:id="1847"/>
      <w:r w:rsidRPr="00D01C00">
        <w:rPr>
          <w:rFonts w:ascii="Arial" w:eastAsia="Times New Roman" w:hAnsi="Arial" w:cs="Arial"/>
          <w:b/>
          <w:bCs/>
          <w:color w:val="000000"/>
          <w:lang w:eastAsia="es-CO"/>
        </w:rPr>
        <w:t>TÍTULO 7</w:t>
      </w:r>
    </w:p>
    <w:p w14:paraId="3D64C6CF" w14:textId="77777777" w:rsidR="00404266" w:rsidRPr="00D01C00" w:rsidRDefault="00404266" w:rsidP="00D01C00">
      <w:pPr>
        <w:spacing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SUMINISTRO A LA UNIDAD DE GESTIÓN PENSIONAL Y CONTRIBUCIONES PARAFISCALES DE LA PROTECCIÓN SOCIAL (UGPP) DE INFORMACIÓN DE OPERADORES PÚBLICOS Y PRIVADOS DE BANCOS DE INFORMACIÓN Y/O BASES DE DATOS</w:t>
      </w:r>
    </w:p>
    <w:p w14:paraId="5E2BD18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8" w:name="ver_30180979"/>
      <w:bookmarkEnd w:id="1848"/>
    </w:p>
    <w:p w14:paraId="5212428B" w14:textId="36494E2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2.12.7.1. Obligados a reportar información. Todos los operadores públicos y privados de bancos de información y/o bases de datos deben reportar la información relevante y actualizada que requiera la Unidad Administrativa Especial de Gestión Pensional y Contribuciones Parafiscales de la Protección Social (UGPP), relativa a la ubicación de los obligados a efectuar los aportes, ingresos, pagos, contratos, registro de bienes, movimientos financieros y demás información necesaria requerida por la Unidad.</w:t>
      </w:r>
      <w:r w:rsidR="00404266" w:rsidRPr="002C1480">
        <w:rPr>
          <w:rFonts w:ascii="Arial" w:eastAsia="Times New Roman" w:hAnsi="Arial" w:cs="Arial"/>
          <w:color w:val="000000"/>
          <w:lang w:eastAsia="es-CO"/>
        </w:rPr>
        <w:br/>
      </w:r>
      <w:r w:rsidR="00404266" w:rsidRPr="002C1480">
        <w:rPr>
          <w:rFonts w:ascii="Arial" w:eastAsia="Times New Roman" w:hAnsi="Arial" w:cs="Arial"/>
          <w:color w:val="000000"/>
          <w:lang w:eastAsia="es-CO"/>
        </w:rPr>
        <w:br/>
      </w:r>
      <w:r w:rsidR="00404266" w:rsidRPr="002C1480">
        <w:rPr>
          <w:rFonts w:ascii="Arial" w:eastAsia="Times New Roman" w:hAnsi="Arial" w:cs="Arial"/>
          <w:color w:val="000000"/>
          <w:lang w:eastAsia="es-CO"/>
        </w:rPr>
        <w:br/>
        <w:t>La información relevante requerida por la Unidad Administrativa Especial de Gestión Pensional y Contribuciones Parafiscales de la Protección Social (UGPP), deberá ser conducente, pertinente, necesaria y útil, para efectos del control a la evasión y a la elusión de los aportes parafiscales al Sistema de Protección Social.</w:t>
      </w:r>
      <w:r w:rsidR="00404266" w:rsidRPr="002C1480">
        <w:rPr>
          <w:rFonts w:ascii="Arial" w:eastAsia="Times New Roman" w:hAnsi="Arial" w:cs="Arial"/>
          <w:color w:val="000000"/>
          <w:lang w:eastAsia="es-CO"/>
        </w:rPr>
        <w:br/>
      </w:r>
      <w:r w:rsidR="00404266" w:rsidRPr="002C1480">
        <w:rPr>
          <w:rFonts w:ascii="Arial" w:eastAsia="Times New Roman" w:hAnsi="Arial" w:cs="Arial"/>
          <w:color w:val="000000"/>
          <w:lang w:eastAsia="es-CO"/>
        </w:rPr>
        <w:br/>
      </w:r>
      <w:r w:rsidR="00404266" w:rsidRPr="002C1480">
        <w:rPr>
          <w:rFonts w:ascii="Arial" w:eastAsia="Times New Roman" w:hAnsi="Arial" w:cs="Arial"/>
          <w:color w:val="000000"/>
          <w:lang w:eastAsia="es-CO"/>
        </w:rPr>
        <w:br/>
        <w:t xml:space="preserve">Para efectos del presente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se entienden como operadores de bancos de información y/o bases de datos, los definidos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 de la Ley 1266 de 2008, entre los que se encuentran, las entidades públicas, privadas, financieras, centrales de riesgos, empresas de telefonía celular, y demás personas naturales o jurídicas que administren o dispongan de información. </w:t>
      </w:r>
    </w:p>
    <w:p w14:paraId="4588340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49" w:name="ver_30180987"/>
      <w:bookmarkEnd w:id="1849"/>
    </w:p>
    <w:p w14:paraId="153FCDA7" w14:textId="2E5BA6D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2.12.7.2. Definición de la información relevante a suministrar a la Unidad Administrativa Especial de Gestión Pensional y Contribuciones Parafiscales de la Protección Social (UGPP). La información relevante es la que administran y/o disponen los operadores de Información definidos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 de la Ley 1266 de 2008 que permitan a la Unidad Administrativa Especial de Gestión Pensional y Contribuciones Parafiscales de la Protección Social (UGPP) tener información actualizada de la ubicación de los obligados a efectuar los aportes, ingresos, pagos, contratos, registro de bienes, movimientos financieros y demás información requerida por la Unidad Administrativa Especial de Gestión Pensional y Contribuciones Parafiscales de la Protección Social (UGPP) para el control a la evasión y a la elusión de los aportes parafiscales al Sistema de Protección Social.  </w:t>
      </w:r>
    </w:p>
    <w:p w14:paraId="50D7039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0" w:name="ver_30181001"/>
      <w:bookmarkEnd w:id="1850"/>
    </w:p>
    <w:p w14:paraId="63B14F15" w14:textId="212B5B2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2.12.7.3. Características y especificaciones técnicas de la información. Conforme con las condiciones y términos previstos en el presente título, la Unidad Administrativa Especial de Gestión Pensional y Contribuciones Parafiscales de la Protección Social (UGPP), definirá mediante resolución las características y especificaciones técnicas para el envío de la información relevante, que requiera la entidad para el adecuado cumplimiento de sus funciones.</w:t>
      </w:r>
      <w:r w:rsidR="00404266" w:rsidRPr="002C1480">
        <w:rPr>
          <w:rFonts w:ascii="Arial" w:eastAsia="Times New Roman" w:hAnsi="Arial" w:cs="Arial"/>
          <w:color w:val="000000"/>
          <w:lang w:eastAsia="es-CO"/>
        </w:rPr>
        <w:br/>
      </w:r>
      <w:r w:rsidR="00404266" w:rsidRPr="002C1480">
        <w:rPr>
          <w:rFonts w:ascii="Arial" w:eastAsia="Times New Roman" w:hAnsi="Arial" w:cs="Arial"/>
          <w:color w:val="000000"/>
          <w:lang w:eastAsia="es-CO"/>
        </w:rPr>
        <w:br/>
        <w:t>La información aquí prevista deberá ser suministrada a través de medios magnéticos y/o electrónicos, o mediante la habilitación del acceso a las bases de datos a favor de la Unidad Administrativa Especial de Gestión Pensional y Contribuciones Parafiscales de la Protección Social (UGPP) cuando a ello haya lugar. </w:t>
      </w:r>
    </w:p>
    <w:p w14:paraId="7C2B9FD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1" w:name="ver_30181009"/>
      <w:bookmarkEnd w:id="1851"/>
    </w:p>
    <w:p w14:paraId="309EF80F" w14:textId="7AEF7CD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2.12.7.4. Término para el suministro de la información relevante a la Unidad Administrativa Especial de Gestión Pensional y Contribuciones Parafiscales de la Protección Social (UGPP). Las personas naturales y jurídicas obligadas al suministro de la información de que trata el presente título, deberán suministrar la información relevante requerida por la Unidad Administrativa Especial de Gestión Pensional y Contribuciones Parafiscales de la Protección Social (UGPP), a más tardar dentro del mes siguiente, contado a partir de la fecha del recibo de la solicitud enviada por la Unidad.  </w:t>
      </w:r>
    </w:p>
    <w:p w14:paraId="769A487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2" w:name="ver_30181018"/>
      <w:bookmarkEnd w:id="1852"/>
    </w:p>
    <w:p w14:paraId="17DABAAD" w14:textId="78E719B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2.12.7.5. Calidad en la entrega de la información. Los operadores públicos y privados de bancos de información y/o bases de datos deberán suministrar la información relevante a la Unidad Administrativa Especial de Gestión Pensional y Contribuciones Parafiscales de la Protección Social (UGPP), atendiendo las características, especificaciones técnicas y términos previstos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2.12.7.3. y 2.12.7.4 del presente Título de manera completa y exacta.  </w:t>
      </w:r>
    </w:p>
    <w:p w14:paraId="71A7498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3" w:name="ver_30181025"/>
      <w:bookmarkEnd w:id="1853"/>
    </w:p>
    <w:p w14:paraId="39BD3B21" w14:textId="413A1AB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2.12.7.6. Protección, reserva y confidencialidad de la información. La Unidad Administrativa Especial de Gestión Pensional y Contribuciones Parafiscales de la Protección Social (UGPP), garantizará la protección, reserva y la confidencialidad de la información relevante suministrada y recibida, conforme con los protocolos de seguridad y control de acceso al sistema de información previstos por la entidad y atendiendo las instrucciones que se impartan a los usuarios de la información.</w:t>
      </w:r>
      <w:r w:rsidR="00404266" w:rsidRPr="002C1480">
        <w:rPr>
          <w:rFonts w:ascii="Arial" w:eastAsia="Times New Roman" w:hAnsi="Arial" w:cs="Arial"/>
          <w:color w:val="000000"/>
          <w:lang w:eastAsia="es-CO"/>
        </w:rPr>
        <w:br/>
      </w:r>
      <w:r w:rsidR="00404266" w:rsidRPr="002C1480">
        <w:rPr>
          <w:rFonts w:ascii="Arial" w:eastAsia="Times New Roman" w:hAnsi="Arial" w:cs="Arial"/>
          <w:color w:val="000000"/>
          <w:lang w:eastAsia="es-CO"/>
        </w:rPr>
        <w:br/>
        <w:t xml:space="preserve">El uso de la información reportada a la Unidad Administrativa Especial de Gestión Pensional y Contribuciones Parafiscales de la Protección Social (UGPP), se efectuará conforme con lo previsto en las disposiciones constitucionales, legales y reglamentarias vigentes, en especial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15 de la Constitución Política y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 de la Ley 1581 de 2012. </w:t>
      </w:r>
    </w:p>
    <w:p w14:paraId="30566BA1" w14:textId="77777777" w:rsidR="00D01C00" w:rsidRDefault="00D01C00" w:rsidP="00C32F85">
      <w:pPr>
        <w:spacing w:after="0" w:line="293" w:lineRule="atLeast"/>
        <w:jc w:val="both"/>
        <w:rPr>
          <w:rFonts w:ascii="Arial" w:eastAsia="Times New Roman" w:hAnsi="Arial" w:cs="Arial"/>
          <w:color w:val="000000"/>
          <w:lang w:eastAsia="es-CO"/>
        </w:rPr>
      </w:pPr>
      <w:bookmarkStart w:id="1854" w:name="ver_30057811"/>
      <w:bookmarkEnd w:id="1854"/>
    </w:p>
    <w:p w14:paraId="64236B42" w14:textId="37256312"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PARTE 13</w:t>
      </w:r>
    </w:p>
    <w:p w14:paraId="3DD6A07D" w14:textId="77777777"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DISPOSICIONES ESPECÍFICAS AL FONDO ADAPTACIÓN</w:t>
      </w:r>
    </w:p>
    <w:p w14:paraId="6DD7A942" w14:textId="77777777" w:rsidR="00404266" w:rsidRPr="00D01C00" w:rsidRDefault="00404266" w:rsidP="00D01C00">
      <w:pPr>
        <w:spacing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TÍTULO 1 CONTRATACIÓN</w:t>
      </w:r>
    </w:p>
    <w:p w14:paraId="05853E9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5" w:name="ver_30102934"/>
      <w:bookmarkStart w:id="1856" w:name="ver_30102933"/>
      <w:bookmarkEnd w:id="1855"/>
    </w:p>
    <w:p w14:paraId="63BFEDC4" w14:textId="27BEC9B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2.13.1.1. Régimen contractual. Los contratos que celebre el Fondo Adaptación para la construcción y reconstrucción necesarios para la superación de los efectos derivados de la ocurrencia de desastres naturales a su cargo, y en general todos aquellos necesarios para la ejecución de estas actividades, se regirán por el derecho privado, estarán sujetos a las disposiciones contenidas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209 y 267 de la Constitución Política, con plena observancia de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13 de la Ley 1150 de 2007, sin perjuicio de la facultad de incluir las cláusulas excepcionales a que se refieren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14 a 18 de la Ley 80 de 1993 y de aplicar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17 de la Ley 1150 de 2007. </w:t>
      </w:r>
    </w:p>
    <w:p w14:paraId="551165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6240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demás contratos estarán sometidos al Estatuto General de Contratación de la Administración Pública, contenido en las Leyes 80 de 1993 y 1150 de 2007 y las normas que los modifiquen o adicionen”. </w:t>
      </w:r>
    </w:p>
    <w:p w14:paraId="0A95228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7" w:name="ver_30102936"/>
      <w:bookmarkStart w:id="1858" w:name="ver_30102935"/>
      <w:bookmarkEnd w:id="1856"/>
      <w:bookmarkEnd w:id="1857"/>
    </w:p>
    <w:p w14:paraId="165A405B" w14:textId="6807817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2.13.1.2. Modalidades de Selección. La escogencia del contratista se efectuará con arreglo a las modalidades de selección de invitación abierta, invitación cerrada y contratación directa, con base en las siguientes reglas: </w:t>
      </w:r>
    </w:p>
    <w:p w14:paraId="1CD709AD" w14:textId="77777777" w:rsidR="00D01C00" w:rsidRDefault="00D01C00" w:rsidP="00C32F85">
      <w:pPr>
        <w:spacing w:after="0" w:line="254" w:lineRule="atLeast"/>
        <w:jc w:val="both"/>
        <w:rPr>
          <w:rFonts w:ascii="Arial" w:eastAsia="Times New Roman" w:hAnsi="Arial" w:cs="Arial"/>
          <w:color w:val="000000"/>
          <w:lang w:eastAsia="es-CO"/>
        </w:rPr>
      </w:pPr>
    </w:p>
    <w:p w14:paraId="1F63AD15" w14:textId="061CE05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 Invitación Abierta: Modalidad de selección mediante la cual el Fondo Adaptación formulará invitación pública para que todos aquellos interesados en participar presenten sus ofertas y, entre ellas, seleccionará objetivamente la más favorable a los fines e intereses de la Entidad. </w:t>
      </w:r>
    </w:p>
    <w:p w14:paraId="55A0C1AE" w14:textId="77777777" w:rsidR="00D01C00" w:rsidRDefault="00D01C00" w:rsidP="00C32F85">
      <w:pPr>
        <w:spacing w:after="0" w:line="254" w:lineRule="atLeast"/>
        <w:jc w:val="both"/>
        <w:rPr>
          <w:rFonts w:ascii="Arial" w:eastAsia="Times New Roman" w:hAnsi="Arial" w:cs="Arial"/>
          <w:color w:val="000000"/>
          <w:lang w:eastAsia="es-CO"/>
        </w:rPr>
      </w:pPr>
    </w:p>
    <w:p w14:paraId="4DF3B48A" w14:textId="009B01C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Corresponde a la modalidad de selección prevista para aquellos casos en que el monto de la contratación sea igual o superior a 132.000 smmlv. Esta modalidad podrá estar precedida de una precalificación de interesados en invitación abierta, en las condiciones que definan los términos de referencia. </w:t>
      </w:r>
    </w:p>
    <w:p w14:paraId="1961F34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BEC48E" w14:textId="6F1F697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Invitación Cerrada: Modalidad de selección objetiva mediante la cual el Fondo Adaptación, previa definición de los requerimientos financieros, de organización y de experiencia específica, requeridos para la ejecución del futuro contrato, adelantará un estudio de mercado y con base en sus resultados, formulará invitación a mínimo dos (2) de los oferentes que se hayan identificado y mediante la aplicación de criterios objetivos previamente determinados, seleccionará entre ellos el ofrecimiento más favorable a los intereses de la entidad. </w:t>
      </w:r>
    </w:p>
    <w:p w14:paraId="231DAC96" w14:textId="77777777" w:rsidR="00451464" w:rsidRPr="002C1480" w:rsidRDefault="00451464" w:rsidP="00C32F85">
      <w:pPr>
        <w:spacing w:after="0" w:line="254" w:lineRule="atLeast"/>
        <w:jc w:val="both"/>
        <w:rPr>
          <w:rFonts w:ascii="Arial" w:eastAsia="Times New Roman" w:hAnsi="Arial" w:cs="Arial"/>
          <w:color w:val="000000"/>
          <w:lang w:eastAsia="es-CO"/>
        </w:rPr>
      </w:pPr>
    </w:p>
    <w:p w14:paraId="7A876CA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modalidad será aplicable para los contratos cuyo valor sea superior a 1.000 smlmv e inferior a 132.000 smlmv. </w:t>
      </w:r>
    </w:p>
    <w:p w14:paraId="3860202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BF52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Contratación Directa: Modalidad mediante la cual el Fondo Adaptación contratará de manera directa al contratista, en los siguientes eventos: </w:t>
      </w:r>
    </w:p>
    <w:p w14:paraId="290CA6BD" w14:textId="77777777" w:rsidR="00D01C00" w:rsidRDefault="00D01C00" w:rsidP="00C32F85">
      <w:pPr>
        <w:spacing w:after="0" w:line="254" w:lineRule="atLeast"/>
        <w:jc w:val="both"/>
        <w:rPr>
          <w:rFonts w:ascii="Arial" w:eastAsia="Times New Roman" w:hAnsi="Arial" w:cs="Arial"/>
          <w:color w:val="000000"/>
          <w:lang w:eastAsia="es-CO"/>
        </w:rPr>
      </w:pPr>
    </w:p>
    <w:p w14:paraId="78CF2D95" w14:textId="1333107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Contratos cuya cuantía sea igual o inferior a 1.000 smlmv; </w:t>
      </w:r>
    </w:p>
    <w:p w14:paraId="7E75D08F" w14:textId="77777777" w:rsidR="00D01C00" w:rsidRDefault="00D01C00" w:rsidP="00C32F85">
      <w:pPr>
        <w:spacing w:after="0" w:line="254" w:lineRule="atLeast"/>
        <w:jc w:val="both"/>
        <w:rPr>
          <w:rFonts w:ascii="Arial" w:eastAsia="Times New Roman" w:hAnsi="Arial" w:cs="Arial"/>
          <w:color w:val="000000"/>
          <w:lang w:eastAsia="es-CO"/>
        </w:rPr>
      </w:pPr>
    </w:p>
    <w:p w14:paraId="3F14B413" w14:textId="656568E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Contratos o Convenios que se celebren con otras entidades públicas, siempre que el objeto de la entidad contratada tenga relación directa con el objeto a contratar; </w:t>
      </w:r>
    </w:p>
    <w:p w14:paraId="094F009B" w14:textId="77777777" w:rsidR="00D01C00" w:rsidRDefault="00D01C00" w:rsidP="00C32F85">
      <w:pPr>
        <w:spacing w:after="0" w:line="254" w:lineRule="atLeast"/>
        <w:jc w:val="both"/>
        <w:rPr>
          <w:rFonts w:ascii="Arial" w:eastAsia="Times New Roman" w:hAnsi="Arial" w:cs="Arial"/>
          <w:color w:val="000000"/>
          <w:lang w:eastAsia="es-CO"/>
        </w:rPr>
      </w:pPr>
    </w:p>
    <w:p w14:paraId="184D1BFD" w14:textId="08CF071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Contratos para el desarrollo de actividades científicas o tecnológicas; </w:t>
      </w:r>
    </w:p>
    <w:p w14:paraId="6BF1C645" w14:textId="77777777" w:rsidR="00D01C00" w:rsidRDefault="00D01C00" w:rsidP="00C32F85">
      <w:pPr>
        <w:spacing w:after="0" w:line="254" w:lineRule="atLeast"/>
        <w:jc w:val="both"/>
        <w:rPr>
          <w:rFonts w:ascii="Arial" w:eastAsia="Times New Roman" w:hAnsi="Arial" w:cs="Arial"/>
          <w:color w:val="000000"/>
          <w:lang w:eastAsia="es-CO"/>
        </w:rPr>
      </w:pPr>
    </w:p>
    <w:p w14:paraId="61377FA4" w14:textId="36D6DD3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Contratos para la ejecución de actividades que puedan encomendarse a determinadas personas, en consideración a las calidades técnicas, de experiencia y amplio reconocimiento en el mercado de la persona natural o jurídica a contratar debidamente justificada; </w:t>
      </w:r>
    </w:p>
    <w:p w14:paraId="61EEABB6" w14:textId="77777777" w:rsidR="00D01C00" w:rsidRDefault="00D01C00" w:rsidP="00C32F85">
      <w:pPr>
        <w:spacing w:after="0" w:line="254" w:lineRule="atLeast"/>
        <w:jc w:val="both"/>
        <w:rPr>
          <w:rFonts w:ascii="Arial" w:eastAsia="Times New Roman" w:hAnsi="Arial" w:cs="Arial"/>
          <w:color w:val="000000"/>
          <w:lang w:eastAsia="es-CO"/>
        </w:rPr>
      </w:pPr>
    </w:p>
    <w:p w14:paraId="2928A267" w14:textId="35503AD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Contratos de prestación de servicios profesionales y los relacionados con actividades operativas, logísticas o asistenciales; </w:t>
      </w:r>
    </w:p>
    <w:p w14:paraId="204BF1C4" w14:textId="77777777" w:rsidR="00D01C00" w:rsidRDefault="00D01C00" w:rsidP="00C32F85">
      <w:pPr>
        <w:spacing w:after="0" w:line="254" w:lineRule="atLeast"/>
        <w:jc w:val="both"/>
        <w:rPr>
          <w:rFonts w:ascii="Arial" w:eastAsia="Times New Roman" w:hAnsi="Arial" w:cs="Arial"/>
          <w:color w:val="000000"/>
          <w:lang w:eastAsia="es-CO"/>
        </w:rPr>
      </w:pPr>
    </w:p>
    <w:p w14:paraId="16EB0B82" w14:textId="1C3E624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Contratos de Consultoría; </w:t>
      </w:r>
    </w:p>
    <w:p w14:paraId="522535A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Contratos para el desarrollo de actividades de acompañamiento social o para el desarrollo de proyectos de reactivación socioeconómica en los territorios objeto de intervención; </w:t>
      </w:r>
    </w:p>
    <w:p w14:paraId="75EA6DE3" w14:textId="77777777" w:rsidR="00D01C00" w:rsidRDefault="00D01C00" w:rsidP="00C32F85">
      <w:pPr>
        <w:spacing w:after="0" w:line="254" w:lineRule="atLeast"/>
        <w:jc w:val="both"/>
        <w:rPr>
          <w:rFonts w:ascii="Arial" w:eastAsia="Times New Roman" w:hAnsi="Arial" w:cs="Arial"/>
          <w:color w:val="000000"/>
          <w:lang w:eastAsia="es-CO"/>
        </w:rPr>
      </w:pPr>
    </w:p>
    <w:p w14:paraId="7887D65A" w14:textId="1C86AEB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Contratos para la adquisición de proyectos de vivienda de interés prioritario; </w:t>
      </w:r>
    </w:p>
    <w:p w14:paraId="6CE342E7" w14:textId="77777777" w:rsidR="00D01C00" w:rsidRDefault="00D01C00" w:rsidP="00C32F85">
      <w:pPr>
        <w:spacing w:after="0" w:line="254" w:lineRule="atLeast"/>
        <w:jc w:val="both"/>
        <w:rPr>
          <w:rFonts w:ascii="Arial" w:eastAsia="Times New Roman" w:hAnsi="Arial" w:cs="Arial"/>
          <w:color w:val="000000"/>
          <w:lang w:eastAsia="es-CO"/>
        </w:rPr>
      </w:pPr>
    </w:p>
    <w:p w14:paraId="0E372B9E" w14:textId="3D86868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Contratos de arrendamiento, comodato y adquisición de bienes inmuebles; </w:t>
      </w:r>
    </w:p>
    <w:p w14:paraId="0E5CED38" w14:textId="77777777" w:rsidR="00D01C00" w:rsidRDefault="00D01C00" w:rsidP="00C32F85">
      <w:pPr>
        <w:spacing w:after="0" w:line="254" w:lineRule="atLeast"/>
        <w:jc w:val="both"/>
        <w:rPr>
          <w:rFonts w:ascii="Arial" w:eastAsia="Times New Roman" w:hAnsi="Arial" w:cs="Arial"/>
          <w:color w:val="000000"/>
          <w:lang w:eastAsia="es-CO"/>
        </w:rPr>
      </w:pPr>
    </w:p>
    <w:p w14:paraId="7590F5AE" w14:textId="658A86A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j) Cuando el estudio de mercado demuestre que solo hay una persona con capacidad para proveer el bien o servicio, por ser el titular o representante de los derechos de propiedad industrial, propiedad intelectual o de los derechos de autor o por ser, de acuerdo con la ley, su proveedor exclusivo; </w:t>
      </w:r>
    </w:p>
    <w:p w14:paraId="4A5F40BE" w14:textId="77777777" w:rsidR="00D01C00" w:rsidRDefault="00D01C00" w:rsidP="00C32F85">
      <w:pPr>
        <w:spacing w:after="0" w:line="254" w:lineRule="atLeast"/>
        <w:jc w:val="both"/>
        <w:rPr>
          <w:rFonts w:ascii="Arial" w:eastAsia="Times New Roman" w:hAnsi="Arial" w:cs="Arial"/>
          <w:color w:val="000000"/>
          <w:lang w:eastAsia="es-CO"/>
        </w:rPr>
      </w:pPr>
    </w:p>
    <w:p w14:paraId="552E17A2" w14:textId="1E053F6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k) Cuando no se presente propuesta alguna o se declare fallida la invitación abierta o la cerrada. </w:t>
      </w:r>
    </w:p>
    <w:p w14:paraId="644D92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Sin perjuicio de las causales definidas en el presente numeral, en aquellos casos en que por las características del objeto a contratar se considere conveniente, se podrá adelantar un proceso de invitación abierta o cerrada según se determine. </w:t>
      </w:r>
    </w:p>
    <w:p w14:paraId="12A2573F" w14:textId="77777777" w:rsidR="00D01C00" w:rsidRDefault="00D01C00" w:rsidP="00C32F85">
      <w:pPr>
        <w:spacing w:after="0" w:line="254" w:lineRule="atLeast"/>
        <w:jc w:val="both"/>
        <w:rPr>
          <w:rFonts w:ascii="Arial" w:eastAsia="Times New Roman" w:hAnsi="Arial" w:cs="Arial"/>
          <w:color w:val="000000"/>
          <w:lang w:eastAsia="es-CO"/>
        </w:rPr>
      </w:pPr>
    </w:p>
    <w:p w14:paraId="0F045F25" w14:textId="4343947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Las reglas para la ejecución de cada una de las modalidades de selección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estarán señaladas en el Manual de Contratación que adopte el Fondo. </w:t>
      </w:r>
    </w:p>
    <w:p w14:paraId="7DD2FE3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59" w:name="ver_30102938"/>
      <w:bookmarkStart w:id="1860" w:name="ver_30102937"/>
      <w:bookmarkEnd w:id="1858"/>
      <w:bookmarkEnd w:id="1859"/>
    </w:p>
    <w:p w14:paraId="22706079" w14:textId="4632C5E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2.13.1.3. Determinación de garantías o seguros. El Fondo Adaptación, establecerá las garantías o seguros que debe exigir a los contratistas para la ejecución de sus contratos teniendo en cuenta para cada caso, la naturaleza y objeto del contrato, las condiciones de ejecución del mismo y los riesgos identificados, que deban ser cubiertos.  </w:t>
      </w:r>
    </w:p>
    <w:p w14:paraId="4C31D49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EB5FF33" w14:textId="0E8E404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Para los efectos previstos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el Fondo Adaptación podrá sujetarse al régimen de garantías establecido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1082 de 2015, en aquello que resulte aplicable”. </w:t>
      </w:r>
    </w:p>
    <w:p w14:paraId="387B305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61" w:name="ver_30102940"/>
      <w:bookmarkStart w:id="1862" w:name="ver_30102939"/>
      <w:bookmarkEnd w:id="1860"/>
      <w:bookmarkEnd w:id="1861"/>
    </w:p>
    <w:p w14:paraId="68FA5085" w14:textId="32F8000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2.13.1.4. Autorización. Se requerirá autorización del Consejo Directivo para la contratación directa prevista en las causales contenidas en los literales b), d), f), e i) del numeral 3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2.13.1.2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en aquellos casos en que la cuantía del futuro contrato, supere los 20.000 smlmv. </w:t>
      </w:r>
    </w:p>
    <w:p w14:paraId="044ABC3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63" w:name="ver_30102941"/>
      <w:bookmarkEnd w:id="1862"/>
      <w:bookmarkEnd w:id="1863"/>
    </w:p>
    <w:p w14:paraId="4222885B" w14:textId="0066E73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2.13.1.5. Del régimen sancionatorio. Las actuaciones contractuales del Fondo Adaptación observarán el principio del debido proceso en materia sancionatoria.  </w:t>
      </w:r>
    </w:p>
    <w:p w14:paraId="41D5DBC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5C6D01" w14:textId="119382B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consecuencia, y en los términos señalados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17 de la Ley 1150 de 2007 o en la norma que lo modifique o adicione, el Fondo Adaptación, tendrá la facultad de imponer las multas que hayan sido pactadas en sus contratos, con el objeto de conminar al contratista a cumplir con sus obligaciones. La imposición de multas solo procederá en aquellos casos en que se encuentre pendiente la ejecución de las obligaciones a cargo del contratista. De igual manera, el Fondo Adaptación tendrá la facultad de declarar el incumplimiento, con el propósito de hacer efectiva la cláusula penal pecuniaria incluida en el contrato.  </w:t>
      </w:r>
    </w:p>
    <w:p w14:paraId="28CE9CC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622B5C" w14:textId="1E632AA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imposición de multas y la declaratoria de incumplimiento deberán estar precedidas de una audiencia del afectado en la que se garantice su derecho al debido proceso, en los términos previstos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86 de la Ley 1474 de 2011 o la norma que lo modifique o adicione.  </w:t>
      </w:r>
    </w:p>
    <w:p w14:paraId="662615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11E3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cláusula penal y las multas así impuestas, se harán efectivas directamente por el Fondo Adaptación, para lo cual podrá acudir entre otros, a los mecanismos de compensación de las sumas adeudadas al contratista, cobro de la garantía, o a cualquier otro medio para obtener el pago, incluyendo el de la jurisdicción coactiva.  </w:t>
      </w:r>
    </w:p>
    <w:p w14:paraId="6F4BAF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A685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Fondo Adaptación hará efectiva la cláusula penal y las garantías y en consecuencia, declarará el siniestro, a través de uno de los siguientes mecanismos:  </w:t>
      </w:r>
    </w:p>
    <w:p w14:paraId="206245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51FF6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Por medio del acto administrativo en el cual el Fondo Adaptación declare la caducidad del contrato y ordene el pago al contratista y al garante, bien sea de la cláusula penal o de los perjuicios que ha cuantificado. El acto administrativo de caducidad constituye el siniestro.  </w:t>
      </w:r>
    </w:p>
    <w:p w14:paraId="6648E83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600FA5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2. Por medio del acto administrativo en el cual el Fondo Adaptación impone multas, debe ordenar el pago al contratista y al garante. El acto administrativo correspondiente constituye el siniestro.  </w:t>
      </w:r>
    </w:p>
    <w:p w14:paraId="3E91BC1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7E8C2C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Por medio del acto administrativo en el cual la Entidad Estatal declare el incumplimiento, puede hacer efectiva la cláusula penal, si está pactada en el contrato, y ordenar su pago al contratista y al garante. El acto administrativo correspondiente es la reclamación para el garante. </w:t>
      </w:r>
    </w:p>
    <w:p w14:paraId="643C9349" w14:textId="77777777" w:rsidR="00D01C00" w:rsidRDefault="00D01C00" w:rsidP="00C32F85">
      <w:pPr>
        <w:spacing w:after="0" w:line="293" w:lineRule="atLeast"/>
        <w:jc w:val="both"/>
        <w:rPr>
          <w:rFonts w:ascii="Arial" w:eastAsia="Times New Roman" w:hAnsi="Arial" w:cs="Arial"/>
          <w:color w:val="000000"/>
          <w:lang w:eastAsia="es-CO"/>
        </w:rPr>
      </w:pPr>
      <w:bookmarkStart w:id="1864" w:name="ver_30057816"/>
      <w:bookmarkEnd w:id="1864"/>
    </w:p>
    <w:p w14:paraId="44E3C2D7" w14:textId="441E94BB"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PARTE 14</w:t>
      </w:r>
    </w:p>
    <w:p w14:paraId="70B68666" w14:textId="77777777" w:rsidR="00404266" w:rsidRPr="00D01C00" w:rsidRDefault="00404266" w:rsidP="00D01C00">
      <w:pPr>
        <w:spacing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DISPOSICIONES RELACIONADAS CON LA UNIDAD DE INFORMACIÓN Y ANÁLISIS FINANCIERO-UIAF</w:t>
      </w:r>
    </w:p>
    <w:p w14:paraId="254EDE2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65" w:name="ver_30057817"/>
      <w:bookmarkEnd w:id="1865"/>
    </w:p>
    <w:p w14:paraId="5DAD7BF9" w14:textId="74184AB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2.14.1. Información solicitada a entidades públicas. En desarrollo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9º de la Ley 526 de 1999, la Unidad de Información y Análisis Financiero podrá solicitar a cualquier entidad pública, salvo la información reservada en poder de la Fiscalía General de la Nación, la información que considere necesaria para el cumplimiento de sus funciones. </w:t>
      </w:r>
    </w:p>
    <w:p w14:paraId="6379D8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6CABF6" w14:textId="0D33BCF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entidades públicas y sus funcionarios deberán prestar toda su colaboración, 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6º de la Ley 489 de 1998 y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34 de la Ley 734 de 2002, no podrán oponer reserva de la información solicitada y deberán hacerla llegar en el plazo que determine la Unidad de Información y Análisis Financiero. El plazo se fijará de acuerdo con el tipo de información que se solicite y su complejidad. </w:t>
      </w:r>
    </w:p>
    <w:p w14:paraId="680DE4F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15C77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En todo caso, las Superintendencias y la Dirección de Impuestos y Aduanas Nacionales, DIAN, informarán a la Unidad de Información y Análisis Financiero sobre las operaciones que puedan estar vinculadas al lavado de activos de las que tengan conocimiento por virtud de sus funciones. </w:t>
      </w:r>
    </w:p>
    <w:p w14:paraId="7BC1604A" w14:textId="20B44EA5" w:rsidR="00404266" w:rsidRPr="002C1480" w:rsidRDefault="00404266" w:rsidP="00D01C0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866" w:name="ver_30057818"/>
      <w:bookmarkEnd w:id="1866"/>
    </w:p>
    <w:p w14:paraId="4497EC25" w14:textId="4F57560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2.14.2. Sectores económicos obligados a informar sobre operaciones. Sin perjuicio de las obligaciones de las entidades que adelantan las actividades financiera, aseguradora o propias del mercado de valores, las entidades públicas y privadas pertenecientes a sectores diferentes a estos, deberán reportar a la Unidad de Información y Análisis Financiero la información de que tratan el literal d) del numeral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102 y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103 a 104 del Estatuto Orgánico del Sistema Financiero, cuando dicha Unidad lo solicite, en la forma y oportunidad que esta señale. </w:t>
      </w:r>
    </w:p>
    <w:p w14:paraId="134B2B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5D546FB" w14:textId="6718F47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Las personas naturales o jurídicas, independientemente de su denominación que en forma profesional se dediquen a la compra y venta de divisas, deberán reportar a la Unidad de Información y Análisis Financiero, además de la información de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la exigida por la Resolución Externa 8 de 2000 de la Junta Directiva del Banco de la República y sus modificaciones. </w:t>
      </w:r>
    </w:p>
    <w:p w14:paraId="2210EB5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205D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entidades que administren sistemas de tarjetas de crédito, de débito o de cajeros automáticos, deberán reportar a la Unidad de Información y Análisis Financiero, la información sobre transacciones que por su número, por las cantidades transadas o por las características particulares de las mismas, puedan conducir razonablemente a sospechar que las entidades están siendo utilizadas para transferir, manejar, aprovechar o invertir dineros o recursos provenientes de actividades delictivas. </w:t>
      </w:r>
    </w:p>
    <w:p w14:paraId="1CCE3D77" w14:textId="0EB4AF58" w:rsidR="00404266" w:rsidRPr="002C1480" w:rsidRDefault="00404266" w:rsidP="00451464">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867" w:name="ver_30057819"/>
      <w:bookmarkEnd w:id="1867"/>
    </w:p>
    <w:p w14:paraId="2F18C198" w14:textId="168ECAD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2.14.3. Características de la información. De acuerdo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11 de la Ley 526 de 1999, las entidades dedicadas a la actividad financiera, aseguradora o propias del mercado de valores, las entidades obligadas a cumplir con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102 a 107 del Estatuto Orgánico del Sistema Financiero, así como las entidades incorporadas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2.14.2 de la presente Parte, deben reportar en forma inmediata y suficiente a la Unidad de Información y Análisis Financiero cualquier información relevante sobre manejo de fondos cuya cuantía o características no guarden relación con la actividad económica de sus clientes o sobre transacciones de sus usuarios que por su número, por las cantidades transadas o por las características particulares de las mismas, puedan conducir razonablemente a sospechar que los mismos están usando a la entidad para transferir, manejar, aprovechar o invertir dineros o recursos provenientes de actividades delictivas. </w:t>
      </w:r>
    </w:p>
    <w:p w14:paraId="63C7A3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C565CE" w14:textId="07B21F3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Las entidades de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2.14.2 de la presente Parte deberán informar las operaciones que reúnan las características señaladas en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con independencia de la naturaleza del bien o activo involucrado. </w:t>
      </w:r>
    </w:p>
    <w:p w14:paraId="790CDDD5" w14:textId="77777777" w:rsidR="00451464" w:rsidRDefault="00451464" w:rsidP="00C32F85">
      <w:pPr>
        <w:spacing w:after="0" w:line="254" w:lineRule="atLeast"/>
        <w:jc w:val="both"/>
        <w:rPr>
          <w:rFonts w:ascii="Arial" w:eastAsia="Times New Roman" w:hAnsi="Arial" w:cs="Arial"/>
          <w:color w:val="000000"/>
          <w:lang w:eastAsia="es-CO"/>
        </w:rPr>
      </w:pPr>
    </w:p>
    <w:p w14:paraId="5648CFF3" w14:textId="187FC74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2.14.4. Información adicional. Las entidades obligadas a cumplir con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102 a 107 del Estatuto Orgánico del Sistema Financiero y las incorporadas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2.14.2 de la presente Parte, deberán aportar la información adicional que requiera la Unidad de Información y Análisis Financiero, en el plazo y con las especificaciones que establezca dicha Unidad. Las entidades y funcionarios que incumplan con los plazos o especificaciones de la solicitud, serán responsables administrativamente ante los órganos competentes, de acuerdo con las normas que rigen la materia. </w:t>
      </w:r>
    </w:p>
    <w:p w14:paraId="7B70B26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68" w:name="ver_30057821"/>
      <w:bookmarkEnd w:id="1868"/>
    </w:p>
    <w:p w14:paraId="2D77F8C6" w14:textId="711A301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2.14.5. Reserva de información. De acuerdo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42 de la Ley 190 de 1995, las personas naturales y jurídicas obligadas a cumplir con los deberes establecidos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102 a 107 del Estatuto Orgánico del Sistema Financiero, en la presente Parte y demás normas aplicables, no serán sujetos de ningún tipo de responsabilidad por virtud de la información aportada en cumplimiento de las disposiciones citadas. </w:t>
      </w:r>
    </w:p>
    <w:p w14:paraId="6E8F8C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4207D36" w14:textId="7B6F005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información remitida a la Unidad de Información y Análisis Financiero en desarrollo de la Ley 526 de 1999, la presente Parte y demás normas aplicables, será objeto de la reserva prevista en el inciso cuarto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9º y los incisos segundo y tercero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11 de la misma ley. </w:t>
      </w:r>
    </w:p>
    <w:p w14:paraId="1E31C5C0" w14:textId="16B8600C" w:rsidR="00404266" w:rsidRPr="002C1480" w:rsidRDefault="00404266" w:rsidP="00D01C00">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869" w:name="ver_30057822"/>
      <w:bookmarkEnd w:id="1869"/>
    </w:p>
    <w:p w14:paraId="767C0C9F" w14:textId="03A53BA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2.14.6. Información a autoridades. En desarrollo de lo dispuesto en el numeral 9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4º y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9º de la Ley 526 de 1999, la Unidad de Información y Análisis Financiero podrá abstenerse de entregar información a autoridades diferentes a la Fiscalía General de la Nación y de las entidades legitimadas para ejercitar la acción de extinción del dominio, no obstante que dichas autoridades cuenten con funciones relacionadas con el lavado de activos, cuando de la evaluación efectuada se concluya que no existe fundamento jurídico para acceder a la solicitud. </w:t>
      </w:r>
    </w:p>
    <w:p w14:paraId="0FFD20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CD8A31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lo anterior, las autoridades que soliciten información a la Unidad de Información y Análisis Financiero, deberán indicar claramente la función para cuyo ejercicio requieren de la misma y la norma legal que se las atribuye, con el fin de que la Unidad de Información y Análisis Financiero establezca su pertinencia. </w:t>
      </w:r>
    </w:p>
    <w:p w14:paraId="5AC7AF5F" w14:textId="5FDC206C" w:rsidR="00404266" w:rsidRPr="002C1480" w:rsidRDefault="002C1480" w:rsidP="00C32F85">
      <w:pPr>
        <w:spacing w:after="0" w:line="254" w:lineRule="atLeast"/>
        <w:jc w:val="both"/>
        <w:rPr>
          <w:rFonts w:ascii="Arial" w:eastAsia="Times New Roman" w:hAnsi="Arial" w:cs="Arial"/>
          <w:color w:val="000000"/>
          <w:lang w:eastAsia="es-CO"/>
        </w:rPr>
      </w:pPr>
      <w:bookmarkStart w:id="1870" w:name="ver_30057823"/>
      <w:bookmarkEnd w:id="1870"/>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2.14.7. Bases de datos de entidades financieras. En desarrollo de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3º de la Ley 526 de 1999, la Unidad de Información y Análisis Financiero tendrá acceso </w:t>
      </w:r>
      <w:r w:rsidR="00404266" w:rsidRPr="002C1480">
        <w:rPr>
          <w:rFonts w:ascii="Arial" w:eastAsia="Times New Roman" w:hAnsi="Arial" w:cs="Arial"/>
          <w:color w:val="000000"/>
          <w:lang w:eastAsia="es-CO"/>
        </w:rPr>
        <w:lastRenderedPageBreak/>
        <w:t>a las bases de datos de las entidades financieras, mediante la celebración de convenios con tales entidades. </w:t>
      </w:r>
    </w:p>
    <w:p w14:paraId="2B394E90" w14:textId="77777777" w:rsidR="00D01C00" w:rsidRDefault="00D01C00" w:rsidP="00C32F85">
      <w:pPr>
        <w:spacing w:after="0" w:line="293" w:lineRule="atLeast"/>
        <w:jc w:val="both"/>
        <w:rPr>
          <w:rFonts w:ascii="Arial" w:eastAsia="Times New Roman" w:hAnsi="Arial" w:cs="Arial"/>
          <w:color w:val="000000"/>
          <w:lang w:eastAsia="es-CO"/>
        </w:rPr>
      </w:pPr>
      <w:bookmarkStart w:id="1871" w:name="ver_30057824"/>
      <w:bookmarkEnd w:id="1871"/>
    </w:p>
    <w:p w14:paraId="572531DE" w14:textId="3A495B1E"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TÍTULO 1</w:t>
      </w:r>
    </w:p>
    <w:p w14:paraId="48F6F6BA" w14:textId="77777777" w:rsidR="00404266" w:rsidRPr="00D01C00" w:rsidRDefault="00404266" w:rsidP="00D01C00">
      <w:pPr>
        <w:spacing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INFORMACIÓN DE CLUBES DEPORTIVOS</w:t>
      </w:r>
    </w:p>
    <w:p w14:paraId="456418A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72" w:name="ver_30057825"/>
      <w:bookmarkEnd w:id="1872"/>
    </w:p>
    <w:p w14:paraId="2C13C69F" w14:textId="78FAAC7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2.14.1.1. Verificación de información. Contenido mínimo. En cumplimiento de lo dispuesto en el numeral 1°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 de la Ley 1445 de 2011, la Unidad de Información y Análisis Financiero (UIAF), recibida la declaración juramentada por parte del Representante Legal del Club con deportistas profesionales y el listado de los aportes del Club, realizará mediante actividades reservadas de inteligencia financiera, una verificación de la información recaudada respecto de la contenida en sus bases de datos. </w:t>
      </w:r>
    </w:p>
    <w:p w14:paraId="0DB77B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3080C1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listado de los socios, asociados y/o accionistas del Club con deportistas profesionales deberá contener como mínimo lo siguiente: </w:t>
      </w:r>
    </w:p>
    <w:p w14:paraId="02158E02" w14:textId="77777777" w:rsidR="00D01C00" w:rsidRDefault="00D01C00" w:rsidP="00C32F85">
      <w:pPr>
        <w:spacing w:after="0" w:line="254" w:lineRule="atLeast"/>
        <w:jc w:val="both"/>
        <w:rPr>
          <w:rFonts w:ascii="Arial" w:eastAsia="Times New Roman" w:hAnsi="Arial" w:cs="Arial"/>
          <w:color w:val="000000"/>
          <w:lang w:eastAsia="es-CO"/>
        </w:rPr>
      </w:pPr>
    </w:p>
    <w:p w14:paraId="76C4F7B1" w14:textId="5087BAC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NIT del equipo reportante. </w:t>
      </w:r>
    </w:p>
    <w:p w14:paraId="5DF45F04" w14:textId="77777777" w:rsidR="00D01C00" w:rsidRDefault="00D01C00" w:rsidP="00C32F85">
      <w:pPr>
        <w:spacing w:after="0" w:line="254" w:lineRule="atLeast"/>
        <w:jc w:val="both"/>
        <w:rPr>
          <w:rFonts w:ascii="Arial" w:eastAsia="Times New Roman" w:hAnsi="Arial" w:cs="Arial"/>
          <w:color w:val="000000"/>
          <w:lang w:eastAsia="es-CO"/>
        </w:rPr>
      </w:pPr>
    </w:p>
    <w:p w14:paraId="7D5F2E9E" w14:textId="0FF5A62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Razón social del club. </w:t>
      </w:r>
    </w:p>
    <w:p w14:paraId="021EFE1B" w14:textId="77777777" w:rsidR="00D01C00" w:rsidRDefault="00D01C00" w:rsidP="00C32F85">
      <w:pPr>
        <w:spacing w:after="0" w:line="254" w:lineRule="atLeast"/>
        <w:jc w:val="both"/>
        <w:rPr>
          <w:rFonts w:ascii="Arial" w:eastAsia="Times New Roman" w:hAnsi="Arial" w:cs="Arial"/>
          <w:color w:val="000000"/>
          <w:lang w:eastAsia="es-CO"/>
        </w:rPr>
      </w:pPr>
    </w:p>
    <w:p w14:paraId="478C6433" w14:textId="02EE116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Tipo de identificación del socio, asociado y/o accionista. </w:t>
      </w:r>
    </w:p>
    <w:p w14:paraId="7AF82376" w14:textId="77777777" w:rsidR="00D01C00" w:rsidRDefault="00D01C00" w:rsidP="00C32F85">
      <w:pPr>
        <w:spacing w:after="0" w:line="254" w:lineRule="atLeast"/>
        <w:jc w:val="both"/>
        <w:rPr>
          <w:rFonts w:ascii="Arial" w:eastAsia="Times New Roman" w:hAnsi="Arial" w:cs="Arial"/>
          <w:color w:val="000000"/>
          <w:lang w:eastAsia="es-CO"/>
        </w:rPr>
      </w:pPr>
    </w:p>
    <w:p w14:paraId="6FECDBA8" w14:textId="7A07092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Número de identificación del socio, asociado y/o accionista. </w:t>
      </w:r>
    </w:p>
    <w:p w14:paraId="5EAB945A" w14:textId="77777777" w:rsidR="00D01C00" w:rsidRDefault="00D01C00" w:rsidP="00C32F85">
      <w:pPr>
        <w:spacing w:after="0" w:line="254" w:lineRule="atLeast"/>
        <w:jc w:val="both"/>
        <w:rPr>
          <w:rFonts w:ascii="Arial" w:eastAsia="Times New Roman" w:hAnsi="Arial" w:cs="Arial"/>
          <w:color w:val="000000"/>
          <w:lang w:eastAsia="es-CO"/>
        </w:rPr>
      </w:pPr>
    </w:p>
    <w:p w14:paraId="6CB3A1C8" w14:textId="1C7564E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Nombre completo o razón social del socio, asociado y/o accionista. </w:t>
      </w:r>
    </w:p>
    <w:p w14:paraId="4E8DB099" w14:textId="77777777" w:rsidR="00D01C00" w:rsidRDefault="00D01C00" w:rsidP="00C32F85">
      <w:pPr>
        <w:spacing w:after="0" w:line="254" w:lineRule="atLeast"/>
        <w:jc w:val="both"/>
        <w:rPr>
          <w:rFonts w:ascii="Arial" w:eastAsia="Times New Roman" w:hAnsi="Arial" w:cs="Arial"/>
          <w:color w:val="000000"/>
          <w:lang w:eastAsia="es-CO"/>
        </w:rPr>
      </w:pPr>
    </w:p>
    <w:p w14:paraId="42526945" w14:textId="77673CA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Dirección de residencia del socio, asociado o accionista. </w:t>
      </w:r>
    </w:p>
    <w:p w14:paraId="5F7C3467" w14:textId="77777777" w:rsidR="00D01C00" w:rsidRDefault="00D01C00" w:rsidP="00C32F85">
      <w:pPr>
        <w:spacing w:after="0" w:line="254" w:lineRule="atLeast"/>
        <w:jc w:val="both"/>
        <w:rPr>
          <w:rFonts w:ascii="Arial" w:eastAsia="Times New Roman" w:hAnsi="Arial" w:cs="Arial"/>
          <w:color w:val="000000"/>
          <w:lang w:eastAsia="es-CO"/>
        </w:rPr>
      </w:pPr>
    </w:p>
    <w:p w14:paraId="6E9D6065" w14:textId="2CBCBBC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Número telefónico del socio, asociado o accionista. </w:t>
      </w:r>
    </w:p>
    <w:p w14:paraId="22775C79" w14:textId="77777777" w:rsidR="00D01C00" w:rsidRDefault="00D01C00" w:rsidP="00C32F85">
      <w:pPr>
        <w:spacing w:after="0" w:line="254" w:lineRule="atLeast"/>
        <w:jc w:val="both"/>
        <w:rPr>
          <w:rFonts w:ascii="Arial" w:eastAsia="Times New Roman" w:hAnsi="Arial" w:cs="Arial"/>
          <w:color w:val="000000"/>
          <w:lang w:eastAsia="es-CO"/>
        </w:rPr>
      </w:pPr>
    </w:p>
    <w:p w14:paraId="2687E4D9" w14:textId="3AF34A5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Código municipio al que corresponde la dirección de residencia del suscriptor (de acuerdo con la codificación del DANE). </w:t>
      </w:r>
    </w:p>
    <w:p w14:paraId="5D583C90" w14:textId="77777777" w:rsidR="00D01C00" w:rsidRDefault="00D01C00" w:rsidP="00C32F85">
      <w:pPr>
        <w:spacing w:after="0" w:line="254" w:lineRule="atLeast"/>
        <w:jc w:val="both"/>
        <w:rPr>
          <w:rFonts w:ascii="Arial" w:eastAsia="Times New Roman" w:hAnsi="Arial" w:cs="Arial"/>
          <w:color w:val="000000"/>
          <w:lang w:eastAsia="es-CO"/>
        </w:rPr>
      </w:pPr>
    </w:p>
    <w:p w14:paraId="466330DF" w14:textId="58234D4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Código departamento al que corresponde la dirección de residencia del suscriptor (de acuerdo con la codificación del DANE). </w:t>
      </w:r>
    </w:p>
    <w:p w14:paraId="4592BACE" w14:textId="77777777" w:rsidR="00D01C00" w:rsidRDefault="00D01C00" w:rsidP="00C32F85">
      <w:pPr>
        <w:spacing w:after="0" w:line="254" w:lineRule="atLeast"/>
        <w:jc w:val="both"/>
        <w:rPr>
          <w:rFonts w:ascii="Arial" w:eastAsia="Times New Roman" w:hAnsi="Arial" w:cs="Arial"/>
          <w:color w:val="000000"/>
          <w:lang w:eastAsia="es-CO"/>
        </w:rPr>
      </w:pPr>
    </w:p>
    <w:p w14:paraId="6656C542" w14:textId="1D183AC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Código del país (de acuerdo con la codificación del DANE). </w:t>
      </w:r>
    </w:p>
    <w:p w14:paraId="319C57FC" w14:textId="77777777" w:rsidR="00D01C00" w:rsidRDefault="00D01C00" w:rsidP="00C32F85">
      <w:pPr>
        <w:spacing w:after="0" w:line="254" w:lineRule="atLeast"/>
        <w:jc w:val="both"/>
        <w:rPr>
          <w:rFonts w:ascii="Arial" w:eastAsia="Times New Roman" w:hAnsi="Arial" w:cs="Arial"/>
          <w:color w:val="000000"/>
          <w:lang w:eastAsia="es-CO"/>
        </w:rPr>
      </w:pPr>
    </w:p>
    <w:p w14:paraId="29DA648C" w14:textId="29154F9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Número de acciones o aportes sociales. </w:t>
      </w:r>
    </w:p>
    <w:p w14:paraId="4832865D" w14:textId="77777777" w:rsidR="00D01C00" w:rsidRDefault="00D01C00" w:rsidP="00C32F85">
      <w:pPr>
        <w:spacing w:after="0" w:line="254" w:lineRule="atLeast"/>
        <w:jc w:val="both"/>
        <w:rPr>
          <w:rFonts w:ascii="Arial" w:eastAsia="Times New Roman" w:hAnsi="Arial" w:cs="Arial"/>
          <w:color w:val="000000"/>
          <w:lang w:eastAsia="es-CO"/>
        </w:rPr>
      </w:pPr>
    </w:p>
    <w:p w14:paraId="3A501418" w14:textId="55E8347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Valor de las acciones o aportes sociales en pesos. </w:t>
      </w:r>
    </w:p>
    <w:p w14:paraId="61DC62FD" w14:textId="77777777" w:rsidR="00D01C00" w:rsidRDefault="00D01C00" w:rsidP="00C32F85">
      <w:pPr>
        <w:spacing w:after="0" w:line="254" w:lineRule="atLeast"/>
        <w:jc w:val="both"/>
        <w:rPr>
          <w:rFonts w:ascii="Arial" w:eastAsia="Times New Roman" w:hAnsi="Arial" w:cs="Arial"/>
          <w:color w:val="000000"/>
          <w:lang w:eastAsia="es-CO"/>
        </w:rPr>
      </w:pPr>
    </w:p>
    <w:p w14:paraId="2D1FB044" w14:textId="5559674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Porcentaje de participación y fecha de ingreso al club. </w:t>
      </w:r>
    </w:p>
    <w:p w14:paraId="30454586" w14:textId="77777777" w:rsidR="00D01C00" w:rsidRDefault="00D01C00" w:rsidP="00C32F85">
      <w:pPr>
        <w:spacing w:after="0" w:line="254" w:lineRule="atLeast"/>
        <w:jc w:val="both"/>
        <w:rPr>
          <w:rFonts w:ascii="Arial" w:eastAsia="Times New Roman" w:hAnsi="Arial" w:cs="Arial"/>
          <w:color w:val="000000"/>
          <w:lang w:eastAsia="es-CO"/>
        </w:rPr>
      </w:pPr>
    </w:p>
    <w:p w14:paraId="33B9E87C" w14:textId="5ECE6D5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Efectuada esta verificación, la Unidad de Información y Análisis Financiero (UIAF), dentro de los diez (10) días hábiles siguientes informará por escrito al Director de Coldeportes que la misma se efectuó, indicando que de encontrar posibles nexos o vínculos con los delitos de lavado de activos y/o financiación del terrorismo en cumplimiento de sus competencias legales, lo comunicará a la Fiscalía General de la Nación para que se adelanten las acciones penales correspondientes. </w:t>
      </w:r>
    </w:p>
    <w:p w14:paraId="7E18B75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153E335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Si la información enviada a la UIAF es incompleta o inexacta, esta informará por escrito al Representante Legal del Club con deportistas profesionales que cuenta con cinco (5) días hábiles para enviar la información faltante o para ajustarla con los criterios y especificaciones que se requieran en los términos del presente título. Si transcurrido este término no se envía la información requerida, la UIAF informará al Director de Coldeportes que no fue posible realizar la verificación y que no debe continuarse con el proceso de conversión, hasta tanto se subsanen las deficiencias identificadas en la información. </w:t>
      </w:r>
    </w:p>
    <w:p w14:paraId="7AD81C4B" w14:textId="77777777" w:rsidR="00D01C00" w:rsidRDefault="00D01C00" w:rsidP="00C32F85">
      <w:pPr>
        <w:spacing w:after="0" w:line="293" w:lineRule="atLeast"/>
        <w:jc w:val="both"/>
        <w:rPr>
          <w:rFonts w:ascii="Arial" w:eastAsia="Times New Roman" w:hAnsi="Arial" w:cs="Arial"/>
          <w:color w:val="000000"/>
          <w:lang w:eastAsia="es-CO"/>
        </w:rPr>
      </w:pPr>
      <w:bookmarkStart w:id="1873" w:name="ver_30203247"/>
      <w:bookmarkEnd w:id="1873"/>
    </w:p>
    <w:p w14:paraId="106D0741" w14:textId="09361534"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PARTE 15</w:t>
      </w:r>
    </w:p>
    <w:p w14:paraId="41BBFF3C" w14:textId="77777777" w:rsidR="00404266" w:rsidRPr="00D01C00" w:rsidRDefault="00404266" w:rsidP="00D01C00">
      <w:pPr>
        <w:spacing w:after="0" w:line="293" w:lineRule="atLeast"/>
        <w:jc w:val="center"/>
        <w:rPr>
          <w:rFonts w:ascii="Arial" w:eastAsia="Times New Roman" w:hAnsi="Arial" w:cs="Arial"/>
          <w:b/>
          <w:bCs/>
          <w:color w:val="000000"/>
          <w:lang w:eastAsia="es-CO"/>
        </w:rPr>
      </w:pPr>
      <w:r w:rsidRPr="00D01C00">
        <w:rPr>
          <w:rFonts w:ascii="Arial" w:eastAsia="Times New Roman" w:hAnsi="Arial" w:cs="Arial"/>
          <w:b/>
          <w:bCs/>
          <w:color w:val="000000"/>
          <w:lang w:eastAsia="es-CO"/>
        </w:rPr>
        <w:t>DISPOSICIONES ESPECÍFICAS AL FONDO PARA EL DESARROLLO DEL PLAN TODOS SOMOS PAZCÍFICO</w:t>
      </w:r>
    </w:p>
    <w:p w14:paraId="5B40D55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74" w:name="ver_30102820"/>
      <w:bookmarkEnd w:id="1874"/>
    </w:p>
    <w:p w14:paraId="61454890" w14:textId="1A2D709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 Naturaleza del Fondo para el Desarrollo del Plan Todos Somos PAZcífico. El Fondo para el Desarrollo del Plan Todos Somos PAZcífico (en adelante el Fondo), creado mediante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185 de la Ley 1753 de 2015 es un patrimonio autónomo administrado por el Ministerio de Hacienda y Crédito Público o por la entidad o entidades que este defina.  </w:t>
      </w:r>
    </w:p>
    <w:p w14:paraId="39FDB3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EE345E" w14:textId="502B4FFE"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El Ministerio de Hacienda y Crédito Público en uso de la facultad otorgada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185 de la Ley 1753 de 2015 y para efectos de la operatividad y funcionamiento del Fondo, podrá definir a través de resolución, la administración del mismo en: (i) una entidad encargada de la ejecución y ordenación del gasto (en adelante la Entidad PúblicoEjecutora) y/o; (ii) en una entidad que conserve y transfiera los recursos, y que actúe como vocera del patrimonio autónomo (en adelante Entidad Fiduciaria).  </w:t>
      </w:r>
    </w:p>
    <w:p w14:paraId="28A8A834"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515BDCF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Entidad Ejecutora y la Entidad Fiduciaria tendrán que definir a través de un reglamento (en adelante Reglamento Operativo), las condiciones en las que se desarrollará la relación entre ambas entidades para la realización de las funciones y obligaciones asignadas a cada una en esta Parte 15 (en adelante Parte), incluyendo la definición de la comisión fiduciaria.  </w:t>
      </w:r>
    </w:p>
    <w:p w14:paraId="7C6FE5BD" w14:textId="77777777" w:rsidR="00D01C00" w:rsidRDefault="00D01C00" w:rsidP="00C32F85">
      <w:pPr>
        <w:spacing w:after="0" w:line="254" w:lineRule="atLeast"/>
        <w:jc w:val="both"/>
        <w:rPr>
          <w:rFonts w:ascii="Arial" w:eastAsia="Times New Roman" w:hAnsi="Arial" w:cs="Arial"/>
          <w:color w:val="000000"/>
          <w:lang w:eastAsia="es-CO"/>
        </w:rPr>
      </w:pPr>
    </w:p>
    <w:p w14:paraId="501C1F87" w14:textId="50D0FC6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2.15.2. Objeto del Fondo. El Fondo tendrá por objeto la financiación y/o la inversión en el Litoral Pacífico, en proyectos de agua potable, infraestructura, educación y vivienda entre otros, y en general en las necesidades más urgentes para promover el desarrollo integral de dicha zona.  </w:t>
      </w:r>
    </w:p>
    <w:p w14:paraId="61F25F00" w14:textId="6BCD7A3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efectos de lo aquí dispuesto, la zona de influencia del Litoral Pacífico estará conformada por los siguientes 50 municipios y distritos (en adelante Zona de Influencia):  </w:t>
      </w:r>
    </w:p>
    <w:p w14:paraId="44D5B7CA" w14:textId="77777777" w:rsidR="00D01C00" w:rsidRPr="002C1480" w:rsidRDefault="00D01C00" w:rsidP="00C32F85">
      <w:pPr>
        <w:spacing w:after="0" w:line="254" w:lineRule="atLeast"/>
        <w:jc w:val="both"/>
        <w:rPr>
          <w:rFonts w:ascii="Arial" w:eastAsia="Times New Roman" w:hAnsi="Arial" w:cs="Arial"/>
          <w:color w:val="000000"/>
          <w:lang w:eastAsia="es-CO"/>
        </w:rPr>
      </w:pPr>
    </w:p>
    <w:p w14:paraId="2A335E7D" w14:textId="5C0A0A5D" w:rsidR="00404266" w:rsidRPr="002C1480" w:rsidRDefault="00404266" w:rsidP="00C32F85">
      <w:pPr>
        <w:spacing w:after="0" w:line="254" w:lineRule="atLeast"/>
        <w:jc w:val="both"/>
        <w:rPr>
          <w:rFonts w:ascii="Arial" w:eastAsia="Times New Roman" w:hAnsi="Arial" w:cs="Arial"/>
          <w:color w:val="000000"/>
          <w:lang w:eastAsia="es-CO"/>
        </w:rPr>
      </w:pPr>
      <w:r>
        <w:rPr>
          <w:noProof/>
          <w:lang w:eastAsia="es-CO"/>
        </w:rPr>
        <w:lastRenderedPageBreak/>
        <w:drawing>
          <wp:inline distT="0" distB="0" distL="0" distR="0" wp14:anchorId="5510909F" wp14:editId="1AF8E871">
            <wp:extent cx="5011420" cy="431101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33">
                      <a:extLst>
                        <a:ext uri="{28A0092B-C50C-407E-A947-70E740481C1C}">
                          <a14:useLocalDpi xmlns:a14="http://schemas.microsoft.com/office/drawing/2010/main" val="0"/>
                        </a:ext>
                      </a:extLst>
                    </a:blip>
                    <a:stretch>
                      <a:fillRect/>
                    </a:stretch>
                  </pic:blipFill>
                  <pic:spPr>
                    <a:xfrm>
                      <a:off x="0" y="0"/>
                      <a:ext cx="5011420" cy="4311015"/>
                    </a:xfrm>
                    <a:prstGeom prst="rect">
                      <a:avLst/>
                    </a:prstGeom>
                  </pic:spPr>
                </pic:pic>
              </a:graphicData>
            </a:graphic>
          </wp:inline>
        </w:drawing>
      </w:r>
      <w:r w:rsidRPr="660F8EF8">
        <w:rPr>
          <w:rFonts w:ascii="Arial" w:eastAsia="Times New Roman" w:hAnsi="Arial" w:cs="Arial"/>
          <w:color w:val="000000" w:themeColor="text1"/>
          <w:lang w:eastAsia="es-CO"/>
        </w:rPr>
        <w:t> </w:t>
      </w:r>
    </w:p>
    <w:p w14:paraId="3E77C069" w14:textId="77777777" w:rsidR="00D01C00" w:rsidRDefault="00D01C00" w:rsidP="00C32F85">
      <w:pPr>
        <w:spacing w:after="0" w:line="254" w:lineRule="atLeast"/>
        <w:jc w:val="both"/>
        <w:rPr>
          <w:rFonts w:ascii="Arial" w:eastAsia="Times New Roman" w:hAnsi="Arial" w:cs="Arial"/>
          <w:color w:val="000000"/>
          <w:lang w:eastAsia="es-CO"/>
        </w:rPr>
      </w:pPr>
    </w:p>
    <w:p w14:paraId="0FBCB2EF" w14:textId="0913352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Podrán ser beneficiarios directos del Fondo las entidades territoriales que hagan parte de esta Zona de Influencia, sin perjuicio de las intervenciones estrictamente necesarias en otras entidades territoriales para el desarrollo del objeto del Fondo, según la viabilidad técnica que defina en cada caso la instancia sectorial respectiva.  </w:t>
      </w:r>
    </w:p>
    <w:p w14:paraId="40EA8C95" w14:textId="77777777" w:rsidR="00451464" w:rsidRPr="002C1480" w:rsidRDefault="00451464" w:rsidP="00C32F85">
      <w:pPr>
        <w:spacing w:after="0" w:line="254" w:lineRule="atLeast"/>
        <w:jc w:val="both"/>
        <w:rPr>
          <w:rFonts w:ascii="Arial" w:eastAsia="Times New Roman" w:hAnsi="Arial" w:cs="Arial"/>
          <w:color w:val="000000"/>
          <w:lang w:eastAsia="es-CO"/>
        </w:rPr>
      </w:pPr>
    </w:p>
    <w:p w14:paraId="11028BFE" w14:textId="5DC5D271" w:rsidR="00404266" w:rsidRPr="002C1480" w:rsidRDefault="002C1480" w:rsidP="00C32F85">
      <w:pPr>
        <w:spacing w:after="0" w:line="254" w:lineRule="atLeast"/>
        <w:jc w:val="both"/>
        <w:rPr>
          <w:rFonts w:ascii="Arial" w:eastAsia="Times New Roman" w:hAnsi="Arial" w:cs="Arial"/>
          <w:color w:val="000000"/>
          <w:lang w:eastAsia="es-CO"/>
        </w:rPr>
      </w:pPr>
      <w:bookmarkStart w:id="1875" w:name="ver_30105958"/>
      <w:bookmarkStart w:id="1876" w:name="ver_30102824"/>
      <w:bookmarkEnd w:id="1875"/>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2.15.3. Recursos del Fondo. Los recursos del Fondo estarán constituidos por:  </w:t>
      </w:r>
    </w:p>
    <w:p w14:paraId="6100BDDA" w14:textId="77777777" w:rsidR="00D01C00" w:rsidRDefault="00D01C00" w:rsidP="00C32F85">
      <w:pPr>
        <w:spacing w:after="0" w:line="254" w:lineRule="atLeast"/>
        <w:jc w:val="both"/>
        <w:rPr>
          <w:rFonts w:ascii="Arial" w:eastAsia="Times New Roman" w:hAnsi="Arial" w:cs="Arial"/>
          <w:color w:val="000000"/>
          <w:lang w:eastAsia="es-CO"/>
        </w:rPr>
      </w:pPr>
    </w:p>
    <w:p w14:paraId="29C14CA4" w14:textId="0D85CC7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partidas que se le asignen e incorporen en el Presupuesto Nacional y demás recursos que transfiera o aporte el Gobierno Nacional.  </w:t>
      </w:r>
    </w:p>
    <w:p w14:paraId="755316DA" w14:textId="77777777" w:rsidR="00D01C00" w:rsidRDefault="00D01C00" w:rsidP="00C32F85">
      <w:pPr>
        <w:spacing w:after="0" w:line="254" w:lineRule="atLeast"/>
        <w:jc w:val="both"/>
        <w:rPr>
          <w:rFonts w:ascii="Arial" w:eastAsia="Times New Roman" w:hAnsi="Arial" w:cs="Arial"/>
          <w:color w:val="000000"/>
          <w:lang w:eastAsia="es-CO"/>
        </w:rPr>
      </w:pPr>
    </w:p>
    <w:p w14:paraId="77A60059" w14:textId="748033E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aportes a cualquier título de las entidades territoriales beneficiarias directas de las actividades del Fondo.  </w:t>
      </w:r>
    </w:p>
    <w:p w14:paraId="1F5099AB" w14:textId="77777777" w:rsidR="00D01C00" w:rsidRDefault="00D01C00" w:rsidP="00C32F85">
      <w:pPr>
        <w:spacing w:after="0" w:line="254" w:lineRule="atLeast"/>
        <w:jc w:val="both"/>
        <w:rPr>
          <w:rFonts w:ascii="Arial" w:eastAsia="Times New Roman" w:hAnsi="Arial" w:cs="Arial"/>
          <w:color w:val="000000"/>
          <w:lang w:eastAsia="es-CO"/>
        </w:rPr>
      </w:pPr>
    </w:p>
    <w:p w14:paraId="36684F31" w14:textId="0FA09A6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recursos provenientes de operaciones de financiamiento interno o externo, que a nombre del Fondo celebre la Entidad Fiduciaria.  </w:t>
      </w:r>
    </w:p>
    <w:p w14:paraId="6A61FBED" w14:textId="77777777" w:rsidR="00D01C00" w:rsidRDefault="00D01C00" w:rsidP="00C32F85">
      <w:pPr>
        <w:spacing w:after="0" w:line="254" w:lineRule="atLeast"/>
        <w:jc w:val="both"/>
        <w:rPr>
          <w:rFonts w:ascii="Arial" w:eastAsia="Times New Roman" w:hAnsi="Arial" w:cs="Arial"/>
          <w:color w:val="000000"/>
          <w:lang w:eastAsia="es-CO"/>
        </w:rPr>
      </w:pPr>
    </w:p>
    <w:p w14:paraId="5AB2E430" w14:textId="722401B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Las donaciones que reciba, tanto de origen nacional como internacional, con el propósito de desarrollar su objeto.  </w:t>
      </w:r>
    </w:p>
    <w:p w14:paraId="51932263" w14:textId="77777777" w:rsidR="00D01C00" w:rsidRDefault="00D01C00" w:rsidP="00C32F85">
      <w:pPr>
        <w:spacing w:after="0" w:line="254" w:lineRule="atLeast"/>
        <w:jc w:val="both"/>
        <w:rPr>
          <w:rFonts w:ascii="Arial" w:eastAsia="Times New Roman" w:hAnsi="Arial" w:cs="Arial"/>
          <w:color w:val="000000"/>
          <w:lang w:eastAsia="es-CO"/>
        </w:rPr>
      </w:pPr>
    </w:p>
    <w:p w14:paraId="1BE8FA07" w14:textId="4C0AB37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demás recursos que obtenga o se le asignen a cualquier título.  </w:t>
      </w:r>
    </w:p>
    <w:p w14:paraId="53CCAA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DADF19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Parágrafo 1°. El Fondo podrá suscribir operaciones de financiamiento interno o externo,a través de la Entidad Fiduciaria y a su nombre.  </w:t>
      </w:r>
    </w:p>
    <w:p w14:paraId="19868483" w14:textId="77777777" w:rsidR="00D01C00" w:rsidRDefault="00D01C00" w:rsidP="00C32F85">
      <w:pPr>
        <w:spacing w:after="0" w:line="254" w:lineRule="atLeast"/>
        <w:jc w:val="both"/>
        <w:rPr>
          <w:rFonts w:ascii="Arial" w:eastAsia="Times New Roman" w:hAnsi="Arial" w:cs="Arial"/>
          <w:color w:val="000000"/>
          <w:lang w:eastAsia="es-CO"/>
        </w:rPr>
      </w:pPr>
    </w:p>
    <w:p w14:paraId="4519E860" w14:textId="149B011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celebración de las operaciones de financiamiento y las asimiladas a estas por parte del Fondo, de carácter interno o externo y con plazo superior a un año, requerirá de la autorización previa del Ministerio de Hacienda y Crédito Público. Cuando se trate de financiamiento dirigido a gastos de inversión, la mencionada autorización podrá otorgarse una vez se cuente con el concepto favorable del Departamento Nacional de Planeación.  </w:t>
      </w:r>
    </w:p>
    <w:p w14:paraId="1B13051B" w14:textId="77777777" w:rsidR="00D01C00" w:rsidRDefault="00D01C00" w:rsidP="00C32F85">
      <w:pPr>
        <w:spacing w:after="0" w:line="254" w:lineRule="atLeast"/>
        <w:jc w:val="both"/>
        <w:rPr>
          <w:rFonts w:ascii="Arial" w:eastAsia="Times New Roman" w:hAnsi="Arial" w:cs="Arial"/>
          <w:color w:val="000000"/>
          <w:lang w:eastAsia="es-CO"/>
        </w:rPr>
      </w:pPr>
    </w:p>
    <w:p w14:paraId="0DF47F79" w14:textId="58965A4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obstante, cuando se trate de operaciones de financiamiento que vayan a ser garantizadas por la nación, no se requerirá concepto favorable del Departamento Nacional de Planeación, sino el del Consejo Nacional de Política Económica y Social (Conpes).  </w:t>
      </w:r>
    </w:p>
    <w:p w14:paraId="75C4FF91" w14:textId="77777777" w:rsidR="00D01C00" w:rsidRDefault="00D01C00" w:rsidP="00C32F85">
      <w:pPr>
        <w:spacing w:after="0" w:line="254" w:lineRule="atLeast"/>
        <w:jc w:val="both"/>
        <w:rPr>
          <w:rFonts w:ascii="Arial" w:eastAsia="Times New Roman" w:hAnsi="Arial" w:cs="Arial"/>
          <w:color w:val="000000"/>
          <w:lang w:eastAsia="es-CO"/>
        </w:rPr>
      </w:pPr>
    </w:p>
    <w:p w14:paraId="77CAFB34" w14:textId="43B79B1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celebración de operaciones para el manejo de la deuda requerirá de autorización previa del Ministerio de Hacienda y Crédito Público.  </w:t>
      </w:r>
    </w:p>
    <w:p w14:paraId="4113E73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399DD0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 nación o las entidades territoriales podrán otorgar avales o garantías a las operaciones de financiamiento. La nación podrá otorgar su aval o garantía al Fondo una vez cuente con lo siguiente:  </w:t>
      </w:r>
    </w:p>
    <w:p w14:paraId="30C2452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7E354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Concepto favorable del Consejo Nacional de Política Económica y Social (Conpes), respecto del otorgamiento del aval o la garantía.  </w:t>
      </w:r>
    </w:p>
    <w:p w14:paraId="573B73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ECB18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Concepto de la Comisión Interparlamentaria de Crédito Público, respecto del aval o la garantía de la nación, si estas se otorgan por plazo superior a un año, y 3. Autorización para celebrar el contrato de aval o de garantía, impartida por el Ministerio de Hacienda y Crédito Público, una vez se hayan constituido a favor de la nación las contragarantías adecuadas, a juicio del mencionado Ministerio. El Fondo podrá utilizar para la constitución de las contragarantías a favor de la nación, entre otras, las vigencias futuras aprobadas para el Fondo por el Consejo Superior de Política Fiscal.  </w:t>
      </w:r>
    </w:p>
    <w:p w14:paraId="4494324D" w14:textId="77777777" w:rsidR="00D01C00" w:rsidRDefault="00D01C00" w:rsidP="00C32F85">
      <w:pPr>
        <w:spacing w:after="0" w:line="254" w:lineRule="atLeast"/>
        <w:jc w:val="both"/>
        <w:rPr>
          <w:rFonts w:ascii="Arial" w:eastAsia="Times New Roman" w:hAnsi="Arial" w:cs="Arial"/>
          <w:color w:val="000000"/>
          <w:lang w:eastAsia="es-CO"/>
        </w:rPr>
      </w:pPr>
    </w:p>
    <w:p w14:paraId="706B1092" w14:textId="011FF631"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el aval o la garantía vayan a ser otorgadas por una entidad territorial, deberá realizarse conforme a las normas y procedimientos vigentes.  </w:t>
      </w:r>
    </w:p>
    <w:p w14:paraId="423462E8" w14:textId="77777777" w:rsidR="00451464" w:rsidRPr="002C1480" w:rsidRDefault="00451464" w:rsidP="00C32F85">
      <w:pPr>
        <w:spacing w:after="0" w:line="254" w:lineRule="atLeast"/>
        <w:jc w:val="both"/>
        <w:rPr>
          <w:rFonts w:ascii="Arial" w:eastAsia="Times New Roman" w:hAnsi="Arial" w:cs="Arial"/>
          <w:color w:val="000000"/>
          <w:lang w:eastAsia="es-CO"/>
        </w:rPr>
      </w:pPr>
    </w:p>
    <w:p w14:paraId="5667A0E8" w14:textId="771734D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alguna obligación de pago del Fondo sea garantizada por la nación, este deberá aportar al Fondo de Contingencias de las Entidades Estatales de acuerdo con lo establecido por el Título 2 de la Parte 4 del Libro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2015 o las normas que lo modifiquen, sustituyan o adicionen.  </w:t>
      </w:r>
    </w:p>
    <w:p w14:paraId="6094C57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6830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El Gobierno nacional, a través del Ministerio de Hacienda y Crédito Público transferirá los recursos que sean requeridos por el Fondo con el fin de que este atienda:  </w:t>
      </w:r>
    </w:p>
    <w:p w14:paraId="2277A6B1" w14:textId="77777777" w:rsidR="00D01C00" w:rsidRDefault="00D01C00" w:rsidP="00C32F85">
      <w:pPr>
        <w:spacing w:after="0" w:line="254" w:lineRule="atLeast"/>
        <w:jc w:val="both"/>
        <w:rPr>
          <w:rFonts w:ascii="Arial" w:eastAsia="Times New Roman" w:hAnsi="Arial" w:cs="Arial"/>
          <w:color w:val="000000"/>
          <w:lang w:eastAsia="es-CO"/>
        </w:rPr>
      </w:pPr>
    </w:p>
    <w:p w14:paraId="26103F80" w14:textId="4EE0D5D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El equivalente al servicio de la deuda, incluidos capital e intereses, derivados de las operaciones de financiamiento interno o externo que celebre para el desarrollo de proyectos, así como las comisiones que se cobren en relación con dichas operaciones de financiamiento;  </w:t>
      </w:r>
    </w:p>
    <w:p w14:paraId="1EAC3102" w14:textId="77777777" w:rsidR="00D01C00" w:rsidRDefault="00D01C00" w:rsidP="00C32F85">
      <w:pPr>
        <w:spacing w:after="0" w:line="254" w:lineRule="atLeast"/>
        <w:jc w:val="both"/>
        <w:rPr>
          <w:rFonts w:ascii="Arial" w:eastAsia="Times New Roman" w:hAnsi="Arial" w:cs="Arial"/>
          <w:color w:val="000000"/>
          <w:lang w:eastAsia="es-CO"/>
        </w:rPr>
      </w:pPr>
    </w:p>
    <w:p w14:paraId="5860DE13" w14:textId="045A7E4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 Los aportes al Fondo de Contingencias de las Entidades Estatales de que trata el parágrafo 2°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E05E4F0" w14:textId="77777777" w:rsidR="00D01C00" w:rsidRDefault="00D01C00" w:rsidP="00C32F85">
      <w:pPr>
        <w:spacing w:after="0" w:line="254" w:lineRule="atLeast"/>
        <w:jc w:val="both"/>
        <w:rPr>
          <w:rFonts w:ascii="Arial" w:eastAsia="Times New Roman" w:hAnsi="Arial" w:cs="Arial"/>
          <w:color w:val="000000"/>
          <w:lang w:eastAsia="es-CO"/>
        </w:rPr>
      </w:pPr>
    </w:p>
    <w:p w14:paraId="1734712C" w14:textId="6342A02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La comisión de administración del Fondo por parte de la Entidad Fiduciaria.  </w:t>
      </w:r>
    </w:p>
    <w:p w14:paraId="51E6588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0CDF586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efectos de la transferencia de los respectivos recursos, la Entidad Fiduciaria deberá presentar al Ministerio de Hacienda y Crédito Público, una comunicación con el soporte y la certificación de la existencia y necesidad de atender alguno de los gastos antes relacionados. Previa disponibilidad presupuestal, se ordenará la transferencia de los recursos a través de acto administrativo.  </w:t>
      </w:r>
    </w:p>
    <w:p w14:paraId="6F4F89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57761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todo caso, la vigilancia y responsabilidad de la ejecución de los recursos y proyectos, estará a cargo de la Entidad Ejecutora, sin perjuicio de las obligaciones que le corresponden a la Entidad Fiduciaria como vocera del Fondo y responsable de la conservación y transferencia de los recursos.  </w:t>
      </w:r>
    </w:p>
    <w:p w14:paraId="748FB3C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77" w:name="ver_30102827"/>
      <w:bookmarkEnd w:id="1876"/>
      <w:bookmarkEnd w:id="1877"/>
    </w:p>
    <w:p w14:paraId="47F1A5AD" w14:textId="45BFE7C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2.15.4. Órganos del Fondo. Para la ejecución de los planes, programas y proyectos, así como su funcionamiento, el Fondo contará con los siguientes órganos:  </w:t>
      </w:r>
    </w:p>
    <w:p w14:paraId="3757443A" w14:textId="77777777" w:rsidR="00D01C00" w:rsidRDefault="00D01C00" w:rsidP="00C32F85">
      <w:pPr>
        <w:spacing w:after="0" w:line="254" w:lineRule="atLeast"/>
        <w:jc w:val="both"/>
        <w:rPr>
          <w:rFonts w:ascii="Arial" w:eastAsia="Times New Roman" w:hAnsi="Arial" w:cs="Arial"/>
          <w:color w:val="000000"/>
          <w:lang w:eastAsia="es-CO"/>
        </w:rPr>
      </w:pPr>
    </w:p>
    <w:p w14:paraId="1C6DAE66" w14:textId="5D26DF7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Junta Administradora.  </w:t>
      </w:r>
    </w:p>
    <w:p w14:paraId="3E5A434B" w14:textId="77777777" w:rsidR="00D01C00" w:rsidRDefault="00D01C00" w:rsidP="00C32F85">
      <w:pPr>
        <w:spacing w:after="0" w:line="254" w:lineRule="atLeast"/>
        <w:jc w:val="both"/>
        <w:rPr>
          <w:rFonts w:ascii="Arial" w:eastAsia="Times New Roman" w:hAnsi="Arial" w:cs="Arial"/>
          <w:color w:val="000000"/>
          <w:lang w:eastAsia="es-CO"/>
        </w:rPr>
      </w:pPr>
    </w:p>
    <w:p w14:paraId="36C83CA6" w14:textId="29E12BC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Director Ejecutivo.  </w:t>
      </w:r>
    </w:p>
    <w:p w14:paraId="1DC09A73" w14:textId="77777777" w:rsidR="00D01C00" w:rsidRDefault="00D01C00" w:rsidP="00C32F85">
      <w:pPr>
        <w:spacing w:after="0" w:line="254" w:lineRule="atLeast"/>
        <w:jc w:val="both"/>
        <w:rPr>
          <w:rFonts w:ascii="Arial" w:eastAsia="Times New Roman" w:hAnsi="Arial" w:cs="Arial"/>
          <w:color w:val="000000"/>
          <w:lang w:eastAsia="es-CO"/>
        </w:rPr>
      </w:pPr>
    </w:p>
    <w:p w14:paraId="3ACB6B9F" w14:textId="27D47CB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Entidad Ejecutora.  </w:t>
      </w:r>
    </w:p>
    <w:p w14:paraId="5A97A991" w14:textId="77777777" w:rsidR="00D01C00" w:rsidRDefault="00D01C00" w:rsidP="00C32F85">
      <w:pPr>
        <w:spacing w:after="0" w:line="254" w:lineRule="atLeast"/>
        <w:jc w:val="both"/>
        <w:rPr>
          <w:rFonts w:ascii="Arial" w:eastAsia="Times New Roman" w:hAnsi="Arial" w:cs="Arial"/>
          <w:color w:val="000000"/>
          <w:lang w:eastAsia="es-CO"/>
        </w:rPr>
      </w:pPr>
    </w:p>
    <w:p w14:paraId="28EC78E5" w14:textId="00F1E2D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Entidad Fiduciaria.  </w:t>
      </w:r>
    </w:p>
    <w:p w14:paraId="282BE54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78" w:name="ver_30102832"/>
      <w:bookmarkEnd w:id="1878"/>
    </w:p>
    <w:p w14:paraId="3707CC61" w14:textId="1BCA289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2.15.5. Junta Administradora del Fondo. La Junta Administradora del Fondo (en adelante la Junta), estará integrada de la siguiente manera:  </w:t>
      </w:r>
    </w:p>
    <w:p w14:paraId="2AF8677A" w14:textId="77777777" w:rsidR="008D59F0" w:rsidRDefault="008D59F0" w:rsidP="00C32F85">
      <w:pPr>
        <w:spacing w:after="0" w:line="254" w:lineRule="atLeast"/>
        <w:jc w:val="both"/>
        <w:rPr>
          <w:rFonts w:ascii="Arial" w:eastAsia="Times New Roman" w:hAnsi="Arial" w:cs="Arial"/>
          <w:color w:val="000000"/>
          <w:lang w:eastAsia="es-CO"/>
        </w:rPr>
      </w:pPr>
    </w:p>
    <w:p w14:paraId="41387B2E" w14:textId="21D607D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Ministro de Hacienda y Crédito Público, quien lo presidirá y únicamente podrá delegar su participación en los Viceministros, en el Secretario General y en los Directores Generales;  </w:t>
      </w:r>
    </w:p>
    <w:p w14:paraId="0D237F59" w14:textId="77777777" w:rsidR="008D59F0" w:rsidRDefault="008D59F0" w:rsidP="00C32F85">
      <w:pPr>
        <w:spacing w:after="0" w:line="254" w:lineRule="atLeast"/>
        <w:jc w:val="both"/>
        <w:rPr>
          <w:rFonts w:ascii="Arial" w:eastAsia="Times New Roman" w:hAnsi="Arial" w:cs="Arial"/>
          <w:color w:val="000000"/>
          <w:lang w:eastAsia="es-CO"/>
        </w:rPr>
      </w:pPr>
    </w:p>
    <w:p w14:paraId="2EDA7AAA" w14:textId="16A6840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Director del Departamento Administrativo Nacional de Planeación, quien únicamente podrá delegar su participación en el Subdirector Territorial y de Inversión Pública, en el Subdirector Sectorial, en el Secretario General o en los Directores Técnicos;  </w:t>
      </w:r>
    </w:p>
    <w:p w14:paraId="1822CCAB" w14:textId="77777777" w:rsidR="008D59F0" w:rsidRDefault="008D59F0" w:rsidP="00C32F85">
      <w:pPr>
        <w:spacing w:after="0" w:line="254" w:lineRule="atLeast"/>
        <w:jc w:val="both"/>
        <w:rPr>
          <w:rFonts w:ascii="Arial" w:eastAsia="Times New Roman" w:hAnsi="Arial" w:cs="Arial"/>
          <w:color w:val="000000"/>
          <w:lang w:eastAsia="es-CO"/>
        </w:rPr>
      </w:pPr>
    </w:p>
    <w:p w14:paraId="0EA09544" w14:textId="25D9306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Tres delegados del Presidente de la República;  </w:t>
      </w:r>
    </w:p>
    <w:p w14:paraId="418B0C72" w14:textId="09BA6B9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d) Dos Gobernadores y dos Alcaldes de la Zona de Influencia según lo dispuesto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2.15.6, quienes no podrán delegar su participación.  </w:t>
      </w:r>
    </w:p>
    <w:p w14:paraId="0E695A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ACEB3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La Entidad Ejecutora ejercerá la Secretaría Técnica (en adelante Secretaría Técnica) de la Junta, de conformidad con lo que se disponga en su reglamento y será la encargada de convocar a las sesiones ordinarias y extraordinarias de la Junta.  </w:t>
      </w:r>
    </w:p>
    <w:p w14:paraId="66C4A9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9AA61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Director Ejecutivo y el Representante Legal de la Entidad Ejecutora asistirán a las sesiones de la Junta con voz pero sin voto.  </w:t>
      </w:r>
    </w:p>
    <w:p w14:paraId="7F58DD5F" w14:textId="77777777" w:rsidR="008D59F0" w:rsidRDefault="008D59F0" w:rsidP="00C32F85">
      <w:pPr>
        <w:spacing w:after="0" w:line="254" w:lineRule="atLeast"/>
        <w:jc w:val="both"/>
        <w:rPr>
          <w:rFonts w:ascii="Arial" w:eastAsia="Times New Roman" w:hAnsi="Arial" w:cs="Arial"/>
          <w:color w:val="000000"/>
          <w:lang w:eastAsia="es-CO"/>
        </w:rPr>
      </w:pPr>
    </w:p>
    <w:p w14:paraId="44E3C263" w14:textId="0A12692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sesiones de la Junta podrán invitarse representantes de otras entidades públicas o privadas, y todos aquellos que a juicio de los integrantes de la Junta puedan aportar elementos sobre las materias o asuntos que deban ser decididos por la misma.  </w:t>
      </w:r>
    </w:p>
    <w:p w14:paraId="70A5229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A2DA1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Junta se reunirá por lo menos una vez cada seis (6) meses y podrá ser convocada de forma extraordinaria, siempre que se estime necesario por parte de su Presidente. Esta podrá </w:t>
      </w:r>
      <w:r w:rsidRPr="002C1480">
        <w:rPr>
          <w:rFonts w:ascii="Arial" w:eastAsia="Times New Roman" w:hAnsi="Arial" w:cs="Arial"/>
          <w:color w:val="000000"/>
          <w:lang w:eastAsia="es-CO"/>
        </w:rPr>
        <w:lastRenderedPageBreak/>
        <w:t>sesionar con la asistencia de cinco (5) de sus miembros, y podrá adoptar decisiones con el voto favorable de la mayoría de los miembros asistentes.  </w:t>
      </w:r>
    </w:p>
    <w:p w14:paraId="7B310039" w14:textId="77777777" w:rsidR="008D59F0" w:rsidRDefault="008D59F0" w:rsidP="00C32F85">
      <w:pPr>
        <w:spacing w:after="0" w:line="254" w:lineRule="atLeast"/>
        <w:jc w:val="both"/>
        <w:rPr>
          <w:rFonts w:ascii="Arial" w:eastAsia="Times New Roman" w:hAnsi="Arial" w:cs="Arial"/>
          <w:color w:val="000000"/>
          <w:lang w:eastAsia="es-CO"/>
        </w:rPr>
      </w:pPr>
    </w:p>
    <w:p w14:paraId="13A9C044" w14:textId="0F318E6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Junta podrá sesionar de manera presencial o no presencial. </w:t>
      </w:r>
    </w:p>
    <w:p w14:paraId="093A7A2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79" w:name="ver_30102834"/>
      <w:bookmarkEnd w:id="1879"/>
    </w:p>
    <w:p w14:paraId="236DFD25" w14:textId="7849F74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2.15.6. Elección de alcaldes y Gobernadores que harán parte de la Junta. La elección de los alcaldes que harán parte de la Junta, se realizará cada dos (2) años a través de una votación, en la cual podrán participar todos los alcaldes de la Zona de Influencia, conforme a las siguientes reglas:  </w:t>
      </w:r>
    </w:p>
    <w:p w14:paraId="17346865" w14:textId="77777777" w:rsidR="008D59F0" w:rsidRDefault="008D59F0" w:rsidP="00C32F85">
      <w:pPr>
        <w:spacing w:after="0" w:line="254" w:lineRule="atLeast"/>
        <w:jc w:val="both"/>
        <w:rPr>
          <w:rFonts w:ascii="Arial" w:eastAsia="Times New Roman" w:hAnsi="Arial" w:cs="Arial"/>
          <w:color w:val="000000"/>
          <w:lang w:eastAsia="es-CO"/>
        </w:rPr>
      </w:pPr>
    </w:p>
    <w:p w14:paraId="4D954464" w14:textId="44C6BC5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 Secretaría Técnica convocará cada dos (2) años a todos los alcaldes de la Zona de Influencia para que, por un periodo de dos (2) semanas, se inscriban ante la misma como candidatos a la Junta.  </w:t>
      </w:r>
    </w:p>
    <w:p w14:paraId="15ED544A" w14:textId="77777777" w:rsidR="008D59F0" w:rsidRDefault="008D59F0" w:rsidP="00C32F85">
      <w:pPr>
        <w:spacing w:after="0" w:line="254" w:lineRule="atLeast"/>
        <w:jc w:val="both"/>
        <w:rPr>
          <w:rFonts w:ascii="Arial" w:eastAsia="Times New Roman" w:hAnsi="Arial" w:cs="Arial"/>
          <w:color w:val="000000"/>
          <w:lang w:eastAsia="es-CO"/>
        </w:rPr>
      </w:pPr>
    </w:p>
    <w:p w14:paraId="726D82E5" w14:textId="509597C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Una vez se tenga conformada la lista de inscritos, la Secretaría Técnica convocará a todos los alcaldes de la Zona de Influencia con una antelación de mínimo cinco (5) días hábiles, para que se adelante una votación presencial o no presencial. La votación se desarrollará por el término de un (1) día.  </w:t>
      </w:r>
    </w:p>
    <w:p w14:paraId="15C54935" w14:textId="77777777" w:rsidR="008D59F0" w:rsidRDefault="008D59F0" w:rsidP="00C32F85">
      <w:pPr>
        <w:spacing w:after="0" w:line="254" w:lineRule="atLeast"/>
        <w:jc w:val="both"/>
        <w:rPr>
          <w:rFonts w:ascii="Arial" w:eastAsia="Times New Roman" w:hAnsi="Arial" w:cs="Arial"/>
          <w:color w:val="000000"/>
          <w:lang w:eastAsia="es-CO"/>
        </w:rPr>
      </w:pPr>
    </w:p>
    <w:p w14:paraId="6E4391D6" w14:textId="4CC752E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La Secretaría Técnica levantará un acta sobre el desarrollo y el resultado de la votación, para ser presentada a la Junta.  </w:t>
      </w:r>
    </w:p>
    <w:p w14:paraId="3A4CBFC4" w14:textId="77777777" w:rsidR="008D59F0" w:rsidRDefault="008D59F0" w:rsidP="00C32F85">
      <w:pPr>
        <w:spacing w:after="0" w:line="254" w:lineRule="atLeast"/>
        <w:jc w:val="both"/>
        <w:rPr>
          <w:rFonts w:ascii="Arial" w:eastAsia="Times New Roman" w:hAnsi="Arial" w:cs="Arial"/>
          <w:color w:val="000000"/>
          <w:lang w:eastAsia="es-CO"/>
        </w:rPr>
      </w:pPr>
    </w:p>
    <w:p w14:paraId="313EA851" w14:textId="4C963A7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Para que la votación sea válida, deberán votar al menos cinco (5) alcaldes.  </w:t>
      </w:r>
    </w:p>
    <w:p w14:paraId="2E510179" w14:textId="77777777" w:rsidR="008D59F0" w:rsidRDefault="008D59F0" w:rsidP="00C32F85">
      <w:pPr>
        <w:spacing w:after="0" w:line="254" w:lineRule="atLeast"/>
        <w:jc w:val="both"/>
        <w:rPr>
          <w:rFonts w:ascii="Arial" w:eastAsia="Times New Roman" w:hAnsi="Arial" w:cs="Arial"/>
          <w:color w:val="000000"/>
          <w:lang w:eastAsia="es-CO"/>
        </w:rPr>
      </w:pPr>
    </w:p>
    <w:p w14:paraId="4BCC02B8" w14:textId="2D659D5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El periodo de los alcaldes será de dos (2) años y no podrán ser reelegidos para el siguiente periodo.  </w:t>
      </w:r>
    </w:p>
    <w:p w14:paraId="74343342" w14:textId="77777777" w:rsidR="008D59F0" w:rsidRDefault="008D59F0" w:rsidP="00C32F85">
      <w:pPr>
        <w:spacing w:after="0" w:line="254" w:lineRule="atLeast"/>
        <w:jc w:val="both"/>
        <w:rPr>
          <w:rFonts w:ascii="Arial" w:eastAsia="Times New Roman" w:hAnsi="Arial" w:cs="Arial"/>
          <w:color w:val="000000"/>
          <w:lang w:eastAsia="es-CO"/>
        </w:rPr>
      </w:pPr>
    </w:p>
    <w:p w14:paraId="6C9117C5" w14:textId="74B238A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Ningún Departamento podrá tener representación de alcaldes por dos (2) periodos consecutivos.  </w:t>
      </w:r>
    </w:p>
    <w:p w14:paraId="2C4CD08B" w14:textId="77777777" w:rsidR="008D59F0" w:rsidRDefault="008D59F0" w:rsidP="00C32F85">
      <w:pPr>
        <w:spacing w:after="0" w:line="254" w:lineRule="atLeast"/>
        <w:jc w:val="both"/>
        <w:rPr>
          <w:rFonts w:ascii="Arial" w:eastAsia="Times New Roman" w:hAnsi="Arial" w:cs="Arial"/>
          <w:color w:val="000000"/>
          <w:lang w:eastAsia="es-CO"/>
        </w:rPr>
      </w:pPr>
    </w:p>
    <w:p w14:paraId="1549D2FC" w14:textId="119F6E0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El alcalde de Buenaventura solo se podrá postular para la primera elección y para los siguientes periodos deberá intercalar su participación en la Junta, con el Gobernador del departamento del Valle del Cauca.  </w:t>
      </w:r>
    </w:p>
    <w:p w14:paraId="4C2FCF1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Cuando no le corresponda el turno de pertenecer a la Junta al alcalde de Buenaventura, resultarán elegidos los dos (2) alcaldes que reciban la mayor cantidad de votos y pertenezcan a departamentos diferentes. El procedimiento de desempate será definido por la Secretaría Técnica. Cuando al alcalde de Buenaventura le corresponda el turno de participar en la Junta, resultará elegido el alcalde que reciba la mayor cantidad de votos.  </w:t>
      </w:r>
    </w:p>
    <w:p w14:paraId="248A9519" w14:textId="77777777" w:rsidR="008D59F0" w:rsidRDefault="008D59F0" w:rsidP="00C32F85">
      <w:pPr>
        <w:spacing w:after="0" w:line="254" w:lineRule="atLeast"/>
        <w:jc w:val="both"/>
        <w:rPr>
          <w:rFonts w:ascii="Arial" w:eastAsia="Times New Roman" w:hAnsi="Arial" w:cs="Arial"/>
          <w:color w:val="000000"/>
          <w:lang w:eastAsia="es-CO"/>
        </w:rPr>
      </w:pPr>
    </w:p>
    <w:p w14:paraId="61293C89" w14:textId="19E941B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Los Gobernadores que harán parte de la Junta serán los de los dos (2) departamentos a los que no pertenezcan los alcaldes elegidos y tendrán el mismo periodo de los alcaldes.  </w:t>
      </w:r>
    </w:p>
    <w:p w14:paraId="0DBABC68" w14:textId="77777777" w:rsidR="008D59F0" w:rsidRDefault="008D59F0" w:rsidP="00C32F85">
      <w:pPr>
        <w:spacing w:after="0" w:line="254" w:lineRule="atLeast"/>
        <w:jc w:val="both"/>
        <w:rPr>
          <w:rFonts w:ascii="Arial" w:eastAsia="Times New Roman" w:hAnsi="Arial" w:cs="Arial"/>
          <w:color w:val="000000"/>
          <w:lang w:eastAsia="es-CO"/>
        </w:rPr>
      </w:pPr>
    </w:p>
    <w:p w14:paraId="06044C09" w14:textId="7386997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En caso de cumplimiento del período institucional del Alcalde y/o el Gobernador en el ente territorial, o cualquier otra causal de retiro, el miembro de Junta continuará siendo, por el periodo restante en la Junta, el alcalde y/o Gobernador que lo reemplace.  </w:t>
      </w:r>
    </w:p>
    <w:p w14:paraId="12827549" w14:textId="77777777" w:rsidR="008D59F0" w:rsidRDefault="008D59F0" w:rsidP="00C32F85">
      <w:pPr>
        <w:spacing w:after="0" w:line="254" w:lineRule="atLeast"/>
        <w:jc w:val="both"/>
        <w:rPr>
          <w:rFonts w:ascii="Arial" w:eastAsia="Times New Roman" w:hAnsi="Arial" w:cs="Arial"/>
          <w:color w:val="000000"/>
          <w:lang w:eastAsia="es-CO"/>
        </w:rPr>
      </w:pPr>
    </w:p>
    <w:p w14:paraId="6DE596D6" w14:textId="4FDAA89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11. En caso de renuncia de un alcalde a la Junta, se llamará a elecciones extraordinarias siempre y cuando el período restante sea mayor a un (1) año. Si el período es menor a un (1) año, la Junta será la encargada de elegir entre los cincuenta (50) municipios teniendo en cuenta los criterios de representación que debe tener la misma, según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185 de la Ley 1753 </w:t>
      </w:r>
      <w:r w:rsidRPr="002C1480">
        <w:rPr>
          <w:rFonts w:ascii="Arial" w:eastAsia="Times New Roman" w:hAnsi="Arial" w:cs="Arial"/>
          <w:color w:val="000000"/>
          <w:lang w:eastAsia="es-CO"/>
        </w:rPr>
        <w:lastRenderedPageBreak/>
        <w:t>de 2015. En caso de renuncia del alcalde de Buenaventura, se tendrá que esperar a que se realicen elecciones ordinarias para suplir la vacancia.  </w:t>
      </w:r>
    </w:p>
    <w:p w14:paraId="1A5C8A35" w14:textId="77777777" w:rsidR="008D59F0" w:rsidRDefault="008D59F0" w:rsidP="00C32F85">
      <w:pPr>
        <w:spacing w:after="0" w:line="254" w:lineRule="atLeast"/>
        <w:jc w:val="both"/>
        <w:rPr>
          <w:rFonts w:ascii="Arial" w:eastAsia="Times New Roman" w:hAnsi="Arial" w:cs="Arial"/>
          <w:color w:val="000000"/>
          <w:lang w:eastAsia="es-CO"/>
        </w:rPr>
      </w:pPr>
    </w:p>
    <w:p w14:paraId="1BD877F8" w14:textId="31DA2F7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En caso de renuncia de un Gobernador a la Junta, se tendrá que esperar a que se realicen elecciones ordinarias para suplir la vacancia.  </w:t>
      </w:r>
    </w:p>
    <w:p w14:paraId="7C4008F7" w14:textId="77777777" w:rsidR="008D59F0" w:rsidRDefault="008D59F0" w:rsidP="00C32F85">
      <w:pPr>
        <w:spacing w:after="0" w:line="254" w:lineRule="atLeast"/>
        <w:jc w:val="both"/>
        <w:rPr>
          <w:rFonts w:ascii="Arial" w:eastAsia="Times New Roman" w:hAnsi="Arial" w:cs="Arial"/>
          <w:color w:val="000000"/>
          <w:lang w:eastAsia="es-CO"/>
        </w:rPr>
      </w:pPr>
    </w:p>
    <w:p w14:paraId="5A7F320B" w14:textId="6B2EC4C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Secretaría Técnica convocará a la primera elección de alcaldes que harán parte de la Junta, dentro de los tres (3) meses siguientes a la expedición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5F8B4B6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0" w:name="ver_30102835"/>
      <w:bookmarkEnd w:id="1880"/>
    </w:p>
    <w:p w14:paraId="7DD82559" w14:textId="1A62CCC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2.15.7. Funciones de la Junta Administradora del Fondo. La Junta tendrá las siguientes funciones:  </w:t>
      </w:r>
    </w:p>
    <w:p w14:paraId="66C03121" w14:textId="77777777" w:rsidR="001C5A01" w:rsidRDefault="001C5A01" w:rsidP="00C32F85">
      <w:pPr>
        <w:spacing w:after="0" w:line="254" w:lineRule="atLeast"/>
        <w:jc w:val="both"/>
        <w:rPr>
          <w:rFonts w:ascii="Arial" w:eastAsia="Times New Roman" w:hAnsi="Arial" w:cs="Arial"/>
          <w:color w:val="000000"/>
          <w:lang w:eastAsia="es-CO"/>
        </w:rPr>
      </w:pPr>
    </w:p>
    <w:p w14:paraId="681DC85B" w14:textId="239D5B3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Definir las políticas generales de inversión de los recursos y velar por su seguridad y adecuado manejo. La Junta determinará el régimen de inversión de los excedentes de liquidez y la destinación de los rendimientos financieros de los recursos pertenecientes al Fondo, procurando su uso para las obras que estén en ejecución.  </w:t>
      </w:r>
    </w:p>
    <w:p w14:paraId="35ECC246" w14:textId="77777777" w:rsidR="001C5A01" w:rsidRDefault="001C5A01" w:rsidP="00C32F85">
      <w:pPr>
        <w:spacing w:after="0" w:line="254" w:lineRule="atLeast"/>
        <w:jc w:val="both"/>
        <w:rPr>
          <w:rFonts w:ascii="Arial" w:eastAsia="Times New Roman" w:hAnsi="Arial" w:cs="Arial"/>
          <w:color w:val="000000"/>
          <w:lang w:eastAsia="es-CO"/>
        </w:rPr>
      </w:pPr>
    </w:p>
    <w:p w14:paraId="599C432B" w14:textId="7629A00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Aprobar los planes y líneas estratégicas de inversión que deban ejecutarse con cargo a los recursos del Fondo, en desarrollo de su objeto.  </w:t>
      </w:r>
    </w:p>
    <w:p w14:paraId="47C2AAF3" w14:textId="77777777" w:rsidR="001C5A01" w:rsidRDefault="001C5A01" w:rsidP="00C32F85">
      <w:pPr>
        <w:spacing w:after="0" w:line="254" w:lineRule="atLeast"/>
        <w:jc w:val="both"/>
        <w:rPr>
          <w:rFonts w:ascii="Arial" w:eastAsia="Times New Roman" w:hAnsi="Arial" w:cs="Arial"/>
          <w:color w:val="000000"/>
          <w:lang w:eastAsia="es-CO"/>
        </w:rPr>
      </w:pPr>
    </w:p>
    <w:p w14:paraId="5AC9A8FA" w14:textId="56E5C4F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Aprobar el presupuesto del Fondo.  </w:t>
      </w:r>
    </w:p>
    <w:p w14:paraId="2F23D8B2" w14:textId="77777777" w:rsidR="001C5A01" w:rsidRDefault="001C5A01" w:rsidP="00C32F85">
      <w:pPr>
        <w:spacing w:after="0" w:line="254" w:lineRule="atLeast"/>
        <w:jc w:val="both"/>
        <w:rPr>
          <w:rFonts w:ascii="Arial" w:eastAsia="Times New Roman" w:hAnsi="Arial" w:cs="Arial"/>
          <w:color w:val="000000"/>
          <w:lang w:eastAsia="es-CO"/>
        </w:rPr>
      </w:pPr>
    </w:p>
    <w:p w14:paraId="05646F4B" w14:textId="1224F6F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Aprobar la transferencia de dominio de los bienes a favor de una entidad territorial beneficiaria directa del Fondo o a favor de una entidad del Estado competente para recibir y administrar los bienes. En todo caso, solo podrá hacerse dicha transferencia cuando se cumplan las condiciones establecidas por la respectiva Instancia Sectorial, para garantizar la sostenibilidad de las inversiones, y bajo la condición de enmarcarse dentro de los planes y líneas estratégicas de inversión aprobados por la Junta. El reglamento de la Junta establecerá el régimen de legalización de los bienes que se transfieran, conforme a la normativa vigente.  </w:t>
      </w:r>
    </w:p>
    <w:p w14:paraId="76308139" w14:textId="77777777" w:rsidR="001C5A01" w:rsidRDefault="001C5A01" w:rsidP="00C32F85">
      <w:pPr>
        <w:spacing w:after="0" w:line="254" w:lineRule="atLeast"/>
        <w:jc w:val="both"/>
        <w:rPr>
          <w:rFonts w:ascii="Arial" w:eastAsia="Times New Roman" w:hAnsi="Arial" w:cs="Arial"/>
          <w:color w:val="000000"/>
          <w:lang w:eastAsia="es-CO"/>
        </w:rPr>
      </w:pPr>
    </w:p>
    <w:p w14:paraId="790E3602" w14:textId="0D3CF28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Aprobar el manual de contratación y procedimientos del Fondo, de conformidad con el régimen de contratación y administración de los recursos del Fondo correspondiente al derecho privado, con plena observancia de los principios de transparencia, economía, igualdad, publicidad y selección objetiva, y conforme al régimen de inhabilidades e incompatibilidades previsto legalmente. En todo caso, para la ejecución de los recursos producto de operaciones reembolsables o no reembolsables con organismos multilaterales, entidades de fomento y gobiernos extranjeros, se deberá dar cumplimiento al régimen de contratación y demás normas dispuestas para estas materias por dichos organismos.  </w:t>
      </w:r>
    </w:p>
    <w:p w14:paraId="7FD3DBC0" w14:textId="77777777" w:rsidR="001C5A01" w:rsidRDefault="001C5A01" w:rsidP="00C32F85">
      <w:pPr>
        <w:spacing w:after="0" w:line="254" w:lineRule="atLeast"/>
        <w:jc w:val="both"/>
        <w:rPr>
          <w:rFonts w:ascii="Arial" w:eastAsia="Times New Roman" w:hAnsi="Arial" w:cs="Arial"/>
          <w:color w:val="000000"/>
          <w:lang w:eastAsia="es-CO"/>
        </w:rPr>
      </w:pPr>
    </w:p>
    <w:p w14:paraId="313AD98C" w14:textId="3DDA6EA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Aprobar previamente el Reglamento Operativo que se acordará entre la Entidad Ejecutora y la Entidad Fiduciaria, así como sus modificaciones y adiciones.  </w:t>
      </w:r>
    </w:p>
    <w:p w14:paraId="54C4E74A" w14:textId="77777777" w:rsidR="001C5A01" w:rsidRDefault="001C5A01" w:rsidP="00C32F85">
      <w:pPr>
        <w:spacing w:after="0" w:line="254" w:lineRule="atLeast"/>
        <w:jc w:val="both"/>
        <w:rPr>
          <w:rFonts w:ascii="Arial" w:eastAsia="Times New Roman" w:hAnsi="Arial" w:cs="Arial"/>
          <w:color w:val="000000"/>
          <w:lang w:eastAsia="es-CO"/>
        </w:rPr>
      </w:pPr>
    </w:p>
    <w:p w14:paraId="39B89C36" w14:textId="7DA241D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Designar el Director Ejecutivo del Fondo.  </w:t>
      </w:r>
    </w:p>
    <w:p w14:paraId="48D28088" w14:textId="77777777" w:rsidR="001C5A01" w:rsidRDefault="001C5A01" w:rsidP="00C32F85">
      <w:pPr>
        <w:spacing w:after="0" w:line="254" w:lineRule="atLeast"/>
        <w:jc w:val="both"/>
        <w:rPr>
          <w:rFonts w:ascii="Arial" w:eastAsia="Times New Roman" w:hAnsi="Arial" w:cs="Arial"/>
          <w:color w:val="000000"/>
          <w:lang w:eastAsia="es-CO"/>
        </w:rPr>
      </w:pPr>
    </w:p>
    <w:p w14:paraId="7A4DA0F9" w14:textId="20E9EA6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Darse su propio reglamento y fijar las condiciones para el funcionamiento del Fondo, en desarrollo de lo dispuesto por la ley y esta Parte.  </w:t>
      </w:r>
    </w:p>
    <w:p w14:paraId="7A4F75F4" w14:textId="77777777" w:rsidR="001C5A01" w:rsidRDefault="001C5A01" w:rsidP="00C32F85">
      <w:pPr>
        <w:spacing w:after="0" w:line="254" w:lineRule="atLeast"/>
        <w:jc w:val="both"/>
        <w:rPr>
          <w:rFonts w:ascii="Arial" w:eastAsia="Times New Roman" w:hAnsi="Arial" w:cs="Arial"/>
          <w:color w:val="000000"/>
          <w:lang w:eastAsia="es-CO"/>
        </w:rPr>
      </w:pPr>
    </w:p>
    <w:p w14:paraId="1BB41967" w14:textId="77777777" w:rsidR="001C5A01"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9. Impartir las instrucciones que correspondan para el cumplimiento del objeto del Fondo. </w:t>
      </w:r>
    </w:p>
    <w:p w14:paraId="0260DA90" w14:textId="77777777" w:rsidR="001C5A01" w:rsidRDefault="001C5A01" w:rsidP="00C32F85">
      <w:pPr>
        <w:spacing w:after="0" w:line="254" w:lineRule="atLeast"/>
        <w:jc w:val="both"/>
        <w:rPr>
          <w:rFonts w:ascii="Arial" w:eastAsia="Times New Roman" w:hAnsi="Arial" w:cs="Arial"/>
          <w:color w:val="000000"/>
          <w:lang w:eastAsia="es-CO"/>
        </w:rPr>
      </w:pPr>
    </w:p>
    <w:p w14:paraId="0F257D1A" w14:textId="673F4C5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10. Aprobar las operaciones de financiamiento interno o externo, sin perjuicio de los demás requisitos necesarios para su celebración dispuestos en esta Parte.  </w:t>
      </w:r>
    </w:p>
    <w:p w14:paraId="52417503" w14:textId="77777777" w:rsidR="001C5A01" w:rsidRDefault="001C5A01" w:rsidP="00C32F85">
      <w:pPr>
        <w:spacing w:after="0" w:line="254" w:lineRule="atLeast"/>
        <w:jc w:val="both"/>
        <w:rPr>
          <w:rFonts w:ascii="Arial" w:eastAsia="Times New Roman" w:hAnsi="Arial" w:cs="Arial"/>
          <w:color w:val="000000"/>
          <w:lang w:eastAsia="es-CO"/>
        </w:rPr>
      </w:pPr>
    </w:p>
    <w:p w14:paraId="2C3CFFAD" w14:textId="556D040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Las demás que se requieran para el cabal cumplimiento del objeto del Fondo, y las que se definan en su propio reglamento.  </w:t>
      </w:r>
    </w:p>
    <w:p w14:paraId="3B29504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F9E2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Los planes y líneas estratégicas de inversión que serán presentados a consideración de la Junta para su aprobación, deberán haber surtido el proceso de validación previa, priorización y concepto favorable establecido por las instancias sectoriales (en adelante Instancias Sectoriales).  </w:t>
      </w:r>
    </w:p>
    <w:p w14:paraId="1F713F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8F974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Serán Instancias Sectoriales para efecto de lo establecido en esta Parte, las que establezca el Conpes en el marco del concepto favorable a la nación para el otorgamiento de la garantía al Fondo y la declaratoria de importancia estratégica del programa de inversión para financiamiento parcial con recursos de crédito externo del Plan Todos Somos PaZcífico, o en otros documentos Conpes donde se definan esas instancias.  </w:t>
      </w:r>
    </w:p>
    <w:p w14:paraId="44B2E61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1" w:name="ver_30102836"/>
      <w:bookmarkEnd w:id="1881"/>
    </w:p>
    <w:p w14:paraId="1E312BEA" w14:textId="097F372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2.15.8. Dirección Ejecutiva del Fondo. El Director Ejecutivo del Fondo será designado por la Junta, quien podrá removerlo cuando lo considere pertinente. </w:t>
      </w:r>
    </w:p>
    <w:p w14:paraId="1772D6F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2" w:name="ver_30102837"/>
      <w:bookmarkEnd w:id="1882"/>
    </w:p>
    <w:p w14:paraId="2BACBB3C" w14:textId="3345022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2.15.9. Funciones del Director Ejecutivo del Fondo. El Director Ejecutivo del Fondo tendrá las siguientes funciones:  </w:t>
      </w:r>
    </w:p>
    <w:p w14:paraId="3EDA5759" w14:textId="77777777" w:rsidR="001C5A01" w:rsidRDefault="001C5A01" w:rsidP="00C32F85">
      <w:pPr>
        <w:spacing w:after="0" w:line="254" w:lineRule="atLeast"/>
        <w:jc w:val="both"/>
        <w:rPr>
          <w:rFonts w:ascii="Arial" w:eastAsia="Times New Roman" w:hAnsi="Arial" w:cs="Arial"/>
          <w:color w:val="000000"/>
          <w:lang w:eastAsia="es-CO"/>
        </w:rPr>
      </w:pPr>
    </w:p>
    <w:p w14:paraId="1C97C4EA" w14:textId="023ED0B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Actuar como comisionado de la Junta para la verificación del cumplimiento de las políticas generales definidas por esta, a través del seguimiento al desarrollo de los planes y proyectos del Fondo.  </w:t>
      </w:r>
    </w:p>
    <w:p w14:paraId="4AA3CA29" w14:textId="77777777" w:rsidR="001C5A01" w:rsidRDefault="001C5A01" w:rsidP="00C32F85">
      <w:pPr>
        <w:spacing w:after="0" w:line="254" w:lineRule="atLeast"/>
        <w:jc w:val="both"/>
        <w:rPr>
          <w:rFonts w:ascii="Arial" w:eastAsia="Times New Roman" w:hAnsi="Arial" w:cs="Arial"/>
          <w:color w:val="000000"/>
          <w:lang w:eastAsia="es-CO"/>
        </w:rPr>
      </w:pPr>
    </w:p>
    <w:p w14:paraId="056A0FDD" w14:textId="5955C64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Verificar el cumplimiento de las instrucciones y decisiones adoptadas por la Junta.  </w:t>
      </w:r>
    </w:p>
    <w:p w14:paraId="018446B2" w14:textId="77777777" w:rsidR="001C5A01" w:rsidRDefault="001C5A01" w:rsidP="00C32F85">
      <w:pPr>
        <w:spacing w:after="0" w:line="254" w:lineRule="atLeast"/>
        <w:jc w:val="both"/>
        <w:rPr>
          <w:rFonts w:ascii="Arial" w:eastAsia="Times New Roman" w:hAnsi="Arial" w:cs="Arial"/>
          <w:color w:val="000000"/>
          <w:lang w:eastAsia="es-CO"/>
        </w:rPr>
      </w:pPr>
    </w:p>
    <w:p w14:paraId="50EF565E" w14:textId="088F6E3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Presentar recomendaciones a la Junta sobre el seguimiento a la ejecución de los recursos del Fondo, en atención a las conclusiones que obtenga a partir del ejercicio de las actividades 1 y 2. Tales recomendaciones no serán obligatorias para la Junta.  </w:t>
      </w:r>
    </w:p>
    <w:p w14:paraId="612963C5" w14:textId="77777777" w:rsidR="001C5A01" w:rsidRDefault="001C5A01" w:rsidP="00C32F85">
      <w:pPr>
        <w:spacing w:after="0" w:line="254" w:lineRule="atLeast"/>
        <w:jc w:val="both"/>
        <w:rPr>
          <w:rFonts w:ascii="Arial" w:eastAsia="Times New Roman" w:hAnsi="Arial" w:cs="Arial"/>
          <w:color w:val="000000"/>
          <w:lang w:eastAsia="es-CO"/>
        </w:rPr>
      </w:pPr>
    </w:p>
    <w:p w14:paraId="08D14020" w14:textId="4A98C0C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Coordinar y gestionar con entidades públicas y privadas, nacionales e internacionales, actividades y acciones necesarias para el cumplimiento del objeto del Fondo.  </w:t>
      </w:r>
    </w:p>
    <w:p w14:paraId="7A896A6C" w14:textId="77777777" w:rsidR="001C5A01" w:rsidRDefault="001C5A01" w:rsidP="00C32F85">
      <w:pPr>
        <w:spacing w:after="0" w:line="254" w:lineRule="atLeast"/>
        <w:jc w:val="both"/>
        <w:rPr>
          <w:rFonts w:ascii="Arial" w:eastAsia="Times New Roman" w:hAnsi="Arial" w:cs="Arial"/>
          <w:color w:val="000000"/>
          <w:lang w:eastAsia="es-CO"/>
        </w:rPr>
      </w:pPr>
    </w:p>
    <w:p w14:paraId="5E95B549" w14:textId="0BE5661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Coordinar y gestionar la comunicación e interacción entre las entidades territoriales beneficiarias del Fondo, así como la comunicación e interacción entre estas, los órganos del Fondo y las Instancias Sectoriales.  </w:t>
      </w:r>
    </w:p>
    <w:p w14:paraId="062EA62A" w14:textId="77777777" w:rsidR="001C5A01" w:rsidRDefault="001C5A01" w:rsidP="00C32F85">
      <w:pPr>
        <w:spacing w:after="0" w:line="254" w:lineRule="atLeast"/>
        <w:jc w:val="both"/>
        <w:rPr>
          <w:rFonts w:ascii="Arial" w:eastAsia="Times New Roman" w:hAnsi="Arial" w:cs="Arial"/>
          <w:color w:val="000000"/>
          <w:lang w:eastAsia="es-CO"/>
        </w:rPr>
      </w:pPr>
    </w:p>
    <w:p w14:paraId="30588B0F" w14:textId="04C49FA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Presentar proyectos y líneas estratégicas ante las Instancias Sectoriales, para su validación previa, priorización y concepto favorable, si cumplen los requisitos dispuestos por tales instancias.  </w:t>
      </w:r>
    </w:p>
    <w:p w14:paraId="66DAC683" w14:textId="77777777" w:rsidR="001C5A01" w:rsidRDefault="001C5A01" w:rsidP="00C32F85">
      <w:pPr>
        <w:spacing w:after="0" w:line="254" w:lineRule="atLeast"/>
        <w:jc w:val="both"/>
        <w:rPr>
          <w:rFonts w:ascii="Arial" w:eastAsia="Times New Roman" w:hAnsi="Arial" w:cs="Arial"/>
          <w:color w:val="000000"/>
          <w:lang w:eastAsia="es-CO"/>
        </w:rPr>
      </w:pPr>
    </w:p>
    <w:p w14:paraId="4FDB9A9C" w14:textId="46A945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Participar en las reuniones de la Junta para recomendar, según las necesidades identificadas con las autoridades locales, los planes y proyectos validados, priorizados y con concepto favorable otorgado por las Instancias Sectoriales. Tales recomendaciones no serán obligatorias para la Junta.  </w:t>
      </w:r>
    </w:p>
    <w:p w14:paraId="4A78379A" w14:textId="77777777" w:rsidR="001C5A01" w:rsidRDefault="001C5A01" w:rsidP="00C32F85">
      <w:pPr>
        <w:spacing w:after="0" w:line="254" w:lineRule="atLeast"/>
        <w:jc w:val="both"/>
        <w:rPr>
          <w:rFonts w:ascii="Arial" w:eastAsia="Times New Roman" w:hAnsi="Arial" w:cs="Arial"/>
          <w:color w:val="000000"/>
          <w:lang w:eastAsia="es-CO"/>
        </w:rPr>
      </w:pPr>
    </w:p>
    <w:p w14:paraId="36C73C8C" w14:textId="71FE791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Acompañar a la Entidad Ejecutora en el trámite de consulta previa cuando las intervenciones a desarrollar así lo requieran.  </w:t>
      </w:r>
    </w:p>
    <w:p w14:paraId="117D9500" w14:textId="77777777" w:rsidR="001C5A01" w:rsidRDefault="001C5A01" w:rsidP="00C32F85">
      <w:pPr>
        <w:spacing w:after="0" w:line="254" w:lineRule="atLeast"/>
        <w:jc w:val="both"/>
        <w:rPr>
          <w:rFonts w:ascii="Arial" w:eastAsia="Times New Roman" w:hAnsi="Arial" w:cs="Arial"/>
          <w:color w:val="000000"/>
          <w:lang w:eastAsia="es-CO"/>
        </w:rPr>
      </w:pPr>
    </w:p>
    <w:p w14:paraId="146A9397" w14:textId="00F9FD7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Acompañar a la Entidad Ejecutora en los procesos de elección de alcaldes y gobernadores que harán parte de la Junta.  </w:t>
      </w:r>
    </w:p>
    <w:p w14:paraId="70DD52FD" w14:textId="77777777" w:rsidR="001C5A01" w:rsidRDefault="001C5A01" w:rsidP="00C32F85">
      <w:pPr>
        <w:spacing w:after="0" w:line="254" w:lineRule="atLeast"/>
        <w:jc w:val="both"/>
        <w:rPr>
          <w:rFonts w:ascii="Arial" w:eastAsia="Times New Roman" w:hAnsi="Arial" w:cs="Arial"/>
          <w:color w:val="000000"/>
          <w:lang w:eastAsia="es-CO"/>
        </w:rPr>
      </w:pPr>
    </w:p>
    <w:p w14:paraId="57ACBB55" w14:textId="19C9E18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Las demás que le sean asignadas por la Junta, enmarcadas dentro de su objeto. </w:t>
      </w:r>
    </w:p>
    <w:p w14:paraId="61F64C4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3" w:name="ver_30102838"/>
      <w:bookmarkEnd w:id="1883"/>
    </w:p>
    <w:p w14:paraId="40D87218" w14:textId="56D2AAD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2.15.10. Entidad Ejecutora. La Entidad Ejecutora será la entidad definida por el Ministerio de Hacienda y Crédito Público para la ejecución de los recursos del Fondo y la ordenación de su gasto. </w:t>
      </w:r>
    </w:p>
    <w:p w14:paraId="206AC66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4" w:name="ver_30102839"/>
      <w:bookmarkEnd w:id="1884"/>
    </w:p>
    <w:p w14:paraId="3B494CE2" w14:textId="62E3A08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2.15.11. Funciones de la Entidad Ejecutora. La Entidad Ejecutora tendrá las siguientes funciones:  </w:t>
      </w:r>
    </w:p>
    <w:p w14:paraId="0349D89C" w14:textId="77777777" w:rsidR="001C5A01" w:rsidRDefault="001C5A01" w:rsidP="00C32F85">
      <w:pPr>
        <w:spacing w:after="0" w:line="254" w:lineRule="atLeast"/>
        <w:jc w:val="both"/>
        <w:rPr>
          <w:rFonts w:ascii="Arial" w:eastAsia="Times New Roman" w:hAnsi="Arial" w:cs="Arial"/>
          <w:color w:val="000000"/>
          <w:lang w:eastAsia="es-CO"/>
        </w:rPr>
      </w:pPr>
    </w:p>
    <w:p w14:paraId="0617452F" w14:textId="52618C2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Ejercer la ordenación del gasto del Fondo en cumplimiento de lo señalado en esta Parte y lo aprobado por la Junta, impartiendo para ello las instrucciones necesarias a la Entidad Fiduciaria, según los términos acordados en el Reglamento Operativo.  </w:t>
      </w:r>
    </w:p>
    <w:p w14:paraId="13CC1D27" w14:textId="77777777" w:rsidR="001C5A01" w:rsidRDefault="001C5A01" w:rsidP="00C32F85">
      <w:pPr>
        <w:spacing w:after="0" w:line="254" w:lineRule="atLeast"/>
        <w:jc w:val="both"/>
        <w:rPr>
          <w:rFonts w:ascii="Arial" w:eastAsia="Times New Roman" w:hAnsi="Arial" w:cs="Arial"/>
          <w:color w:val="000000"/>
          <w:lang w:eastAsia="es-CO"/>
        </w:rPr>
      </w:pPr>
    </w:p>
    <w:p w14:paraId="45C5CFB3" w14:textId="43078D7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Diseñar y estructurar la implementación de los procedimientos requeridos para cada una de las líneas estratégicas de inversión del Fondo, de acuerdo a lo estipulado por las Instancias Sectoriales.  </w:t>
      </w:r>
    </w:p>
    <w:p w14:paraId="14F2C44B" w14:textId="77777777" w:rsidR="001C5A01" w:rsidRDefault="001C5A01" w:rsidP="00C32F85">
      <w:pPr>
        <w:spacing w:after="0" w:line="254" w:lineRule="atLeast"/>
        <w:jc w:val="both"/>
        <w:rPr>
          <w:rFonts w:ascii="Arial" w:eastAsia="Times New Roman" w:hAnsi="Arial" w:cs="Arial"/>
          <w:color w:val="000000"/>
          <w:lang w:eastAsia="es-CO"/>
        </w:rPr>
      </w:pPr>
    </w:p>
    <w:p w14:paraId="50BDE5A3" w14:textId="18872DB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Presentar y postular a la Junta los planes y líneas estratégicas de inversión priorizadas y validadas por las Instancias Sectoriales.  </w:t>
      </w:r>
    </w:p>
    <w:p w14:paraId="69CD7EBF" w14:textId="77777777" w:rsidR="001C5A01" w:rsidRDefault="001C5A01" w:rsidP="00C32F85">
      <w:pPr>
        <w:spacing w:after="0" w:line="254" w:lineRule="atLeast"/>
        <w:jc w:val="both"/>
        <w:rPr>
          <w:rFonts w:ascii="Arial" w:eastAsia="Times New Roman" w:hAnsi="Arial" w:cs="Arial"/>
          <w:color w:val="000000"/>
          <w:lang w:eastAsia="es-CO"/>
        </w:rPr>
      </w:pPr>
    </w:p>
    <w:p w14:paraId="201F6F5D" w14:textId="406124C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Presentar a la Junta informes de ejecución.  </w:t>
      </w:r>
    </w:p>
    <w:p w14:paraId="708ACB6A" w14:textId="77777777" w:rsidR="001C5A01" w:rsidRDefault="001C5A01" w:rsidP="00C32F85">
      <w:pPr>
        <w:spacing w:after="0" w:line="254" w:lineRule="atLeast"/>
        <w:jc w:val="both"/>
        <w:rPr>
          <w:rFonts w:ascii="Arial" w:eastAsia="Times New Roman" w:hAnsi="Arial" w:cs="Arial"/>
          <w:color w:val="000000"/>
          <w:lang w:eastAsia="es-CO"/>
        </w:rPr>
      </w:pPr>
    </w:p>
    <w:p w14:paraId="710011C2" w14:textId="0B84610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Ejecutar los planes y líneas estratégicas de inversión aprobados por la Junta, que deban adelantarse con cargo a los recursos del Fondo, en desarrollo de su objeto.  </w:t>
      </w:r>
    </w:p>
    <w:p w14:paraId="0567132F" w14:textId="77777777" w:rsidR="001C5A01" w:rsidRDefault="001C5A01" w:rsidP="00C32F85">
      <w:pPr>
        <w:spacing w:after="0" w:line="254" w:lineRule="atLeast"/>
        <w:jc w:val="both"/>
        <w:rPr>
          <w:rFonts w:ascii="Arial" w:eastAsia="Times New Roman" w:hAnsi="Arial" w:cs="Arial"/>
          <w:color w:val="000000"/>
          <w:lang w:eastAsia="es-CO"/>
        </w:rPr>
      </w:pPr>
    </w:p>
    <w:p w14:paraId="2AB62A8D" w14:textId="17AA901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Estructurar y adjudicar los contratos que se requieran para el desarrollo del Fondo, y dar las instrucciones necesarias a la Entidad Fiduciaria para la celebración de los mismos, de conformidad con el manual de contratación y procedimientos del Fondo.  </w:t>
      </w:r>
    </w:p>
    <w:p w14:paraId="64CCF481" w14:textId="77777777" w:rsidR="001C5A01" w:rsidRDefault="001C5A01" w:rsidP="00C32F85">
      <w:pPr>
        <w:spacing w:after="0" w:line="254" w:lineRule="atLeast"/>
        <w:jc w:val="both"/>
        <w:rPr>
          <w:rFonts w:ascii="Arial" w:eastAsia="Times New Roman" w:hAnsi="Arial" w:cs="Arial"/>
          <w:color w:val="000000"/>
          <w:lang w:eastAsia="es-CO"/>
        </w:rPr>
      </w:pPr>
    </w:p>
    <w:p w14:paraId="298B2C6E" w14:textId="5E57AE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Ejercer la supervisión de los contratos que suscriba la Entidad Fiduciaria.  </w:t>
      </w:r>
    </w:p>
    <w:p w14:paraId="3EE9E77C" w14:textId="77777777" w:rsidR="001C5A01" w:rsidRDefault="001C5A01" w:rsidP="00C32F85">
      <w:pPr>
        <w:spacing w:after="0" w:line="254" w:lineRule="atLeast"/>
        <w:jc w:val="both"/>
        <w:rPr>
          <w:rFonts w:ascii="Arial" w:eastAsia="Times New Roman" w:hAnsi="Arial" w:cs="Arial"/>
          <w:color w:val="000000"/>
          <w:lang w:eastAsia="es-CO"/>
        </w:rPr>
      </w:pPr>
    </w:p>
    <w:p w14:paraId="5B343D31" w14:textId="25CCDA9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Gestionar y adelantar los trámites necesarios para la celebración de las operaciones de financiamiento interno o externo que celebre el Fondo y para la obtención de avales y garantías.  </w:t>
      </w:r>
    </w:p>
    <w:p w14:paraId="0C72DE69" w14:textId="77777777" w:rsidR="001C5A01" w:rsidRDefault="001C5A01" w:rsidP="00C32F85">
      <w:pPr>
        <w:spacing w:after="0" w:line="254" w:lineRule="atLeast"/>
        <w:jc w:val="both"/>
        <w:rPr>
          <w:rFonts w:ascii="Arial" w:eastAsia="Times New Roman" w:hAnsi="Arial" w:cs="Arial"/>
          <w:color w:val="000000"/>
          <w:lang w:eastAsia="es-CO"/>
        </w:rPr>
      </w:pPr>
    </w:p>
    <w:p w14:paraId="7E1C7AB5" w14:textId="2E624EB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Aportar todos sus conocimientos y experiencia para la ejecución del objeto del Fondo.  </w:t>
      </w:r>
    </w:p>
    <w:p w14:paraId="6300A6D2" w14:textId="77777777" w:rsidR="001C5A01" w:rsidRDefault="001C5A01" w:rsidP="00C32F85">
      <w:pPr>
        <w:spacing w:after="0" w:line="254" w:lineRule="atLeast"/>
        <w:jc w:val="both"/>
        <w:rPr>
          <w:rFonts w:ascii="Arial" w:eastAsia="Times New Roman" w:hAnsi="Arial" w:cs="Arial"/>
          <w:color w:val="000000"/>
          <w:lang w:eastAsia="es-CO"/>
        </w:rPr>
      </w:pPr>
    </w:p>
    <w:p w14:paraId="259C5FE7" w14:textId="2DCB156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Velar por el adecuado desarrollo y ejecución del Reglamento Operativo acordado con la Entidad Fiduciaria.  </w:t>
      </w:r>
    </w:p>
    <w:p w14:paraId="2030EF19" w14:textId="77777777" w:rsidR="001C5A01" w:rsidRDefault="001C5A01" w:rsidP="00C32F85">
      <w:pPr>
        <w:spacing w:after="0" w:line="254" w:lineRule="atLeast"/>
        <w:jc w:val="both"/>
        <w:rPr>
          <w:rFonts w:ascii="Arial" w:eastAsia="Times New Roman" w:hAnsi="Arial" w:cs="Arial"/>
          <w:color w:val="000000"/>
          <w:lang w:eastAsia="es-CO"/>
        </w:rPr>
      </w:pPr>
    </w:p>
    <w:p w14:paraId="7B17D4FD" w14:textId="2B0CAC0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11. Presentar el presupuesto del Fondo a la Junta.  </w:t>
      </w:r>
    </w:p>
    <w:p w14:paraId="1E1EF47D" w14:textId="77777777" w:rsidR="001C5A01" w:rsidRDefault="001C5A01" w:rsidP="00C32F85">
      <w:pPr>
        <w:spacing w:after="0" w:line="254" w:lineRule="atLeast"/>
        <w:jc w:val="both"/>
        <w:rPr>
          <w:rFonts w:ascii="Arial" w:eastAsia="Times New Roman" w:hAnsi="Arial" w:cs="Arial"/>
          <w:color w:val="000000"/>
          <w:lang w:eastAsia="es-CO"/>
        </w:rPr>
      </w:pPr>
    </w:p>
    <w:p w14:paraId="5C52F754" w14:textId="1051686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12. Mantener permanente comunicación con el Director Ejecutivo y la Junta.  </w:t>
      </w:r>
    </w:p>
    <w:p w14:paraId="2C95FDAE" w14:textId="77777777" w:rsidR="001C5A01" w:rsidRDefault="001C5A01" w:rsidP="00C32F85">
      <w:pPr>
        <w:spacing w:after="0" w:line="254" w:lineRule="atLeast"/>
        <w:jc w:val="both"/>
        <w:rPr>
          <w:rFonts w:ascii="Arial" w:eastAsia="Times New Roman" w:hAnsi="Arial" w:cs="Arial"/>
          <w:color w:val="000000"/>
          <w:lang w:eastAsia="es-CO"/>
        </w:rPr>
      </w:pPr>
    </w:p>
    <w:p w14:paraId="75E73072" w14:textId="2496145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13. Responder por las actuaciones derivadas del cumplimiento de sus obligaciones y funciones en relación con el Fondo.  </w:t>
      </w:r>
    </w:p>
    <w:p w14:paraId="3F9FE5E3" w14:textId="77777777" w:rsidR="001C5A01" w:rsidRDefault="001C5A01" w:rsidP="00C32F85">
      <w:pPr>
        <w:spacing w:after="0" w:line="254" w:lineRule="atLeast"/>
        <w:jc w:val="both"/>
        <w:rPr>
          <w:rFonts w:ascii="Arial" w:eastAsia="Times New Roman" w:hAnsi="Arial" w:cs="Arial"/>
          <w:color w:val="000000"/>
          <w:lang w:eastAsia="es-CO"/>
        </w:rPr>
      </w:pPr>
    </w:p>
    <w:p w14:paraId="413A8AF0" w14:textId="1131D40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14. Responder las consultas sobre las materias relacionadas con el objeto y funciones del Fondo que le sean formuladas.  </w:t>
      </w:r>
    </w:p>
    <w:p w14:paraId="4B0B1C61" w14:textId="77777777" w:rsidR="001C5A01" w:rsidRDefault="001C5A01" w:rsidP="00C32F85">
      <w:pPr>
        <w:spacing w:after="0" w:line="254" w:lineRule="atLeast"/>
        <w:jc w:val="both"/>
        <w:rPr>
          <w:rFonts w:ascii="Arial" w:eastAsia="Times New Roman" w:hAnsi="Arial" w:cs="Arial"/>
          <w:color w:val="000000"/>
          <w:lang w:eastAsia="es-CO"/>
        </w:rPr>
      </w:pPr>
    </w:p>
    <w:p w14:paraId="7DF0E709" w14:textId="74430B0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15. Las demás que establezca el Gobierno Nacional en el marco de esta estrategia. </w:t>
      </w:r>
    </w:p>
    <w:p w14:paraId="1CD8120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5" w:name="ver_30102840"/>
      <w:bookmarkEnd w:id="1885"/>
    </w:p>
    <w:p w14:paraId="2838C128" w14:textId="67CE7DD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2.15.12. Entidad Fiduciaria. La Entidad Fiduciaria será la entidad definida por el Ministerio de Hacienda y Crédito Público para la conservación y transferencia de los recursos y la vocería del Fondo, según lo dispuesto en las normas que regulan lo correspondiente a las obligaciones y deberes fiduciarios de las sociedades administradoras de patrimonios autónomos y según lo señalado en esta Parte.  </w:t>
      </w:r>
    </w:p>
    <w:p w14:paraId="2456E5D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4BD09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Entidad Fiduciaria será la competente para comprometer jurídicamente al Fondo, incluyendo la suscripción de las operaciones de financiamiento interno y externo que deban ser celebradas a su nombre, así como la atención del servicio de la deuda. De igual manera, le corresponderá ejercer los derechos y obligaciones del Fondo y representarlo judicial y extrajudicialmente.  </w:t>
      </w:r>
    </w:p>
    <w:p w14:paraId="5333B8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2A64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lo anterior, la Entidad Fiduciaria deberá atender a las políticas definidas por la Junta y a las precisas instrucciones que reciba de la Entidad Ejecutora, cumpliendo con lo acordado con esta en el Reglamento Operativo.  </w:t>
      </w:r>
    </w:p>
    <w:p w14:paraId="2F5DB4E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F0C853" w14:textId="3D56F56E"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mantendrá una absoluta separación entre los recursos de la Entidad Ejecutora, los de la Entidad Fiduciaria, los de otras cuentas administradas por esta y los del Fondo, de modo tal, que todos los costos y gastos del Fondo se financien con sus recursos y no con los de otras entidades. Para el cumplimiento de las obligaciones del Fondo, no se podrá perseguir el patrimonio de ninguna de las entidades señaladas.  </w:t>
      </w:r>
    </w:p>
    <w:p w14:paraId="4C124318" w14:textId="77777777" w:rsidR="001C5A01" w:rsidRPr="002C1480" w:rsidRDefault="001C5A01" w:rsidP="00C32F85">
      <w:pPr>
        <w:spacing w:after="0" w:line="254" w:lineRule="atLeast"/>
        <w:jc w:val="both"/>
        <w:rPr>
          <w:rFonts w:ascii="Arial" w:eastAsia="Times New Roman" w:hAnsi="Arial" w:cs="Arial"/>
          <w:color w:val="000000"/>
          <w:lang w:eastAsia="es-CO"/>
        </w:rPr>
      </w:pPr>
    </w:p>
    <w:p w14:paraId="0841E58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responsabilidad por los actos, contratos y convenios del Fondo será asumida de manera exclusiva con su patrimonio. No obstante, la Entidad Fiduciaria responderá con su patrimonio por el incumplimiento de sus deberes fiduciarios y hasta por la culpa leve en el cumplimiento de su gestión.  </w:t>
      </w:r>
    </w:p>
    <w:p w14:paraId="631044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1D69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Entidad Fiduciaria celebrará de manera diligente y eficiente todos los actos jurídicos necesarios para cumplir con el objeto del Fondo, en atención a las políticas definidas por la Junta y según las instrucciones que reciba de la Entidad Ejecutora.  </w:t>
      </w:r>
    </w:p>
    <w:p w14:paraId="13EC4397" w14:textId="77777777" w:rsidR="001C5A01" w:rsidRDefault="001C5A01" w:rsidP="00C32F85">
      <w:pPr>
        <w:spacing w:after="0" w:line="254" w:lineRule="atLeast"/>
        <w:jc w:val="both"/>
        <w:rPr>
          <w:rFonts w:ascii="Arial" w:eastAsia="Times New Roman" w:hAnsi="Arial" w:cs="Arial"/>
          <w:color w:val="000000"/>
          <w:lang w:eastAsia="es-CO"/>
        </w:rPr>
      </w:pPr>
    </w:p>
    <w:p w14:paraId="3D6363E7" w14:textId="73A4CA2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Entidad Fiduciaria expedirá las certificaciones de las donaciones recibidas.  </w:t>
      </w:r>
    </w:p>
    <w:p w14:paraId="63D5E8B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6" w:name="ver_30102841"/>
      <w:bookmarkEnd w:id="1886"/>
    </w:p>
    <w:p w14:paraId="204D4498" w14:textId="452DEDB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2.15.13. Aspectos que se regularán en el Reglamento Operativo. El Reglamento Operativo que acuerden la Entidad Ejecutora y la Entidad Fiduciaria, deberá recoger lo dispuesto en esta Parte para la administración y ejecución de los recursos, y el desarrollo del objeto del Fondo, así como todo aquello que sea necesario para la adecuada regulación de la relación entre tales entidades, incluyendo lo relativo a las instrucciones que se otorguen en desarrollo de dicha relación, la forma y tiempos en que se le dará cumplimiento a tales instrucciones, las obligaciones y derechos de cada entidad de conformidad con las actividades y competencias propias de cada una de ellas, incluyendo la comisión fiduciaria, el comité fiduciario, la forma en que se efectuarán los pagos, los desembolsos y transferencias de bienes, instancias de comunicación entre ambas entidades y demás aspectos que se requieran.  </w:t>
      </w:r>
    </w:p>
    <w:p w14:paraId="4F4D30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52D0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Entidad Fiduciaria transferirá el dominio de los bienes para su administración en cabeza de los entes territoriales beneficiarios directos del Fondo o de la entidad del Estado </w:t>
      </w:r>
      <w:r w:rsidRPr="002C1480">
        <w:rPr>
          <w:rFonts w:ascii="Arial" w:eastAsia="Times New Roman" w:hAnsi="Arial" w:cs="Arial"/>
          <w:color w:val="000000"/>
          <w:lang w:eastAsia="es-CO"/>
        </w:rPr>
        <w:lastRenderedPageBreak/>
        <w:t>competente para tales fines, atendiendo a las instrucciones que imparta la Junta en ese sentido. En el documento que ordene la transferencia se indicará la destinación de los bienes transferidos y las responsabilidades que de dicha transferencia se deriven. </w:t>
      </w:r>
    </w:p>
    <w:p w14:paraId="7E57C2F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7" w:name="ver_30102842"/>
      <w:bookmarkEnd w:id="1887"/>
    </w:p>
    <w:p w14:paraId="07DFF645" w14:textId="2C9A92F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2.15.14. Prohibición de pago de obligaciones de la nación o de las entidades territoriales. Con los recursos del Fondo no podrán hacerse pagos de obligaciones de la nación o de las entidades territoriales. </w:t>
      </w:r>
    </w:p>
    <w:p w14:paraId="36EFF8C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88" w:name="ver_30102843"/>
      <w:bookmarkEnd w:id="1888"/>
    </w:p>
    <w:p w14:paraId="2F28B2B4" w14:textId="5E0A5D0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2.15.15. Liquidación del Fondo. Cumplido el propósito del Fondo, el Ministerio de Hacienda y Crédito Público podrá liquidarlo. En ese momento si el Fondo tuviere recursos, bienes y activos, se deberán transferir de acuerdo con lo definido por la Junta”. </w:t>
      </w:r>
    </w:p>
    <w:p w14:paraId="1F3D9E97" w14:textId="77777777" w:rsidR="001C5A01" w:rsidRDefault="001C5A01" w:rsidP="00C32F85">
      <w:pPr>
        <w:spacing w:after="0" w:line="293" w:lineRule="atLeast"/>
        <w:jc w:val="both"/>
        <w:rPr>
          <w:rFonts w:ascii="Arial" w:eastAsia="Times New Roman" w:hAnsi="Arial" w:cs="Arial"/>
          <w:color w:val="000000"/>
          <w:spacing w:val="45"/>
          <w:lang w:eastAsia="es-CO"/>
        </w:rPr>
      </w:pPr>
      <w:bookmarkStart w:id="1889" w:name="ver_30101482"/>
      <w:bookmarkEnd w:id="1889"/>
    </w:p>
    <w:p w14:paraId="185A25E0" w14:textId="77BCC0CE" w:rsidR="00404266" w:rsidRPr="001C5A01"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TÍTULO 1</w:t>
      </w:r>
    </w:p>
    <w:p w14:paraId="556BC356" w14:textId="77777777" w:rsidR="00404266" w:rsidRPr="001C5A01"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DEFINICIONES Y DISPOSICIONES GENERALES</w:t>
      </w:r>
    </w:p>
    <w:p w14:paraId="65D0BB5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90" w:name="ver_30101514"/>
      <w:bookmarkStart w:id="1891" w:name="ver_30101513"/>
      <w:bookmarkEnd w:id="1890"/>
    </w:p>
    <w:p w14:paraId="13B07D5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Articulo 2.15.1.1. DEROGADO </w:t>
      </w:r>
    </w:p>
    <w:p w14:paraId="24E079E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92" w:name="ver_30101518"/>
      <w:bookmarkStart w:id="1893" w:name="ver_30101488"/>
      <w:bookmarkEnd w:id="1891"/>
      <w:bookmarkEnd w:id="1892"/>
    </w:p>
    <w:p w14:paraId="52B1F6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Articulo 2.15.1.2. DEROGADO </w:t>
      </w:r>
    </w:p>
    <w:p w14:paraId="498D2C1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94" w:name="ver_30101519"/>
      <w:bookmarkStart w:id="1895" w:name="ver_30101490"/>
      <w:bookmarkEnd w:id="1893"/>
      <w:bookmarkEnd w:id="1894"/>
    </w:p>
    <w:p w14:paraId="47E2225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Articulo 2.15.1.3.DEROGADO </w:t>
      </w:r>
    </w:p>
    <w:p w14:paraId="217D58AB"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60BF4FF1" w14:textId="77777777" w:rsidR="00404266" w:rsidRPr="001C5A01" w:rsidRDefault="00404266" w:rsidP="001C5A01">
      <w:pPr>
        <w:spacing w:after="0" w:line="293" w:lineRule="atLeast"/>
        <w:jc w:val="center"/>
        <w:rPr>
          <w:rFonts w:ascii="Arial" w:eastAsia="Times New Roman" w:hAnsi="Arial" w:cs="Arial"/>
          <w:b/>
          <w:bCs/>
          <w:color w:val="000000"/>
          <w:lang w:eastAsia="es-CO"/>
        </w:rPr>
      </w:pPr>
      <w:bookmarkStart w:id="1896" w:name="ver_30101492"/>
      <w:bookmarkEnd w:id="1895"/>
      <w:bookmarkEnd w:id="1896"/>
      <w:r w:rsidRPr="001C5A01">
        <w:rPr>
          <w:rFonts w:ascii="Arial" w:eastAsia="Times New Roman" w:hAnsi="Arial" w:cs="Arial"/>
          <w:b/>
          <w:bCs/>
          <w:color w:val="000000"/>
          <w:lang w:eastAsia="es-CO"/>
        </w:rPr>
        <w:t>TÍTULO 2</w:t>
      </w:r>
    </w:p>
    <w:p w14:paraId="266AB6C1" w14:textId="1EAA6F60" w:rsidR="00404266"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PROCEDIMIENTO DE INSCRIPCIÓN EN EL REGISTRO ÚNICO NACIONAL DE ENTIDADES OPERADORAS DE LIBRANZA</w:t>
      </w:r>
    </w:p>
    <w:p w14:paraId="675E695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97" w:name="ver_30101522"/>
      <w:bookmarkStart w:id="1898" w:name="ver_30101493"/>
      <w:bookmarkEnd w:id="1897"/>
    </w:p>
    <w:p w14:paraId="2BFC6103" w14:textId="12EDD42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2.15.2.1. DEROGADO </w:t>
      </w:r>
    </w:p>
    <w:p w14:paraId="238869F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899" w:name="ver_30101525"/>
      <w:bookmarkStart w:id="1900" w:name="ver_30101499"/>
      <w:bookmarkEnd w:id="1898"/>
      <w:bookmarkEnd w:id="1899"/>
    </w:p>
    <w:p w14:paraId="4355B1F3" w14:textId="78ED648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2.15.2.2. DEROGADO </w:t>
      </w:r>
    </w:p>
    <w:p w14:paraId="542F7CF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01" w:name="ver_30101527"/>
      <w:bookmarkStart w:id="1902" w:name="ver_30101500"/>
      <w:bookmarkEnd w:id="1900"/>
      <w:bookmarkEnd w:id="1901"/>
    </w:p>
    <w:p w14:paraId="3CDAE87A" w14:textId="1658ED0B"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2.15.2.3. DEROGADO </w:t>
      </w:r>
    </w:p>
    <w:p w14:paraId="6C8A7970" w14:textId="77777777" w:rsidR="00451464" w:rsidRPr="002C1480" w:rsidRDefault="00451464" w:rsidP="00C32F85">
      <w:pPr>
        <w:spacing w:after="0" w:line="254" w:lineRule="atLeast"/>
        <w:jc w:val="both"/>
        <w:rPr>
          <w:rFonts w:ascii="Arial" w:eastAsia="Times New Roman" w:hAnsi="Arial" w:cs="Arial"/>
          <w:color w:val="000000"/>
          <w:lang w:eastAsia="es-CO"/>
        </w:rPr>
      </w:pPr>
    </w:p>
    <w:p w14:paraId="7D7FE4D5" w14:textId="4B64A5A9" w:rsidR="00404266" w:rsidRPr="002C1480" w:rsidRDefault="002C1480" w:rsidP="00C32F85">
      <w:pPr>
        <w:spacing w:after="0" w:line="254" w:lineRule="atLeast"/>
        <w:jc w:val="both"/>
        <w:rPr>
          <w:rFonts w:ascii="Arial" w:eastAsia="Times New Roman" w:hAnsi="Arial" w:cs="Arial"/>
          <w:color w:val="000000"/>
          <w:lang w:eastAsia="es-CO"/>
        </w:rPr>
      </w:pPr>
      <w:bookmarkStart w:id="1903" w:name="ver_30101528"/>
      <w:bookmarkStart w:id="1904" w:name="ver_30101501"/>
      <w:bookmarkEnd w:id="1902"/>
      <w:bookmarkEnd w:id="1903"/>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2.15.2.4. DEROGADO </w:t>
      </w:r>
    </w:p>
    <w:p w14:paraId="41FC120C" w14:textId="77777777" w:rsidR="001C5A01" w:rsidRDefault="001C5A01" w:rsidP="00C32F85">
      <w:pPr>
        <w:spacing w:after="0" w:line="293" w:lineRule="atLeast"/>
        <w:jc w:val="both"/>
        <w:rPr>
          <w:rFonts w:ascii="Arial" w:eastAsia="Times New Roman" w:hAnsi="Arial" w:cs="Arial"/>
          <w:color w:val="000000"/>
          <w:lang w:eastAsia="es-CO"/>
        </w:rPr>
      </w:pPr>
      <w:bookmarkStart w:id="1905" w:name="ver_30101502"/>
      <w:bookmarkEnd w:id="1904"/>
      <w:bookmarkEnd w:id="1905"/>
    </w:p>
    <w:p w14:paraId="03087D29" w14:textId="71B4EC67" w:rsidR="00404266" w:rsidRPr="001C5A01" w:rsidRDefault="001C5A01"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TÍTULO 3</w:t>
      </w:r>
    </w:p>
    <w:p w14:paraId="77B64377" w14:textId="1B16BAAF" w:rsidR="00404266" w:rsidRPr="001C5A01" w:rsidRDefault="001C5A01"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ACTUALIZACIÓN Y RENOVACIÓN DEL REGISTRO</w:t>
      </w:r>
    </w:p>
    <w:p w14:paraId="12C5AF7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06" w:name="ver_30101529"/>
      <w:bookmarkStart w:id="1907" w:name="ver_30101503"/>
      <w:bookmarkEnd w:id="1906"/>
    </w:p>
    <w:p w14:paraId="44E9D84D" w14:textId="733CB84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2.15.3.1. DEROGADO </w:t>
      </w:r>
    </w:p>
    <w:p w14:paraId="78FC3AF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08" w:name="ver_30101530"/>
      <w:bookmarkStart w:id="1909" w:name="ver_30101505"/>
      <w:bookmarkEnd w:id="1907"/>
      <w:bookmarkEnd w:id="1908"/>
    </w:p>
    <w:p w14:paraId="7F6E7B94" w14:textId="2E20A88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2.15.3.2. DEROGADO </w:t>
      </w:r>
    </w:p>
    <w:p w14:paraId="75CB8B9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10" w:name="ver_30101531"/>
      <w:bookmarkStart w:id="1911" w:name="ver_30101506"/>
      <w:bookmarkEnd w:id="1909"/>
      <w:bookmarkEnd w:id="1910"/>
    </w:p>
    <w:p w14:paraId="1CB638AF" w14:textId="21295AA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2.15.3.3. DEROGADO </w:t>
      </w:r>
    </w:p>
    <w:p w14:paraId="639D64AB" w14:textId="77777777" w:rsidR="001C5A01" w:rsidRDefault="001C5A01" w:rsidP="00C32F85">
      <w:pPr>
        <w:spacing w:after="0" w:line="293" w:lineRule="atLeast"/>
        <w:jc w:val="both"/>
        <w:rPr>
          <w:rFonts w:ascii="Arial" w:eastAsia="Times New Roman" w:hAnsi="Arial" w:cs="Arial"/>
          <w:color w:val="000000"/>
          <w:lang w:eastAsia="es-CO"/>
        </w:rPr>
      </w:pPr>
      <w:bookmarkStart w:id="1912" w:name="ver_30101507"/>
      <w:bookmarkEnd w:id="1911"/>
      <w:bookmarkEnd w:id="1912"/>
    </w:p>
    <w:p w14:paraId="3CBB6F2C" w14:textId="70616645" w:rsidR="00404266" w:rsidRPr="001C5A01"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TÍTULO 4</w:t>
      </w:r>
    </w:p>
    <w:p w14:paraId="7DA4BFA6" w14:textId="77777777" w:rsidR="00404266" w:rsidRPr="001C5A01"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OTRAS DISPOSICIONES SOBRE EL REGISTRO ÚNICO NACIONAL DE ENTIDADES OPERADORAS DE LIBRANZA</w:t>
      </w:r>
    </w:p>
    <w:p w14:paraId="60F5532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13" w:name="ver_30101533"/>
      <w:bookmarkStart w:id="1914" w:name="ver_30101508"/>
      <w:bookmarkEnd w:id="1913"/>
    </w:p>
    <w:p w14:paraId="3E842D9A" w14:textId="38638EF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2.15.4.1. DEROGADO </w:t>
      </w:r>
    </w:p>
    <w:p w14:paraId="39AF390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15" w:name="ver_30101534"/>
      <w:bookmarkStart w:id="1916" w:name="ver_30101509"/>
      <w:bookmarkEnd w:id="1914"/>
      <w:bookmarkEnd w:id="1915"/>
    </w:p>
    <w:p w14:paraId="122AE83B" w14:textId="1B3F578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2.15.4.2. DEROGADO </w:t>
      </w:r>
    </w:p>
    <w:p w14:paraId="23702383" w14:textId="78FBD56F" w:rsidR="00404266" w:rsidRPr="002C1480" w:rsidRDefault="00404266" w:rsidP="001C5A01">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917" w:name="ver_30101535"/>
      <w:bookmarkStart w:id="1918" w:name="ver_30101510"/>
      <w:bookmarkEnd w:id="1916"/>
      <w:bookmarkEnd w:id="1917"/>
    </w:p>
    <w:p w14:paraId="200F174F" w14:textId="5A10E0E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2.15.4.3. DEROGADO </w:t>
      </w:r>
    </w:p>
    <w:p w14:paraId="199C97DC"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201EDC33" w14:textId="77777777" w:rsidR="001C5A01" w:rsidRDefault="00404266" w:rsidP="001C5A01">
      <w:pPr>
        <w:spacing w:after="0" w:line="293" w:lineRule="atLeast"/>
        <w:jc w:val="center"/>
        <w:rPr>
          <w:rFonts w:ascii="Arial" w:eastAsia="Times New Roman" w:hAnsi="Arial" w:cs="Arial"/>
          <w:b/>
          <w:bCs/>
          <w:color w:val="000000"/>
          <w:lang w:eastAsia="es-CO"/>
        </w:rPr>
      </w:pPr>
      <w:bookmarkStart w:id="1919" w:name="ver_30203255"/>
      <w:bookmarkEnd w:id="1918"/>
      <w:bookmarkEnd w:id="1919"/>
      <w:r w:rsidRPr="001C5A01">
        <w:rPr>
          <w:rFonts w:ascii="Arial" w:eastAsia="Times New Roman" w:hAnsi="Arial" w:cs="Arial"/>
          <w:b/>
          <w:bCs/>
          <w:color w:val="000000"/>
          <w:lang w:eastAsia="es-CO"/>
        </w:rPr>
        <w:t xml:space="preserve">PARTE 16 </w:t>
      </w:r>
    </w:p>
    <w:p w14:paraId="277A92B0" w14:textId="792BDD48" w:rsidR="00404266"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SISTEMA DE SEGURO DE CRÉDITO A LA EXPORTACIÓN</w:t>
      </w:r>
    </w:p>
    <w:p w14:paraId="22D5116A" w14:textId="77777777" w:rsidR="001C5A01" w:rsidRPr="001C5A01" w:rsidRDefault="001C5A01" w:rsidP="001C5A01">
      <w:pPr>
        <w:spacing w:after="0" w:line="293" w:lineRule="atLeast"/>
        <w:jc w:val="center"/>
        <w:rPr>
          <w:rFonts w:ascii="Arial" w:eastAsia="Times New Roman" w:hAnsi="Arial" w:cs="Arial"/>
          <w:b/>
          <w:bCs/>
          <w:color w:val="000000"/>
          <w:lang w:eastAsia="es-CO"/>
        </w:rPr>
      </w:pPr>
    </w:p>
    <w:p w14:paraId="1BD14468" w14:textId="77777777" w:rsidR="001C5A01"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 xml:space="preserve">TÍTULO 1 </w:t>
      </w:r>
    </w:p>
    <w:p w14:paraId="245A3385" w14:textId="58D0C104" w:rsidR="00404266" w:rsidRDefault="00404266" w:rsidP="001C5A01">
      <w:pPr>
        <w:spacing w:after="0"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GARANTÍA DE LA NACIÓN SOBRE RIESGOS POLÍTICOS Y EXTRAORDINARIOS</w:t>
      </w:r>
    </w:p>
    <w:p w14:paraId="5B89916A" w14:textId="77777777" w:rsidR="001C5A01" w:rsidRPr="001C5A01" w:rsidRDefault="001C5A01" w:rsidP="001C5A01">
      <w:pPr>
        <w:spacing w:after="0" w:line="293" w:lineRule="atLeast"/>
        <w:jc w:val="center"/>
        <w:rPr>
          <w:rFonts w:ascii="Arial" w:eastAsia="Times New Roman" w:hAnsi="Arial" w:cs="Arial"/>
          <w:b/>
          <w:bCs/>
          <w:color w:val="000000"/>
          <w:lang w:eastAsia="es-CO"/>
        </w:rPr>
      </w:pPr>
    </w:p>
    <w:p w14:paraId="3D72D395" w14:textId="77777777" w:rsidR="001C5A01" w:rsidRDefault="00404266" w:rsidP="001C5A01">
      <w:pPr>
        <w:spacing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 xml:space="preserve">CAPÍTULO 1 </w:t>
      </w:r>
    </w:p>
    <w:p w14:paraId="33773708" w14:textId="463A1635" w:rsidR="00404266" w:rsidRPr="001C5A01" w:rsidRDefault="00404266" w:rsidP="001C5A01">
      <w:pPr>
        <w:spacing w:line="293" w:lineRule="atLeast"/>
        <w:jc w:val="center"/>
        <w:rPr>
          <w:rFonts w:ascii="Arial" w:eastAsia="Times New Roman" w:hAnsi="Arial" w:cs="Arial"/>
          <w:b/>
          <w:bCs/>
          <w:color w:val="000000"/>
          <w:lang w:eastAsia="es-CO"/>
        </w:rPr>
      </w:pPr>
      <w:r w:rsidRPr="001C5A01">
        <w:rPr>
          <w:rFonts w:ascii="Arial" w:eastAsia="Times New Roman" w:hAnsi="Arial" w:cs="Arial"/>
          <w:b/>
          <w:bCs/>
          <w:color w:val="000000"/>
          <w:lang w:eastAsia="es-CO"/>
        </w:rPr>
        <w:t>DISPOSICIONES GENERALES</w:t>
      </w:r>
    </w:p>
    <w:p w14:paraId="7F86ECD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20" w:name="ver_30103356"/>
      <w:bookmarkStart w:id="1921" w:name="ver_30103354"/>
      <w:bookmarkEnd w:id="1920"/>
    </w:p>
    <w:p w14:paraId="76390A7C" w14:textId="479C7CFA"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2.16.1.1.1. Garantía de la Nación sobre riesgos políticos y extraordinarios. La Nación garantizará las operaciones de seguro de crédito a la exportación que amparen riesgos políticos y extraordinarios, cuando el Banco de Comercio Exterior de Colombia, en adelante Bancóldex, constituya o sea socio de la entidad aseguradora autorizada para explotar el seguro de crédito a la exportación, o contrate la prestación del seguro con una entidad aseguradora autorizada para explotar el ramo.  </w:t>
      </w:r>
    </w:p>
    <w:p w14:paraId="59736B1F" w14:textId="77777777" w:rsidR="001C5A01" w:rsidRPr="002C1480" w:rsidRDefault="001C5A01" w:rsidP="00C32F85">
      <w:pPr>
        <w:spacing w:after="0" w:line="254" w:lineRule="atLeast"/>
        <w:jc w:val="both"/>
        <w:rPr>
          <w:rFonts w:ascii="Arial" w:eastAsia="Times New Roman" w:hAnsi="Arial" w:cs="Arial"/>
          <w:color w:val="000000"/>
          <w:lang w:eastAsia="es-CO"/>
        </w:rPr>
      </w:pPr>
    </w:p>
    <w:p w14:paraId="0554262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estos efectos, la Nación celebrará con las entidades aseguradoras autorizadas para explotar el seguro de crédito a la exportación, un contrato de administración de la garantía otorgada por aquella, sobre los riesgos políticos y extraordinarios propios de las operaciones de seguro de crédito a la exportación, de conformidad con lo previsto en el presente título.  </w:t>
      </w:r>
    </w:p>
    <w:p w14:paraId="1004118C" w14:textId="77777777" w:rsidR="001C5A01" w:rsidRDefault="001C5A01" w:rsidP="00C32F85">
      <w:pPr>
        <w:spacing w:after="0" w:line="254" w:lineRule="atLeast"/>
        <w:jc w:val="both"/>
        <w:rPr>
          <w:rFonts w:ascii="Arial" w:eastAsia="Times New Roman" w:hAnsi="Arial" w:cs="Arial"/>
          <w:color w:val="000000"/>
          <w:lang w:eastAsia="es-CO"/>
        </w:rPr>
      </w:pPr>
      <w:bookmarkStart w:id="1922" w:name="ver_30103358"/>
      <w:bookmarkEnd w:id="1921"/>
    </w:p>
    <w:p w14:paraId="6A61F713" w14:textId="0DC9C12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2.16.1.1.2. Monto de la garantía sobre los riesgos políticos y extraordinarios. El monto anual de la garantía de la Nación equivaldrá al total del valor de las exportaciones aseguradas contra riesgos políticos y extraordinarios, durante el respectivo año. </w:t>
      </w:r>
    </w:p>
    <w:p w14:paraId="67FF675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23" w:name="ver_30103365"/>
      <w:bookmarkStart w:id="1924" w:name="ver_30103362"/>
      <w:bookmarkEnd w:id="1922"/>
      <w:bookmarkEnd w:id="1923"/>
    </w:p>
    <w:p w14:paraId="4C2CDE62" w14:textId="3F30DF4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2.16.1.1.3. Cubrimiento de la garantía. La garantía de la Nación sobre las operaciones de seguro de crédito a la exportación que amparen riesgos políticos y extraordinarios solamente se hará efectiva cuando resulte insuficiente o se agote la reserva técnica a la cual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4A33EC8F" w14:textId="77777777" w:rsidR="001C5A01" w:rsidRDefault="001C5A01" w:rsidP="00C32F85">
      <w:pPr>
        <w:spacing w:after="0" w:line="254" w:lineRule="atLeast"/>
        <w:jc w:val="both"/>
        <w:rPr>
          <w:rFonts w:ascii="Arial" w:eastAsia="Times New Roman" w:hAnsi="Arial" w:cs="Arial"/>
          <w:color w:val="000000"/>
          <w:lang w:eastAsia="es-CO"/>
        </w:rPr>
      </w:pPr>
      <w:bookmarkStart w:id="1925" w:name="ver_30103367"/>
      <w:bookmarkEnd w:id="1924"/>
    </w:p>
    <w:p w14:paraId="526BDA7F" w14:textId="45070DFA"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2.16.1.1.4. Partida presupuestal para atender la garantía sobre riesgos políticos y extraordinarios. El Gobierno nacional incluirá anualmente en el Proyecto de Presupuesto General de la Nación, la proyección de las partidas necesarias para atender las obligaciones legales y contractuales que surjan del cubrimiento de los riesgos políticos y extraordinarios, así como los costos de las acciones judiciales o extrajudiciales requeridas para procurar el recobro de las sumas pagadas a los beneficiarios de las respectivas pólizas, a título de indemnización.  </w:t>
      </w:r>
    </w:p>
    <w:p w14:paraId="3AB01C78" w14:textId="77777777" w:rsidR="001C5A01" w:rsidRPr="002C1480" w:rsidRDefault="001C5A01" w:rsidP="00C32F85">
      <w:pPr>
        <w:spacing w:after="0" w:line="254" w:lineRule="atLeast"/>
        <w:jc w:val="both"/>
        <w:rPr>
          <w:rFonts w:ascii="Arial" w:eastAsia="Times New Roman" w:hAnsi="Arial" w:cs="Arial"/>
          <w:color w:val="000000"/>
          <w:lang w:eastAsia="es-CO"/>
        </w:rPr>
      </w:pPr>
    </w:p>
    <w:p w14:paraId="0EAA12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Como procedimiento para hacer efectiva la garantía, la Nación situará en Bancóldex, a título de anticipo del contrato de garantía que suscriba la Nación - Ministerio de Hacienda y Crédito Público y Bancóldex, los recursos apropiados anualmente en el Presupuesto General de la Nación, para que con ellos atienda la obligación de la Nación y/o se reembolsen las sumas que hubiere desembolsado Bancóldex como entidad financiera garante de aquella, junto con los intereses causados por tales desembolsos.  </w:t>
      </w:r>
    </w:p>
    <w:p w14:paraId="2D9F319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F3D2FE9" w14:textId="214716CC"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Si los recursos anualmente situados por la Nación - Ministerio de Hacienda y Crédito Público a título de anticipo del contrato de garantía antes mencionado resultaren insuficientes para atender las obligaciones a su cargo, Bancóldex se reembolsará las sumas que haya tenido que desembolsar, con los fondos que le sean situados con cargo a la apropiación presupuestal correspondiente, a más tardar dentro de la vigencia fiscal inmediatamente siguiente a aquella en la cual Bancóldex haya hecho tales desembolsos.  </w:t>
      </w:r>
    </w:p>
    <w:p w14:paraId="3F425A4B" w14:textId="77777777" w:rsidR="001C5A01" w:rsidRPr="002C1480" w:rsidRDefault="001C5A01" w:rsidP="00C32F85">
      <w:pPr>
        <w:spacing w:after="0" w:line="254" w:lineRule="atLeast"/>
        <w:jc w:val="both"/>
        <w:rPr>
          <w:rFonts w:ascii="Arial" w:eastAsia="Times New Roman" w:hAnsi="Arial" w:cs="Arial"/>
          <w:color w:val="000000"/>
          <w:lang w:eastAsia="es-CO"/>
        </w:rPr>
      </w:pPr>
    </w:p>
    <w:p w14:paraId="7963EC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Nación ejecutará las apropiaciones mencionadas, de tal forma que los recursos se sitúen directamente a Bancóldex y permanezcan en poder de este hasta su utilización si fuere el caso o hasta la terminación de la vigencia fiscal correspondiente.  </w:t>
      </w:r>
    </w:p>
    <w:p w14:paraId="096ABDE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F03DD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Terminado el contrato de garantía mencionado, se procederá a su liquidación, para cuyo efecto se tendrán en cuenta las siguientes reglas:  </w:t>
      </w:r>
    </w:p>
    <w:p w14:paraId="507528D1" w14:textId="77777777" w:rsidR="001C5A01" w:rsidRDefault="001C5A01" w:rsidP="00C32F85">
      <w:pPr>
        <w:spacing w:after="0" w:line="254" w:lineRule="atLeast"/>
        <w:jc w:val="both"/>
        <w:rPr>
          <w:rFonts w:ascii="Arial" w:eastAsia="Times New Roman" w:hAnsi="Arial" w:cs="Arial"/>
          <w:color w:val="000000"/>
          <w:lang w:eastAsia="es-CO"/>
        </w:rPr>
      </w:pPr>
    </w:p>
    <w:p w14:paraId="3242F90F" w14:textId="6F8EB2F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Si existieren remanentes de los fondos situados a Bancóldex, este los reintegrará a la Nación junto con sus rendimientos financieros.  </w:t>
      </w:r>
    </w:p>
    <w:p w14:paraId="0944CD17" w14:textId="77777777" w:rsidR="001C5A01" w:rsidRDefault="001C5A01" w:rsidP="00C32F85">
      <w:pPr>
        <w:spacing w:after="0" w:line="254" w:lineRule="atLeast"/>
        <w:jc w:val="both"/>
        <w:rPr>
          <w:rFonts w:ascii="Arial" w:eastAsia="Times New Roman" w:hAnsi="Arial" w:cs="Arial"/>
          <w:color w:val="000000"/>
          <w:lang w:eastAsia="es-CO"/>
        </w:rPr>
      </w:pPr>
    </w:p>
    <w:p w14:paraId="4E599209" w14:textId="39ABA77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Si existieren sumas a favor de Bancóldex, estas le serán reembolsadas por la Nación junto con sus intereses, con cargo a la apropiación presupuestal correspondiente, a más tardar dentro de la vigencia fiscal inmediatamente siguiente a aquella dentro de la cual haya terminado el contrato.  </w:t>
      </w:r>
    </w:p>
    <w:p w14:paraId="4F0818D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26" w:name="ver_30103378"/>
      <w:bookmarkStart w:id="1927" w:name="ver_30103375"/>
      <w:bookmarkEnd w:id="1925"/>
      <w:bookmarkEnd w:id="1926"/>
    </w:p>
    <w:p w14:paraId="04AD9533" w14:textId="1C75D5F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2.16.1.1.5. Pago de la garantía. En los términos del contrato interadministrativo que para el efecto suscriban la Nación - Ministerio de Hacienda y Crédito Público y Bancóldex, este último atenderá las obligaciones que surjan a cargo de la Nación con las entidades aseguradoras para el pago de los siniestros derivados de los riesgos políticos y extraordinarios en los términos contractuales, así como los costos de las acciones judiciales o extrajudiciales para procurar el recobro de los montos pagados a los beneficiarios de las respectivas pólizas, a título de indemnización, sumas que serán reembolsadas junto con sus intereses con cargo al Presupuesto General de la Nación.  </w:t>
      </w:r>
    </w:p>
    <w:p w14:paraId="0B664780" w14:textId="4F453375" w:rsidR="00404266" w:rsidRDefault="00404266" w:rsidP="00C32F85">
      <w:pPr>
        <w:spacing w:after="0" w:line="254" w:lineRule="atLeast"/>
        <w:jc w:val="both"/>
        <w:rPr>
          <w:rFonts w:ascii="Arial" w:eastAsia="Times New Roman" w:hAnsi="Arial" w:cs="Arial"/>
          <w:color w:val="000000"/>
          <w:lang w:eastAsia="es-CO"/>
        </w:rPr>
      </w:pPr>
    </w:p>
    <w:p w14:paraId="2CD3FA21" w14:textId="77777777" w:rsidR="00AD7CA2" w:rsidRPr="002C1480" w:rsidRDefault="00AD7CA2" w:rsidP="00AD7CA2">
      <w:pPr>
        <w:spacing w:after="0" w:line="254" w:lineRule="atLeast"/>
        <w:jc w:val="center"/>
        <w:rPr>
          <w:rFonts w:ascii="Arial" w:eastAsia="Times New Roman" w:hAnsi="Arial" w:cs="Arial"/>
          <w:color w:val="000000"/>
          <w:lang w:eastAsia="es-CO"/>
        </w:rPr>
      </w:pPr>
    </w:p>
    <w:p w14:paraId="6DD1A3FB" w14:textId="5AB79112" w:rsidR="00404266" w:rsidRPr="00AD7CA2" w:rsidRDefault="00404266" w:rsidP="00AD7CA2">
      <w:pPr>
        <w:spacing w:line="240" w:lineRule="auto"/>
        <w:jc w:val="center"/>
        <w:rPr>
          <w:rFonts w:ascii="Arial" w:eastAsia="Times New Roman" w:hAnsi="Arial" w:cs="Arial"/>
          <w:b/>
          <w:bCs/>
          <w:color w:val="000000"/>
          <w:lang w:eastAsia="es-CO"/>
        </w:rPr>
      </w:pPr>
      <w:bookmarkStart w:id="1928" w:name="ver_30203256"/>
      <w:bookmarkEnd w:id="1927"/>
      <w:bookmarkEnd w:id="1928"/>
      <w:r w:rsidRPr="00AD7CA2">
        <w:rPr>
          <w:rFonts w:ascii="Arial" w:eastAsia="Times New Roman" w:hAnsi="Arial" w:cs="Arial"/>
          <w:b/>
          <w:bCs/>
          <w:color w:val="000000"/>
          <w:lang w:eastAsia="es-CO"/>
        </w:rPr>
        <w:t>CAPÍTULO 2</w:t>
      </w:r>
      <w:r w:rsidR="00AD7CA2" w:rsidRPr="00AD7CA2">
        <w:rPr>
          <w:rFonts w:ascii="Arial" w:eastAsia="Times New Roman" w:hAnsi="Arial" w:cs="Arial"/>
          <w:b/>
          <w:bCs/>
          <w:color w:val="000000"/>
          <w:lang w:eastAsia="es-CO"/>
        </w:rPr>
        <w:t xml:space="preserve">. </w:t>
      </w:r>
      <w:r w:rsidRPr="00AD7CA2">
        <w:rPr>
          <w:rFonts w:ascii="Arial" w:eastAsia="Times New Roman" w:hAnsi="Arial" w:cs="Arial"/>
          <w:b/>
          <w:bCs/>
          <w:color w:val="000000"/>
          <w:lang w:eastAsia="es-CO"/>
        </w:rPr>
        <w:t>COMITÉ PARA RIESGOS POLÍTICOS Y EXTRAORDINARIOS</w:t>
      </w:r>
    </w:p>
    <w:p w14:paraId="1E8CD40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29" w:name="ver_30103384"/>
      <w:bookmarkStart w:id="1930" w:name="ver_30103382"/>
      <w:bookmarkEnd w:id="1929"/>
    </w:p>
    <w:p w14:paraId="1BAE4C70" w14:textId="646235D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2.16.1.2.1. Comité para Riesgos Políticos y Extraordinarios. Créase el Comité para Riesgos Políticos y Extraordinarios, el cual estará integrado por:  </w:t>
      </w:r>
    </w:p>
    <w:p w14:paraId="20A6BB86" w14:textId="77777777" w:rsidR="001C5A01" w:rsidRDefault="001C5A01" w:rsidP="00C32F85">
      <w:pPr>
        <w:spacing w:after="0" w:line="254" w:lineRule="atLeast"/>
        <w:jc w:val="both"/>
        <w:rPr>
          <w:rFonts w:ascii="Arial" w:eastAsia="Times New Roman" w:hAnsi="Arial" w:cs="Arial"/>
          <w:color w:val="000000"/>
          <w:lang w:eastAsia="es-CO"/>
        </w:rPr>
      </w:pPr>
    </w:p>
    <w:p w14:paraId="08B713E5" w14:textId="30113EE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Ministro de Hacienda y Crédito Público o su delegado,  </w:t>
      </w:r>
    </w:p>
    <w:p w14:paraId="7D5060D1" w14:textId="77777777" w:rsidR="00612536" w:rsidRDefault="00612536" w:rsidP="00C32F85">
      <w:pPr>
        <w:spacing w:after="0" w:line="254" w:lineRule="atLeast"/>
        <w:jc w:val="both"/>
        <w:rPr>
          <w:rFonts w:ascii="Arial" w:eastAsia="Times New Roman" w:hAnsi="Arial" w:cs="Arial"/>
          <w:color w:val="000000"/>
          <w:lang w:eastAsia="es-CO"/>
        </w:rPr>
      </w:pPr>
    </w:p>
    <w:p w14:paraId="7282FC4C" w14:textId="18F154D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Ministro de Comercio, Industria y Turismo o su delegado,  </w:t>
      </w:r>
    </w:p>
    <w:p w14:paraId="14E25CDA" w14:textId="77777777" w:rsidR="001C5A01" w:rsidRDefault="001C5A01" w:rsidP="00C32F85">
      <w:pPr>
        <w:spacing w:after="0" w:line="254" w:lineRule="atLeast"/>
        <w:jc w:val="both"/>
        <w:rPr>
          <w:rFonts w:ascii="Arial" w:eastAsia="Times New Roman" w:hAnsi="Arial" w:cs="Arial"/>
          <w:color w:val="000000"/>
          <w:lang w:eastAsia="es-CO"/>
        </w:rPr>
      </w:pPr>
    </w:p>
    <w:p w14:paraId="2615F416" w14:textId="3774BF7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El Viceministro Técnico de Hacienda y Crédito Público o su delegado,  </w:t>
      </w:r>
    </w:p>
    <w:p w14:paraId="5E9AD5E3" w14:textId="77777777" w:rsidR="001C5A01" w:rsidRDefault="001C5A01" w:rsidP="00C32F85">
      <w:pPr>
        <w:spacing w:after="0" w:line="254" w:lineRule="atLeast"/>
        <w:jc w:val="both"/>
        <w:rPr>
          <w:rFonts w:ascii="Arial" w:eastAsia="Times New Roman" w:hAnsi="Arial" w:cs="Arial"/>
          <w:color w:val="000000"/>
          <w:lang w:eastAsia="es-CO"/>
        </w:rPr>
      </w:pPr>
    </w:p>
    <w:p w14:paraId="3341A8DD" w14:textId="4B10CD2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Un experto en seguros designado por el Presidente de la República,  </w:t>
      </w:r>
    </w:p>
    <w:p w14:paraId="7471E7A6" w14:textId="77777777" w:rsidR="001C5A01" w:rsidRDefault="001C5A01" w:rsidP="00C32F85">
      <w:pPr>
        <w:spacing w:after="0" w:line="254" w:lineRule="atLeast"/>
        <w:jc w:val="both"/>
        <w:rPr>
          <w:rFonts w:ascii="Arial" w:eastAsia="Times New Roman" w:hAnsi="Arial" w:cs="Arial"/>
          <w:color w:val="000000"/>
          <w:lang w:eastAsia="es-CO"/>
        </w:rPr>
      </w:pPr>
    </w:p>
    <w:p w14:paraId="78F7FAF3" w14:textId="750C504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Presidente de Bancóldex o su delegado que será un Vicepresidente designado por este, y  </w:t>
      </w:r>
    </w:p>
    <w:p w14:paraId="72D76618" w14:textId="77777777" w:rsidR="001C5A01" w:rsidRDefault="001C5A01" w:rsidP="00C32F85">
      <w:pPr>
        <w:spacing w:after="0" w:line="254" w:lineRule="atLeast"/>
        <w:jc w:val="both"/>
        <w:rPr>
          <w:rFonts w:ascii="Arial" w:eastAsia="Times New Roman" w:hAnsi="Arial" w:cs="Arial"/>
          <w:color w:val="000000"/>
          <w:lang w:eastAsia="es-CO"/>
        </w:rPr>
      </w:pPr>
    </w:p>
    <w:p w14:paraId="5C634638" w14:textId="50D0BC5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Dos delegados designados por la entidad o entidades aseguradoras que exploten el ramo de seguro de crédito a la exportación, en las cuales participe Bancóldex en los términos previstos en la ley. </w:t>
      </w:r>
    </w:p>
    <w:p w14:paraId="66CE181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31" w:name="ver_30103388"/>
      <w:bookmarkStart w:id="1932" w:name="ver_30103387"/>
      <w:bookmarkEnd w:id="1930"/>
      <w:bookmarkEnd w:id="1931"/>
    </w:p>
    <w:p w14:paraId="0B7EB73F" w14:textId="18056AC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2.16.1.2.2. Reuniones y funciones del Comité para Riesgos Políticos y Extraordinarios. El Comité sesionará con la periodicidad que determine el mismo de conformidad con el reglamento que para el efecto adopte. En todo caso, deberá sesionar por lo menos semestralmente. Este Comité tendrá las siguientes funciones:  </w:t>
      </w:r>
    </w:p>
    <w:p w14:paraId="4CD051EE" w14:textId="77777777" w:rsidR="001C5A01" w:rsidRDefault="001C5A01" w:rsidP="00C32F85">
      <w:pPr>
        <w:spacing w:after="0" w:line="254" w:lineRule="atLeast"/>
        <w:jc w:val="both"/>
        <w:rPr>
          <w:rFonts w:ascii="Arial" w:eastAsia="Times New Roman" w:hAnsi="Arial" w:cs="Arial"/>
          <w:color w:val="000000"/>
          <w:lang w:eastAsia="es-CO"/>
        </w:rPr>
      </w:pPr>
    </w:p>
    <w:p w14:paraId="1748A8A8" w14:textId="2BFABA7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Identificar, para efectos de las pólizas que se ofrezcan en el mercado, los riesgos políticos y extraordinarios que cuenten con la garantía de la Nación o aquellos que no gocen de la misma;  </w:t>
      </w:r>
    </w:p>
    <w:p w14:paraId="37B2FF68" w14:textId="77777777" w:rsidR="001C5A01" w:rsidRDefault="001C5A01" w:rsidP="00C32F85">
      <w:pPr>
        <w:spacing w:after="0" w:line="254" w:lineRule="atLeast"/>
        <w:jc w:val="both"/>
        <w:rPr>
          <w:rFonts w:ascii="Arial" w:eastAsia="Times New Roman" w:hAnsi="Arial" w:cs="Arial"/>
          <w:color w:val="000000"/>
          <w:lang w:eastAsia="es-CO"/>
        </w:rPr>
      </w:pPr>
    </w:p>
    <w:p w14:paraId="597AF46B" w14:textId="6EE3E41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Establecer las tarifas que deberán ser aplicadas a la cobertura de los riesgos políticos y extraordinarios, para que estos riesgos cuenten con la garantía de la Nación. Para este efecto tomará en cuenta la información periódica sobre la operación del seguro presentada por las entidades aseguradoras; en la determinación de las tarifas se deberán acoger las disposiciones legales vigentes sobre la materia;  </w:t>
      </w:r>
    </w:p>
    <w:p w14:paraId="4F2AB628" w14:textId="77777777" w:rsidR="001C5A01" w:rsidRDefault="001C5A01" w:rsidP="00C32F85">
      <w:pPr>
        <w:spacing w:after="0" w:line="254" w:lineRule="atLeast"/>
        <w:jc w:val="both"/>
        <w:rPr>
          <w:rFonts w:ascii="Arial" w:eastAsia="Times New Roman" w:hAnsi="Arial" w:cs="Arial"/>
          <w:color w:val="000000"/>
          <w:lang w:eastAsia="es-CO"/>
        </w:rPr>
      </w:pPr>
    </w:p>
    <w:p w14:paraId="5CFFA056" w14:textId="68FD0EB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Establecer, para efecto de la garantía, la clasificación de los países por nivel de riesgo y las tarifas diferenciales correspondientes, sujetándose a las disposiciones legales vigentes sobre la materia;  </w:t>
      </w:r>
    </w:p>
    <w:p w14:paraId="3B37862A" w14:textId="77777777" w:rsidR="001C5A01" w:rsidRDefault="001C5A01" w:rsidP="00C32F85">
      <w:pPr>
        <w:spacing w:after="0" w:line="254" w:lineRule="atLeast"/>
        <w:jc w:val="both"/>
        <w:rPr>
          <w:rFonts w:ascii="Arial" w:eastAsia="Times New Roman" w:hAnsi="Arial" w:cs="Arial"/>
          <w:color w:val="000000"/>
          <w:lang w:eastAsia="es-CO"/>
        </w:rPr>
      </w:pPr>
    </w:p>
    <w:p w14:paraId="55B6D98F" w14:textId="349B0C6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Recomendar al Gobierno nacional el monto máximo de las responsabilidades que está en capacidad de aceptar anualmente el sistema del seguro de crédito a la exportación, en relación con los riesgos políticos y extraordinarios, para lo cual tendrá en cuenta la información suministrada por las entidades aseguradoras que operen este ramo de seguro o por la Superintendencia Financiera de Colombia. Con sujeción a dicho monto máximo, el Comité establecerá los países a los cuales se fijarán límites de cobertura y definirá el valor de los mismos;  </w:t>
      </w:r>
    </w:p>
    <w:p w14:paraId="3B9F5F12" w14:textId="77777777" w:rsidR="001C5A01" w:rsidRDefault="001C5A01" w:rsidP="00C32F85">
      <w:pPr>
        <w:spacing w:after="0" w:line="254" w:lineRule="atLeast"/>
        <w:jc w:val="both"/>
        <w:rPr>
          <w:rFonts w:ascii="Arial" w:eastAsia="Times New Roman" w:hAnsi="Arial" w:cs="Arial"/>
          <w:color w:val="000000"/>
          <w:lang w:eastAsia="es-CO"/>
        </w:rPr>
      </w:pPr>
    </w:p>
    <w:p w14:paraId="62C52661" w14:textId="5C22BC5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Determinar el valor de los deducibles, los cuales no podrán ser inferiores al diez por ciento (10%) del valor del siniestro amparado;  </w:t>
      </w:r>
    </w:p>
    <w:p w14:paraId="16C2A573" w14:textId="77777777" w:rsidR="001C5A01" w:rsidRDefault="001C5A01" w:rsidP="00C32F85">
      <w:pPr>
        <w:spacing w:after="0" w:line="254" w:lineRule="atLeast"/>
        <w:jc w:val="both"/>
        <w:rPr>
          <w:rFonts w:ascii="Arial" w:eastAsia="Times New Roman" w:hAnsi="Arial" w:cs="Arial"/>
          <w:color w:val="000000"/>
          <w:lang w:eastAsia="es-CO"/>
        </w:rPr>
      </w:pPr>
    </w:p>
    <w:p w14:paraId="405E3280" w14:textId="6C0F01B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 Recomendar al Gobierno nacional el monto de la partida que anualmente deberá incluir en el proyecto de ley de Presupuesto General de la Nación o en sus adiciones, para atender las obligaciones que surjan de la garantía que otorga la Nación sobre los riesgos políticos y extraordinarios;  </w:t>
      </w:r>
    </w:p>
    <w:p w14:paraId="78C43B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g) Señalar las políticas de selección de riesgos de naturaleza política o extraordinaria garantizados por la Nación, a las cuales deban ceñirse las entidades aseguradoras;  </w:t>
      </w:r>
    </w:p>
    <w:p w14:paraId="172E4B98" w14:textId="77777777" w:rsidR="001C5A01" w:rsidRDefault="001C5A01" w:rsidP="00C32F85">
      <w:pPr>
        <w:spacing w:after="0" w:line="254" w:lineRule="atLeast"/>
        <w:jc w:val="both"/>
        <w:rPr>
          <w:rFonts w:ascii="Arial" w:eastAsia="Times New Roman" w:hAnsi="Arial" w:cs="Arial"/>
          <w:color w:val="000000"/>
          <w:lang w:eastAsia="es-CO"/>
        </w:rPr>
      </w:pPr>
    </w:p>
    <w:p w14:paraId="1B2AB581" w14:textId="4451F4E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h) Remitir a las entidades competentes las medidas que adopte en ejercicio de sus funciones y la información necesaria para la supervisión y control de las operaciones del seguro de crédito a la exportación, en lo referente a los riesgos políticos y extraordinarios;  </w:t>
      </w:r>
    </w:p>
    <w:p w14:paraId="12D2DCD6" w14:textId="77777777" w:rsidR="001C5A01" w:rsidRDefault="001C5A01" w:rsidP="00C32F85">
      <w:pPr>
        <w:spacing w:after="0" w:line="254" w:lineRule="atLeast"/>
        <w:jc w:val="both"/>
        <w:rPr>
          <w:rFonts w:ascii="Arial" w:eastAsia="Times New Roman" w:hAnsi="Arial" w:cs="Arial"/>
          <w:color w:val="000000"/>
          <w:lang w:eastAsia="es-CO"/>
        </w:rPr>
      </w:pPr>
    </w:p>
    <w:p w14:paraId="5081C4D8" w14:textId="6616C6B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Darse su propio reglamento y elaborar y aprobar un manual de operación del seguro de riesgos políticos y extraordinarios;  </w:t>
      </w:r>
    </w:p>
    <w:p w14:paraId="39466F5C" w14:textId="77777777" w:rsidR="001C5A01" w:rsidRDefault="001C5A01" w:rsidP="00C32F85">
      <w:pPr>
        <w:spacing w:after="0" w:line="254" w:lineRule="atLeast"/>
        <w:jc w:val="both"/>
        <w:rPr>
          <w:rFonts w:ascii="Arial" w:eastAsia="Times New Roman" w:hAnsi="Arial" w:cs="Arial"/>
          <w:color w:val="000000"/>
          <w:lang w:eastAsia="es-CO"/>
        </w:rPr>
      </w:pPr>
    </w:p>
    <w:p w14:paraId="1D69680A" w14:textId="3E6EBC9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j) Aprobar la modalidad de la identificación de riesgos de que trata el literal a)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Tal aprobación deberá contar con el visto bueno del Ministro de Hacienda y Crédito Público. </w:t>
      </w:r>
    </w:p>
    <w:p w14:paraId="116C587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33" w:name="ver_30103407"/>
      <w:bookmarkStart w:id="1934" w:name="ver_30103391"/>
      <w:bookmarkEnd w:id="1932"/>
      <w:bookmarkEnd w:id="1933"/>
    </w:p>
    <w:p w14:paraId="048B1A2A" w14:textId="43D7D63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2.16.1.2.3. Identificación de los riesgos políticos y extraordinarios. En la identificación de los riesgos políticos y extraordinarios él Comité deberá seguir los siguientes parámetros:  </w:t>
      </w:r>
    </w:p>
    <w:p w14:paraId="79A87E5C" w14:textId="77777777" w:rsidR="00727128" w:rsidRDefault="00727128" w:rsidP="00C32F85">
      <w:pPr>
        <w:spacing w:after="0" w:line="254" w:lineRule="atLeast"/>
        <w:jc w:val="both"/>
        <w:rPr>
          <w:rFonts w:ascii="Arial" w:eastAsia="Times New Roman" w:hAnsi="Arial" w:cs="Arial"/>
          <w:color w:val="000000"/>
          <w:lang w:eastAsia="es-CO"/>
        </w:rPr>
      </w:pPr>
    </w:p>
    <w:p w14:paraId="67776890" w14:textId="4F3D31B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 El amparo de riesgos políticos y extraordinarios no podrá cubrir eventos que correspondan a riesgos comerciales;  </w:t>
      </w:r>
    </w:p>
    <w:p w14:paraId="5837F3C4" w14:textId="77777777" w:rsidR="00727128" w:rsidRDefault="00727128" w:rsidP="00C32F85">
      <w:pPr>
        <w:spacing w:after="0" w:line="254" w:lineRule="atLeast"/>
        <w:jc w:val="both"/>
        <w:rPr>
          <w:rFonts w:ascii="Arial" w:eastAsia="Times New Roman" w:hAnsi="Arial" w:cs="Arial"/>
          <w:color w:val="000000"/>
          <w:lang w:eastAsia="es-CO"/>
        </w:rPr>
      </w:pPr>
    </w:p>
    <w:p w14:paraId="6AF35C10" w14:textId="5004838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riesgo de tasa de cambio no contará con la garantía de la Nación;  </w:t>
      </w:r>
    </w:p>
    <w:p w14:paraId="20E76CDD" w14:textId="77777777" w:rsidR="00727128" w:rsidRDefault="00727128" w:rsidP="00C32F85">
      <w:pPr>
        <w:spacing w:after="0" w:line="254" w:lineRule="atLeast"/>
        <w:jc w:val="both"/>
        <w:rPr>
          <w:rFonts w:ascii="Arial" w:eastAsia="Times New Roman" w:hAnsi="Arial" w:cs="Arial"/>
          <w:color w:val="000000"/>
          <w:lang w:eastAsia="es-CO"/>
        </w:rPr>
      </w:pPr>
    </w:p>
    <w:p w14:paraId="151FC667" w14:textId="69481E6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Los riesgos políticos son, en general, los asociados a medidas adoptadas por Gobiernos extranjeros, la imposibilidad derivada de situaciones económicas o políticas de carácter general o de medidas adoptadas por Gobiernos extranjeros para convertir moneda local en las divisas acordadas para realizar el pago de una transacción y/o para transferir dichas divisas; y los extraordinarios son los asociados a sucesos catastróficos.  </w:t>
      </w:r>
    </w:p>
    <w:p w14:paraId="0EC2E6CE"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7F0B292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Constituirá riesgo de tasa de cambio aquel que da lugar a pérdidas económicas en una transacción denominada en moneda extranjera, por razón de variaciones en la cotización de las monedas. </w:t>
      </w:r>
    </w:p>
    <w:p w14:paraId="63AE131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35" w:name="ver_30103410"/>
      <w:bookmarkStart w:id="1936" w:name="ver_30103409"/>
      <w:bookmarkEnd w:id="1934"/>
      <w:bookmarkEnd w:id="1935"/>
    </w:p>
    <w:p w14:paraId="281F9F65" w14:textId="0B41FBC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2.16.1.2.4. Solicitud de información. El Comité para Riesgos Políticos y Extraordinarios podrá solicitar a las entidades aseguradoras que cuenten con la garantía de la Nación prevista en este título, toda clase de informaciones respecto al trámite de expedición de pólizas y manejo de siniestros y hacer observaciones al respecto.  </w:t>
      </w:r>
    </w:p>
    <w:p w14:paraId="01E5095A"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4AA47732" w14:textId="77777777" w:rsidR="00404266" w:rsidRPr="002C1480" w:rsidRDefault="00404266" w:rsidP="00727128">
      <w:pPr>
        <w:spacing w:after="0" w:line="240" w:lineRule="auto"/>
        <w:jc w:val="both"/>
        <w:rPr>
          <w:rFonts w:ascii="Arial" w:eastAsia="Times New Roman" w:hAnsi="Arial" w:cs="Arial"/>
          <w:color w:val="000000"/>
          <w:lang w:eastAsia="es-CO"/>
        </w:rPr>
      </w:pPr>
      <w:bookmarkStart w:id="1937" w:name="ver_30203257"/>
      <w:bookmarkEnd w:id="1936"/>
      <w:bookmarkEnd w:id="1937"/>
      <w:r w:rsidRPr="002C1480">
        <w:rPr>
          <w:rFonts w:ascii="Arial" w:eastAsia="Times New Roman" w:hAnsi="Arial" w:cs="Arial"/>
          <w:color w:val="000000"/>
          <w:lang w:eastAsia="es-CO"/>
        </w:rPr>
        <w:t>CAPÍTULO 3 OPERACIÓN DEL SISTEMA DE SEGURO DE CRÉDITO A LA EXPORTACIÓN</w:t>
      </w:r>
    </w:p>
    <w:p w14:paraId="227D872B" w14:textId="77777777" w:rsidR="00404266" w:rsidRPr="002C1480" w:rsidRDefault="00404266" w:rsidP="00727128">
      <w:pPr>
        <w:spacing w:after="0" w:line="240" w:lineRule="auto"/>
        <w:jc w:val="both"/>
        <w:rPr>
          <w:rFonts w:ascii="Arial" w:eastAsia="Times New Roman" w:hAnsi="Arial" w:cs="Arial"/>
          <w:color w:val="000000"/>
          <w:lang w:eastAsia="es-CO"/>
        </w:rPr>
      </w:pPr>
      <w:bookmarkStart w:id="1938" w:name="ver_30103416"/>
      <w:bookmarkStart w:id="1939" w:name="ver_30103414"/>
      <w:bookmarkEnd w:id="1938"/>
    </w:p>
    <w:p w14:paraId="44B74A79" w14:textId="7B5337D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2.16.1.3.1. Operación del sistema de seguro de crédito a la exportación. Las entidades aseguradoras que operen el seguro de crédito a la exportación en los términos establecidos en el presente título se encargarán de la expedición de las respectivas pólizas, de la selección de riesgos de acuerdo con las políticas trazadas por el Comité para Riesgos Políticos y Extraordinarios, del reconocimiento y aceptación de siniestros y de las demás funciones administrativas inherentes a la actividad aseguradora.  </w:t>
      </w:r>
    </w:p>
    <w:p w14:paraId="18DFD73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40" w:name="ver_30103418"/>
      <w:bookmarkStart w:id="1941" w:name="ver_30103417"/>
      <w:bookmarkEnd w:id="1939"/>
      <w:bookmarkEnd w:id="1940"/>
    </w:p>
    <w:p w14:paraId="5E504134" w14:textId="26AAA46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2.16.1.3.2. Elaboración de las pólizas. La elaboración de las pólizas, en el caso de seguros que cuenten con garantía de la Nación, estará a cargo de la entidad o entidades aseguradoras en las cuales Bancóldex participe en los términos previstos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2.16.1.1.1.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las cuales se sujetarán en todo a lo previsto en las disposiciones legales vigentes. En lo relacionado con los riesgos políticos y extraordinarios, las pólizas deberán ajustarse a la identificación de estos riesgos realizada por el Comité para Riesgos Políticos y Extraordinarios. </w:t>
      </w:r>
    </w:p>
    <w:p w14:paraId="3C5B677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42" w:name="ver_30103420"/>
      <w:bookmarkStart w:id="1943" w:name="ver_30103419"/>
      <w:bookmarkEnd w:id="1941"/>
      <w:bookmarkEnd w:id="1942"/>
    </w:p>
    <w:p w14:paraId="199CBC69" w14:textId="6B5FA569"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2.16.1.3.3. Contratos. La Nación, Bancóldex y las entidades aseguradoras celebrarán los contratos necesarios para hacer efectiva la garantía a cargo de la Nación respecto de las operaciones de seguro de crédito a la exportación que amparen riesgos políticos y extraordinarios, entre los cuales deberá suscribirse:  </w:t>
      </w:r>
    </w:p>
    <w:p w14:paraId="4F59A1CF"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2CF4D7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Contrato de garantía entre la Nación y Bancóldex, en el cual deberán consignarse, entre otros aspectos, las condiciones en que Bancóldex proveerá a las entidades aseguradoras, a título de garante de la Nación, los recursos que aquellas requieran para atender el pago de las indemnizaciones derivadas de los siniestros en relación con las operaciones de seguro de crédito a la exportación por riesgos políticos y extraordinarios, dentro de los cuales se incluirán los costos de adelantar las acciones judiciales o extrajudiciales para procurar el recobro de las sumas pagadas a título de indemnización a los beneficiarios de las respectivas pólizas, al igual que la forma y las condiciones en que la Nación suministrará a Bancóldex recursos para la efectividad de </w:t>
      </w:r>
      <w:r w:rsidRPr="002C1480">
        <w:rPr>
          <w:rFonts w:ascii="Arial" w:eastAsia="Times New Roman" w:hAnsi="Arial" w:cs="Arial"/>
          <w:color w:val="000000"/>
          <w:lang w:eastAsia="es-CO"/>
        </w:rPr>
        <w:lastRenderedPageBreak/>
        <w:t>la garantía y efectuará el pago de las sumas desembolsadas por el mismo junto con sus intereses con fondos provenientes del Presupuesto General de la Nación.  </w:t>
      </w:r>
    </w:p>
    <w:p w14:paraId="480A43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CD330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Contrato entre Bancóldex y las entidades aseguradoras en el cual deberán establecerse las condiciones y el procedimiento para que Bancóldex, a título de garante de la Nación, provea a las entidades aseguradoras los recursos para el pago de siniestros derivados de los riesgos políticos y extraordinarios, así como para que cubra los costos de las acciones judiciales o extrajudiciales requeridas para procurar el recobro de las sumas pagadas a los beneficiarios de las respectivas pólizas que cuenten con la garantía de la Nación.  </w:t>
      </w:r>
    </w:p>
    <w:p w14:paraId="5CF83A2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DB9E9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Contrato entre la Nación y las entidades aseguradoras en el cual se consignarán las condiciones de la prestación del servicio del seguro de crédito a la exportación en cuanto a los riesgos políticos y extraordinarios, así como las condiciones relacionadas con la garantía de la Nación sobre las operaciones propias de esta especie de seguro y las causales de suspensión de la misma.  </w:t>
      </w:r>
    </w:p>
    <w:p w14:paraId="3960F2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75485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este contrato debe estipularse que basta con que la póliza haya sido expedida, que el siniestro ocurra dentro de su vigencia y que el asegurador decida pagar con base en la misma un determinado siniestro, para que la garantía opere. Asimismo, debe incluirse que el asegurador responderá ante la Nación y reembolsará a la misma las sumas que se hubieren cubierto indebidamente con cargo a dicha garantía, cuando haya expedido pólizas de seguro de crédito a la exportación para riesgos políticos y extraordinarios, en contradicción con políticas de expedición y límites de responsabilidad por riesgo o por país que le hayan sido comunicadas oportunamente por el Comité para Riesgos Políticos y Extraordinarios, o cuando haya utilizado en la identificación de los riesgos contenidos en las pólizas, textos que no concuerden con lo establecido por el mismo comité. </w:t>
      </w:r>
    </w:p>
    <w:p w14:paraId="337464BD" w14:textId="77777777" w:rsidR="00727128" w:rsidRDefault="00727128" w:rsidP="00C32F85">
      <w:pPr>
        <w:spacing w:after="0" w:line="254" w:lineRule="atLeast"/>
        <w:jc w:val="both"/>
        <w:rPr>
          <w:rFonts w:ascii="Arial" w:eastAsia="Times New Roman" w:hAnsi="Arial" w:cs="Arial"/>
          <w:color w:val="000000"/>
          <w:lang w:eastAsia="es-CO"/>
        </w:rPr>
      </w:pPr>
    </w:p>
    <w:p w14:paraId="607F4A75" w14:textId="7114510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deberá establecerse que no habrá garantía de la Nación y el asegurador responderá con sus propios recursos en los casos en que por culpa leve haya asumido obligaciones, dentro de la operación del seguro de crédito a la exportación por riesgos políticos y extraordinarios, que no correspondan legalmente, por no haberse afectado el riesgo realmente asumido o por mediar una causal de ineficacia del contrato de seguro o, en general, por haberse hecho un pago de lo no debido. </w:t>
      </w:r>
    </w:p>
    <w:p w14:paraId="0E585535"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41817C5B" w14:textId="3F0AB672" w:rsidR="00404266" w:rsidRPr="002C1480" w:rsidRDefault="002C1480" w:rsidP="00C32F85">
      <w:pPr>
        <w:spacing w:after="0" w:line="254" w:lineRule="atLeast"/>
        <w:jc w:val="both"/>
        <w:rPr>
          <w:rFonts w:ascii="Arial" w:eastAsia="Times New Roman" w:hAnsi="Arial" w:cs="Arial"/>
          <w:color w:val="000000"/>
          <w:lang w:eastAsia="es-CO"/>
        </w:rPr>
      </w:pPr>
      <w:bookmarkStart w:id="1944" w:name="ver_30103424"/>
      <w:bookmarkStart w:id="1945" w:name="ver_30103422"/>
      <w:bookmarkEnd w:id="1943"/>
      <w:bookmarkEnd w:id="1944"/>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2.16.1.3.4. Gastos de administración. Las entidades aseguradoras emisoras de las pólizas mediante las cuales se cubran riesgos políticos y extraordinarios devengarán el veintisiete por ciento (27%) del total de las primas emitidas por este concepto con el fin de sufragar los costos de administración y expedición. </w:t>
      </w:r>
    </w:p>
    <w:p w14:paraId="28260DD3" w14:textId="77777777" w:rsidR="00727128" w:rsidRDefault="00727128" w:rsidP="00727128">
      <w:pPr>
        <w:spacing w:after="0" w:line="240" w:lineRule="auto"/>
        <w:jc w:val="both"/>
        <w:rPr>
          <w:rFonts w:ascii="Arial" w:eastAsia="Times New Roman" w:hAnsi="Arial" w:cs="Arial"/>
          <w:color w:val="000000"/>
          <w:lang w:eastAsia="es-CO"/>
        </w:rPr>
      </w:pPr>
      <w:bookmarkStart w:id="1946" w:name="ver_30203258"/>
      <w:bookmarkEnd w:id="1945"/>
      <w:bookmarkEnd w:id="1946"/>
    </w:p>
    <w:p w14:paraId="5F4F3CF8" w14:textId="77777777" w:rsidR="00727128" w:rsidRDefault="00404266" w:rsidP="00727128">
      <w:pPr>
        <w:spacing w:after="0" w:line="240" w:lineRule="auto"/>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CAPÍTULO 4</w:t>
      </w:r>
    </w:p>
    <w:p w14:paraId="1F03F4F9" w14:textId="56ED0E6D" w:rsidR="00404266" w:rsidRPr="00727128" w:rsidRDefault="00404266" w:rsidP="00727128">
      <w:pPr>
        <w:spacing w:line="240" w:lineRule="auto"/>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RESERVAS TÉCNICAS</w:t>
      </w:r>
    </w:p>
    <w:p w14:paraId="75D9C05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47" w:name="ver_30103432"/>
      <w:bookmarkStart w:id="1948" w:name="ver_30103430"/>
      <w:bookmarkEnd w:id="1947"/>
    </w:p>
    <w:p w14:paraId="3DB56356" w14:textId="2E86F69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2.16.1.4.1. Reserva de riesgos en curso sobre riesgos políticos y extraordinarios garantizados por la Nación. Las entidades aseguradoras emisoras de las pólizas deberán constituir una reserva de riesgos en curso, mediante la utilización del sistema de póliza a póliza. Esta reserva se constituirá en la fecha de emisión de la póliza con el setenta y tres por ciento (73%) de la prima emitida en cada póliza, y se calculará hasta la fecha de fin de vigencia de la póliza, como la multiplicación del setenta y tres por ciento (73%) de la prima emitida por una fracción de riesgo no corrida. Para los efectos de este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se entenderá que la fracción de riesgo no corrida se comporta como una función de distribución uniforme. Los recursos de esta reserva se liberarán para el pago de siniestros, para la devolución de primas no devengadas o conforme a las </w:t>
      </w:r>
      <w:r w:rsidR="00404266" w:rsidRPr="002C1480">
        <w:rPr>
          <w:rFonts w:ascii="Arial" w:eastAsia="Times New Roman" w:hAnsi="Arial" w:cs="Arial"/>
          <w:color w:val="000000"/>
          <w:lang w:eastAsia="es-CO"/>
        </w:rPr>
        <w:lastRenderedPageBreak/>
        <w:t xml:space="preserve">características del modelo póliza a póliza con destino a la reserva de riesgos catastróficos en las condiciones estipuladas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52AE049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49" w:name="ver_30103435"/>
      <w:bookmarkStart w:id="1950" w:name="ver_30103434"/>
      <w:bookmarkEnd w:id="1948"/>
      <w:bookmarkEnd w:id="1949"/>
    </w:p>
    <w:p w14:paraId="78F2F43C" w14:textId="1C1F02A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2.16.1.4.2. Reserva de riesgos catastróficos sobre riesgos políticos y extraordinarios. Las entidades aseguradoras emisoras de las pólizas constituirán una reserva de riesgos catastróficos con los recursos liberados de la reserva de riesgos en curso a que hace referencia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2.16.1.4.1.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w:t>
      </w:r>
    </w:p>
    <w:p w14:paraId="7DA494AC" w14:textId="77777777" w:rsidR="00727128" w:rsidRDefault="00727128" w:rsidP="00C32F85">
      <w:pPr>
        <w:spacing w:after="0" w:line="254" w:lineRule="atLeast"/>
        <w:jc w:val="both"/>
        <w:rPr>
          <w:rFonts w:ascii="Arial" w:eastAsia="Times New Roman" w:hAnsi="Arial" w:cs="Arial"/>
          <w:color w:val="000000"/>
          <w:lang w:eastAsia="es-CO"/>
        </w:rPr>
      </w:pPr>
    </w:p>
    <w:p w14:paraId="1B90AAC5" w14:textId="19CD8CF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 reserva será acumulable y no podrá liberarse, salvo en los casos en que se destine a:  </w:t>
      </w:r>
    </w:p>
    <w:p w14:paraId="019DB24B" w14:textId="77777777" w:rsidR="00727128" w:rsidRDefault="00727128" w:rsidP="00C32F85">
      <w:pPr>
        <w:spacing w:after="0" w:line="254" w:lineRule="atLeast"/>
        <w:jc w:val="both"/>
        <w:rPr>
          <w:rFonts w:ascii="Arial" w:eastAsia="Times New Roman" w:hAnsi="Arial" w:cs="Arial"/>
          <w:color w:val="000000"/>
          <w:lang w:eastAsia="es-CO"/>
        </w:rPr>
      </w:pPr>
    </w:p>
    <w:p w14:paraId="17F3FC8B" w14:textId="6C43D70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El pago de siniestros cuando se agota la reserva de riesgo en curso de la póliza afectada,  </w:t>
      </w:r>
    </w:p>
    <w:p w14:paraId="4D6C602A" w14:textId="77777777" w:rsidR="00727128" w:rsidRDefault="00727128" w:rsidP="00C32F85">
      <w:pPr>
        <w:spacing w:after="0" w:line="254" w:lineRule="atLeast"/>
        <w:jc w:val="both"/>
        <w:rPr>
          <w:rFonts w:ascii="Arial" w:eastAsia="Times New Roman" w:hAnsi="Arial" w:cs="Arial"/>
          <w:color w:val="000000"/>
          <w:lang w:eastAsia="es-CO"/>
        </w:rPr>
      </w:pPr>
    </w:p>
    <w:p w14:paraId="062C2416" w14:textId="2DE88CC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devolución de la misma a la Nación,  </w:t>
      </w:r>
    </w:p>
    <w:p w14:paraId="373DAD73" w14:textId="77777777" w:rsidR="00727128" w:rsidRDefault="00727128" w:rsidP="00C32F85">
      <w:pPr>
        <w:spacing w:after="0" w:line="254" w:lineRule="atLeast"/>
        <w:jc w:val="both"/>
        <w:rPr>
          <w:rFonts w:ascii="Arial" w:eastAsia="Times New Roman" w:hAnsi="Arial" w:cs="Arial"/>
          <w:color w:val="000000"/>
          <w:lang w:eastAsia="es-CO"/>
        </w:rPr>
      </w:pPr>
    </w:p>
    <w:p w14:paraId="66710D52" w14:textId="51B210D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Al gasto que generan las acciones de recobro, en relación con las operaciones de seguro de crédito a la exportación que ampare riesgos políticos y extraordinarios. El Comité para Riesgos Políticos y Extraordinarios deberá aprobar previamente las condiciones bajo las cuales se podrá incurrir en estos gastos.  </w:t>
      </w:r>
    </w:p>
    <w:p w14:paraId="680B0CEC" w14:textId="77777777" w:rsidR="00727128" w:rsidRDefault="00727128" w:rsidP="00C32F85">
      <w:pPr>
        <w:spacing w:after="0" w:line="254" w:lineRule="atLeast"/>
        <w:jc w:val="both"/>
        <w:rPr>
          <w:rFonts w:ascii="Arial" w:eastAsia="Times New Roman" w:hAnsi="Arial" w:cs="Arial"/>
          <w:color w:val="000000"/>
          <w:lang w:eastAsia="es-CO"/>
        </w:rPr>
      </w:pPr>
    </w:p>
    <w:p w14:paraId="1A18FEDF" w14:textId="5433F35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A los gastos por custodia, compensación y liquidación provenientes de la negociación y administración de las inversiones de las reservas, incluyendo los gastos por la negociación de las inversiones a través de sistemas de negociación de valores aprobados por la Superintendencia Financiera de Colombia o en el mercado mostrador registradas en un sistema de registro de operaciones sobre valores debidamente autorizado por la Superintendencia Financiera de Colombia, incluidos los gastos correspondientes a la utilización y acceso a tales sistemas.  </w:t>
      </w:r>
    </w:p>
    <w:p w14:paraId="719E1175" w14:textId="77777777" w:rsidR="00727128" w:rsidRDefault="00727128" w:rsidP="00C32F85">
      <w:pPr>
        <w:spacing w:after="0" w:line="254" w:lineRule="atLeast"/>
        <w:jc w:val="both"/>
        <w:rPr>
          <w:rFonts w:ascii="Arial" w:eastAsia="Times New Roman" w:hAnsi="Arial" w:cs="Arial"/>
          <w:color w:val="000000"/>
          <w:lang w:eastAsia="es-CO"/>
        </w:rPr>
      </w:pPr>
    </w:p>
    <w:p w14:paraId="4BF6830F" w14:textId="0AFB9C0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El pago de la comisión por desempeño al administrador de las inversiones de las reservas, siempre y cuando dicho esquema de remuneración haya sido aprobado por el Comité para Riesgos Políticos y Extraordinarios. El Comité deberá definir, igualmente, el monto de esta comisión y la forma y condiciones para su pago. </w:t>
      </w:r>
    </w:p>
    <w:p w14:paraId="41A23218" w14:textId="77777777" w:rsidR="00727128" w:rsidRDefault="00727128" w:rsidP="00C32F85">
      <w:pPr>
        <w:spacing w:after="0" w:line="254" w:lineRule="atLeast"/>
        <w:jc w:val="both"/>
        <w:rPr>
          <w:rFonts w:ascii="Arial" w:eastAsia="Times New Roman" w:hAnsi="Arial" w:cs="Arial"/>
          <w:color w:val="000000"/>
          <w:lang w:eastAsia="es-CO"/>
        </w:rPr>
      </w:pPr>
      <w:bookmarkStart w:id="1951" w:name="ver_30103437"/>
      <w:bookmarkStart w:id="1952" w:name="ver_30103436"/>
      <w:bookmarkEnd w:id="1950"/>
      <w:bookmarkEnd w:id="1951"/>
    </w:p>
    <w:p w14:paraId="428BA779" w14:textId="1BB6748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2.16.1.4.3. Rendimientos de la inversión de las reservas. Los rendimientos que genere la inversión de las reservas de que tratan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anteriores del presente capítulo serán sumados a las mismas y, por tanto, no constituirán ingresos de la aseguradora. </w:t>
      </w:r>
    </w:p>
    <w:p w14:paraId="0EC3C20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53" w:name="ver_30103443"/>
      <w:bookmarkStart w:id="1954" w:name="ver_30103442"/>
      <w:bookmarkEnd w:id="1952"/>
      <w:bookmarkEnd w:id="1953"/>
    </w:p>
    <w:p w14:paraId="06F77C8F" w14:textId="59E30676"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2.16.1.4.4 Traslado de la reserva a la Nación. En los contratos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2.16.1.3.3.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se pactará que cuando por cualquier causa se produzca la liquidación de aseguradoras que amparen riesgos políticos y extraordinarios garantizados por la Nación o cuando estas no continúen prestando los servicios en las condiciones establecidas en este título, se trasladarán las reservas técnicas constituidas por este concepto a entidades aseguradoras que continúen explotando el ramo en las condiciones previstas en el presente título, previa transferencia de los respectivos contratos de seguros y según se acuerde entre la Nación y las entidades aseguradoras involucradas.  </w:t>
      </w:r>
    </w:p>
    <w:p w14:paraId="757BB701"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5F7230A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Si no fuere posible esta transferencia, las reservas técnicas constituidas por este concepto pasarán a la Nación como contraprestación por la garantía otorgada por esta, de acuerdo a lo previsto en este título. </w:t>
      </w:r>
    </w:p>
    <w:p w14:paraId="3BDB6619" w14:textId="77777777" w:rsidR="00727128" w:rsidRDefault="00727128" w:rsidP="00C32F85">
      <w:pPr>
        <w:spacing w:line="240" w:lineRule="auto"/>
        <w:jc w:val="both"/>
        <w:rPr>
          <w:rFonts w:ascii="Arial" w:eastAsia="Times New Roman" w:hAnsi="Arial" w:cs="Arial"/>
          <w:color w:val="000000"/>
          <w:lang w:eastAsia="es-CO"/>
        </w:rPr>
      </w:pPr>
      <w:bookmarkStart w:id="1955" w:name="ver_30203259"/>
      <w:bookmarkEnd w:id="1954"/>
      <w:bookmarkEnd w:id="1955"/>
    </w:p>
    <w:p w14:paraId="49AF4BE5" w14:textId="77741876" w:rsidR="00404266" w:rsidRPr="00727128" w:rsidRDefault="00404266" w:rsidP="00727128">
      <w:pPr>
        <w:spacing w:line="240" w:lineRule="auto"/>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CAPÍTULO 5 RÉGIMEN DE INVERSIONES</w:t>
      </w:r>
    </w:p>
    <w:p w14:paraId="64FF59F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56" w:name="ver_30103740"/>
      <w:bookmarkStart w:id="1957" w:name="ver_30103447"/>
      <w:bookmarkStart w:id="1958" w:name="ver_30103448"/>
      <w:bookmarkEnd w:id="1956"/>
    </w:p>
    <w:p w14:paraId="332C6241" w14:textId="3E582B8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2.16.1.5.1.Régimen de inversiones. Las reservas técnicas constituidas para los amparos de riesgos políticos y extraordinarios garantizados por la Nación, se sujetarán a lo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2.31.3.1.8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No obstante, las reservas no podrán ser invertidas en los activos descritos en los subnumerales 1.10, 1.11, 2.5, 2.6, 2.7, 2.8, 2.9, 2.10 y 3.5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2.31.3.1.2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w:t>
      </w:r>
    </w:p>
    <w:p w14:paraId="03A31070"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21BA41FA" w14:textId="2614D267" w:rsidR="00404266" w:rsidRPr="00727128" w:rsidRDefault="00727128" w:rsidP="00727128">
      <w:pPr>
        <w:spacing w:after="0" w:line="293" w:lineRule="atLeast"/>
        <w:jc w:val="center"/>
        <w:rPr>
          <w:rFonts w:ascii="Arial" w:eastAsia="Times New Roman" w:hAnsi="Arial" w:cs="Arial"/>
          <w:b/>
          <w:bCs/>
          <w:color w:val="000000"/>
          <w:lang w:eastAsia="es-CO"/>
        </w:rPr>
      </w:pPr>
      <w:bookmarkStart w:id="1959" w:name="ver_30103449"/>
      <w:bookmarkEnd w:id="1957"/>
      <w:bookmarkEnd w:id="1958"/>
      <w:bookmarkEnd w:id="1959"/>
      <w:r w:rsidRPr="00727128">
        <w:rPr>
          <w:rFonts w:ascii="Arial" w:eastAsia="Times New Roman" w:hAnsi="Arial" w:cs="Arial"/>
          <w:b/>
          <w:bCs/>
          <w:color w:val="000000"/>
          <w:lang w:eastAsia="es-CO"/>
        </w:rPr>
        <w:t>CAPÍTULO 6</w:t>
      </w:r>
    </w:p>
    <w:p w14:paraId="0181CA86" w14:textId="1876D518" w:rsidR="00404266" w:rsidRPr="00727128" w:rsidRDefault="00727128"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IMPUTACIÓN DE RECOBROS POR PARTE DE LAS ASEGURADORAS</w:t>
      </w:r>
    </w:p>
    <w:p w14:paraId="0864ECD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60" w:name="ver_30103450"/>
      <w:bookmarkEnd w:id="1960"/>
    </w:p>
    <w:p w14:paraId="22DF0458" w14:textId="078C360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2.16.1.6.1. Imputación de sumas objeto de recobros por parte de las aseguradoras. En consonancia con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2.16.1.1.4 y 2.16.1.4 .2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los recobros que se lleguen a realizar con base en siniestros previamente pagados por parte de las aseguradoras se imputarán en el siguiente orden:  </w:t>
      </w:r>
    </w:p>
    <w:p w14:paraId="125D5BCB" w14:textId="77777777" w:rsidR="00727128" w:rsidRDefault="00727128" w:rsidP="00C32F85">
      <w:pPr>
        <w:spacing w:after="0" w:line="254" w:lineRule="atLeast"/>
        <w:jc w:val="both"/>
        <w:rPr>
          <w:rFonts w:ascii="Arial" w:eastAsia="Times New Roman" w:hAnsi="Arial" w:cs="Arial"/>
          <w:color w:val="000000"/>
          <w:lang w:eastAsia="es-CO"/>
        </w:rPr>
      </w:pPr>
    </w:p>
    <w:p w14:paraId="60B670B2" w14:textId="7FE514D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Para reponer la reserva de riesgos catastróficos sobre riesgos políticos y extraordinarios de las aseguradoras.  </w:t>
      </w:r>
    </w:p>
    <w:p w14:paraId="1C95D53A" w14:textId="77777777" w:rsidR="00727128" w:rsidRDefault="00727128" w:rsidP="00C32F85">
      <w:pPr>
        <w:spacing w:after="0" w:line="254" w:lineRule="atLeast"/>
        <w:jc w:val="both"/>
        <w:rPr>
          <w:rFonts w:ascii="Arial" w:eastAsia="Times New Roman" w:hAnsi="Arial" w:cs="Arial"/>
          <w:color w:val="000000"/>
          <w:lang w:eastAsia="es-CO"/>
        </w:rPr>
      </w:pPr>
    </w:p>
    <w:p w14:paraId="520E3681" w14:textId="22972C9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Hasta por el monto de la partida del Presupuesto Nacional asignada a Bancóldex, si el recobro se produce dentro de la misma vigencia fiscal, con destino al Banco.  </w:t>
      </w:r>
    </w:p>
    <w:p w14:paraId="1BA9C641" w14:textId="77777777" w:rsidR="00727128" w:rsidRDefault="00727128" w:rsidP="00C32F85">
      <w:pPr>
        <w:spacing w:after="0" w:line="254" w:lineRule="atLeast"/>
        <w:jc w:val="both"/>
        <w:rPr>
          <w:rFonts w:ascii="Arial" w:eastAsia="Times New Roman" w:hAnsi="Arial" w:cs="Arial"/>
          <w:color w:val="000000"/>
          <w:lang w:eastAsia="es-CO"/>
        </w:rPr>
      </w:pPr>
    </w:p>
    <w:p w14:paraId="064DC48A" w14:textId="3B21D30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Para aplicar a los recursos propios que Bancóldex haya tenido que desembolsar en exceso de la partida recibida del Presupuesto General de la Nación, si el recobro se produce dentro de la misma vigencia fiscal, hasta completar el importe de dicho exceso y sus respectivos intereses.  </w:t>
      </w:r>
    </w:p>
    <w:p w14:paraId="1437DBD6" w14:textId="77777777" w:rsidR="00727128" w:rsidRDefault="00727128" w:rsidP="00C32F85">
      <w:pPr>
        <w:spacing w:after="0" w:line="254" w:lineRule="atLeast"/>
        <w:jc w:val="both"/>
        <w:rPr>
          <w:rFonts w:ascii="Arial" w:eastAsia="Times New Roman" w:hAnsi="Arial" w:cs="Arial"/>
          <w:color w:val="000000"/>
          <w:lang w:eastAsia="es-CO"/>
        </w:rPr>
      </w:pPr>
    </w:p>
    <w:p w14:paraId="70799528" w14:textId="5B27781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saldo, para ser entregado a la Tesorería General de la Nación.  </w:t>
      </w:r>
    </w:p>
    <w:p w14:paraId="035C14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7CB503" w14:textId="599F61E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Cuando los recobros se produzcan en una vigencia fiscal diferente, los mismos se aplicarán a lo previsto en el literal a)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y el saldo se entregará a la Tesorería General de la Nación”. </w:t>
      </w:r>
    </w:p>
    <w:p w14:paraId="1139266F"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617234BA" w14:textId="77777777" w:rsidR="00404266" w:rsidRPr="00727128" w:rsidRDefault="00404266" w:rsidP="00727128">
      <w:pPr>
        <w:spacing w:after="0" w:line="293" w:lineRule="atLeast"/>
        <w:jc w:val="center"/>
        <w:rPr>
          <w:rFonts w:ascii="Arial" w:eastAsia="Times New Roman" w:hAnsi="Arial" w:cs="Arial"/>
          <w:b/>
          <w:bCs/>
          <w:color w:val="000000"/>
          <w:lang w:eastAsia="es-CO"/>
        </w:rPr>
      </w:pPr>
      <w:bookmarkStart w:id="1961" w:name="ver_30057866"/>
      <w:bookmarkEnd w:id="1961"/>
      <w:r w:rsidRPr="00727128">
        <w:rPr>
          <w:rFonts w:ascii="Arial" w:eastAsia="Times New Roman" w:hAnsi="Arial" w:cs="Arial"/>
          <w:b/>
          <w:bCs/>
          <w:color w:val="000000"/>
          <w:lang w:eastAsia="es-CO"/>
        </w:rPr>
        <w:t>PARTE 17</w:t>
      </w:r>
    </w:p>
    <w:p w14:paraId="755DB755" w14:textId="1EF42EB9" w:rsidR="00404266"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DISPOSICIONES EN MATERIA DE CAMBIOS INTERNACIONALES Y REGIMEN GENERAL DE INVERSIONES DE CAPITAL DEL EXTERIOR EN COLOMBIA Y DE CAPITAL COLOMBIANO EN EL EXTERIOR</w:t>
      </w:r>
    </w:p>
    <w:p w14:paraId="18B12C0D" w14:textId="77777777" w:rsidR="00727128" w:rsidRPr="00727128" w:rsidRDefault="00727128" w:rsidP="00727128">
      <w:pPr>
        <w:spacing w:after="0" w:line="293" w:lineRule="atLeast"/>
        <w:jc w:val="center"/>
        <w:rPr>
          <w:rFonts w:ascii="Arial" w:eastAsia="Times New Roman" w:hAnsi="Arial" w:cs="Arial"/>
          <w:b/>
          <w:bCs/>
          <w:color w:val="000000"/>
          <w:lang w:eastAsia="es-CO"/>
        </w:rPr>
      </w:pPr>
    </w:p>
    <w:p w14:paraId="274F2A12" w14:textId="77777777"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TÍTULO 1</w:t>
      </w:r>
    </w:p>
    <w:p w14:paraId="230DC77D" w14:textId="77777777" w:rsidR="00404266" w:rsidRPr="00727128" w:rsidRDefault="00404266" w:rsidP="00727128">
      <w:pPr>
        <w:spacing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DISPOSICIONES EN MATERIA DE CAMBIOS INTERNACIONALES</w:t>
      </w:r>
    </w:p>
    <w:p w14:paraId="62AABCC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62" w:name="ver_30057867"/>
      <w:bookmarkEnd w:id="1962"/>
    </w:p>
    <w:p w14:paraId="4B1A2618" w14:textId="343B464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2.17.1.1. Operaciones de Cambio. Defínanse como operaciones de cambio todas las comprendidas dentro de las categorías señaladas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4 de la Ley 9ª de 1991, y específicamente las siguientes: </w:t>
      </w:r>
    </w:p>
    <w:p w14:paraId="2376AF9C" w14:textId="77777777" w:rsidR="00727128" w:rsidRDefault="00727128" w:rsidP="00C32F85">
      <w:pPr>
        <w:spacing w:after="0" w:line="254" w:lineRule="atLeast"/>
        <w:jc w:val="both"/>
        <w:rPr>
          <w:rFonts w:ascii="Arial" w:eastAsia="Times New Roman" w:hAnsi="Arial" w:cs="Arial"/>
          <w:color w:val="000000"/>
          <w:lang w:eastAsia="es-CO"/>
        </w:rPr>
      </w:pPr>
    </w:p>
    <w:p w14:paraId="453438D7" w14:textId="5FF3B51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Importaciones y exportaciones de bienes y servicios; </w:t>
      </w:r>
    </w:p>
    <w:p w14:paraId="5FCF31B1" w14:textId="77777777" w:rsidR="00727128" w:rsidRDefault="00727128" w:rsidP="00C32F85">
      <w:pPr>
        <w:spacing w:after="0" w:line="254" w:lineRule="atLeast"/>
        <w:jc w:val="both"/>
        <w:rPr>
          <w:rFonts w:ascii="Arial" w:eastAsia="Times New Roman" w:hAnsi="Arial" w:cs="Arial"/>
          <w:color w:val="000000"/>
          <w:lang w:eastAsia="es-CO"/>
        </w:rPr>
      </w:pPr>
    </w:p>
    <w:p w14:paraId="7F756CF0" w14:textId="1B3BCA5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Inversiones de capitales del exterior en el país; </w:t>
      </w:r>
    </w:p>
    <w:p w14:paraId="135A6EA5" w14:textId="77777777" w:rsidR="00727128" w:rsidRDefault="00727128" w:rsidP="00C32F85">
      <w:pPr>
        <w:spacing w:after="0" w:line="254" w:lineRule="atLeast"/>
        <w:jc w:val="both"/>
        <w:rPr>
          <w:rFonts w:ascii="Arial" w:eastAsia="Times New Roman" w:hAnsi="Arial" w:cs="Arial"/>
          <w:color w:val="000000"/>
          <w:lang w:eastAsia="es-CO"/>
        </w:rPr>
      </w:pPr>
    </w:p>
    <w:p w14:paraId="56E13569" w14:textId="2AB2405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Inversiones colombianas en el exterior; </w:t>
      </w:r>
    </w:p>
    <w:p w14:paraId="0FE87137" w14:textId="77777777" w:rsidR="00727128" w:rsidRDefault="00727128" w:rsidP="00C32F85">
      <w:pPr>
        <w:spacing w:after="0" w:line="254" w:lineRule="atLeast"/>
        <w:jc w:val="both"/>
        <w:rPr>
          <w:rFonts w:ascii="Arial" w:eastAsia="Times New Roman" w:hAnsi="Arial" w:cs="Arial"/>
          <w:color w:val="000000"/>
          <w:lang w:eastAsia="es-CO"/>
        </w:rPr>
      </w:pPr>
    </w:p>
    <w:p w14:paraId="18CAF1A9" w14:textId="0F53762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Operaciones de endeudamiento externo celebradas por residentes en el país; </w:t>
      </w:r>
    </w:p>
    <w:p w14:paraId="76311761" w14:textId="77777777" w:rsidR="00727128" w:rsidRDefault="00727128" w:rsidP="00C32F85">
      <w:pPr>
        <w:spacing w:after="0" w:line="254" w:lineRule="atLeast"/>
        <w:jc w:val="both"/>
        <w:rPr>
          <w:rFonts w:ascii="Arial" w:eastAsia="Times New Roman" w:hAnsi="Arial" w:cs="Arial"/>
          <w:color w:val="000000"/>
          <w:lang w:eastAsia="es-CO"/>
        </w:rPr>
      </w:pPr>
    </w:p>
    <w:p w14:paraId="3CA5A52E" w14:textId="634C038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Todas aquellas que impliquen o puedan implicar pagos o transferencias de moneda extranjera entre residentes y no residentes en el país; </w:t>
      </w:r>
    </w:p>
    <w:p w14:paraId="3C28E9C0" w14:textId="77777777" w:rsidR="00727128" w:rsidRDefault="00727128" w:rsidP="00C32F85">
      <w:pPr>
        <w:spacing w:after="0" w:line="254" w:lineRule="atLeast"/>
        <w:jc w:val="both"/>
        <w:rPr>
          <w:rFonts w:ascii="Arial" w:eastAsia="Times New Roman" w:hAnsi="Arial" w:cs="Arial"/>
          <w:color w:val="000000"/>
          <w:lang w:eastAsia="es-CO"/>
        </w:rPr>
      </w:pPr>
    </w:p>
    <w:p w14:paraId="39BEA5CF" w14:textId="545AD84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Todas las operaciones que efectúen residentes en el país con residentes en el exterior que impliquen la utilización de divisas, tales como depósitos y demás operaciones de carácter financiero en moneda extranjera; </w:t>
      </w:r>
    </w:p>
    <w:p w14:paraId="6B8AA2D9" w14:textId="77777777" w:rsidR="00727128" w:rsidRDefault="00727128" w:rsidP="00C32F85">
      <w:pPr>
        <w:spacing w:after="0" w:line="254" w:lineRule="atLeast"/>
        <w:jc w:val="both"/>
        <w:rPr>
          <w:rFonts w:ascii="Arial" w:eastAsia="Times New Roman" w:hAnsi="Arial" w:cs="Arial"/>
          <w:color w:val="000000"/>
          <w:lang w:eastAsia="es-CO"/>
        </w:rPr>
      </w:pPr>
    </w:p>
    <w:p w14:paraId="61EBD6B5" w14:textId="089C342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Las entradas o salidas del país de moneda legal colombiana y de títulos representativos de la misma, y la compra en el exterior de moneda extranjera con moneda legal colombiana o títulos representativos de la misma; </w:t>
      </w:r>
    </w:p>
    <w:p w14:paraId="60FCEE4B" w14:textId="77777777" w:rsidR="00727128" w:rsidRDefault="00727128" w:rsidP="00C32F85">
      <w:pPr>
        <w:spacing w:after="0" w:line="254" w:lineRule="atLeast"/>
        <w:jc w:val="both"/>
        <w:rPr>
          <w:rFonts w:ascii="Arial" w:eastAsia="Times New Roman" w:hAnsi="Arial" w:cs="Arial"/>
          <w:color w:val="000000"/>
          <w:lang w:eastAsia="es-CO"/>
        </w:rPr>
      </w:pPr>
    </w:p>
    <w:p w14:paraId="2F98B5CC" w14:textId="40964C6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Las operaciones en divisas o título representativos de las mismas que realicen el Banco de la República, los intermediarios del mercado cambiario y los demás agentes autorizados, con otros residentes en el país. </w:t>
      </w:r>
    </w:p>
    <w:p w14:paraId="1015FDD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63" w:name="ver_30105853"/>
      <w:bookmarkStart w:id="1964" w:name="ver_30105852"/>
      <w:bookmarkEnd w:id="1963"/>
    </w:p>
    <w:p w14:paraId="36B80CB4" w14:textId="2D1BA993"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2.17.1.2.Definición de residencia para fines cambiarios. Sin perjuicio de lo establecido en tratados internacionales y leyes especiales, para efectos del régimen cambiario:  </w:t>
      </w:r>
    </w:p>
    <w:p w14:paraId="19452760"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4DCC28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Se consideran como residentes:  </w:t>
      </w:r>
    </w:p>
    <w:p w14:paraId="77040E99" w14:textId="77777777" w:rsidR="00727128" w:rsidRDefault="00727128" w:rsidP="00C32F85">
      <w:pPr>
        <w:spacing w:after="0" w:line="254" w:lineRule="atLeast"/>
        <w:jc w:val="both"/>
        <w:rPr>
          <w:rFonts w:ascii="Arial" w:eastAsia="Times New Roman" w:hAnsi="Arial" w:cs="Arial"/>
          <w:color w:val="000000"/>
          <w:lang w:eastAsia="es-CO"/>
        </w:rPr>
      </w:pPr>
    </w:p>
    <w:p w14:paraId="2C4B46F8" w14:textId="0D043F7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personas naturales nacionales colombianas que habiten en el territorio nacional o las extranjeras que permanezcan continua o discontinuamente en el país por más de ciento ochenta y tres (183) días calendario, incluyendo los días de entrada y de salida del país, durante un periodo de trescientos sesenta y cinco (365) días calendario consecutivos.  </w:t>
      </w:r>
    </w:p>
    <w:p w14:paraId="5EEE72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entidades de derecho público, las personas jurídicas, incluidas las entidades sin ánimo de lucro, que tengan su domicilio principal en el país. Igualmente, tienen la condición de residentes para efectos cambiarios las sucursales de sociedades extranjeras establecidas en el país.  </w:t>
      </w:r>
    </w:p>
    <w:p w14:paraId="7CA6EE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B20EF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Se consideran como no residentes:  </w:t>
      </w:r>
    </w:p>
    <w:p w14:paraId="2D0AFD4A" w14:textId="77777777" w:rsidR="00727128" w:rsidRDefault="00727128" w:rsidP="00C32F85">
      <w:pPr>
        <w:spacing w:after="0" w:line="254" w:lineRule="atLeast"/>
        <w:jc w:val="both"/>
        <w:rPr>
          <w:rFonts w:ascii="Arial" w:eastAsia="Times New Roman" w:hAnsi="Arial" w:cs="Arial"/>
          <w:color w:val="000000"/>
          <w:lang w:eastAsia="es-CO"/>
        </w:rPr>
      </w:pPr>
    </w:p>
    <w:p w14:paraId="299F0E90" w14:textId="71B0F74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a) Las personas naturales nacionales colombianos o extranjeros que no cumplan la condición de permanencia prevista en el literal a) del numeral 1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3D7CE489" w14:textId="77777777" w:rsidR="00727128" w:rsidRDefault="00727128" w:rsidP="00C32F85">
      <w:pPr>
        <w:spacing w:after="0" w:line="254" w:lineRule="atLeast"/>
        <w:jc w:val="both"/>
        <w:rPr>
          <w:rFonts w:ascii="Arial" w:eastAsia="Times New Roman" w:hAnsi="Arial" w:cs="Arial"/>
          <w:color w:val="000000"/>
          <w:lang w:eastAsia="es-CO"/>
        </w:rPr>
      </w:pPr>
    </w:p>
    <w:p w14:paraId="55FE67E7" w14:textId="19A3D70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personas jurídicas que no tengan su domicilio principal dentro del territorio nacional, incluidas aquellas sin ánimo de lucro, y  </w:t>
      </w:r>
    </w:p>
    <w:p w14:paraId="0138BCEB" w14:textId="77777777" w:rsidR="00727128" w:rsidRDefault="00727128" w:rsidP="00C32F85">
      <w:pPr>
        <w:spacing w:after="0" w:line="254" w:lineRule="atLeast"/>
        <w:jc w:val="both"/>
        <w:rPr>
          <w:rFonts w:ascii="Arial" w:eastAsia="Times New Roman" w:hAnsi="Arial" w:cs="Arial"/>
          <w:color w:val="000000"/>
          <w:lang w:eastAsia="es-CO"/>
        </w:rPr>
      </w:pPr>
    </w:p>
    <w:p w14:paraId="1BE4EE99" w14:textId="7B58301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Otras entidades que no tengan personería jurídica ni domicilio dentro del territorio nacional </w:t>
      </w:r>
    </w:p>
    <w:p w14:paraId="57C1A5D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65" w:name="ver_30057869"/>
      <w:bookmarkEnd w:id="1964"/>
      <w:bookmarkEnd w:id="1965"/>
    </w:p>
    <w:p w14:paraId="3B036599" w14:textId="5EFB24A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2.17.1.3. Operaciones Internas. Salvo autorización expresa en contrario, ningún contrato, convenio u operación que se celebre entre residentes se considerará operación de cambio. En consecuencia, las obligaciones que se deriven de tales contratos, convenios u operaciones, deberán cumplirse en moneda legal colombiana. </w:t>
      </w:r>
    </w:p>
    <w:p w14:paraId="7518E47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66" w:name="ver_30057870"/>
      <w:bookmarkEnd w:id="1966"/>
    </w:p>
    <w:p w14:paraId="57027084" w14:textId="66633E6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2.17.1.4. Negociación de Divisas. Únicamente las operaciones de cambio que a continuación se indican, deberán canalizarse a través del mercado cambiario: </w:t>
      </w:r>
    </w:p>
    <w:p w14:paraId="205642F3" w14:textId="77777777" w:rsidR="00727128" w:rsidRDefault="00727128" w:rsidP="00C32F85">
      <w:pPr>
        <w:spacing w:after="0" w:line="254" w:lineRule="atLeast"/>
        <w:jc w:val="both"/>
        <w:rPr>
          <w:rFonts w:ascii="Arial" w:eastAsia="Times New Roman" w:hAnsi="Arial" w:cs="Arial"/>
          <w:color w:val="000000"/>
          <w:lang w:eastAsia="es-CO"/>
        </w:rPr>
      </w:pPr>
    </w:p>
    <w:p w14:paraId="13A36161" w14:textId="4044895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Importaciones y exportaciones de bienes; </w:t>
      </w:r>
    </w:p>
    <w:p w14:paraId="18A8E2EF" w14:textId="77777777" w:rsidR="00727128" w:rsidRDefault="00727128" w:rsidP="00C32F85">
      <w:pPr>
        <w:spacing w:after="0" w:line="254" w:lineRule="atLeast"/>
        <w:jc w:val="both"/>
        <w:rPr>
          <w:rFonts w:ascii="Arial" w:eastAsia="Times New Roman" w:hAnsi="Arial" w:cs="Arial"/>
          <w:color w:val="000000"/>
          <w:lang w:eastAsia="es-CO"/>
        </w:rPr>
      </w:pPr>
    </w:p>
    <w:p w14:paraId="7DDB8F84" w14:textId="2853246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Operaciones de endeudamiento celebradas por residentes en el país, así como los costos financieros inherentes a las mismas; </w:t>
      </w:r>
    </w:p>
    <w:p w14:paraId="57CF6CA3" w14:textId="77777777" w:rsidR="00727128" w:rsidRDefault="00727128" w:rsidP="00C32F85">
      <w:pPr>
        <w:spacing w:after="0" w:line="254" w:lineRule="atLeast"/>
        <w:jc w:val="both"/>
        <w:rPr>
          <w:rFonts w:ascii="Arial" w:eastAsia="Times New Roman" w:hAnsi="Arial" w:cs="Arial"/>
          <w:color w:val="000000"/>
          <w:lang w:eastAsia="es-CO"/>
        </w:rPr>
      </w:pPr>
    </w:p>
    <w:p w14:paraId="6B1DAD84" w14:textId="221697E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Inversiones de capital del exterior en el país, así como los rendimientos asociados a las mismas; </w:t>
      </w:r>
    </w:p>
    <w:p w14:paraId="296AD9DF" w14:textId="77777777" w:rsidR="00727128" w:rsidRDefault="00727128" w:rsidP="00C32F85">
      <w:pPr>
        <w:spacing w:after="0" w:line="254" w:lineRule="atLeast"/>
        <w:jc w:val="both"/>
        <w:rPr>
          <w:rFonts w:ascii="Arial" w:eastAsia="Times New Roman" w:hAnsi="Arial" w:cs="Arial"/>
          <w:color w:val="000000"/>
          <w:lang w:eastAsia="es-CO"/>
        </w:rPr>
      </w:pPr>
    </w:p>
    <w:p w14:paraId="6C9696D0" w14:textId="4B8787A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Inversiones de capital colombiano en el exterior, así como los rendimientos asociados a las mismas; </w:t>
      </w:r>
    </w:p>
    <w:p w14:paraId="23EED73F" w14:textId="77777777" w:rsidR="00727128" w:rsidRDefault="00727128" w:rsidP="00C32F85">
      <w:pPr>
        <w:spacing w:after="0" w:line="254" w:lineRule="atLeast"/>
        <w:jc w:val="both"/>
        <w:rPr>
          <w:rFonts w:ascii="Arial" w:eastAsia="Times New Roman" w:hAnsi="Arial" w:cs="Arial"/>
          <w:color w:val="000000"/>
          <w:lang w:eastAsia="es-CO"/>
        </w:rPr>
      </w:pPr>
    </w:p>
    <w:p w14:paraId="68249F1F" w14:textId="0335043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Inversiones financieras en títulos emitidos o en activos radicados en el exterior así como los rendimientos asociados a las mismas, salvo cuando las inversiones se efectúen con divisas provenientes de operaciones que no deban canalizarse a través del mercado cambiario; </w:t>
      </w:r>
    </w:p>
    <w:p w14:paraId="2FF09943" w14:textId="77777777" w:rsidR="00727128" w:rsidRDefault="00727128" w:rsidP="00C32F85">
      <w:pPr>
        <w:spacing w:after="0" w:line="254" w:lineRule="atLeast"/>
        <w:jc w:val="both"/>
        <w:rPr>
          <w:rFonts w:ascii="Arial" w:eastAsia="Times New Roman" w:hAnsi="Arial" w:cs="Arial"/>
          <w:color w:val="000000"/>
          <w:lang w:eastAsia="es-CO"/>
        </w:rPr>
      </w:pPr>
    </w:p>
    <w:p w14:paraId="5FF96850" w14:textId="1CC440A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Avales y garantías en moneda extranjera; </w:t>
      </w:r>
    </w:p>
    <w:p w14:paraId="43AC704C" w14:textId="77777777" w:rsidR="00727128" w:rsidRDefault="00727128" w:rsidP="00C32F85">
      <w:pPr>
        <w:spacing w:after="0" w:line="254" w:lineRule="atLeast"/>
        <w:jc w:val="both"/>
        <w:rPr>
          <w:rFonts w:ascii="Arial" w:eastAsia="Times New Roman" w:hAnsi="Arial" w:cs="Arial"/>
          <w:color w:val="000000"/>
          <w:lang w:eastAsia="es-CO"/>
        </w:rPr>
      </w:pPr>
    </w:p>
    <w:p w14:paraId="7E23AF28" w14:textId="3C34765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Operaciones de derivados y operaciones peso-divisas. </w:t>
      </w:r>
    </w:p>
    <w:p w14:paraId="6F03FE25" w14:textId="77777777" w:rsidR="00727128" w:rsidRDefault="00727128" w:rsidP="00C32F85">
      <w:pPr>
        <w:spacing w:after="0" w:line="293" w:lineRule="atLeast"/>
        <w:jc w:val="both"/>
        <w:rPr>
          <w:rFonts w:ascii="Arial" w:eastAsia="Times New Roman" w:hAnsi="Arial" w:cs="Arial"/>
          <w:color w:val="000000"/>
          <w:lang w:eastAsia="es-CO"/>
        </w:rPr>
      </w:pPr>
      <w:bookmarkStart w:id="1967" w:name="ver_30105856"/>
      <w:bookmarkEnd w:id="1967"/>
    </w:p>
    <w:p w14:paraId="37259D98" w14:textId="4C4FA52D" w:rsidR="00404266" w:rsidRPr="00727128" w:rsidRDefault="00727128"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TÍTULO 2</w:t>
      </w:r>
    </w:p>
    <w:p w14:paraId="391BA9FC" w14:textId="13BCC6A8" w:rsidR="00404266" w:rsidRDefault="00727128"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RÉGIMEN GENERAL DE LA INVERSIÓN DE CAPITALES DEL EXTERIOR EN COLOMBIA Y DE LAS INVERSIONES COLOMBIANAS EN EL EXTERIOR</w:t>
      </w:r>
    </w:p>
    <w:p w14:paraId="4C1DCE0F" w14:textId="77777777" w:rsidR="00727128" w:rsidRPr="00727128" w:rsidRDefault="00727128" w:rsidP="00727128">
      <w:pPr>
        <w:spacing w:after="0" w:line="293" w:lineRule="atLeast"/>
        <w:jc w:val="center"/>
        <w:rPr>
          <w:rFonts w:ascii="Arial" w:eastAsia="Times New Roman" w:hAnsi="Arial" w:cs="Arial"/>
          <w:b/>
          <w:bCs/>
          <w:color w:val="000000"/>
          <w:lang w:eastAsia="es-CO"/>
        </w:rPr>
      </w:pPr>
    </w:p>
    <w:p w14:paraId="7554F33F" w14:textId="26E4AD8D" w:rsidR="00404266" w:rsidRPr="00727128" w:rsidRDefault="00727128"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CAPÍTULO 1</w:t>
      </w:r>
    </w:p>
    <w:p w14:paraId="5704BBC2" w14:textId="6DACCC7F" w:rsidR="00404266" w:rsidRPr="00727128" w:rsidRDefault="00727128"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ÁMBITO DE APLICACIÓN</w:t>
      </w:r>
    </w:p>
    <w:p w14:paraId="0C15569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68" w:name="ver_30105855"/>
      <w:bookmarkStart w:id="1969" w:name="ver_30105854"/>
      <w:bookmarkEnd w:id="1968"/>
    </w:p>
    <w:p w14:paraId="29A72623" w14:textId="68176B9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2.17.2.1.1.Régimen de Inversiones Internacionales. El Régimen de Inversiones Internacionales del país contenido en el presente título regula el régimen de la inversión de capitales del exterior en Colombia y de las inversiones colombianas en el exterior.  </w:t>
      </w:r>
    </w:p>
    <w:p w14:paraId="5C3B289E" w14:textId="77777777" w:rsidR="00727128" w:rsidRDefault="00727128" w:rsidP="00C32F85">
      <w:pPr>
        <w:spacing w:after="0" w:line="254" w:lineRule="atLeast"/>
        <w:jc w:val="both"/>
        <w:rPr>
          <w:rFonts w:ascii="Arial" w:eastAsia="Times New Roman" w:hAnsi="Arial" w:cs="Arial"/>
          <w:color w:val="000000"/>
          <w:lang w:eastAsia="es-CO"/>
        </w:rPr>
      </w:pPr>
    </w:p>
    <w:p w14:paraId="0C6ED34D" w14:textId="5573F2E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Todas las disposiciones en materia de inversiones internacionales deberán ceñirse a las prescripciones contenidas en este título, sin perjuicio de lo pactado en los tratados o convenios internacionales vigentes.  </w:t>
      </w:r>
    </w:p>
    <w:p w14:paraId="51935203" w14:textId="77777777" w:rsidR="00727128" w:rsidRDefault="00727128" w:rsidP="00C32F85">
      <w:pPr>
        <w:spacing w:after="0" w:line="254" w:lineRule="atLeast"/>
        <w:jc w:val="both"/>
        <w:rPr>
          <w:rFonts w:ascii="Arial" w:eastAsia="Times New Roman" w:hAnsi="Arial" w:cs="Arial"/>
          <w:color w:val="000000"/>
          <w:lang w:eastAsia="es-CO"/>
        </w:rPr>
      </w:pPr>
    </w:p>
    <w:p w14:paraId="12ACE87F" w14:textId="649209E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se consideran como inversiones internacionales sujetas al presente título:  </w:t>
      </w:r>
    </w:p>
    <w:p w14:paraId="6A0BF165" w14:textId="77777777" w:rsidR="00727128" w:rsidRDefault="00727128" w:rsidP="00C32F85">
      <w:pPr>
        <w:spacing w:after="0" w:line="254" w:lineRule="atLeast"/>
        <w:jc w:val="both"/>
        <w:rPr>
          <w:rFonts w:ascii="Arial" w:eastAsia="Times New Roman" w:hAnsi="Arial" w:cs="Arial"/>
          <w:color w:val="000000"/>
          <w:lang w:eastAsia="es-CO"/>
        </w:rPr>
      </w:pPr>
    </w:p>
    <w:p w14:paraId="0E601A78" w14:textId="1BBE2E8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inversión de capitales del exterior en el país, por parte de no residentes en Colombia, y  </w:t>
      </w:r>
    </w:p>
    <w:p w14:paraId="7FDE4E1E" w14:textId="77777777" w:rsidR="00727128" w:rsidRDefault="00727128" w:rsidP="00C32F85">
      <w:pPr>
        <w:spacing w:after="0" w:line="254" w:lineRule="atLeast"/>
        <w:jc w:val="both"/>
        <w:rPr>
          <w:rFonts w:ascii="Arial" w:eastAsia="Times New Roman" w:hAnsi="Arial" w:cs="Arial"/>
          <w:color w:val="000000"/>
          <w:lang w:eastAsia="es-CO"/>
        </w:rPr>
      </w:pPr>
    </w:p>
    <w:p w14:paraId="17E42844" w14:textId="67388F4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inversiones realizadas por un residente del país en el extranjero.  </w:t>
      </w:r>
    </w:p>
    <w:p w14:paraId="3EC64B05" w14:textId="77777777" w:rsidR="00727128" w:rsidRDefault="00727128" w:rsidP="00C32F85">
      <w:pPr>
        <w:spacing w:after="0" w:line="254" w:lineRule="atLeast"/>
        <w:jc w:val="both"/>
        <w:rPr>
          <w:rFonts w:ascii="Arial" w:eastAsia="Times New Roman" w:hAnsi="Arial" w:cs="Arial"/>
          <w:color w:val="000000"/>
          <w:lang w:eastAsia="es-CO"/>
        </w:rPr>
      </w:pPr>
    </w:p>
    <w:p w14:paraId="26E974CC" w14:textId="0E67CA3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Se entiende por residente y no residente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2.17.1.2.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y las demás normas que lo modifiquen, sustituyan o adicionen.  </w:t>
      </w:r>
    </w:p>
    <w:p w14:paraId="1638FFDC" w14:textId="77777777" w:rsidR="00727128" w:rsidRDefault="00727128" w:rsidP="00C32F85">
      <w:pPr>
        <w:spacing w:after="0" w:line="293" w:lineRule="atLeast"/>
        <w:jc w:val="both"/>
        <w:rPr>
          <w:rFonts w:ascii="Arial" w:eastAsia="Times New Roman" w:hAnsi="Arial" w:cs="Arial"/>
          <w:color w:val="000000"/>
          <w:lang w:eastAsia="es-CO"/>
        </w:rPr>
      </w:pPr>
      <w:bookmarkStart w:id="1970" w:name="ver_30105857"/>
      <w:bookmarkEnd w:id="1969"/>
      <w:bookmarkEnd w:id="1970"/>
    </w:p>
    <w:p w14:paraId="0A1AF1D6" w14:textId="0C2C2FF8"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CAPÍTULO 2</w:t>
      </w:r>
    </w:p>
    <w:p w14:paraId="46BC4A80" w14:textId="23BC4855" w:rsidR="00404266"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RÉGIMEN GENERAL DE LA INVERSIÓN DE CAPITALES DEL EXTERIOR EN COLOMBIA</w:t>
      </w:r>
    </w:p>
    <w:p w14:paraId="092F9B35" w14:textId="77777777" w:rsidR="00727128" w:rsidRPr="00727128" w:rsidRDefault="00727128" w:rsidP="00727128">
      <w:pPr>
        <w:spacing w:after="0" w:line="293" w:lineRule="atLeast"/>
        <w:jc w:val="center"/>
        <w:rPr>
          <w:rFonts w:ascii="Arial" w:eastAsia="Times New Roman" w:hAnsi="Arial" w:cs="Arial"/>
          <w:b/>
          <w:bCs/>
          <w:color w:val="000000"/>
          <w:lang w:eastAsia="es-CO"/>
        </w:rPr>
      </w:pPr>
    </w:p>
    <w:p w14:paraId="4082ED56" w14:textId="77777777"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SECCIÓN 1</w:t>
      </w:r>
    </w:p>
    <w:p w14:paraId="79D7D81A" w14:textId="77777777"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PRINCIPIO GENERAL Y DEFINICIONES</w:t>
      </w:r>
    </w:p>
    <w:p w14:paraId="1D714F7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71" w:name="ver_30105859"/>
      <w:bookmarkStart w:id="1972" w:name="ver_30105858"/>
      <w:bookmarkEnd w:id="1971"/>
    </w:p>
    <w:p w14:paraId="1F03275C" w14:textId="4CA8F9B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2.17.2.2.1.1.Principio de igualdad en el trato. La inversión de capitales del exterior en Colombia será tratada para todos los efectos, de igual forma que la inversión de residentes.  </w:t>
      </w:r>
    </w:p>
    <w:p w14:paraId="033C5D04" w14:textId="77777777" w:rsidR="00727128" w:rsidRDefault="00727128" w:rsidP="00C32F85">
      <w:pPr>
        <w:spacing w:after="0" w:line="254" w:lineRule="atLeast"/>
        <w:jc w:val="both"/>
        <w:rPr>
          <w:rFonts w:ascii="Arial" w:eastAsia="Times New Roman" w:hAnsi="Arial" w:cs="Arial"/>
          <w:color w:val="000000"/>
          <w:lang w:eastAsia="es-CO"/>
        </w:rPr>
      </w:pPr>
    </w:p>
    <w:p w14:paraId="5709A9B2" w14:textId="0777351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y sin perjuicio de lo establecido en regímenes especiales, no se podrán fijar condiciones o tratamientos discriminatorios a los inversionistas de capitales del exterior frente a los inversionistas residentes, ni tampoco conceder a los inversionistas de capitales del exterior ningún tratamiento más favorable que el que se otorga a los inversionistas residentes.  </w:t>
      </w:r>
    </w:p>
    <w:p w14:paraId="568392B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73" w:name="ver_30105861"/>
      <w:bookmarkStart w:id="1974" w:name="ver_30105860"/>
      <w:bookmarkEnd w:id="1972"/>
      <w:bookmarkEnd w:id="1973"/>
    </w:p>
    <w:p w14:paraId="109F516B" w14:textId="35A097A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2.17.2.2.1.2.Definiciones sobre la inversión de capitales del exterior. Se define como inversión de capitales del exterior en Colombia, aquella que se realice sobre los activos que se indican a continuación, siempre que hayan sido adquiridos por un no residente a cualquier título, en virtud de un acto, contrato u operación lícita, sujeto a los términos y condiciones previstos en el presente título y las demás normas que rigen la materia.  </w:t>
      </w:r>
    </w:p>
    <w:p w14:paraId="6CE7A9A0"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4B0323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Son inversiones de capitales del exterior, la inversión directa y la inversión de portafolio.  </w:t>
      </w:r>
    </w:p>
    <w:p w14:paraId="08164C81" w14:textId="77777777" w:rsidR="00727128" w:rsidRDefault="00727128" w:rsidP="00C32F85">
      <w:pPr>
        <w:spacing w:after="0" w:line="254" w:lineRule="atLeast"/>
        <w:jc w:val="both"/>
        <w:rPr>
          <w:rFonts w:ascii="Arial" w:eastAsia="Times New Roman" w:hAnsi="Arial" w:cs="Arial"/>
          <w:color w:val="000000"/>
          <w:lang w:eastAsia="es-CO"/>
        </w:rPr>
      </w:pPr>
    </w:p>
    <w:p w14:paraId="5272F738" w14:textId="4EAE198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Se considera inversión directa la que se realice sobre cualquiera de los siguientes activos:  </w:t>
      </w:r>
    </w:p>
    <w:p w14:paraId="38D862CE" w14:textId="77777777" w:rsidR="00727128" w:rsidRDefault="00727128" w:rsidP="00C32F85">
      <w:pPr>
        <w:spacing w:after="0" w:line="254" w:lineRule="atLeast"/>
        <w:jc w:val="both"/>
        <w:rPr>
          <w:rFonts w:ascii="Arial" w:eastAsia="Times New Roman" w:hAnsi="Arial" w:cs="Arial"/>
          <w:color w:val="000000"/>
          <w:lang w:eastAsia="es-CO"/>
        </w:rPr>
      </w:pPr>
    </w:p>
    <w:p w14:paraId="1F830B65" w14:textId="4B55DB53"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 Las participaciones, en cualquier proporción, en el capital de una empresa residente en Colombia, en acciones, cuotas sociales, aportes representativos de capital, o bonos obligatoriamente convertibles en acciones, siempre y cuando estos no se encuentren inscritos en el Registro Nacional de Valores y Emisores (RNVE), o en un Sistema de Cotización de Valores del Extranjero, de acuerdo con el Capítulo 1 del Título 6 del Libro 15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37CBE3A2" w14:textId="77777777" w:rsidR="00612536" w:rsidRPr="002C1480" w:rsidRDefault="00612536" w:rsidP="00C32F85">
      <w:pPr>
        <w:spacing w:after="0" w:line="254" w:lineRule="atLeast"/>
        <w:jc w:val="both"/>
        <w:rPr>
          <w:rFonts w:ascii="Arial" w:eastAsia="Times New Roman" w:hAnsi="Arial" w:cs="Arial"/>
          <w:color w:val="000000"/>
          <w:lang w:eastAsia="es-CO"/>
        </w:rPr>
      </w:pPr>
    </w:p>
    <w:p w14:paraId="0158D2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Las participaciones mencionadas en el ordinal anterior, realizadas en una sociedad residente en Colombia y que se encuentren inscritas en el Registro Nacional de Valores y Emisores (RNVE), cuando el inversionista declare que han sido adquiridas con ánimo de permanencia;  </w:t>
      </w:r>
    </w:p>
    <w:p w14:paraId="78CB1AAE" w14:textId="77777777" w:rsidR="00727128" w:rsidRDefault="00727128" w:rsidP="00C32F85">
      <w:pPr>
        <w:spacing w:after="0" w:line="254" w:lineRule="atLeast"/>
        <w:jc w:val="both"/>
        <w:rPr>
          <w:rFonts w:ascii="Arial" w:eastAsia="Times New Roman" w:hAnsi="Arial" w:cs="Arial"/>
          <w:color w:val="000000"/>
          <w:lang w:eastAsia="es-CO"/>
        </w:rPr>
      </w:pPr>
    </w:p>
    <w:p w14:paraId="47896935" w14:textId="60535AB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iii) Los derechos o participaciones en negocios fiduciarios celebrados con sociedades fiduciarias sometidas a la inspección y vigilancia de la Superintendencia Financiera de Colombia, cuyo objeto no se constituya en lo señalado en el literal b)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71E186AC" w14:textId="77777777" w:rsidR="00727128" w:rsidRDefault="00727128" w:rsidP="00C32F85">
      <w:pPr>
        <w:spacing w:after="0" w:line="254" w:lineRule="atLeast"/>
        <w:jc w:val="both"/>
        <w:rPr>
          <w:rFonts w:ascii="Arial" w:eastAsia="Times New Roman" w:hAnsi="Arial" w:cs="Arial"/>
          <w:color w:val="000000"/>
          <w:lang w:eastAsia="es-CO"/>
        </w:rPr>
      </w:pPr>
    </w:p>
    <w:p w14:paraId="7D95F2CA" w14:textId="22CB720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iv) Los inmuebles ubicados en el país, adquiridos a cualquier título, bien sea directamente o mediante la celebración de negocios fiduciarios, o como resultado de un proceso de titularización inmobiliaria de un inmueble o de proyectos de construcción, y siempre que el título respectivo no se encuentre inscrito en el Registro Nacional de Valores y Emisores (RNVE);  </w:t>
      </w:r>
    </w:p>
    <w:p w14:paraId="3EE65306" w14:textId="77777777" w:rsidR="00727128" w:rsidRDefault="00727128" w:rsidP="00C32F85">
      <w:pPr>
        <w:spacing w:after="0" w:line="254" w:lineRule="atLeast"/>
        <w:jc w:val="both"/>
        <w:rPr>
          <w:rFonts w:ascii="Arial" w:eastAsia="Times New Roman" w:hAnsi="Arial" w:cs="Arial"/>
          <w:color w:val="000000"/>
          <w:lang w:eastAsia="es-CO"/>
        </w:rPr>
      </w:pPr>
    </w:p>
    <w:p w14:paraId="7C902132" w14:textId="08B5BB7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 Las participaciones o derechos económicos derivados de actos o contratos, tales como los de colaboración, concesión, servicios de administración, licencia, consorcios o uniones temporales o aquellos que impliquen transferencia de tecnología, cuando estos no representen una participación en una sociedad y las rentas o ingresos que genere la inversión dependan de las utilidades de la empresa;  </w:t>
      </w:r>
    </w:p>
    <w:p w14:paraId="5EF34D84" w14:textId="77777777" w:rsidR="00727128" w:rsidRDefault="00727128" w:rsidP="00C32F85">
      <w:pPr>
        <w:spacing w:after="0" w:line="254" w:lineRule="atLeast"/>
        <w:jc w:val="both"/>
        <w:rPr>
          <w:rFonts w:ascii="Arial" w:eastAsia="Times New Roman" w:hAnsi="Arial" w:cs="Arial"/>
          <w:color w:val="000000"/>
          <w:lang w:eastAsia="es-CO"/>
        </w:rPr>
      </w:pPr>
    </w:p>
    <w:p w14:paraId="40567812" w14:textId="31E5FBA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vi) Las participaciones en el capital asignado e inversiones suplementarias al capital asignado de una sucursal de una sociedad extranjera establecida en el país;  </w:t>
      </w:r>
    </w:p>
    <w:p w14:paraId="70C8CD04" w14:textId="77777777" w:rsidR="00727128" w:rsidRDefault="00727128" w:rsidP="00C32F85">
      <w:pPr>
        <w:spacing w:after="0" w:line="254" w:lineRule="atLeast"/>
        <w:jc w:val="both"/>
        <w:rPr>
          <w:rFonts w:ascii="Arial" w:eastAsia="Times New Roman" w:hAnsi="Arial" w:cs="Arial"/>
          <w:color w:val="000000"/>
          <w:lang w:eastAsia="es-CO"/>
        </w:rPr>
      </w:pPr>
    </w:p>
    <w:p w14:paraId="50491C96" w14:textId="36F1AEB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vii) Las participaciones en fondos de capital privado de que trata el Libro Tercero de la Parte Tercera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las normas que lo modifiquen o sustituyan, se encuentren inscritas o no en el Registro Nacional de Valores y Emisores (RNVE); y  </w:t>
      </w:r>
    </w:p>
    <w:p w14:paraId="30702F94" w14:textId="77777777" w:rsidR="00727128" w:rsidRDefault="00727128" w:rsidP="00C32F85">
      <w:pPr>
        <w:spacing w:after="0" w:line="254" w:lineRule="atLeast"/>
        <w:jc w:val="both"/>
        <w:rPr>
          <w:rFonts w:ascii="Arial" w:eastAsia="Times New Roman" w:hAnsi="Arial" w:cs="Arial"/>
          <w:color w:val="000000"/>
          <w:lang w:eastAsia="es-CO"/>
        </w:rPr>
      </w:pPr>
    </w:p>
    <w:p w14:paraId="1FDA7C5D" w14:textId="626DFC2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viii) Los activos intangibles adquiridos con el propósito de ser utilizados para la obtención de un beneficio económico en el país.  </w:t>
      </w:r>
    </w:p>
    <w:p w14:paraId="123745F2" w14:textId="77777777" w:rsidR="00727128" w:rsidRDefault="00727128" w:rsidP="00C32F85">
      <w:pPr>
        <w:spacing w:after="0" w:line="254" w:lineRule="atLeast"/>
        <w:jc w:val="both"/>
        <w:rPr>
          <w:rFonts w:ascii="Arial" w:eastAsia="Times New Roman" w:hAnsi="Arial" w:cs="Arial"/>
          <w:color w:val="000000"/>
          <w:lang w:eastAsia="es-CO"/>
        </w:rPr>
      </w:pPr>
    </w:p>
    <w:p w14:paraId="1BE1B568" w14:textId="5ADE037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Se considera inversión de portafolio la que se realice sobre cualquiera de los siguientes activos:  </w:t>
      </w:r>
    </w:p>
    <w:p w14:paraId="57F109F9" w14:textId="77777777" w:rsidR="00727128" w:rsidRDefault="00727128" w:rsidP="00C32F85">
      <w:pPr>
        <w:spacing w:after="0" w:line="254" w:lineRule="atLeast"/>
        <w:jc w:val="both"/>
        <w:rPr>
          <w:rFonts w:ascii="Arial" w:eastAsia="Times New Roman" w:hAnsi="Arial" w:cs="Arial"/>
          <w:color w:val="000000"/>
          <w:lang w:eastAsia="es-CO"/>
        </w:rPr>
      </w:pPr>
    </w:p>
    <w:p w14:paraId="3CF92468" w14:textId="6D830F5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 Los valores inscritos en el Registro Nacional de Valores y Emisores (RNVE), o listados en Sistemas de Cotización de Valores del Extranjero, de acuerdo con el Capítulo 1 del Título 6 del Libro 15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excepto los mencionados en los ordinales ii) y vii) del literal a)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25728848" w14:textId="77777777" w:rsidR="00727128" w:rsidRDefault="00727128" w:rsidP="00C32F85">
      <w:pPr>
        <w:spacing w:after="0" w:line="254" w:lineRule="atLeast"/>
        <w:jc w:val="both"/>
        <w:rPr>
          <w:rFonts w:ascii="Arial" w:eastAsia="Times New Roman" w:hAnsi="Arial" w:cs="Arial"/>
          <w:color w:val="000000"/>
          <w:lang w:eastAsia="es-CO"/>
        </w:rPr>
      </w:pPr>
    </w:p>
    <w:p w14:paraId="3CF68A84" w14:textId="55186F4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ii) Las participaciones en fondos de inversión colectiva de que trata la Parte 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 norma que lo modifique o sustituya.  </w:t>
      </w:r>
    </w:p>
    <w:p w14:paraId="623EC815" w14:textId="77777777" w:rsidR="00727128" w:rsidRDefault="00727128" w:rsidP="00C32F85">
      <w:pPr>
        <w:spacing w:after="0" w:line="254" w:lineRule="atLeast"/>
        <w:jc w:val="both"/>
        <w:rPr>
          <w:rFonts w:ascii="Arial" w:eastAsia="Times New Roman" w:hAnsi="Arial" w:cs="Arial"/>
          <w:color w:val="000000"/>
          <w:lang w:eastAsia="es-CO"/>
        </w:rPr>
      </w:pPr>
    </w:p>
    <w:p w14:paraId="592CB089" w14:textId="35E30B8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iii) Las participaciones en programas de certificados de depósitos negociables representativos de valores.  </w:t>
      </w:r>
    </w:p>
    <w:p w14:paraId="227D55A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4BD85C" w14:textId="1D8EBFB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No constituyen inversión extranjera los créditos y operaciones que impliquen endeudamiento. Constituye infracción cambiaria la realización por residentes en el país de operaciones de endeudamiento externo con divisas que hayan sido declaradas como inversión extranjera.  </w:t>
      </w:r>
    </w:p>
    <w:p w14:paraId="085ECE5E"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21B82275" w14:textId="503A1D7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ningún caso, los negocios fiduciarios que realice un no residente en el país y que constituyan inversión extranjera, podrán tener por objeto el otorgamiento de crédito a residentes o no residentes, o servir como medio para eludir el cumplimiento de las regulaciones cambiarias adoptadas por la Junta Directiva del Banco de la República, incluyendo las relativas al endeudamiento externo. Lo anterior, sin perjuicio de lo autorizado en el parágrafo 2°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3.3.1.1.2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w:t>
      </w:r>
    </w:p>
    <w:p w14:paraId="300E9E9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E720FC" w14:textId="1FFBB22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Tratándose de las inversiones a las que se refiere el ordinal ii) del literal a) de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corresponderá al inversionista o su apoderado declarar al momento del registro respectivo si la misma se realiza con ánimo de permanencia y si, en consecuencia, esta califica como inversión directa. De lo contrario, la inversión deberá ser declarada y registrada como inversión de portafolio. En ningún caso, dicha declaración podrá ser utilizada o servir como medio para eludir el cumplimiento de las regulaciones cambiarias adoptadas por la Junta Directiva del Banco de la República o de los controles que establezca el Gobierno nacional en ejercicio de sus potestades legales y reglamentarias.  </w:t>
      </w:r>
    </w:p>
    <w:p w14:paraId="2CE92F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CB48D3" w14:textId="6727FB9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La adquisición por parte de un no residente, de la titularidad de activos ubicados en el país, en los términos establecidos en este Título, derivada de procesos de fusión, escisión, cesión de activos y pasivos, intercambio de acciones o reorganizaciones empresariales será considerada como inversión extranjera. En todo caso, el inversionista deberá informar sus participaciones en las empresas respectivas a la Unidad Administrativa Especial Dirección de Impuestos y Aduanas Nacionales (DIAN), y a la Superintendencia correspondiente, según le resulte aplicable a la actividad de la empresa o empresas. Esta obligación se entenderá surtida a través de la información del registro de la respectiva inversión ante el Banco de la República, quien la suministrará a las autoridades correspondientes, 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2.17.2.7.2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Lo anterior, sin perjuicio del deber de información previa de una operación de integración empresarial ante la autoridad correspondiente, en los casos en que las normas vigentes así lo requieran.  </w:t>
      </w:r>
    </w:p>
    <w:p w14:paraId="3149C2A4" w14:textId="77777777" w:rsidR="00727128" w:rsidRDefault="00727128" w:rsidP="00C32F85">
      <w:pPr>
        <w:spacing w:after="0" w:line="254" w:lineRule="atLeast"/>
        <w:jc w:val="both"/>
        <w:rPr>
          <w:rFonts w:ascii="Arial" w:eastAsia="Times New Roman" w:hAnsi="Arial" w:cs="Arial"/>
          <w:color w:val="000000"/>
          <w:lang w:eastAsia="es-CO"/>
        </w:rPr>
      </w:pPr>
    </w:p>
    <w:p w14:paraId="79B57D0C" w14:textId="381FA6A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4°. Para efectos del presente título se entiende por empresa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25 del Código de Comercio, así como las sociedades, los consorcios, las uniones temporales, las entidades sin ánimo de lucro y las entidades de naturaleza cooperativa.  </w:t>
      </w:r>
    </w:p>
    <w:p w14:paraId="3E5CC31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75" w:name="ver_30105863"/>
      <w:bookmarkStart w:id="1976" w:name="ver_30105862"/>
      <w:bookmarkEnd w:id="1974"/>
      <w:bookmarkEnd w:id="1975"/>
    </w:p>
    <w:p w14:paraId="07B5E2DD" w14:textId="16C4231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2.17.2.2.1.3.Inversión directa en sucursales de sociedades extranjeras. Las sucursales de sociedades extranjeras podrán registrar como inversión extranjera directa las disponibilidades de capital en forma de divisas que permanezcan en la cuenta corriente contable que mantengan con la casa matriz durante la vigencia anual a la que correspondan sus utilidades. El valor en divisas de estas disponibilidades deberá ser incluido en una cuenta especial que se denominará en el balance de la sucursal como inversiones suplementarias al capital asignado y quedará sujeto al régimen cambiario que se aplica a dicho capital asignado. En ningún caso las sucursales podrán tener saldos negativos por concepto de inversión suplementaria al capital asignado.  </w:t>
      </w:r>
    </w:p>
    <w:p w14:paraId="67CCFC0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DED2D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exceptúan de lo anterior, las sucursales de sociedades extranjeras de los sectores de hidrocarburos y minería, sujetas al régimen cambiario especial establecido por la Junta Directiva del Banco de la República, las cuales podrán contabilizar como inversión suplementaria al capital asignado, además de las disponibilidades de divisas, las disponibilidades de capital en forma de bienes o servicios. Estas sucursales podrán tener saldos negativos por concepto de inversión suplementaria al capital asignado. </w:t>
      </w:r>
    </w:p>
    <w:p w14:paraId="034A5FC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77" w:name="ver_30105864"/>
      <w:bookmarkEnd w:id="1976"/>
      <w:bookmarkEnd w:id="1977"/>
    </w:p>
    <w:p w14:paraId="574A45B7" w14:textId="47C731E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2.17.2.2.1.4.Operaciones adicionales autorizadas en la inversión de capitales del exterior. Los inversionistas de capitales del exterior están autorizados para realizar, en los mismos términos, condiciones y utilizando los mismos canales e intermediarios que los inversionistas locales, las operaciones del mercado monetario a las que se refieren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s 2.36.3.1.1, 2.36.3.1.2 y 2.36.3.1.3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o las normas que lo modifiquen o sustituyan, o constituir las garantías que se requieran para el efecto.  </w:t>
      </w:r>
    </w:p>
    <w:p w14:paraId="57615C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1AA50F" w14:textId="23E8879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De igual forma, podrán realizar operaciones con instrumentos financieros derivados y constituir las respectivas garantías; así como constituir las garantías requeridas para el cumplimiento de las operaciones aceptadas por una Cámara de Riesgo Central de Contraparte sometida a la inspección y vigilancia de la Superintendencia Financiera de Colombia; al igual que la realización de las actividades y el cumplimiento de las obligaciones a su cargo ante los miembros de la referida Cámara a través de los cuales participen en la compensación y liquidación y ante tales cámaras, de conformidad con lo establecido en los respectivos reglamentos.  </w:t>
      </w:r>
    </w:p>
    <w:p w14:paraId="2AA62EC8" w14:textId="77777777" w:rsidR="00612536" w:rsidRPr="002C1480" w:rsidRDefault="00612536" w:rsidP="00C32F85">
      <w:pPr>
        <w:spacing w:after="0" w:line="254" w:lineRule="atLeast"/>
        <w:jc w:val="both"/>
        <w:rPr>
          <w:rFonts w:ascii="Arial" w:eastAsia="Times New Roman" w:hAnsi="Arial" w:cs="Arial"/>
          <w:color w:val="000000"/>
          <w:lang w:eastAsia="es-CO"/>
        </w:rPr>
      </w:pPr>
    </w:p>
    <w:p w14:paraId="123B017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Finalmente, los inversionistas de capitales del exterior podrán mantener los recursos necesarios para la liquidación de las operaciones a ellos autorizadas o para la constitución y ajuste de las respectivas garantías en cuentas corrientes, cuentas de ahorro o en cualquier otro mecanismo o para cualquier otra destinación que se autorice para el efecto en los términos de la regulación cambiaria.  </w:t>
      </w:r>
    </w:p>
    <w:p w14:paraId="28F44066" w14:textId="77777777" w:rsidR="00727128" w:rsidRDefault="00727128" w:rsidP="00C32F85">
      <w:pPr>
        <w:spacing w:after="0" w:line="254" w:lineRule="atLeast"/>
        <w:jc w:val="both"/>
        <w:rPr>
          <w:rFonts w:ascii="Arial" w:eastAsia="Times New Roman" w:hAnsi="Arial" w:cs="Arial"/>
          <w:color w:val="000000"/>
          <w:lang w:eastAsia="es-CO"/>
        </w:rPr>
      </w:pPr>
    </w:p>
    <w:p w14:paraId="13CB1572" w14:textId="20F66E5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2.17.2.2.1.5.Inversionista de capitales del exterior. Se considera inversionista de capitales del exterior a toda persona natural o jurídica u otras entidades no residentes conforme con la definición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titulares de una inversión extranjera directa o de portafolio en los términos previstos en el presente Título. </w:t>
      </w:r>
    </w:p>
    <w:p w14:paraId="35E9389A" w14:textId="77777777" w:rsidR="00727128" w:rsidRDefault="00727128" w:rsidP="00C32F85">
      <w:pPr>
        <w:spacing w:after="0" w:line="293" w:lineRule="atLeast"/>
        <w:jc w:val="both"/>
        <w:rPr>
          <w:rFonts w:ascii="Arial" w:eastAsia="Times New Roman" w:hAnsi="Arial" w:cs="Arial"/>
          <w:color w:val="000000"/>
          <w:lang w:eastAsia="es-CO"/>
        </w:rPr>
      </w:pPr>
      <w:bookmarkStart w:id="1978" w:name="ver_30105866"/>
      <w:bookmarkEnd w:id="1978"/>
    </w:p>
    <w:p w14:paraId="7D5BFDEA" w14:textId="2D2314FF"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SECCIÓN 2</w:t>
      </w:r>
    </w:p>
    <w:p w14:paraId="4D2903BA" w14:textId="77777777"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DESTINACIÓN, AUTORIZACIÓN Y REPRESENTACIÓN</w:t>
      </w:r>
    </w:p>
    <w:p w14:paraId="1CF9272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79" w:name="ver_30105868"/>
      <w:bookmarkStart w:id="1980" w:name="ver_30105867"/>
      <w:bookmarkEnd w:id="1979"/>
    </w:p>
    <w:p w14:paraId="1D5EEC31" w14:textId="48776E8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2.17.2.2.2.1.Destinación. Podrán realizarse inversiones de capitales del exterior en todos los sectores de la economía, con excepción de los siguientes ya sea directa o por interpuesta persona:  </w:t>
      </w:r>
    </w:p>
    <w:p w14:paraId="1F566709" w14:textId="77777777" w:rsidR="00727128" w:rsidRDefault="00727128" w:rsidP="00C32F85">
      <w:pPr>
        <w:spacing w:after="0" w:line="254" w:lineRule="atLeast"/>
        <w:jc w:val="both"/>
        <w:rPr>
          <w:rFonts w:ascii="Arial" w:eastAsia="Times New Roman" w:hAnsi="Arial" w:cs="Arial"/>
          <w:color w:val="000000"/>
          <w:lang w:eastAsia="es-CO"/>
        </w:rPr>
      </w:pPr>
    </w:p>
    <w:p w14:paraId="5D97C70D" w14:textId="3B64A68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Actividades de defensa y seguridad nacional;  </w:t>
      </w:r>
    </w:p>
    <w:p w14:paraId="457A2EB4" w14:textId="77777777" w:rsidR="00727128" w:rsidRDefault="00727128" w:rsidP="00C32F85">
      <w:pPr>
        <w:spacing w:after="0" w:line="254" w:lineRule="atLeast"/>
        <w:jc w:val="both"/>
        <w:rPr>
          <w:rFonts w:ascii="Arial" w:eastAsia="Times New Roman" w:hAnsi="Arial" w:cs="Arial"/>
          <w:color w:val="000000"/>
          <w:lang w:eastAsia="es-CO"/>
        </w:rPr>
      </w:pPr>
    </w:p>
    <w:p w14:paraId="22BC20DB" w14:textId="50BB88C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Procesamiento, disposición y desecho de basuras tóxicas, peligrosas o radiactivas no producidas en el país. </w:t>
      </w:r>
    </w:p>
    <w:p w14:paraId="4C33EDB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81" w:name="ver_30105869"/>
      <w:bookmarkEnd w:id="1980"/>
      <w:bookmarkEnd w:id="1981"/>
    </w:p>
    <w:p w14:paraId="7F336875" w14:textId="786E069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2.17.2.2.2.2.Autorización. Salvo lo previsto en normas especiales contempladas en el presente título, la realización de una inversión extranjera no requiere autorización. </w:t>
      </w:r>
    </w:p>
    <w:p w14:paraId="01D661BC" w14:textId="77777777" w:rsidR="00727128" w:rsidRDefault="00727128" w:rsidP="00C32F85">
      <w:pPr>
        <w:spacing w:after="0" w:line="254" w:lineRule="atLeast"/>
        <w:jc w:val="both"/>
        <w:rPr>
          <w:rFonts w:ascii="Arial" w:eastAsia="Times New Roman" w:hAnsi="Arial" w:cs="Arial"/>
          <w:color w:val="000000"/>
          <w:lang w:eastAsia="es-CO"/>
        </w:rPr>
      </w:pPr>
    </w:p>
    <w:p w14:paraId="1088A189" w14:textId="187008C5"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2.17.2.2.2.3.Representación de inversionistas de capitales del exterior. Los inversionistas de capitales del exterior deberán nombrar un apoderado en Colombia, de acuerdo con los términos previstos en la legislación colombiana. El inversionista podrá nombrar un apoderado diferente para cada una de sus inversiones. En los casos en que exista más de un apoderado, cada uno deberá cumplir con las obligaciones aquí establecidas respecto de las inversiones en las que actúa como apoderado.  </w:t>
      </w:r>
    </w:p>
    <w:p w14:paraId="1D0D37A2"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64A9B88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Toda inversión de capitales del exterior de portafolio se hará por medio de un administrador quien para los efectos de este Título, actuará como apoderado.  </w:t>
      </w:r>
    </w:p>
    <w:p w14:paraId="5E199A0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3760E7" w14:textId="69A6C58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Solamente podrán ser apoderados de la inversión de capitales del exterior de portafolio las sociedades comisionistas de bolsa, las sociedades fiduciarias o las sociedades administradoras de inversión, sometidas a la inspección y vigilancia de la Superintendencia Financiera de Colombia. En el caso de las sociedades fiduciarias que tengan autorizada la actividad de custodia a que se refiere el Libro 37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y las normas que lo modifiquen, adicionen o sustituyan, dichas entidades podrán ser apoderados de inversionistas de capitales de portafolio en calidad de custodios y bajo las normas que regulan la referida actividad.  </w:t>
      </w:r>
    </w:p>
    <w:p w14:paraId="428D4DA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E8709C" w14:textId="1F1C06AD"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todo caso, la entidad designada como apoderado de una inversión de capitales de portafolio deberá cumplir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2.37.1.1.5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 norma que lo modifique o sustituya.  </w:t>
      </w:r>
    </w:p>
    <w:p w14:paraId="1138DB40"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0D34D6F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apoderados de inversionistas de capitales de portafolio deberán cumplir con las siguientes obligaciones, sin perjuicio de las demás que deba cumplir de conformidad con las normas que los rigen:  </w:t>
      </w:r>
    </w:p>
    <w:p w14:paraId="29212D2F" w14:textId="77777777" w:rsidR="00727128" w:rsidRDefault="00727128" w:rsidP="00C32F85">
      <w:pPr>
        <w:spacing w:after="0" w:line="254" w:lineRule="atLeast"/>
        <w:jc w:val="both"/>
        <w:rPr>
          <w:rFonts w:ascii="Arial" w:eastAsia="Times New Roman" w:hAnsi="Arial" w:cs="Arial"/>
          <w:color w:val="000000"/>
          <w:lang w:eastAsia="es-CO"/>
        </w:rPr>
      </w:pPr>
    </w:p>
    <w:p w14:paraId="3F273704" w14:textId="4D3FF18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tributarias;  </w:t>
      </w:r>
    </w:p>
    <w:p w14:paraId="3DF7D4AD" w14:textId="77777777" w:rsidR="00727128" w:rsidRDefault="00727128" w:rsidP="00C32F85">
      <w:pPr>
        <w:spacing w:after="0" w:line="254" w:lineRule="atLeast"/>
        <w:jc w:val="both"/>
        <w:rPr>
          <w:rFonts w:ascii="Arial" w:eastAsia="Times New Roman" w:hAnsi="Arial" w:cs="Arial"/>
          <w:color w:val="000000"/>
          <w:lang w:eastAsia="es-CO"/>
        </w:rPr>
      </w:pPr>
    </w:p>
    <w:p w14:paraId="5E766F44" w14:textId="78CF262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cambiarias;  </w:t>
      </w:r>
    </w:p>
    <w:p w14:paraId="04F9D0C5" w14:textId="77777777" w:rsidR="00727128" w:rsidRDefault="00727128" w:rsidP="00C32F85">
      <w:pPr>
        <w:spacing w:after="0" w:line="254" w:lineRule="atLeast"/>
        <w:jc w:val="both"/>
        <w:rPr>
          <w:rFonts w:ascii="Arial" w:eastAsia="Times New Roman" w:hAnsi="Arial" w:cs="Arial"/>
          <w:color w:val="000000"/>
          <w:lang w:eastAsia="es-CO"/>
        </w:rPr>
      </w:pPr>
    </w:p>
    <w:p w14:paraId="0097633E" w14:textId="67A6CC5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de información que deba suministrar a las autoridades cambiarias o de inspección, vigilancia y control;  </w:t>
      </w:r>
    </w:p>
    <w:p w14:paraId="42679580" w14:textId="77777777" w:rsidR="00727128" w:rsidRDefault="00727128" w:rsidP="00C32F85">
      <w:pPr>
        <w:spacing w:after="0" w:line="254" w:lineRule="atLeast"/>
        <w:jc w:val="both"/>
        <w:rPr>
          <w:rFonts w:ascii="Arial" w:eastAsia="Times New Roman" w:hAnsi="Arial" w:cs="Arial"/>
          <w:color w:val="000000"/>
          <w:lang w:eastAsia="es-CO"/>
        </w:rPr>
      </w:pPr>
    </w:p>
    <w:p w14:paraId="4AC6E557" w14:textId="7ECABAA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Las demás que señale la autoridad de inspección, vigilancia y control en ejercicio de sus facultades.  </w:t>
      </w:r>
    </w:p>
    <w:p w14:paraId="4B590DB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26F8231" w14:textId="156F02C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Parágrafo 1°. Cuando se trate de operaciones trasnacionales realizadas en desarrollo de acuerdos de integración de bolsas de valores de que trata el Capítulo 2 del Título 6 del Libro 15 de la Parte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 norma que lo modifique o sustituya, los depósitos centralizados de valores locales cumplirán las obligaciones de registro o información que sean del caso, de conformidad con lo exigido por el Banco de la República y la Superintendencia Financiera de Colombia. Las demás obligaciones deberán ser cumplidas por el apoderado designado.  </w:t>
      </w:r>
    </w:p>
    <w:p w14:paraId="7AE2566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81AC8D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En el evento que los apoderados de inversión de capitales del exterior deban presentar declaraciones tributarias en nombre y por cuenta de sus poderdantes, el régimen de responsabilidad corresponderá al previsto en las normas tributarias aplicables.  </w:t>
      </w:r>
    </w:p>
    <w:p w14:paraId="4D75800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82" w:name="ver_30105871"/>
      <w:bookmarkEnd w:id="1982"/>
    </w:p>
    <w:p w14:paraId="2FBE6584" w14:textId="7ED21F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2.17.2.2.2.4.Control de límites en la inversión de capitales del exterior. El inversionista será responsable de dar cumplimiento a cualquier norma relacionada con límites aplicables a las inversiones que realiza, tales como el previsto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6.15.2.1.1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o las normas que lo modifiquen o sustituyan, con independencia de tener varios apoderados. En caso de que los apoderados requieran información que sea indispensable para el adecuado cumplimiento de sus obligaciones, el inversionista deberá suministrar la información que sea necesaria para el efecto. </w:t>
      </w:r>
    </w:p>
    <w:p w14:paraId="7B6A5F21" w14:textId="77777777" w:rsidR="00727128" w:rsidRDefault="00727128" w:rsidP="00C32F85">
      <w:pPr>
        <w:spacing w:after="0" w:line="293" w:lineRule="atLeast"/>
        <w:jc w:val="both"/>
        <w:rPr>
          <w:rFonts w:ascii="Arial" w:eastAsia="Times New Roman" w:hAnsi="Arial" w:cs="Arial"/>
          <w:color w:val="000000"/>
          <w:lang w:eastAsia="es-CO"/>
        </w:rPr>
      </w:pPr>
      <w:bookmarkStart w:id="1983" w:name="ver_30105872"/>
      <w:bookmarkEnd w:id="1983"/>
    </w:p>
    <w:p w14:paraId="15A98DF0" w14:textId="28CA7EAC"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SECCIÓN 3</w:t>
      </w:r>
    </w:p>
    <w:p w14:paraId="24B6E623" w14:textId="77777777" w:rsidR="00404266" w:rsidRPr="00727128" w:rsidRDefault="00404266" w:rsidP="00727128">
      <w:pPr>
        <w:spacing w:after="0" w:line="293" w:lineRule="atLeast"/>
        <w:jc w:val="center"/>
        <w:rPr>
          <w:rFonts w:ascii="Arial" w:eastAsia="Times New Roman" w:hAnsi="Arial" w:cs="Arial"/>
          <w:b/>
          <w:bCs/>
          <w:color w:val="000000"/>
          <w:lang w:eastAsia="es-CO"/>
        </w:rPr>
      </w:pPr>
      <w:r w:rsidRPr="00727128">
        <w:rPr>
          <w:rFonts w:ascii="Arial" w:eastAsia="Times New Roman" w:hAnsi="Arial" w:cs="Arial"/>
          <w:b/>
          <w:bCs/>
          <w:color w:val="000000"/>
          <w:lang w:eastAsia="es-CO"/>
        </w:rPr>
        <w:t>DERECHOS CAMBIARIOS Y OTRAS GARANTÍAS</w:t>
      </w:r>
    </w:p>
    <w:p w14:paraId="146B75B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84" w:name="ver_30105874"/>
      <w:bookmarkStart w:id="1985" w:name="ver_30105873"/>
      <w:bookmarkEnd w:id="1984"/>
    </w:p>
    <w:p w14:paraId="7990D49C" w14:textId="74245D8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2.17.2.2.3.1.Derechos cambiarios. Efectuada la inversión de capitales del exterior en los términos establecidos en este título y presentada la declaración de registro de la inversión ante el Banco de la República en los términos y condiciones que establezca dicha entidad, el inversionista podrá ejercer los siguientes derechos cambiarios:  </w:t>
      </w:r>
    </w:p>
    <w:p w14:paraId="4D794DD1" w14:textId="77777777" w:rsidR="00727128" w:rsidRDefault="00727128" w:rsidP="00C32F85">
      <w:pPr>
        <w:spacing w:after="0" w:line="254" w:lineRule="atLeast"/>
        <w:jc w:val="both"/>
        <w:rPr>
          <w:rFonts w:ascii="Arial" w:eastAsia="Times New Roman" w:hAnsi="Arial" w:cs="Arial"/>
          <w:color w:val="000000"/>
          <w:lang w:eastAsia="es-CO"/>
        </w:rPr>
      </w:pPr>
    </w:p>
    <w:p w14:paraId="443955AA" w14:textId="5D02BF7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Reinvertir utilidades, o retener en el superávit las utilidades no distribuidas con derecho a giro;  </w:t>
      </w:r>
    </w:p>
    <w:p w14:paraId="5EF31642" w14:textId="77777777" w:rsidR="00727128" w:rsidRDefault="00727128" w:rsidP="00C32F85">
      <w:pPr>
        <w:spacing w:after="0" w:line="254" w:lineRule="atLeast"/>
        <w:jc w:val="both"/>
        <w:rPr>
          <w:rFonts w:ascii="Arial" w:eastAsia="Times New Roman" w:hAnsi="Arial" w:cs="Arial"/>
          <w:color w:val="000000"/>
          <w:lang w:eastAsia="es-CO"/>
        </w:rPr>
      </w:pPr>
    </w:p>
    <w:p w14:paraId="6698314C" w14:textId="60573F69"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Capitalizar las sumas con derecho a giro, que comprendan recursos en moneda nacional o cualquier otro bien o derecho, producto de obligaciones derivadas de la inversión;  </w:t>
      </w:r>
    </w:p>
    <w:p w14:paraId="0E2876E4"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77A828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Remitir al exterior en moneda libremente convertible las utilidades netas comprobadas que generen periódicamente sus inversiones, con base en los balances de fin de cada ejercicio social o con base en estos y el acto o contrato que rige el aporte cuando se trata de inversión directa, o con base en el cierre de cuentas del respectivo administrador cuando se trate de inversión de portafolio; y  </w:t>
      </w:r>
    </w:p>
    <w:p w14:paraId="45797A57" w14:textId="77777777" w:rsidR="00727128" w:rsidRDefault="00727128" w:rsidP="00C32F85">
      <w:pPr>
        <w:spacing w:after="0" w:line="254" w:lineRule="atLeast"/>
        <w:jc w:val="both"/>
        <w:rPr>
          <w:rFonts w:ascii="Arial" w:eastAsia="Times New Roman" w:hAnsi="Arial" w:cs="Arial"/>
          <w:color w:val="000000"/>
          <w:lang w:eastAsia="es-CO"/>
        </w:rPr>
      </w:pPr>
    </w:p>
    <w:p w14:paraId="09379AD1" w14:textId="66D7B2D8"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Remitir al exterior en moneda libremente convertible las sumas recibidas producto de la enajenación de la inversión dentro del país, o de la liquidación de la empresa o portafolio o de la reducción de su capital.  </w:t>
      </w:r>
    </w:p>
    <w:p w14:paraId="7BF4EA19" w14:textId="77777777" w:rsidR="00727128" w:rsidRPr="002C1480" w:rsidRDefault="00727128" w:rsidP="00C32F85">
      <w:pPr>
        <w:spacing w:after="0" w:line="254" w:lineRule="atLeast"/>
        <w:jc w:val="both"/>
        <w:rPr>
          <w:rFonts w:ascii="Arial" w:eastAsia="Times New Roman" w:hAnsi="Arial" w:cs="Arial"/>
          <w:color w:val="000000"/>
          <w:lang w:eastAsia="es-CO"/>
        </w:rPr>
      </w:pPr>
    </w:p>
    <w:p w14:paraId="353B01B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 dispuesto en el presente Título se entiende sin perjuicio de las facultades de la Junta Directiva del Banco de la República como autoridad monetaria, cambiaria y crediticia. </w:t>
      </w:r>
    </w:p>
    <w:p w14:paraId="48C4B48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86" w:name="ver_30105876"/>
      <w:bookmarkStart w:id="1987" w:name="ver_30105875"/>
      <w:bookmarkEnd w:id="1985"/>
      <w:bookmarkEnd w:id="1986"/>
    </w:p>
    <w:p w14:paraId="3D4E567E" w14:textId="30DE4A43"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2.17.2.2.3.2.Garantía de derechos cambiarios. Las condiciones de reembolso de la inversión y de la remisión de utilidades legalmente vigentes a la fecha del registro de la inversión de capitales del exterior, no podrán ser cambiadas de manera que afecten desfavorablemente al inversionista, salvo temporalmente cuando las reservas internacionales sean inferiores a tres (3) meses de importaciones. </w:t>
      </w:r>
    </w:p>
    <w:p w14:paraId="7DC1AC6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88" w:name="ver_30057882"/>
      <w:bookmarkEnd w:id="1987"/>
      <w:bookmarkEnd w:id="1988"/>
    </w:p>
    <w:p w14:paraId="09FF38B2" w14:textId="642DF7D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2.17.2.2.3.3. Registro. El inversionista de capital del exterior, o quien represente sus intereses, deberá registrar las inversiones iniciales o adicionales en el Banco de la República de acuerdo con el procedimiento que establezca esta entidad y conforme a los siguientes términos: </w:t>
      </w:r>
    </w:p>
    <w:p w14:paraId="1F2EB95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E890CA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inversiones directas y las inversiones de portafolio en divisas se registrarán con la presentación de la declaración de cambio correspondiente a su canalización a través del mercado cambiario; </w:t>
      </w:r>
    </w:p>
    <w:p w14:paraId="4AB8536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63F78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En el caso de las inversiones de capital del exterior de portafolio, los pagos asociados a las mismas podrán ser objeto de neteo, sin perjuicio de que las inversiones deban registrarse por su monto total, en los plazos y condiciones que establezca el Banco de la República. </w:t>
      </w:r>
    </w:p>
    <w:p w14:paraId="421C95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DB30C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Banco de la República podrá establecer los plazos y condiciones del registro de la inversión extranjera que se realice con ocasión de la implementación o funcionamiento de fondos de inversión colectiva bursátiles locales o extranjeras denominadas internacionalmente como “Exchange Traded Funds —ETF’s—”, y de programas sobre certificados de depósitos negociables representativos de valores, incluido el registro de las operaciones de inversión extranjera necesarias para la constitución y redención de los valores o participaciones emitidos por los mencionados fondos o por dichos programas; </w:t>
      </w:r>
    </w:p>
    <w:p w14:paraId="390046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93332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demás modalidades de inversión de capital del exterior se registrarán dentro de un plazo máximo de doce (12) meses contados a partir del momento en que se efectúe la inversión. Este registro se hará en los términos y condiciones que establezca el Banco de la República; </w:t>
      </w:r>
    </w:p>
    <w:p w14:paraId="5C1D4FD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8C65D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En el caso de la inversión suplementaria al capital asignado de sucursales de los sectores de hidrocarburos y minería sujeta al régimen cambiario especial establecido por la Junta Directiva del Banco de la República, el registro se efectuará con la presentación de la solicitud correspondiente, dentro de los seis (6) meses siguientes, contados a partir del cierre contable del período de realización de la inversión que para tal efecto determine el Banco de la República; </w:t>
      </w:r>
    </w:p>
    <w:p w14:paraId="042C8DB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44F1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 La sustitución de la inversión original, entendiéndose por tal, cambios en los titulares, en la destinación o en la empresa receptora de la misma, deberá registrarse en el Banco de la República. El registro se efectuará dentro de un plazo máximo de doce (12) meses contados a partir del momento en que se efectúe la sustitución. Este registro se hará en los términos y condiciones que establezca el Banco de la República. </w:t>
      </w:r>
    </w:p>
    <w:p w14:paraId="3BF972E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B948E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Deberán registrarse como inversión extranjera las sumas que el inversionista pague a la empresa receptora por prima en colocación de aportes. Si la sociedad decide hacer reparto de estas sumas recibidas deberá informar de ello al Banco de la República en los términos y condiciones que él establezca. </w:t>
      </w:r>
    </w:p>
    <w:p w14:paraId="3E2EA8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F153765" w14:textId="2D06CFC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Para efectos del ordinal v) del literal a)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2.17.2.2.1.2 del presente título, las sucursales de sociedades extranjeras podrán registrar como inversión extranjera directa las disponibilidades de capital en forma de divisas que permanezcan en la cuenta corriente que mantengan con la casa matriz durante la vigencia anual a la que correspondan sus utilidades, previa demostración de esta circunstancia ante el Banco de la República, conforme a la documentación que este exija. El valor en divisas de estas disponibilidades deberá ser incluido en una cuenta especial que se denominará en el balance de la sucursal como inversiones suplementarias al capital asignado y quedará sujeto al régimen cambiario que se aplica a dicho </w:t>
      </w:r>
      <w:r w:rsidRPr="002C1480">
        <w:rPr>
          <w:rFonts w:ascii="Arial" w:eastAsia="Times New Roman" w:hAnsi="Arial" w:cs="Arial"/>
          <w:color w:val="000000"/>
          <w:lang w:eastAsia="es-CO"/>
        </w:rPr>
        <w:lastRenderedPageBreak/>
        <w:t>capital asignado. En ningún caso las sucursales podrán tener saldos negativos por concepto de inversión suplementaria al capital asignado. </w:t>
      </w:r>
    </w:p>
    <w:p w14:paraId="0BFAD67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103471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exceptúan de lo anterior, las sucursales de sociedades extranjeras de los sectores de hidrocarburos y minería sujetas al régimen cambiario especial establecido por la Junta Directiva del Banco de la República, las cuales podrán contabilizar como inversión suplementaria al capital asignado, además de las disponibilidades de divisas, las disponibilidades de capital en forma de bienes o servicios. Estas sucursales podrán tener saldos negativos por concepto de inversión suplementaria al capital asignado. </w:t>
      </w:r>
    </w:p>
    <w:p w14:paraId="65CBE4D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A1827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El Banco de la República, de conformidad con lo previsto en el presente título, podrá establecer procedimientos especiales de registro teniendo en cuenta los mecanismos de transacción utilizados. </w:t>
      </w:r>
    </w:p>
    <w:p w14:paraId="6BBD1B0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0C1BC2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El Banco de la República se abstendrá de registrar las inversiones que se realicen en contravención de lo dispuesto en el presente título. </w:t>
      </w:r>
    </w:p>
    <w:p w14:paraId="335CB07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EB70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Tampoco se registrarán las inversiones cuando el interesado no presente la declaración de cambio correspondiente a su canalización como inversión a través del mercado cambiario. </w:t>
      </w:r>
    </w:p>
    <w:p w14:paraId="3441BE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2304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5. El incumplimiento del registro de la inversión extranjera, en la oportunidad y en las condiciones en que deba efectuarse, constituye infracción cambiaria. </w:t>
      </w:r>
    </w:p>
    <w:p w14:paraId="2F756D4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EE1FF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6. El Banco de la República podrá solicitar, dentro del plazo que estime pertinente, la actualización de la información que considere necesaria para efectos del seguimiento al registro de las inversiones extranjeras en Colombia. </w:t>
      </w:r>
    </w:p>
    <w:p w14:paraId="65992014" w14:textId="362B0A92" w:rsidR="00404266" w:rsidRPr="002C1480" w:rsidRDefault="00404266" w:rsidP="008945E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1989" w:name="ver_30057883"/>
      <w:bookmarkEnd w:id="1989"/>
    </w:p>
    <w:p w14:paraId="3E708C49" w14:textId="4CABD92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2.17.2.2.3.4. Régimen transitorio para el registro de las inversiones extranjeras directas, de portafolio e inversiones colombianas en el exterior. </w:t>
      </w:r>
    </w:p>
    <w:p w14:paraId="62AED43F" w14:textId="77777777" w:rsidR="008945EB" w:rsidRDefault="008945EB" w:rsidP="00C32F85">
      <w:pPr>
        <w:spacing w:after="0" w:line="254" w:lineRule="atLeast"/>
        <w:jc w:val="both"/>
        <w:rPr>
          <w:rFonts w:ascii="Arial" w:eastAsia="Times New Roman" w:hAnsi="Arial" w:cs="Arial"/>
          <w:color w:val="000000"/>
          <w:lang w:eastAsia="es-CO"/>
        </w:rPr>
      </w:pPr>
    </w:p>
    <w:p w14:paraId="7EC2B15F" w14:textId="2C415D8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registro de las inversiones extranjeras en Colombia efectuadas bajo la modalidad de importación de divisas cuya declaración de cambio se haya presentado con anterioridad al 29 de diciembre del 2010 para las siguientes operaciones: </w:t>
      </w:r>
    </w:p>
    <w:p w14:paraId="239A8777" w14:textId="77777777" w:rsidR="008945EB" w:rsidRDefault="008945EB" w:rsidP="00C32F85">
      <w:pPr>
        <w:spacing w:after="0" w:line="254" w:lineRule="atLeast"/>
        <w:jc w:val="both"/>
        <w:rPr>
          <w:rFonts w:ascii="Arial" w:eastAsia="Times New Roman" w:hAnsi="Arial" w:cs="Arial"/>
          <w:color w:val="000000"/>
          <w:lang w:eastAsia="es-CO"/>
        </w:rPr>
      </w:pPr>
    </w:p>
    <w:p w14:paraId="0E1B7616" w14:textId="6E573BB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 adquisición de derechos en patrimonios autónomos constituidos mediante contrato de fiducia mercantil bien sea como medio para desarrollar una empresa o para la compra, venta y administración de participaciones en empresas que no estén registradas en el Registro Nacional de Valores y Emisores RNVE. </w:t>
      </w:r>
    </w:p>
    <w:p w14:paraId="7B25A5D1" w14:textId="77777777" w:rsidR="008945EB" w:rsidRDefault="008945EB" w:rsidP="00C32F85">
      <w:pPr>
        <w:spacing w:after="0" w:line="254" w:lineRule="atLeast"/>
        <w:jc w:val="both"/>
        <w:rPr>
          <w:rFonts w:ascii="Arial" w:eastAsia="Times New Roman" w:hAnsi="Arial" w:cs="Arial"/>
          <w:color w:val="000000"/>
          <w:lang w:eastAsia="es-CO"/>
        </w:rPr>
      </w:pPr>
    </w:p>
    <w:p w14:paraId="4E8DE51C" w14:textId="68114F8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Los aportes que realice el inversionista mediante actos o contratos, tales como los de colaboración, concesión, servicios de administración, licencia o aquellos que impliquen transferencia de tecnología, cuando ello no represente una participación en una sociedad y las rentas que genere la inversión para su titular dependan de las utilidades de la empresa; </w:t>
      </w:r>
    </w:p>
    <w:p w14:paraId="349B491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44F38F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Se efectuará así: </w:t>
      </w:r>
    </w:p>
    <w:p w14:paraId="44062F0B" w14:textId="77777777" w:rsidR="008945EB" w:rsidRDefault="008945EB" w:rsidP="00C32F85">
      <w:pPr>
        <w:spacing w:after="0" w:line="254" w:lineRule="atLeast"/>
        <w:jc w:val="both"/>
        <w:rPr>
          <w:rFonts w:ascii="Arial" w:eastAsia="Times New Roman" w:hAnsi="Arial" w:cs="Arial"/>
          <w:color w:val="000000"/>
          <w:lang w:eastAsia="es-CO"/>
        </w:rPr>
      </w:pPr>
    </w:p>
    <w:p w14:paraId="2E4843A1" w14:textId="7A4BABA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 Si el término para la solicitud de registro se encuentra vigente o tiene una prórroga autorizada y no se ha radicado la solicitud de registro ante el Banco de la República, la inversión se entenderá registrada a la fecha de presentación de la declaración de cambio correspondiente a su canalización a través del mercado cambiario. </w:t>
      </w:r>
    </w:p>
    <w:p w14:paraId="1EA586C4" w14:textId="77777777" w:rsidR="008945EB" w:rsidRDefault="008945EB" w:rsidP="00C32F85">
      <w:pPr>
        <w:spacing w:after="0" w:line="254" w:lineRule="atLeast"/>
        <w:jc w:val="both"/>
        <w:rPr>
          <w:rFonts w:ascii="Arial" w:eastAsia="Times New Roman" w:hAnsi="Arial" w:cs="Arial"/>
          <w:color w:val="000000"/>
          <w:lang w:eastAsia="es-CO"/>
        </w:rPr>
      </w:pPr>
    </w:p>
    <w:p w14:paraId="2557354E" w14:textId="3C47842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ii. Si se ha radicado la documentación en el Banco de la República o el término para la solicitud de registro se encuentra vencido, los inversionistas de capital del exterior, podrán efectuar el registro siempre que en el momento del ingreso de las divisas se haya declarado el capital del exterior como inversión extranjera y se haya invertido efectivamente en el país, de acuerdo con los términos y condiciones que establezca el Banco de la República. </w:t>
      </w:r>
    </w:p>
    <w:p w14:paraId="709CD388" w14:textId="77777777" w:rsidR="008945EB" w:rsidRDefault="008945EB" w:rsidP="00C32F85">
      <w:pPr>
        <w:spacing w:after="0" w:line="254" w:lineRule="atLeast"/>
        <w:jc w:val="both"/>
        <w:rPr>
          <w:rFonts w:ascii="Arial" w:eastAsia="Times New Roman" w:hAnsi="Arial" w:cs="Arial"/>
          <w:color w:val="000000"/>
          <w:lang w:eastAsia="es-CO"/>
        </w:rPr>
      </w:pPr>
    </w:p>
    <w:p w14:paraId="1DA4C58F" w14:textId="6572651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El registro de los aportes efectuados a través de las demás modalidades de inversión de capital del exterior bien sean directas o de portafolio y de las inversiones colombianas en el exterior con anterioridad al 29 de diciembre de 2010, se efectuará de acuerdo con los términos y procedimientos que establezca el Banco de la República. </w:t>
      </w:r>
    </w:p>
    <w:p w14:paraId="6F2A46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90" w:name="ver_30057884"/>
      <w:bookmarkEnd w:id="1990"/>
    </w:p>
    <w:p w14:paraId="43DBDC46" w14:textId="3F166BB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2.17.2.2.3.5. Registro extemporáneo. Sin perjuicio de lo dispuesto por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-ley 1746 de 1991 y demás normas que lo sustituyen o complementen, los inversionistas de capital del exterior que no hayan registrado la inversión en los plazos establecidos, podrán hacerlo siempre que: </w:t>
      </w:r>
    </w:p>
    <w:p w14:paraId="580ABAFD" w14:textId="77777777" w:rsidR="008945EB" w:rsidRDefault="008945EB" w:rsidP="00C32F85">
      <w:pPr>
        <w:spacing w:after="0" w:line="254" w:lineRule="atLeast"/>
        <w:jc w:val="both"/>
        <w:rPr>
          <w:rFonts w:ascii="Arial" w:eastAsia="Times New Roman" w:hAnsi="Arial" w:cs="Arial"/>
          <w:color w:val="000000"/>
          <w:lang w:eastAsia="es-CO"/>
        </w:rPr>
      </w:pPr>
    </w:p>
    <w:p w14:paraId="649E30D6" w14:textId="7B1E64B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En el momento del ingreso de las divisas se haya declarado el capital del exterior como inversión extranjera; </w:t>
      </w:r>
    </w:p>
    <w:p w14:paraId="57337975" w14:textId="77777777" w:rsidR="008945EB" w:rsidRDefault="008945EB" w:rsidP="00C32F85">
      <w:pPr>
        <w:spacing w:after="0" w:line="254" w:lineRule="atLeast"/>
        <w:jc w:val="both"/>
        <w:rPr>
          <w:rFonts w:ascii="Arial" w:eastAsia="Times New Roman" w:hAnsi="Arial" w:cs="Arial"/>
          <w:color w:val="000000"/>
          <w:lang w:eastAsia="es-CO"/>
        </w:rPr>
      </w:pPr>
    </w:p>
    <w:p w14:paraId="23C45F8E" w14:textId="2EB4552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El capital del exterior se haya invertido efectivamente en el país. </w:t>
      </w:r>
    </w:p>
    <w:p w14:paraId="358E66BB" w14:textId="77777777" w:rsidR="008945EB" w:rsidRDefault="008945EB" w:rsidP="00C32F85">
      <w:pPr>
        <w:spacing w:after="0" w:line="254" w:lineRule="atLeast"/>
        <w:jc w:val="both"/>
        <w:rPr>
          <w:rFonts w:ascii="Arial" w:eastAsia="Times New Roman" w:hAnsi="Arial" w:cs="Arial"/>
          <w:color w:val="000000"/>
          <w:lang w:eastAsia="es-CO"/>
        </w:rPr>
      </w:pPr>
    </w:p>
    <w:p w14:paraId="3F928DF2" w14:textId="6CC7517F"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Sin perjuicio de las sanciones correspondientes, tratándose de entidades sometidas a la vigilancia de la Superintendencia Financiera de Colombia, en aquellos eventos en que las divisas no hayan sido declaradas como inversión extranjera, podrá obtenerse el registro correspondiente siempre y cuando se acredite en debida forma que las mismas fueron destinadas directa y exclusivamente a la adquisición primaria de participaciones, cuotas o acciones, así como bonos obligatoriamente convertibles en acciones de tales entidades. </w:t>
      </w:r>
    </w:p>
    <w:p w14:paraId="1CB40EC6" w14:textId="77777777" w:rsidR="008945EB" w:rsidRDefault="008945EB" w:rsidP="00C32F85">
      <w:pPr>
        <w:spacing w:after="0" w:line="293" w:lineRule="atLeast"/>
        <w:jc w:val="both"/>
        <w:rPr>
          <w:rFonts w:ascii="Arial" w:eastAsia="Times New Roman" w:hAnsi="Arial" w:cs="Arial"/>
          <w:color w:val="000000"/>
          <w:lang w:eastAsia="es-CO"/>
        </w:rPr>
      </w:pPr>
      <w:bookmarkStart w:id="1991" w:name="ver_30105877"/>
      <w:bookmarkEnd w:id="1991"/>
    </w:p>
    <w:p w14:paraId="172B0842" w14:textId="753566C2"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SECCIÓN 4</w:t>
      </w:r>
    </w:p>
    <w:p w14:paraId="68E89CF9" w14:textId="77777777"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SOLUCIÓN DE CONTROVERSIAS Y CONTROLES</w:t>
      </w:r>
    </w:p>
    <w:p w14:paraId="6E643BD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92" w:name="ver_30105879"/>
      <w:bookmarkStart w:id="1993" w:name="ver_30105878"/>
      <w:bookmarkEnd w:id="1992"/>
    </w:p>
    <w:p w14:paraId="1659C8C2" w14:textId="5827984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2.17.2.2.4.1.Ley y jurisdicción aplicables. Salvo lo dispuesto en los Tratados o Convenios Internacionales vigentes, en la solución de controversias o conflictos derivados de la aplicación del régimen de la inversión de capitales del exterior, se aplicará lo dispuesto en la legislación colombiana.  </w:t>
      </w:r>
    </w:p>
    <w:p w14:paraId="0D777FF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73DC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la misma salvedad contemplada en el inciso anterior y sin perjuicio de las acciones que puedan instaurarse ante jurisdicciones extranjeras, todo lo atinente a la inversión de capitales del exterior, también estará sometido a la jurisdicción de los tribunales y normas arbitrales colombianas, salvo que las partes hayan pactado el arbitraje internacional.  </w:t>
      </w:r>
    </w:p>
    <w:p w14:paraId="790B2A4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94" w:name="ver_30105881"/>
      <w:bookmarkStart w:id="1995" w:name="ver_30105880"/>
      <w:bookmarkEnd w:id="1993"/>
      <w:bookmarkEnd w:id="1994"/>
    </w:p>
    <w:p w14:paraId="3C625BB5" w14:textId="6CB4C47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2.17.2.2.4.2.Cancelación del Registro por solicitud de la autoridad de control y vigilancia. Sin perjuicio de las sanciones y demás acciones que le corresponda adoptar a la respectiva autoridad competente en materia de control y vigilancia del régimen de inversiones internacionales, esta procederá a solicitar al Banco de la República la cancelación del registro de la inversión, previo el agotamiento del procedimiento respectivo, ante la ocurrencia de cualquiera de los siguientes eventos:  </w:t>
      </w:r>
    </w:p>
    <w:p w14:paraId="508C004C" w14:textId="77777777" w:rsidR="008945EB" w:rsidRDefault="008945EB" w:rsidP="00C32F85">
      <w:pPr>
        <w:spacing w:after="0" w:line="254" w:lineRule="atLeast"/>
        <w:jc w:val="both"/>
        <w:rPr>
          <w:rFonts w:ascii="Arial" w:eastAsia="Times New Roman" w:hAnsi="Arial" w:cs="Arial"/>
          <w:color w:val="000000"/>
          <w:lang w:eastAsia="es-CO"/>
        </w:rPr>
      </w:pPr>
    </w:p>
    <w:p w14:paraId="24650E4A" w14:textId="1C06EBA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 La inversión se registró, pero dicho capital del exterior no fue invertido efectivamente en el país o en el exterior, según sea el caso;  </w:t>
      </w:r>
    </w:p>
    <w:p w14:paraId="26C0AC9F" w14:textId="77777777" w:rsidR="008945EB" w:rsidRDefault="008945EB" w:rsidP="00C32F85">
      <w:pPr>
        <w:spacing w:after="0" w:line="254" w:lineRule="atLeast"/>
        <w:jc w:val="both"/>
        <w:rPr>
          <w:rFonts w:ascii="Arial" w:eastAsia="Times New Roman" w:hAnsi="Arial" w:cs="Arial"/>
          <w:color w:val="000000"/>
          <w:lang w:eastAsia="es-CO"/>
        </w:rPr>
      </w:pPr>
    </w:p>
    <w:p w14:paraId="53E1F710" w14:textId="25F4432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 inversión se realizó en sectores prohibidos o en forma no autorizada cuando esta se requiera, conforme a lo establecido en el presente título;  </w:t>
      </w:r>
    </w:p>
    <w:p w14:paraId="68651641" w14:textId="77777777" w:rsidR="008945EB" w:rsidRDefault="008945EB" w:rsidP="00C32F85">
      <w:pPr>
        <w:spacing w:after="0" w:line="254" w:lineRule="atLeast"/>
        <w:jc w:val="both"/>
        <w:rPr>
          <w:rFonts w:ascii="Arial" w:eastAsia="Times New Roman" w:hAnsi="Arial" w:cs="Arial"/>
          <w:color w:val="000000"/>
          <w:lang w:eastAsia="es-CO"/>
        </w:rPr>
      </w:pPr>
    </w:p>
    <w:p w14:paraId="1ECFF3E9" w14:textId="48AB22D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 operación realizada no corresponde a inversión, de acuerdo con lo previsto en este título; y  </w:t>
      </w:r>
    </w:p>
    <w:p w14:paraId="531F295C" w14:textId="77777777" w:rsidR="008945EB" w:rsidRDefault="008945EB" w:rsidP="00C32F85">
      <w:pPr>
        <w:spacing w:after="0" w:line="254" w:lineRule="atLeast"/>
        <w:jc w:val="both"/>
        <w:rPr>
          <w:rFonts w:ascii="Arial" w:eastAsia="Times New Roman" w:hAnsi="Arial" w:cs="Arial"/>
          <w:color w:val="000000"/>
          <w:lang w:eastAsia="es-CO"/>
        </w:rPr>
      </w:pPr>
    </w:p>
    <w:p w14:paraId="2ACCF5FB" w14:textId="0913AEA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El acto, contrato u operación que dio origen a la inversión no es lícito.  </w:t>
      </w:r>
    </w:p>
    <w:p w14:paraId="14056A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Cualquier inversión de capitales del exterior que se realice en contravención a lo dispuesto en este título, carecerá de derechos y garantías cambiarias  </w:t>
      </w:r>
    </w:p>
    <w:p w14:paraId="3E567B1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96" w:name="ver_30105882"/>
      <w:bookmarkEnd w:id="1995"/>
      <w:bookmarkEnd w:id="1996"/>
    </w:p>
    <w:p w14:paraId="16BD6585" w14:textId="79667F4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2.17.2.2.4.3. Competencia. El control y vigilancia del cumplimiento de lo previsto en el presente Título estará a cargo de las entidades u organismos previstos en la ley.  </w:t>
      </w:r>
    </w:p>
    <w:p w14:paraId="170191F6" w14:textId="77777777" w:rsidR="008945EB" w:rsidRDefault="008945EB" w:rsidP="00C32F85">
      <w:pPr>
        <w:spacing w:after="0" w:line="293" w:lineRule="atLeast"/>
        <w:jc w:val="both"/>
        <w:rPr>
          <w:rFonts w:ascii="Arial" w:eastAsia="Times New Roman" w:hAnsi="Arial" w:cs="Arial"/>
          <w:color w:val="000000"/>
          <w:lang w:eastAsia="es-CO"/>
        </w:rPr>
      </w:pPr>
      <w:bookmarkStart w:id="1997" w:name="ver_30105883"/>
      <w:bookmarkEnd w:id="1997"/>
    </w:p>
    <w:p w14:paraId="1653C34E" w14:textId="6A8BF9F8"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SECCIÓN 5</w:t>
      </w:r>
    </w:p>
    <w:p w14:paraId="26784920" w14:textId="77777777"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CALIFICACIÓN DE INVERSIONISTAS Y EMPRESAS</w:t>
      </w:r>
    </w:p>
    <w:p w14:paraId="055F4B4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1998" w:name="ver_30105885"/>
      <w:bookmarkStart w:id="1999" w:name="ver_30105884"/>
      <w:bookmarkEnd w:id="1998"/>
    </w:p>
    <w:p w14:paraId="33D8B864" w14:textId="01A77E3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2.17.2.2.5.1.Calificación de persona natural extranjera como inversionista nacional. Corresponde al Banco de la República, calificar como inversionistas nacionales a las personas naturales extranjeras que así lo soliciten, cuando demuestren su calidad de residentes conforme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o las normas que lo modifiquen, sustituyan o complementen. </w:t>
      </w:r>
    </w:p>
    <w:p w14:paraId="60E6B49F"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00" w:name="ver_30105887"/>
      <w:bookmarkStart w:id="2001" w:name="ver_30105886"/>
      <w:bookmarkEnd w:id="1999"/>
      <w:bookmarkEnd w:id="2000"/>
    </w:p>
    <w:p w14:paraId="0DAC1B0C" w14:textId="6CE729B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2.17.2.2.5.2. Ámbito subregional. El Ministerio de Comercio, Industria y Turismo, previa solicitud del interesado, certificará como de inversionistas nacionales, las inversiones de origen subregional cuyos titulares sean inversionistas nacionales de países Miembros del Acuerdo de Cartagena, siempre que se acredite el carácter de inversionista nacional en el país de origen, mediante certificación expedida por el organismo nacional competente de dicho país.  </w:t>
      </w:r>
    </w:p>
    <w:p w14:paraId="1E96425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7B2F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términos inversionista nacional, subregional, extranjero, empresa nacional, mixta y extranjera y empresa multinacional Andina, tendrán el significado que establecen las Decisiones 291 y 292 del acuerdo de Cartagena, o las decisiones que las modifiquen, sustituyan o complementen.  </w:t>
      </w:r>
    </w:p>
    <w:p w14:paraId="61C75D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4DA3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Para los efectos de la calificación de la empresa como nacional, mixta o extranjera, el organismo competente será el Ministerio de Comercio, Industria y Turismo.  </w:t>
      </w:r>
    </w:p>
    <w:p w14:paraId="159646CA" w14:textId="77777777" w:rsidR="00404266" w:rsidRPr="002C1480" w:rsidRDefault="00404266" w:rsidP="008945E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Las empresas extranjeras que tengan convenio vigente de transformación en los términos del Capítulo II de la Decisión 220 del acuerdo de Cartagena, podrán solicitar al Departamento Nacional de Planeación la terminación de dicho convenio.  </w:t>
      </w:r>
    </w:p>
    <w:p w14:paraId="6AE300D8" w14:textId="77777777" w:rsidR="00404266" w:rsidRPr="002C1480" w:rsidRDefault="00404266" w:rsidP="008945EB">
      <w:pPr>
        <w:spacing w:after="0" w:line="254" w:lineRule="atLeast"/>
        <w:jc w:val="both"/>
        <w:rPr>
          <w:rFonts w:ascii="Arial" w:eastAsia="Times New Roman" w:hAnsi="Arial" w:cs="Arial"/>
          <w:color w:val="000000"/>
          <w:lang w:eastAsia="es-CO"/>
        </w:rPr>
      </w:pPr>
    </w:p>
    <w:p w14:paraId="21A45FB9" w14:textId="77777777" w:rsidR="00404266" w:rsidRPr="002C1480" w:rsidRDefault="00404266" w:rsidP="008945EB">
      <w:pPr>
        <w:spacing w:after="0" w:line="293" w:lineRule="atLeast"/>
        <w:jc w:val="both"/>
        <w:rPr>
          <w:rFonts w:ascii="Arial" w:eastAsia="Times New Roman" w:hAnsi="Arial" w:cs="Arial"/>
          <w:color w:val="000000"/>
          <w:lang w:eastAsia="es-CO"/>
        </w:rPr>
      </w:pPr>
      <w:bookmarkStart w:id="2002" w:name="ver_30057891"/>
      <w:bookmarkEnd w:id="2001"/>
      <w:bookmarkEnd w:id="2002"/>
      <w:r w:rsidRPr="002C1480">
        <w:rPr>
          <w:rFonts w:ascii="Arial" w:eastAsia="Times New Roman" w:hAnsi="Arial" w:cs="Arial"/>
          <w:color w:val="000000"/>
          <w:lang w:eastAsia="es-CO"/>
        </w:rPr>
        <w:t>SECCIÓN 6. Solución de controversias, sanciones y controles</w:t>
      </w:r>
    </w:p>
    <w:p w14:paraId="39F8FC6C" w14:textId="77777777" w:rsidR="00404266" w:rsidRPr="002C1480" w:rsidRDefault="00404266" w:rsidP="008945EB">
      <w:pPr>
        <w:spacing w:after="0" w:line="240" w:lineRule="auto"/>
        <w:jc w:val="both"/>
        <w:rPr>
          <w:rFonts w:ascii="Arial" w:eastAsia="Times New Roman" w:hAnsi="Arial" w:cs="Arial"/>
          <w:color w:val="000000"/>
          <w:lang w:eastAsia="es-CO"/>
        </w:rPr>
      </w:pPr>
      <w:bookmarkStart w:id="2003" w:name="ver_30057892"/>
      <w:bookmarkEnd w:id="2003"/>
    </w:p>
    <w:p w14:paraId="1FF88843" w14:textId="4716AAC6" w:rsidR="00404266" w:rsidRDefault="002C1480" w:rsidP="008945EB">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2.17.2.2.6.1. Ley y jurisdicción aplicables. Salvo lo dispuesto en los tratados o convenios internacionales vigentes, en la solución de controversias o conflictos derivados de la aplicación del régimen de las inversiones de capital del exterior, se aplicará lo dispuesto en la legislación colombiana. </w:t>
      </w:r>
    </w:p>
    <w:p w14:paraId="4BA237E2" w14:textId="77777777" w:rsidR="008945EB" w:rsidRPr="002C1480" w:rsidRDefault="008945EB" w:rsidP="008945EB">
      <w:pPr>
        <w:spacing w:after="0" w:line="254" w:lineRule="atLeast"/>
        <w:jc w:val="both"/>
        <w:rPr>
          <w:rFonts w:ascii="Arial" w:eastAsia="Times New Roman" w:hAnsi="Arial" w:cs="Arial"/>
          <w:color w:val="000000"/>
          <w:lang w:eastAsia="es-CO"/>
        </w:rPr>
      </w:pPr>
    </w:p>
    <w:p w14:paraId="1C9041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Con la misma salvedad contemplada en el inciso anterior y sin perjuicio de las acciones que puedan instaurarse ante jurisdicciones extranjeras, todo lo atinente a las inversiones de capital del </w:t>
      </w:r>
      <w:r w:rsidRPr="002C1480">
        <w:rPr>
          <w:rFonts w:ascii="Arial" w:eastAsia="Times New Roman" w:hAnsi="Arial" w:cs="Arial"/>
          <w:color w:val="000000"/>
          <w:lang w:eastAsia="es-CO"/>
        </w:rPr>
        <w:lastRenderedPageBreak/>
        <w:t>exterior, también estará sometido a la jurisdicción de los tribunales y normas arbitrales colombianas, salvo que las partes hayan pactado el arbitraje internacional. </w:t>
      </w:r>
    </w:p>
    <w:p w14:paraId="392E6A4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04" w:name="ver_30057893"/>
      <w:bookmarkEnd w:id="2004"/>
    </w:p>
    <w:p w14:paraId="44B0CC1C" w14:textId="615F95F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2.17.2.2.6.2. Representación de inversionistas de capital del exterior. Los inversionistas de capital del exterior deberán nombrar un apoderado en Colombia de acuerdo a los términos previstos en la legislación colombiana. Para la inversión de portafolio, el apoderado será la respectiva entidad administradora. </w:t>
      </w:r>
    </w:p>
    <w:p w14:paraId="4D933A9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3BACB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inversionistas y sus representantes legales o apoderados responderán solidariamente por el cumplimiento de las obligaciones de registro de que trata el presente título. </w:t>
      </w:r>
    </w:p>
    <w:p w14:paraId="21B60DF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05" w:name="ver_30057894"/>
      <w:bookmarkEnd w:id="2005"/>
    </w:p>
    <w:p w14:paraId="6041D1A8" w14:textId="137134D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2.17.2.2.6.3. Sanciones. En los casos de inversiones y actos jurídicos conducentes a la instalación de empresas en sectores prohibidos o en forma no autorizada, cuando ello fuere necesario, y sin perjuicio de lo dispuesto en el Código de Comercio y demás normas concordantes, la Superintendencia de Sociedades de conformidad con las funciones que tiene asignadas, decretará la suspensión y liquidación de la actividad en el primer caso, y en ambos casos, solicitará al Banco de la República la cancelación del registro si a ello hay lugar. Lo anterior sin perjuicio de las funciones que tienen las entidades de control. </w:t>
      </w:r>
    </w:p>
    <w:p w14:paraId="581504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95D86D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Carecerá de derechos y garantías cambiarias, cualquier inversión de capital del exterior que se realice en contravención a lo dispuesto en este título. </w:t>
      </w:r>
    </w:p>
    <w:p w14:paraId="540AE79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163142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Cuando se establezca por parte de la autoridad de control competente que, en el momento de la canalización de las divisas, estas fueron declaradas como inversión extranjera pero dicho capital del exterior no fue invertido efectivamente en el país, el Banco de la República procederá a la cancelación del registro. </w:t>
      </w:r>
    </w:p>
    <w:p w14:paraId="332DA385" w14:textId="77777777" w:rsidR="00612536" w:rsidRDefault="00612536" w:rsidP="00C32F85">
      <w:pPr>
        <w:spacing w:after="0" w:line="254" w:lineRule="atLeast"/>
        <w:jc w:val="both"/>
        <w:rPr>
          <w:rFonts w:ascii="Arial" w:eastAsia="Times New Roman" w:hAnsi="Arial" w:cs="Arial"/>
          <w:color w:val="000000"/>
          <w:lang w:eastAsia="es-CO"/>
        </w:rPr>
      </w:pPr>
    </w:p>
    <w:p w14:paraId="036F7897" w14:textId="0338C01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2.17.2.3.1.1. Participación extranjera. Los inversionistas de capital del exterior podrán participar en el capital de las instituciones financieras, suscribiendo o adquiriendo acciones, bonos obligatoriamente convertibles en acciones, o aportes sociales de carácter cooperativo, en cualquier proporción. </w:t>
      </w:r>
    </w:p>
    <w:p w14:paraId="6671EE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BDA86AC" w14:textId="0C2AE6A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Igualmente, los bancos y compañías de seguros del exterior podrán realizar aportes iniciales o subsiguientes al capital asignado de las sucursales que constituyan en Colombia de conformidad con las normas aplicables, en especial, el Estatuto Orgánico del Sistema Financiero y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En todo caso, en dichas sucursales no habrá lugar a realizar aportes de capital por vía de la cuenta de inversión suplementaria al capital asignado. </w:t>
      </w:r>
    </w:p>
    <w:p w14:paraId="496D455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09A75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registro de las inversiones de capital del exterior en el sector financiero sólo podrá hacerse una vez se obtengan las autorizaciones de la Superintendencia Financiera de Colombia para la constitución u organización y/o adquisición de acciones de cualquier institución financiera, conforme a lo previsto en el Estatuto Orgánico del Sistema Financiero y demás disposiciones que lo modifiquen. </w:t>
      </w:r>
    </w:p>
    <w:p w14:paraId="112402E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06" w:name="ver_30057895"/>
      <w:bookmarkEnd w:id="2006"/>
    </w:p>
    <w:p w14:paraId="2D8FBED6" w14:textId="64E0711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2.17.2.2.6.4. Control y vigilancia. El control y vigilancia del cumplimiento de lo previsto en el presente título estará a cargo de las entidades u organismos previstos por la ley. </w:t>
      </w:r>
    </w:p>
    <w:p w14:paraId="3F4C464A" w14:textId="77777777" w:rsidR="008945EB" w:rsidRDefault="008945EB" w:rsidP="00C32F85">
      <w:pPr>
        <w:spacing w:after="0" w:line="293" w:lineRule="atLeast"/>
        <w:jc w:val="both"/>
        <w:rPr>
          <w:rFonts w:ascii="Arial" w:eastAsia="Times New Roman" w:hAnsi="Arial" w:cs="Arial"/>
          <w:color w:val="000000"/>
          <w:lang w:eastAsia="es-CO"/>
        </w:rPr>
      </w:pPr>
      <w:bookmarkStart w:id="2007" w:name="ver_30105888"/>
      <w:bookmarkEnd w:id="2007"/>
    </w:p>
    <w:p w14:paraId="4C28EE5F" w14:textId="3AFDA88C" w:rsidR="00404266" w:rsidRPr="008945EB"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CAPÍTULO 3</w:t>
      </w:r>
    </w:p>
    <w:p w14:paraId="594D8981" w14:textId="681527FA" w:rsidR="00404266" w:rsidRPr="008945EB"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REGÍMENES ESPECIALES DE LA INVERSIÓN DE CAPITALES DEL EXTERIOR</w:t>
      </w:r>
    </w:p>
    <w:p w14:paraId="0EA0EF49" w14:textId="6590FE99" w:rsidR="00404266" w:rsidRPr="008945EB"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SECCIÓN 1SECTOR FINANCIERO</w:t>
      </w:r>
    </w:p>
    <w:p w14:paraId="133161A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08" w:name="ver_30105890"/>
      <w:bookmarkStart w:id="2009" w:name="ver_30105889"/>
      <w:bookmarkEnd w:id="2008"/>
    </w:p>
    <w:p w14:paraId="687C2227" w14:textId="0700E9E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2.17.2.3.1.1.Participación extranjera. Los inversionistas de capitales del exterior podrán participar en el capital de las entidades vigiladas por la Superintendencia Financiera de Colombia, suscribiendo o adquiriendo acciones, bonos obligatoriamente convertibles en acciones, o aportes sociales de carácter cooperativo, en cualquier proporción.  </w:t>
      </w:r>
    </w:p>
    <w:p w14:paraId="491AEEEE" w14:textId="77777777" w:rsidR="008945EB" w:rsidRPr="002C1480" w:rsidRDefault="008945EB" w:rsidP="00C32F85">
      <w:pPr>
        <w:spacing w:after="0" w:line="254" w:lineRule="atLeast"/>
        <w:jc w:val="both"/>
        <w:rPr>
          <w:rFonts w:ascii="Arial" w:eastAsia="Times New Roman" w:hAnsi="Arial" w:cs="Arial"/>
          <w:color w:val="000000"/>
          <w:lang w:eastAsia="es-CO"/>
        </w:rPr>
      </w:pPr>
    </w:p>
    <w:p w14:paraId="7D370DE0" w14:textId="23D7FB0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Igualmente, los bancos y compañías de seguros del exterior podrán realizar aportes iniciales o subsiguientes al capital asignado de las sucursales que constituyan en Colombia de conformidad con las normas aplicables, en especial, el Estatuto Orgánico del Sistema Financiero y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En todo caso, en dichas sucursales no habrá lugar a realizar aportes de capital por vía de la cuenta de inversión suplementaria al capital asignado.  </w:t>
      </w:r>
    </w:p>
    <w:p w14:paraId="441C57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48CBC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registro de la inversión de capitales del exterior en el sector financiero sólo podrá hacerse una vez se obtengan las autorizaciones de la Superintendencia Financiera de Colombia para la constitución u organización y/o adquisición de acciones de cualquier entidad vigilada, conforme a lo previsto en el Estatuto Orgánico del Sistema Financiero y demás disposiciones que lo modifiquen.  </w:t>
      </w:r>
    </w:p>
    <w:p w14:paraId="0C16EDA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10" w:name="ver_30105892"/>
      <w:bookmarkStart w:id="2011" w:name="ver_30105891"/>
      <w:bookmarkEnd w:id="2009"/>
      <w:bookmarkEnd w:id="2010"/>
    </w:p>
    <w:p w14:paraId="66A712A7" w14:textId="092A3BA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2.17.2.3.1.2.Régimen general aplicable. La inversión de capitales del exterior en instituciones financieras se regirá por las disposiciones generales sobre la materia en todo aquello que no haya sido regulado por el presente capítulo. </w:t>
      </w:r>
    </w:p>
    <w:p w14:paraId="3912A2FF" w14:textId="77777777" w:rsidR="008945EB" w:rsidRDefault="008945EB" w:rsidP="00C32F85">
      <w:pPr>
        <w:spacing w:after="0" w:line="293" w:lineRule="atLeast"/>
        <w:jc w:val="both"/>
        <w:rPr>
          <w:rFonts w:ascii="Arial" w:eastAsia="Times New Roman" w:hAnsi="Arial" w:cs="Arial"/>
          <w:color w:val="000000"/>
          <w:lang w:eastAsia="es-CO"/>
        </w:rPr>
      </w:pPr>
      <w:bookmarkStart w:id="2012" w:name="ver_30105893"/>
      <w:bookmarkEnd w:id="2011"/>
      <w:bookmarkEnd w:id="2012"/>
    </w:p>
    <w:p w14:paraId="3ED45ABA" w14:textId="44ACED26"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SECCIÓN 2</w:t>
      </w:r>
    </w:p>
    <w:p w14:paraId="73A95DC5" w14:textId="77777777"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SECTOR DE HIDROCARBUROS Y MINERÍA</w:t>
      </w:r>
    </w:p>
    <w:p w14:paraId="046E1F3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13" w:name="ver_30105895"/>
      <w:bookmarkStart w:id="2014" w:name="ver_30105894"/>
      <w:bookmarkEnd w:id="2013"/>
    </w:p>
    <w:p w14:paraId="0FB057C0" w14:textId="04595B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2.17.2.3.2.1.Normas especiales. El régimen general de inversión de capitales del exterior referente al sector de hidrocarburos y minería estará sujeto a las normas de esta Sección, las que en consecuencia prevalecerán, cuando sea del caso, sobre las establecidas por otras normas del presente título. </w:t>
      </w:r>
    </w:p>
    <w:p w14:paraId="5AAD8A4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15" w:name="ver_30105897"/>
      <w:bookmarkStart w:id="2016" w:name="ver_30105896"/>
      <w:bookmarkEnd w:id="2014"/>
      <w:bookmarkEnd w:id="2015"/>
    </w:p>
    <w:p w14:paraId="4E9DC06C" w14:textId="315B9E8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2.17.2.3.2.2.Normas aplicables. La inversión de capitales del exterior para la exploración y explotación de petróleo y gas natural, para proyectos de refinación, transporte y distribución de hidrocarburos y para la exploración, explotación, beneficio y transformación de minerales, estarán sujetas al cumplimiento de las normas que regulan dichas actividades en especial y, cuando a ello hubiere lugar, a las previstas en el contrato respectivo entre la Agencia Nacional de Hidrocarburos (ANH), o la Agencia Nacional de Minería (ANM), y el inversionista del exterior.  </w:t>
      </w:r>
    </w:p>
    <w:p w14:paraId="479023B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17" w:name="ver_30105899"/>
      <w:bookmarkStart w:id="2018" w:name="ver_30105898"/>
      <w:bookmarkEnd w:id="2016"/>
      <w:bookmarkEnd w:id="2017"/>
    </w:p>
    <w:p w14:paraId="7FB63302" w14:textId="27FEE7E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2.17.2.3.2.3.Sectores de minería e hidrocarburos. Sin perjuicio de lo dispuesto en el Capítulo 2 de este título, el régimen cambiario de los sectores de hidrocarburos y minería, incluidas las actividades de exploración y explotación de petróleo, gas natural, carbón, ferroníquel o uranio, estará sujeto a las regulaciones de la Junta Directiva del Banco de la República conforme con sus competencias.  </w:t>
      </w:r>
    </w:p>
    <w:p w14:paraId="60C7F19E" w14:textId="77777777" w:rsidR="008945EB" w:rsidRDefault="008945EB" w:rsidP="00C32F85">
      <w:pPr>
        <w:spacing w:after="0" w:line="254" w:lineRule="atLeast"/>
        <w:jc w:val="both"/>
        <w:rPr>
          <w:rFonts w:ascii="Arial" w:eastAsia="Times New Roman" w:hAnsi="Arial" w:cs="Arial"/>
          <w:color w:val="000000"/>
          <w:lang w:eastAsia="es-CO"/>
        </w:rPr>
      </w:pPr>
      <w:bookmarkStart w:id="2019" w:name="ver_30105900"/>
      <w:bookmarkEnd w:id="2018"/>
    </w:p>
    <w:p w14:paraId="348572F5" w14:textId="7EA37B8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2.17.2.3.2.4.Inversiones en diferentes actividades. Cuando una misma sucursal con inversión de capitales del exterior en el sector de hidrocarburos y minería desarrolle varias actividades económicas dentro del sector, a las cuales deban aplicarse normas cambiarias diferentes, deberá suministrar la información de acuerdo con lo que disponga el Banco de la República. En estos casos no se aceptarán activos ni pasivos comunes a las distintas actividades. </w:t>
      </w:r>
    </w:p>
    <w:p w14:paraId="22F605A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20" w:name="ver_30057904"/>
      <w:bookmarkEnd w:id="2019"/>
      <w:bookmarkEnd w:id="2020"/>
    </w:p>
    <w:p w14:paraId="5344B522" w14:textId="653D6B64"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2.17.2.3.2.5. Inversiones en diferentes actividades. Cuando una misma empresa con inversión de capital del exterior en el sector de hidrocarburos y minería desarrolle varias actividades económicas dentro del sector a las cuales deban aplicarse normas cambiarias diferentes, deberá demostrar ante el Banco de la República, en forma exacta, las utilidades generadas en cada período contable por cada una de sus actividades, mediante el empleo de procedimientos de contabilidad aprobados que permitan identificar plenamente los activos y pasivos y la inversión de cada una de esas actividades. </w:t>
      </w:r>
    </w:p>
    <w:p w14:paraId="18D93710" w14:textId="77777777" w:rsidR="008945EB" w:rsidRPr="002C1480" w:rsidRDefault="008945EB" w:rsidP="00C32F85">
      <w:pPr>
        <w:spacing w:after="0" w:line="254" w:lineRule="atLeast"/>
        <w:jc w:val="both"/>
        <w:rPr>
          <w:rFonts w:ascii="Arial" w:eastAsia="Times New Roman" w:hAnsi="Arial" w:cs="Arial"/>
          <w:color w:val="000000"/>
          <w:lang w:eastAsia="es-CO"/>
        </w:rPr>
      </w:pPr>
    </w:p>
    <w:p w14:paraId="0DE5B9CA" w14:textId="75636B0A" w:rsidR="00404266" w:rsidRPr="008945EB" w:rsidRDefault="00404266" w:rsidP="008945EB">
      <w:pPr>
        <w:spacing w:line="293" w:lineRule="atLeast"/>
        <w:jc w:val="center"/>
        <w:rPr>
          <w:rFonts w:ascii="Arial" w:eastAsia="Times New Roman" w:hAnsi="Arial" w:cs="Arial"/>
          <w:b/>
          <w:bCs/>
          <w:color w:val="000000"/>
          <w:lang w:eastAsia="es-CO"/>
        </w:rPr>
      </w:pPr>
      <w:bookmarkStart w:id="2021" w:name="ver_30057905"/>
      <w:bookmarkEnd w:id="2021"/>
      <w:r w:rsidRPr="008945EB">
        <w:rPr>
          <w:rFonts w:ascii="Arial" w:eastAsia="Times New Roman" w:hAnsi="Arial" w:cs="Arial"/>
          <w:b/>
          <w:bCs/>
          <w:color w:val="000000"/>
          <w:lang w:eastAsia="es-CO"/>
        </w:rPr>
        <w:t xml:space="preserve">SECCIÓN 3. Régimen general de la inversión de capital del exterior de portafolio </w:t>
      </w:r>
      <w:r w:rsidR="002C1480" w:rsidRPr="008945EB">
        <w:rPr>
          <w:rFonts w:ascii="Arial" w:eastAsia="Times New Roman" w:hAnsi="Arial" w:cs="Arial"/>
          <w:b/>
          <w:bCs/>
          <w:color w:val="000000"/>
          <w:lang w:eastAsia="es-CO"/>
        </w:rPr>
        <w:t>ARTÍCULO</w:t>
      </w:r>
    </w:p>
    <w:p w14:paraId="4115251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22" w:name="ver_30057906"/>
      <w:bookmarkEnd w:id="2022"/>
    </w:p>
    <w:p w14:paraId="633CD1B9" w14:textId="21CC059E"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2.17.2.3.3.1. Administrador. Toda inversión de capital del exterior de portafolio se hará por medio de un administrador. Solamente podrán serlo las sociedades comisionistas de bolsa, las sociedades fiduciarias y las sociedades administradoras de inversión, sometidas a la inspección y vigilancia de la Superintendencia Financiera de Colombia. </w:t>
      </w:r>
    </w:p>
    <w:p w14:paraId="2B003A0B" w14:textId="77777777" w:rsidR="008945EB" w:rsidRPr="002C1480" w:rsidRDefault="008945EB" w:rsidP="00C32F85">
      <w:pPr>
        <w:spacing w:after="0" w:line="254" w:lineRule="atLeast"/>
        <w:jc w:val="both"/>
        <w:rPr>
          <w:rFonts w:ascii="Arial" w:eastAsia="Times New Roman" w:hAnsi="Arial" w:cs="Arial"/>
          <w:color w:val="000000"/>
          <w:lang w:eastAsia="es-CO"/>
        </w:rPr>
      </w:pPr>
    </w:p>
    <w:p w14:paraId="2F46956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Estas entidades tendrán las siguientes obligaciones, sin perjuicio de las demás que deban cumplir de conformidad con las normas que las rigen: </w:t>
      </w:r>
    </w:p>
    <w:p w14:paraId="4E09D9CB" w14:textId="77777777" w:rsidR="008945EB" w:rsidRDefault="008945EB" w:rsidP="00C32F85">
      <w:pPr>
        <w:spacing w:after="0" w:line="254" w:lineRule="atLeast"/>
        <w:jc w:val="both"/>
        <w:rPr>
          <w:rFonts w:ascii="Arial" w:eastAsia="Times New Roman" w:hAnsi="Arial" w:cs="Arial"/>
          <w:color w:val="000000"/>
          <w:lang w:eastAsia="es-CO"/>
        </w:rPr>
      </w:pPr>
    </w:p>
    <w:p w14:paraId="41DE592C" w14:textId="57435B1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tributarias; </w:t>
      </w:r>
    </w:p>
    <w:p w14:paraId="47E92BD5" w14:textId="77777777" w:rsidR="008945EB" w:rsidRDefault="008945EB" w:rsidP="00C32F85">
      <w:pPr>
        <w:spacing w:after="0" w:line="254" w:lineRule="atLeast"/>
        <w:jc w:val="both"/>
        <w:rPr>
          <w:rFonts w:ascii="Arial" w:eastAsia="Times New Roman" w:hAnsi="Arial" w:cs="Arial"/>
          <w:color w:val="000000"/>
          <w:lang w:eastAsia="es-CO"/>
        </w:rPr>
      </w:pPr>
    </w:p>
    <w:p w14:paraId="0A0FD523" w14:textId="42BF81F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cambiarias; </w:t>
      </w:r>
    </w:p>
    <w:p w14:paraId="5893B7F5" w14:textId="77777777" w:rsidR="008945EB" w:rsidRDefault="008945EB" w:rsidP="00C32F85">
      <w:pPr>
        <w:spacing w:after="0" w:line="254" w:lineRule="atLeast"/>
        <w:jc w:val="both"/>
        <w:rPr>
          <w:rFonts w:ascii="Arial" w:eastAsia="Times New Roman" w:hAnsi="Arial" w:cs="Arial"/>
          <w:color w:val="000000"/>
          <w:lang w:eastAsia="es-CO"/>
        </w:rPr>
      </w:pPr>
    </w:p>
    <w:p w14:paraId="1C7065A0" w14:textId="6AF51E2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Las de información que deba suministrar a las autoridades cambiaria o de inspección y vigilancia; </w:t>
      </w:r>
    </w:p>
    <w:p w14:paraId="79B2BA00" w14:textId="77777777" w:rsidR="008945EB" w:rsidRDefault="008945EB" w:rsidP="00C32F85">
      <w:pPr>
        <w:spacing w:after="0" w:line="254" w:lineRule="atLeast"/>
        <w:jc w:val="both"/>
        <w:rPr>
          <w:rFonts w:ascii="Arial" w:eastAsia="Times New Roman" w:hAnsi="Arial" w:cs="Arial"/>
          <w:color w:val="000000"/>
          <w:lang w:eastAsia="es-CO"/>
        </w:rPr>
      </w:pPr>
    </w:p>
    <w:p w14:paraId="1EF770A9" w14:textId="3605058D"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d) Las demás que señale la autoridad de inspección y vigilancia en ejercicio de sus facultades. </w:t>
      </w:r>
    </w:p>
    <w:p w14:paraId="2384E5DD" w14:textId="77777777" w:rsidR="008945EB" w:rsidRDefault="008945EB" w:rsidP="00C32F85">
      <w:pPr>
        <w:spacing w:after="0" w:line="254" w:lineRule="atLeast"/>
        <w:jc w:val="both"/>
        <w:rPr>
          <w:rFonts w:ascii="Arial" w:eastAsia="Times New Roman" w:hAnsi="Arial" w:cs="Arial"/>
          <w:color w:val="000000"/>
          <w:lang w:eastAsia="es-CO"/>
        </w:rPr>
      </w:pPr>
    </w:p>
    <w:p w14:paraId="15A9CC74" w14:textId="589692A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Cuando se trate de operaciones trasnacionales realizadas en desarrollo de acuerdos de integración de bolsas de valores de que trata el capítulo segundo del título sexto del libro quince de la parte segunda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 norma que lo modifique o sustituya, los depósitos centralizados de valores locales cumplirán las obligaciones de registro o información que sean del caso, de conformidad con lo exigido por el Banco de la República y la Superintendencia Financiera de Colombia. </w:t>
      </w:r>
    </w:p>
    <w:p w14:paraId="2E15357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EAFE579" w14:textId="4CF03CB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En ejercicio de la administración se podrán realizar las operaciones del mercado monetario a las que se refieren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2.36.3.1.1, 2.36.3.1.2 y 2.36.3.1.3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las normas que los modifiquen o sustituyan, o constituir las garantías que se requieran para el efecto. </w:t>
      </w:r>
    </w:p>
    <w:p w14:paraId="264301BA" w14:textId="77777777" w:rsidR="008945EB" w:rsidRDefault="008945EB" w:rsidP="00C32F85">
      <w:pPr>
        <w:spacing w:after="0" w:line="254" w:lineRule="atLeast"/>
        <w:jc w:val="both"/>
        <w:rPr>
          <w:rFonts w:ascii="Arial" w:eastAsia="Times New Roman" w:hAnsi="Arial" w:cs="Arial"/>
          <w:color w:val="000000"/>
          <w:lang w:eastAsia="es-CO"/>
        </w:rPr>
      </w:pPr>
    </w:p>
    <w:p w14:paraId="3D03405A" w14:textId="3C7316E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Igualmente, podrán realizar operaciones con instrumentos financieros derivados y constituir las respectivas garantías. </w:t>
      </w:r>
    </w:p>
    <w:p w14:paraId="40C89E0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B634A8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Así mismo podrán constituir las garantías requeridas para el cumplimiento de las operaciones aceptadas por una cámara de riesgo central de contraparte sometida a la inspección y vigilancia de la Superintendencia Financiera de Colombia; y podrán realizar las actividades y cumplir con las obligaciones a su cargo ante los miembros a través de los cuales participen en la compensación y liquidación y ante tales cámaras de conformidad con lo establecido en los respectivos reglamentos. </w:t>
      </w:r>
    </w:p>
    <w:p w14:paraId="5B2E40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w:t>
      </w:r>
    </w:p>
    <w:p w14:paraId="186D88A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Con este propósito, también estarán facultados para mantener los recursos necesarios para la liquidación de tales operaciones o para la constitución y ajuste de las respectivas garantías en cuentas corrientes, en cuentas de ahorro o en cualquier otro mecanismo que sea autorizado para el efecto por la Superintendencia Financiera de Colombia. </w:t>
      </w:r>
    </w:p>
    <w:p w14:paraId="75F27A5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23" w:name="ver_30057907"/>
      <w:bookmarkEnd w:id="2023"/>
    </w:p>
    <w:p w14:paraId="724D6B45" w14:textId="3CCBA7E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2.17.2.3.3.2. Régimen de transición de los Fondos de Inversión de Capital Extranjero. Los Fondos de Inversión de Capital Extranjero que se encontraban autorizados y en funcionamiento antes del 29 de diciembre de 2010 conforme la normativa vigente para el momento de su autorización, podrán seguir funcionando de conformidad con las normas de la presente parte y con las que rigen las respectivas entidades administradoras sometidas a la inspección y vigilancia de la Superintendencia Financiera de Colombia. </w:t>
      </w:r>
    </w:p>
    <w:p w14:paraId="1F19317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8BCF1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Para efectos tributarios, es entendido que el cambio de denominación del vehículo de inversión no genera ninguna modificación en el respectivo régimen legal aplicable. </w:t>
      </w:r>
    </w:p>
    <w:p w14:paraId="40DDE53C" w14:textId="77777777" w:rsidR="008945EB" w:rsidRDefault="008945EB" w:rsidP="00C32F85">
      <w:pPr>
        <w:spacing w:after="0" w:line="254" w:lineRule="atLeast"/>
        <w:jc w:val="both"/>
        <w:rPr>
          <w:rFonts w:ascii="Arial" w:eastAsia="Times New Roman" w:hAnsi="Arial" w:cs="Arial"/>
          <w:color w:val="000000"/>
          <w:lang w:eastAsia="es-CO"/>
        </w:rPr>
      </w:pPr>
    </w:p>
    <w:p w14:paraId="229480EC" w14:textId="3938533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En consecuencia, el régimen de los Fondos de Inversión de Capital Extranjero que continúen en funcionamiento en virtud de lo establecido en el inciso primero del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así como para los inversionistas del exterior que lo sean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anterior, será el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18 -1 del Estatuto Tributario, sin perjuicio de las demás normas especiales previstas en la legislación tributaria. </w:t>
      </w:r>
    </w:p>
    <w:p w14:paraId="0DE794B0" w14:textId="77777777" w:rsidR="008945EB" w:rsidRDefault="008945EB" w:rsidP="00C32F85">
      <w:pPr>
        <w:spacing w:after="0" w:line="293" w:lineRule="atLeast"/>
        <w:jc w:val="both"/>
        <w:rPr>
          <w:rFonts w:ascii="Arial" w:eastAsia="Times New Roman" w:hAnsi="Arial" w:cs="Arial"/>
          <w:color w:val="000000"/>
          <w:lang w:eastAsia="es-CO"/>
        </w:rPr>
      </w:pPr>
      <w:bookmarkStart w:id="2024" w:name="ver_30105902"/>
      <w:bookmarkEnd w:id="2024"/>
    </w:p>
    <w:p w14:paraId="66F5D89D" w14:textId="1299E1CE" w:rsidR="00404266" w:rsidRPr="008945EB"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CAPÍTULO 4</w:t>
      </w:r>
    </w:p>
    <w:p w14:paraId="0083FC3F" w14:textId="164E5533" w:rsidR="00404266"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RÉGIMEN GENERAL DE LAS INVERSIONES COLOMBIANAS EN EL EXTERIOR</w:t>
      </w:r>
    </w:p>
    <w:p w14:paraId="56273A93" w14:textId="77777777" w:rsidR="00612536" w:rsidRPr="008945EB" w:rsidRDefault="00612536" w:rsidP="008945EB">
      <w:pPr>
        <w:spacing w:after="0" w:line="293" w:lineRule="atLeast"/>
        <w:jc w:val="center"/>
        <w:rPr>
          <w:rFonts w:ascii="Arial" w:eastAsia="Times New Roman" w:hAnsi="Arial" w:cs="Arial"/>
          <w:b/>
          <w:bCs/>
          <w:color w:val="000000"/>
          <w:lang w:eastAsia="es-CO"/>
        </w:rPr>
      </w:pPr>
    </w:p>
    <w:p w14:paraId="62709E01" w14:textId="30D54A40" w:rsidR="00404266" w:rsidRPr="008945EB"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SECCIÓN 1</w:t>
      </w:r>
    </w:p>
    <w:p w14:paraId="156A7125" w14:textId="4AE5B8BC" w:rsidR="00404266" w:rsidRPr="008945EB" w:rsidRDefault="008945EB"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DEFINICIÓN Y AUTORIZACIÓN</w:t>
      </w:r>
    </w:p>
    <w:p w14:paraId="5E7F5FF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25" w:name="ver_30105904"/>
      <w:bookmarkStart w:id="2026" w:name="ver_30105903"/>
      <w:bookmarkEnd w:id="2025"/>
    </w:p>
    <w:p w14:paraId="5790E17D" w14:textId="1005B9B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2.17.2.4.1.1.Inversión de capital colombiano en el exterior. Se definen como inversiones colombianas en el exterior las acciones, cuotas, derechos u otras participaciones en el capital de sociedades, sucursales o cualquier tipo de empresa, en cualquier proporción, ubicadas fuera de Colombia, adquiridas por un residente en virtud de un acto, contrato u operación lícita.  </w:t>
      </w:r>
    </w:p>
    <w:p w14:paraId="11835A7D" w14:textId="77777777" w:rsidR="008945EB" w:rsidRDefault="008945EB" w:rsidP="00C32F85">
      <w:pPr>
        <w:spacing w:after="0" w:line="254" w:lineRule="atLeast"/>
        <w:jc w:val="both"/>
        <w:rPr>
          <w:rFonts w:ascii="Arial" w:eastAsia="Times New Roman" w:hAnsi="Arial" w:cs="Arial"/>
          <w:color w:val="000000"/>
          <w:lang w:eastAsia="es-CO"/>
        </w:rPr>
      </w:pPr>
    </w:p>
    <w:p w14:paraId="6C276E0C" w14:textId="0273049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Será susceptible de registro como inversión colombiana en el exterior, la adquisición por parte de un residente de la titularidad de activos de los que trata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ubicados por fuera del país, derivada de procesos de fusión, escisión, cesión de activos y pasivos, intercambio de acciones o reorganizaciones empresariales. En todo caso, el inversionista residente deberá informar sus participaciones en las empresas respectivas a la Unidad Administrativa Especial Dirección de Impuestos y Aduanas Nacionales (DIAN), y a la Superintendencia correspondiente, según le resulte aplicable a la actividad del residente. Esta obligación se entenderá surtida a través de la información del registro de la respectiva inversión ante el Banco de la República, quien la suministrará a las autoridades correspondientes, de acuerdo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2.17.2.7.2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752960B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27" w:name="ver_30105906"/>
      <w:bookmarkStart w:id="2028" w:name="ver_30105905"/>
      <w:bookmarkEnd w:id="2026"/>
      <w:bookmarkEnd w:id="2027"/>
    </w:p>
    <w:p w14:paraId="4F71612B" w14:textId="457BAD9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2.17.2.4.1.2.Inversionista colombiano en el exterior. Se considera inversionista colombiano en el exterior a toda persona residente en Colombia, de acuerdo con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2.17.1.2 del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titular de una inversión colombiana en el exterior en los términos previstos en este título. </w:t>
      </w:r>
    </w:p>
    <w:bookmarkEnd w:id="2028"/>
    <w:p w14:paraId="755D1703" w14:textId="77777777" w:rsidR="008945EB" w:rsidRDefault="008945EB" w:rsidP="00C32F85">
      <w:pPr>
        <w:spacing w:after="0" w:line="254" w:lineRule="atLeast"/>
        <w:jc w:val="both"/>
        <w:rPr>
          <w:rFonts w:ascii="Arial" w:eastAsia="Times New Roman" w:hAnsi="Arial" w:cs="Arial"/>
          <w:color w:val="000000"/>
          <w:lang w:eastAsia="es-CO"/>
        </w:rPr>
      </w:pPr>
    </w:p>
    <w:p w14:paraId="588971EE" w14:textId="273347F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2.17.2.4.1.3.Autorización. Salvo lo previsto en regímenes especiales contemplados en este Título o en normas de carácter especial, la inversión colombiana en el exterior, se trate de inversión inicial o adicional, no requiere de autorización. </w:t>
      </w:r>
    </w:p>
    <w:p w14:paraId="2BE492F3"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6F1094EC" w14:textId="77777777" w:rsidR="00404266" w:rsidRPr="008945EB" w:rsidRDefault="00404266" w:rsidP="008945EB">
      <w:pPr>
        <w:spacing w:after="0" w:line="293" w:lineRule="atLeast"/>
        <w:jc w:val="center"/>
        <w:rPr>
          <w:rFonts w:ascii="Arial" w:eastAsia="Times New Roman" w:hAnsi="Arial" w:cs="Arial"/>
          <w:b/>
          <w:bCs/>
          <w:color w:val="000000"/>
          <w:lang w:eastAsia="es-CO"/>
        </w:rPr>
      </w:pPr>
      <w:bookmarkStart w:id="2029" w:name="ver_30105908"/>
      <w:bookmarkEnd w:id="2029"/>
      <w:r w:rsidRPr="008945EB">
        <w:rPr>
          <w:rFonts w:ascii="Arial" w:eastAsia="Times New Roman" w:hAnsi="Arial" w:cs="Arial"/>
          <w:b/>
          <w:bCs/>
          <w:color w:val="000000"/>
          <w:lang w:eastAsia="es-CO"/>
        </w:rPr>
        <w:t>SECCIÓN 2</w:t>
      </w:r>
    </w:p>
    <w:p w14:paraId="6A2E1EA3" w14:textId="77777777"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INVERSIONES CON RÉGIMEN ESPECIAL</w:t>
      </w:r>
    </w:p>
    <w:p w14:paraId="51140EF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30" w:name="ver_30105910"/>
      <w:bookmarkStart w:id="2031" w:name="ver_30105909"/>
      <w:bookmarkEnd w:id="2030"/>
    </w:p>
    <w:p w14:paraId="09900643" w14:textId="54D5880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2.17.2.4.2.1.Régimen especial de inversiones en el sector financiero, de valores y de seguros del exterior.  </w:t>
      </w:r>
    </w:p>
    <w:p w14:paraId="60B7561A" w14:textId="77777777" w:rsidR="008945EB" w:rsidRDefault="008945EB" w:rsidP="00C32F85">
      <w:pPr>
        <w:spacing w:after="0" w:line="254" w:lineRule="atLeast"/>
        <w:jc w:val="both"/>
        <w:rPr>
          <w:rFonts w:ascii="Arial" w:eastAsia="Times New Roman" w:hAnsi="Arial" w:cs="Arial"/>
          <w:color w:val="000000"/>
          <w:lang w:eastAsia="es-CO"/>
        </w:rPr>
      </w:pPr>
    </w:p>
    <w:p w14:paraId="754CDF99" w14:textId="11FE380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Las entidades sometidas a la inspección y vigilancia de la Superintendencia Financiera de Colombia podrán realizar inversiones de capitales en el exterior, de conformidad con lo establecido en el Estatuto Orgánico del Sistema Financiero o las normas que lo modifiquen o sustituyan.  </w:t>
      </w:r>
    </w:p>
    <w:p w14:paraId="64FF9CC3" w14:textId="77777777" w:rsidR="008945EB" w:rsidRDefault="008945EB" w:rsidP="00C32F85">
      <w:pPr>
        <w:spacing w:after="0" w:line="254" w:lineRule="atLeast"/>
        <w:jc w:val="both"/>
        <w:rPr>
          <w:rFonts w:ascii="Arial" w:eastAsia="Times New Roman" w:hAnsi="Arial" w:cs="Arial"/>
          <w:color w:val="000000"/>
          <w:lang w:eastAsia="es-CO"/>
        </w:rPr>
      </w:pPr>
    </w:p>
    <w:p w14:paraId="212AF7AE" w14:textId="746F182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Las inversiones de entidades no sometidas a la inspección y vigilancia de la Superintendencia Financiera de Colombia en entidades financieras, de valores y de seguros del exterior, se someterán al régimen general de las inversiones colombianas en el exterior de que trata el Capítulo 4 del presente título.  </w:t>
      </w:r>
    </w:p>
    <w:p w14:paraId="216B8EB1" w14:textId="77777777" w:rsidR="008945EB" w:rsidRDefault="008945EB" w:rsidP="00C32F85">
      <w:pPr>
        <w:spacing w:after="0" w:line="254" w:lineRule="atLeast"/>
        <w:jc w:val="both"/>
        <w:rPr>
          <w:rFonts w:ascii="Arial" w:eastAsia="Times New Roman" w:hAnsi="Arial" w:cs="Arial"/>
          <w:color w:val="000000"/>
          <w:lang w:eastAsia="es-CO"/>
        </w:rPr>
      </w:pPr>
    </w:p>
    <w:p w14:paraId="086C94DF" w14:textId="3D2DCF0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Cuando los inversionistas sean socios en forma directa de instituciones sometidas a la inspección y vigilancia de la Superintendencia Financiera de Colombia, deberán informar previamente a esta entidad sus operaciones con el propósito de que se pueda realizar una supervisión comprensiva y consolidada, en la forma que esta Superintendencia reglamente. </w:t>
      </w:r>
    </w:p>
    <w:bookmarkEnd w:id="2031"/>
    <w:p w14:paraId="7140F0C1" w14:textId="77777777" w:rsidR="008945EB" w:rsidRDefault="008945EB" w:rsidP="00C32F85">
      <w:pPr>
        <w:spacing w:after="0" w:line="254" w:lineRule="atLeast"/>
        <w:jc w:val="both"/>
        <w:rPr>
          <w:rFonts w:ascii="Arial" w:eastAsia="Times New Roman" w:hAnsi="Arial" w:cs="Arial"/>
          <w:color w:val="000000"/>
          <w:lang w:eastAsia="es-CO"/>
        </w:rPr>
      </w:pPr>
    </w:p>
    <w:p w14:paraId="5CFAD9F9" w14:textId="5480EE4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2.17.2.4.2.2. Registro. La inversión de capital colombiano en el exterior y su movimiento, deberá registrarse en el Banco de la República conforme a los reglamentos que dicha entidad expida al respecto. </w:t>
      </w:r>
    </w:p>
    <w:p w14:paraId="0EFE29F8" w14:textId="77777777" w:rsidR="008945EB" w:rsidRDefault="008945EB" w:rsidP="00C32F85">
      <w:pPr>
        <w:spacing w:after="0" w:line="293" w:lineRule="atLeast"/>
        <w:jc w:val="both"/>
        <w:rPr>
          <w:rFonts w:ascii="Arial" w:eastAsia="Times New Roman" w:hAnsi="Arial" w:cs="Arial"/>
          <w:color w:val="000000"/>
          <w:lang w:eastAsia="es-CO"/>
        </w:rPr>
      </w:pPr>
      <w:bookmarkStart w:id="2032" w:name="ver_30057914"/>
      <w:bookmarkEnd w:id="2032"/>
    </w:p>
    <w:p w14:paraId="0ACAA05C" w14:textId="76680113" w:rsidR="00404266" w:rsidRPr="008945EB" w:rsidRDefault="00404266" w:rsidP="008945EB">
      <w:pPr>
        <w:spacing w:after="0"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SECCIÓN 3. Obligaciones del inversionista y controles</w:t>
      </w:r>
    </w:p>
    <w:p w14:paraId="54178D9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33" w:name="ver_30203651"/>
      <w:bookmarkStart w:id="2034" w:name="ver_30057915"/>
      <w:bookmarkEnd w:id="2033"/>
    </w:p>
    <w:p w14:paraId="269FF303" w14:textId="04B87E8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2.17.2.4.3.1. Derogado </w:t>
      </w:r>
    </w:p>
    <w:p w14:paraId="35B2E0B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35" w:name="ver_30203652"/>
      <w:bookmarkStart w:id="2036" w:name="ver_30057916"/>
      <w:bookmarkEnd w:id="2034"/>
      <w:bookmarkEnd w:id="2035"/>
    </w:p>
    <w:p w14:paraId="2A647725" w14:textId="39738C6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2.17.2.4.3.2. Derogado </w:t>
      </w:r>
    </w:p>
    <w:p w14:paraId="1FE2BF09"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58C78B2B" w14:textId="77777777" w:rsidR="00404266" w:rsidRPr="008945EB" w:rsidRDefault="00404266" w:rsidP="008945EB">
      <w:pPr>
        <w:spacing w:after="0" w:line="293" w:lineRule="atLeast"/>
        <w:jc w:val="center"/>
        <w:rPr>
          <w:rFonts w:ascii="Arial" w:eastAsia="Times New Roman" w:hAnsi="Arial" w:cs="Arial"/>
          <w:b/>
          <w:bCs/>
          <w:color w:val="000000"/>
          <w:lang w:eastAsia="es-CO"/>
        </w:rPr>
      </w:pPr>
      <w:bookmarkStart w:id="2037" w:name="ver_30057917"/>
      <w:bookmarkEnd w:id="2036"/>
      <w:bookmarkEnd w:id="2037"/>
      <w:r w:rsidRPr="008945EB">
        <w:rPr>
          <w:rFonts w:ascii="Arial" w:eastAsia="Times New Roman" w:hAnsi="Arial" w:cs="Arial"/>
          <w:b/>
          <w:bCs/>
          <w:color w:val="000000"/>
          <w:lang w:eastAsia="es-CO"/>
        </w:rPr>
        <w:t>SECCIÓN 4. Inversiones con régimen especial</w:t>
      </w:r>
    </w:p>
    <w:p w14:paraId="0B17B0D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38" w:name="ver_30203653"/>
      <w:bookmarkStart w:id="2039" w:name="ver_30057918"/>
      <w:bookmarkEnd w:id="2038"/>
    </w:p>
    <w:p w14:paraId="26E74C9F" w14:textId="025F05D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2.17.2.4.4.1. Derogado </w:t>
      </w:r>
    </w:p>
    <w:p w14:paraId="0C7C8FB5" w14:textId="77777777" w:rsidR="008945EB" w:rsidRDefault="008945EB" w:rsidP="00C32F85">
      <w:pPr>
        <w:spacing w:after="0" w:line="254" w:lineRule="atLeast"/>
        <w:jc w:val="both"/>
        <w:rPr>
          <w:rFonts w:ascii="Arial" w:eastAsia="Times New Roman" w:hAnsi="Arial" w:cs="Arial"/>
          <w:color w:val="000000"/>
          <w:lang w:eastAsia="es-CO"/>
        </w:rPr>
      </w:pPr>
      <w:bookmarkStart w:id="2040" w:name="ver_30057919"/>
      <w:bookmarkEnd w:id="2039"/>
    </w:p>
    <w:p w14:paraId="54A1633E" w14:textId="6D2701C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2.17.2.4.4.2. Derogado </w:t>
      </w:r>
    </w:p>
    <w:p w14:paraId="2D3118F9"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4F97C35A" w14:textId="77777777" w:rsidR="00404266" w:rsidRPr="008945EB" w:rsidRDefault="00404266" w:rsidP="008945EB">
      <w:pPr>
        <w:spacing w:after="0" w:line="293" w:lineRule="atLeast"/>
        <w:jc w:val="center"/>
        <w:rPr>
          <w:rFonts w:ascii="Arial" w:eastAsia="Times New Roman" w:hAnsi="Arial" w:cs="Arial"/>
          <w:b/>
          <w:bCs/>
          <w:color w:val="000000"/>
          <w:lang w:eastAsia="es-CO"/>
        </w:rPr>
      </w:pPr>
      <w:bookmarkStart w:id="2041" w:name="ver_30105914"/>
      <w:bookmarkEnd w:id="2040"/>
      <w:bookmarkEnd w:id="2041"/>
      <w:r w:rsidRPr="008945EB">
        <w:rPr>
          <w:rFonts w:ascii="Arial" w:eastAsia="Times New Roman" w:hAnsi="Arial" w:cs="Arial"/>
          <w:b/>
          <w:bCs/>
          <w:color w:val="000000"/>
          <w:lang w:eastAsia="es-CO"/>
        </w:rPr>
        <w:t>CAPÍTULO 5</w:t>
      </w:r>
    </w:p>
    <w:p w14:paraId="0C2E24B2" w14:textId="77777777" w:rsidR="00404266" w:rsidRPr="008945EB" w:rsidRDefault="00404266" w:rsidP="008945EB">
      <w:pPr>
        <w:spacing w:line="293" w:lineRule="atLeast"/>
        <w:jc w:val="center"/>
        <w:rPr>
          <w:rFonts w:ascii="Arial" w:eastAsia="Times New Roman" w:hAnsi="Arial" w:cs="Arial"/>
          <w:b/>
          <w:bCs/>
          <w:color w:val="000000"/>
          <w:lang w:eastAsia="es-CO"/>
        </w:rPr>
      </w:pPr>
      <w:r w:rsidRPr="008945EB">
        <w:rPr>
          <w:rFonts w:ascii="Arial" w:eastAsia="Times New Roman" w:hAnsi="Arial" w:cs="Arial"/>
          <w:b/>
          <w:bCs/>
          <w:color w:val="000000"/>
          <w:lang w:eastAsia="es-CO"/>
        </w:rPr>
        <w:t>DISPOSICIONES FINALES</w:t>
      </w:r>
    </w:p>
    <w:p w14:paraId="614281B3"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2" w:name="ver_30057921"/>
      <w:bookmarkEnd w:id="2042"/>
    </w:p>
    <w:p w14:paraId="4F76A357" w14:textId="50CD41F4"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2.17.2.5.1. Negociaciones internacionales. El Departamento Nacional de Planeación, el Ministerio de Relaciones Exteriores, el Ministerio de Hacienda y Crédito Público, el Ministerio de Comercio, Industria y Turismo y el Banco de la República, dentro de la órbita de su competencia, </w:t>
      </w:r>
      <w:r w:rsidR="00404266" w:rsidRPr="002C1480">
        <w:rPr>
          <w:rFonts w:ascii="Arial" w:eastAsia="Times New Roman" w:hAnsi="Arial" w:cs="Arial"/>
          <w:color w:val="000000"/>
          <w:lang w:eastAsia="es-CO"/>
        </w:rPr>
        <w:lastRenderedPageBreak/>
        <w:t>deberán conceptuar y participar activamente en la negociación de los Tratados de Protección y Promoción de Inversiones. </w:t>
      </w:r>
    </w:p>
    <w:p w14:paraId="65D6550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3" w:name="ver_30057922"/>
      <w:bookmarkEnd w:id="2043"/>
    </w:p>
    <w:p w14:paraId="6A87E1E0" w14:textId="646F8D9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2.17.2.5.2. Seguros a la inversión. El Ministerio de Industria, Comercio y Turismo aprobará lo relativo a seguros o garantías a la inversión, derivados de convenios internacionales ratificados por Colombia, cuando así lo exijan los respectivos acuerdos internacionales. </w:t>
      </w:r>
    </w:p>
    <w:p w14:paraId="360D7BB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4" w:name="ver_30057923"/>
      <w:bookmarkEnd w:id="2044"/>
    </w:p>
    <w:p w14:paraId="3E501397" w14:textId="3B5EA1C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2.17.2.5.3. Procedimientos operativos. La Junta Directiva del Banco de la República según lo preceptúe el legislador, podrá establecer procedimientos operativos, en los temas que sean de su competencia, a fin de velar por el estricto cumplimiento de lo dispuesto en el presente título. </w:t>
      </w:r>
    </w:p>
    <w:p w14:paraId="7406D01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5" w:name="ver_30057924"/>
      <w:bookmarkEnd w:id="2045"/>
    </w:p>
    <w:p w14:paraId="4469A81F" w14:textId="6A859507"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2.17.2.5.4. Impuestos. Los asuntos tributarios relacionados con la inversión continuarán rigiéndose por el Estatuto Tributario y sus normas complementarias. </w:t>
      </w:r>
    </w:p>
    <w:p w14:paraId="246375B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Todo lo establecido en este título debe entenderse sin perjuicio del pago previo de impuestos según lo ordenen las normas fiscales. </w:t>
      </w:r>
    </w:p>
    <w:p w14:paraId="414DDBA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6" w:name="ver_30057925"/>
      <w:bookmarkEnd w:id="2046"/>
    </w:p>
    <w:p w14:paraId="62F08010" w14:textId="6E769205"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2.17.2.5.5. Información. El Banco de la República informará periódicamente los datos mensuales sobre las inversiones que registre al Departamento Nacional de Planeación y al Ministerio de Comercio, Industria y Turismo, identificando el inversionista, la empresa receptora, el monto y modalidad de la inversión. </w:t>
      </w:r>
    </w:p>
    <w:p w14:paraId="3D8BA383" w14:textId="77777777" w:rsidR="00731A76" w:rsidRDefault="00731A76" w:rsidP="00C32F85">
      <w:pPr>
        <w:spacing w:after="0" w:line="254" w:lineRule="atLeast"/>
        <w:jc w:val="both"/>
        <w:rPr>
          <w:rFonts w:ascii="Arial" w:eastAsia="Times New Roman" w:hAnsi="Arial" w:cs="Arial"/>
          <w:color w:val="000000"/>
          <w:lang w:eastAsia="es-CO"/>
        </w:rPr>
      </w:pPr>
    </w:p>
    <w:p w14:paraId="3F6DE351" w14:textId="03D5D65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Las empresas receptoras de capitales del exterior deberán suministrar al Banco de la República, por solicitud de éste, la información que requiera para el cumplimiento de sus funciones. </w:t>
      </w:r>
    </w:p>
    <w:p w14:paraId="5056A9EC" w14:textId="77777777" w:rsidR="00731A76" w:rsidRDefault="00731A76" w:rsidP="00C32F85">
      <w:pPr>
        <w:spacing w:after="0" w:line="293" w:lineRule="atLeast"/>
        <w:jc w:val="both"/>
        <w:rPr>
          <w:rFonts w:ascii="Arial" w:eastAsia="Times New Roman" w:hAnsi="Arial" w:cs="Arial"/>
          <w:color w:val="000000"/>
          <w:lang w:eastAsia="es-CO"/>
        </w:rPr>
      </w:pPr>
      <w:bookmarkStart w:id="2047" w:name="ver_30105916"/>
      <w:bookmarkEnd w:id="2047"/>
    </w:p>
    <w:p w14:paraId="750435F3" w14:textId="310CBA5F"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CAPÍTULO 5</w:t>
      </w:r>
    </w:p>
    <w:p w14:paraId="3D969274" w14:textId="18C7655D" w:rsidR="00404266" w:rsidRDefault="00731A7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REGISTRO DE LAS INVERSIONES</w:t>
      </w:r>
    </w:p>
    <w:p w14:paraId="34885C47" w14:textId="77777777" w:rsidR="00731A76" w:rsidRPr="00731A76" w:rsidRDefault="00731A76" w:rsidP="00731A76">
      <w:pPr>
        <w:spacing w:after="0" w:line="293" w:lineRule="atLeast"/>
        <w:jc w:val="center"/>
        <w:rPr>
          <w:rFonts w:ascii="Arial" w:eastAsia="Times New Roman" w:hAnsi="Arial" w:cs="Arial"/>
          <w:b/>
          <w:bCs/>
          <w:color w:val="000000"/>
          <w:lang w:eastAsia="es-CO"/>
        </w:rPr>
      </w:pPr>
    </w:p>
    <w:p w14:paraId="547D4AA0" w14:textId="77777777"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SECCIÓN 1</w:t>
      </w:r>
    </w:p>
    <w:p w14:paraId="65A4B7D6" w14:textId="77777777"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PROCEDIMIENTO DE REGISTRO Y CONSERVACIÓN DE LA INFORMACIÓN DEL REGISTRO POR PARTE DE LOS INVERSIONISTAS</w:t>
      </w:r>
    </w:p>
    <w:p w14:paraId="19A81E1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8" w:name="ver_30105920"/>
      <w:bookmarkEnd w:id="2048"/>
    </w:p>
    <w:p w14:paraId="619696A4" w14:textId="5938D0B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2.17.2.5.1.1.Procedimiento de Registro. Los inversionistas de capitales del exterior y los residentes que realicen inversiones en el exterior, deberán registrar sus inversiones según el procedimiento que establezca el Banco de la República mediante reglamentación de carácter general.  </w:t>
      </w:r>
    </w:p>
    <w:p w14:paraId="691E065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E52B1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inversionistas o sus apoderados deberán presentar al Banco de la República, directamente o por conducto de las entidades que este determine, una declaración de registro de: i) las inversiones iniciales o adicionales; ii) los cambios en los titulares, en la destinación o en la empresa receptora de la misma, y iii) la cancelación de las inversiones.  </w:t>
      </w:r>
    </w:p>
    <w:p w14:paraId="55B3E1A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0E3E57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los anteriores efectos, el Banco de la República podrá establecer formularios y/o instrumentos físicos o electrónicos.  </w:t>
      </w:r>
    </w:p>
    <w:p w14:paraId="71E793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C134EA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Únicamente para el caso del registro de los cambios en los titulares, la destinación o en la empresa receptora de la inversión y de las cancelaciones de inversiones, el plazo dentro del cual los inversionistas o sus apoderados deberán realizar el respectivo registro ante el Banco de la República es de seis (6) meses, contados a partir del momento en que se realice el respectivo </w:t>
      </w:r>
      <w:r w:rsidRPr="002C1480">
        <w:rPr>
          <w:rFonts w:ascii="Arial" w:eastAsia="Times New Roman" w:hAnsi="Arial" w:cs="Arial"/>
          <w:color w:val="000000"/>
          <w:lang w:eastAsia="es-CO"/>
        </w:rPr>
        <w:lastRenderedPageBreak/>
        <w:t>cambio o cancelación. Sin perjuicio de las sanciones derivadas del incumplimiento de los plazos establecidos para el registro, el Banco de la República podrá registrar extemporáneamente aquellas declaraciones que se presenten inoportunamente, siempre que la inversión se haya realizado de manera efectiva y cumpla con lo dispuesto en las disposiciones legales correspondientes.  </w:t>
      </w:r>
    </w:p>
    <w:p w14:paraId="6BBC2CF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D15B53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No obstante las obligaciones previstas a cargo de los inversionistas, los representantes legales de las empresas receptoras de la inversión podrán presentar la declaración de registro de las inversiones iniciales o adicionales, sus cambios, así como la cancelación de las inversiones de sus inversionistas en cualquier tiempo, de acuerdo con el procedimiento que establezca el Banco de la República, conforme con las normas legales y reglamentarias vigentes.  </w:t>
      </w:r>
    </w:p>
    <w:p w14:paraId="1C5B6D35" w14:textId="77777777" w:rsidR="00731A76" w:rsidRDefault="00731A76" w:rsidP="00C32F85">
      <w:pPr>
        <w:spacing w:after="0" w:line="254" w:lineRule="atLeast"/>
        <w:jc w:val="both"/>
        <w:rPr>
          <w:rFonts w:ascii="Arial" w:eastAsia="Times New Roman" w:hAnsi="Arial" w:cs="Arial"/>
          <w:color w:val="000000"/>
          <w:lang w:eastAsia="es-CO"/>
        </w:rPr>
      </w:pPr>
    </w:p>
    <w:p w14:paraId="34D66696" w14:textId="28BE01E5"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procedimiento de registro se sujetará a las siguientes reglas, sin perjuicio de lo previsto en disposiciones legales y reglamentarias vigentes:  </w:t>
      </w:r>
    </w:p>
    <w:p w14:paraId="202A4D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1E36CE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Se entenderán registradas las inversiones iniciales o adicionales que incluyen, los cambios en los titulares, la destinación o en la empresa receptora, así como las cancelaciones correspondientes, con la presentación de la declaración de registro en la forma y condiciones que señale el Banco de la República.  </w:t>
      </w:r>
    </w:p>
    <w:p w14:paraId="1CA02E4D" w14:textId="77777777" w:rsidR="00731A76" w:rsidRDefault="00731A76" w:rsidP="00C32F85">
      <w:pPr>
        <w:spacing w:after="0" w:line="254" w:lineRule="atLeast"/>
        <w:jc w:val="both"/>
        <w:rPr>
          <w:rFonts w:ascii="Arial" w:eastAsia="Times New Roman" w:hAnsi="Arial" w:cs="Arial"/>
          <w:color w:val="000000"/>
          <w:lang w:eastAsia="es-CO"/>
        </w:rPr>
      </w:pPr>
    </w:p>
    <w:p w14:paraId="5CD54756" w14:textId="7A795AE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Tratándose de inversiones internacionales efectuadas en divisas, la declaración de cambio correspondiente a su canalización a través del mercado cambiario hará las veces de declaración de registro y en aquellas sin canalización de divisas a través del mercado cambiario, el registro de la inversión se efectuará conforme a los procedimientos que establezca el Banco de la República.  </w:t>
      </w:r>
    </w:p>
    <w:p w14:paraId="7D1E864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71262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De manera excepcional, el Banco de la República podrá establecer procedimientos especiales de registro, teniendo en cuenta la naturaleza o clase de la inversión y/o los mecanismos de transacción o adquisición de los activos que constituyen inversión. </w:t>
      </w:r>
    </w:p>
    <w:p w14:paraId="14BFDF47" w14:textId="77777777" w:rsidR="00731A76" w:rsidRDefault="00731A76" w:rsidP="00C32F85">
      <w:pPr>
        <w:spacing w:after="0" w:line="254" w:lineRule="atLeast"/>
        <w:jc w:val="both"/>
        <w:rPr>
          <w:rFonts w:ascii="Arial" w:eastAsia="Times New Roman" w:hAnsi="Arial" w:cs="Arial"/>
          <w:color w:val="000000"/>
          <w:lang w:eastAsia="es-CO"/>
        </w:rPr>
      </w:pPr>
    </w:p>
    <w:p w14:paraId="2ED7B72C" w14:textId="5F13C6D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2.17.2.5.1.2.Modificaciones al registro. Los inversionistas, sus apoderados o los representantes legales de las empresas receptoras de inversión de capitales del exterior en el país podrán en cualquier tiempo modificar la información contenida en el registro, conforme con el procedimiento que establezca el Banco de la República mediante reglamentación de carácter general.  </w:t>
      </w:r>
    </w:p>
    <w:p w14:paraId="402BD38E" w14:textId="77777777" w:rsidR="00731A76" w:rsidRDefault="00731A76" w:rsidP="00C32F85">
      <w:pPr>
        <w:spacing w:after="0" w:line="254" w:lineRule="atLeast"/>
        <w:jc w:val="both"/>
        <w:rPr>
          <w:rFonts w:ascii="Arial" w:eastAsia="Times New Roman" w:hAnsi="Arial" w:cs="Arial"/>
          <w:color w:val="000000"/>
          <w:lang w:eastAsia="es-CO"/>
        </w:rPr>
      </w:pPr>
    </w:p>
    <w:p w14:paraId="249AED33" w14:textId="1FE570F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documentos que soporten dichas modificaciones deberán ser conservados conforme con lo previsto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2.17.2.5.1.4. de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w:t>
      </w:r>
    </w:p>
    <w:p w14:paraId="3C9F44B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49" w:name="ver_30105923"/>
      <w:bookmarkEnd w:id="2049"/>
    </w:p>
    <w:p w14:paraId="451CC0E1" w14:textId="4C9955D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2.17.2.5.1.3.Veracidad de la información. La información contenida en la declaración de registro se entenderá presentada bajo la gravedad del juramento. En tal sentido, la veracidad e integridad de esta información serán responsabilidad exclusiva del inversionista o de quien la suministre, razón por la cual no habrá examen o calificación de la misma, para efectos de su registro. </w:t>
      </w:r>
    </w:p>
    <w:p w14:paraId="58D5689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50" w:name="ver_30105924"/>
      <w:bookmarkEnd w:id="2050"/>
    </w:p>
    <w:p w14:paraId="0E1AF15B" w14:textId="1246207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2.17.2.5.1.4.Conservación de información. Quienes realicen el registro de las inversiones deberán conservar la información y documentos que acrediten el monto, características y demás condiciones de la inversión registrada, los cambios en los titulares, en la destinación o en la empresa receptora de la inversión, su cancelación o las modificaciones al registro, la cual deberá mantenerse a disposición de las autoridades encargadas del control y vigilancia del régimen cambiario y de inversiones, que los requieran para el cumplimiento de sus </w:t>
      </w:r>
      <w:r w:rsidR="00404266" w:rsidRPr="002C1480">
        <w:rPr>
          <w:rFonts w:ascii="Arial" w:eastAsia="Times New Roman" w:hAnsi="Arial" w:cs="Arial"/>
          <w:color w:val="000000"/>
          <w:lang w:eastAsia="es-CO"/>
        </w:rPr>
        <w:lastRenderedPageBreak/>
        <w:t>funciones, por un período igual al de caducidad o prescripción de la acción sancionatoria por infracciones al régimen cambiario y de inversiones.  </w:t>
      </w:r>
    </w:p>
    <w:p w14:paraId="739B00EF" w14:textId="77777777" w:rsidR="00731A76" w:rsidRDefault="00731A76" w:rsidP="00C32F85">
      <w:pPr>
        <w:spacing w:after="0" w:line="293" w:lineRule="atLeast"/>
        <w:jc w:val="both"/>
        <w:rPr>
          <w:rFonts w:ascii="Arial" w:eastAsia="Times New Roman" w:hAnsi="Arial" w:cs="Arial"/>
          <w:color w:val="000000"/>
          <w:lang w:eastAsia="es-CO"/>
        </w:rPr>
      </w:pPr>
      <w:bookmarkStart w:id="2051" w:name="ver_30105925"/>
      <w:bookmarkEnd w:id="2051"/>
    </w:p>
    <w:p w14:paraId="795FE1B9" w14:textId="6B74EE77" w:rsidR="00404266" w:rsidRPr="00731A76" w:rsidRDefault="00731A7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SECCIÓN 2</w:t>
      </w:r>
    </w:p>
    <w:p w14:paraId="6E636925" w14:textId="49EFFBA0" w:rsidR="00404266" w:rsidRPr="00731A76" w:rsidRDefault="00731A7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PROCEDIMIENTOS ESPECIALES DE REGISTRO</w:t>
      </w:r>
    </w:p>
    <w:p w14:paraId="1705937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52" w:name="ver_30105928"/>
      <w:bookmarkEnd w:id="2052"/>
    </w:p>
    <w:p w14:paraId="4BF7D37D" w14:textId="72277E4F"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2.17.2.5.2.1.Inversión de portafolio. En el caso de la inversión de capitales del exterior de portafolio previstas en el literal b)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2.17.2.2.1.2. de este Título, los aportes de valores o de recursos en moneda extranjera canalizados por conducto del mercado cambiario, podrán ser objeto de neteo, sin perjuicio de que las inversiones deban registrarse por su monto total, en las condiciones que establezca el Banco de la República.  </w:t>
      </w:r>
    </w:p>
    <w:p w14:paraId="0AF72667" w14:textId="77777777" w:rsidR="00731A76" w:rsidRDefault="00731A76" w:rsidP="00C32F85">
      <w:pPr>
        <w:spacing w:after="0" w:line="254" w:lineRule="atLeast"/>
        <w:jc w:val="both"/>
        <w:rPr>
          <w:rFonts w:ascii="Arial" w:eastAsia="Times New Roman" w:hAnsi="Arial" w:cs="Arial"/>
          <w:color w:val="000000"/>
          <w:lang w:eastAsia="es-CO"/>
        </w:rPr>
      </w:pPr>
    </w:p>
    <w:p w14:paraId="7E803615" w14:textId="77D03E68"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2.17.2.5.2.2.Inversión de sucursales del régimen cambiario especial. En el caso de la inversión suplementaria al capital asignado de las sucursales de los sectores de hidrocarburos y minería sujetas al régimen cambiario especial establecido por la Junta Directiva del Banco de la República, el registro se efectuará en las condiciones que establezca el Banco de la República. </w:t>
      </w:r>
    </w:p>
    <w:p w14:paraId="43AE5F23" w14:textId="77777777" w:rsidR="00731A76" w:rsidRDefault="00731A76" w:rsidP="00C32F85">
      <w:pPr>
        <w:spacing w:after="0" w:line="293" w:lineRule="atLeast"/>
        <w:jc w:val="both"/>
        <w:rPr>
          <w:rFonts w:ascii="Arial" w:eastAsia="Times New Roman" w:hAnsi="Arial" w:cs="Arial"/>
          <w:color w:val="000000"/>
          <w:lang w:eastAsia="es-CO"/>
        </w:rPr>
      </w:pPr>
      <w:bookmarkStart w:id="2053" w:name="ver_30105936"/>
      <w:bookmarkEnd w:id="2053"/>
    </w:p>
    <w:p w14:paraId="0173DFBB" w14:textId="623C1DA7" w:rsidR="00404266" w:rsidRPr="00731A76" w:rsidRDefault="00731A7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CAPÍTULO 6</w:t>
      </w:r>
    </w:p>
    <w:p w14:paraId="555AC374" w14:textId="3DC6E600" w:rsidR="00404266" w:rsidRPr="00731A76" w:rsidRDefault="00731A7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OTRAS DISPOSICIONES</w:t>
      </w:r>
    </w:p>
    <w:p w14:paraId="745DED8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54" w:name="ver_30105938"/>
      <w:bookmarkEnd w:id="2054"/>
    </w:p>
    <w:p w14:paraId="526D30EC" w14:textId="13C3809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2.17.2.6.1.Negociaciones internacionales. El Departamento Nacional de Planeación, el Ministerio de Relaciones Exteriores, el Ministerio de Hacienda y Crédito Público, el Ministerio de Comercio, Industria y Turismo, y el Banco de la República, dentro de la órbita de su competencia, deberán conceptuar y participar activamente en la negociación de los Acuerdos Internacionales de Inversión.  </w:t>
      </w:r>
    </w:p>
    <w:p w14:paraId="5F576E5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55" w:name="ver_30105939"/>
      <w:bookmarkEnd w:id="2055"/>
    </w:p>
    <w:p w14:paraId="3831D4AE" w14:textId="00663F5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2.17.2.6.2.Seguros a la inversión. El Ministerio de Comercio, Industria y Turismo certificará lo relativo a seguros o garantías a la inversión, derivados de convenios internacionales ratificados por Colombia, cuando así lo exijan los respectivos acuerdos internacionales.  </w:t>
      </w:r>
    </w:p>
    <w:p w14:paraId="708AC1B6" w14:textId="77777777" w:rsidR="00731A76" w:rsidRDefault="00731A76" w:rsidP="00C32F85">
      <w:pPr>
        <w:spacing w:after="0" w:line="293" w:lineRule="atLeast"/>
        <w:jc w:val="both"/>
        <w:rPr>
          <w:rFonts w:ascii="Arial" w:eastAsia="Times New Roman" w:hAnsi="Arial" w:cs="Arial"/>
          <w:color w:val="000000"/>
          <w:lang w:eastAsia="es-CO"/>
        </w:rPr>
      </w:pPr>
      <w:bookmarkStart w:id="2056" w:name="ver_30105941"/>
      <w:bookmarkEnd w:id="2056"/>
    </w:p>
    <w:p w14:paraId="5C7F02B3" w14:textId="6C040041"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CAPÍTULO 7</w:t>
      </w:r>
    </w:p>
    <w:p w14:paraId="0F978704" w14:textId="77777777"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DISPOSICIONES FINALES</w:t>
      </w:r>
    </w:p>
    <w:p w14:paraId="3C47AA4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57" w:name="ver_30105946"/>
      <w:bookmarkEnd w:id="2057"/>
    </w:p>
    <w:p w14:paraId="245C14ED" w14:textId="12BF2D7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2.17.2.7.1. Inversiones no sujetas al presente título. No estarán sujetas al presente título las inversiones y activos en el exterior de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17 de la Ley 9ª de 1991, ni la tenencia de divisas por residentes en el país en los términos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7° de la misma ley.  </w:t>
      </w:r>
    </w:p>
    <w:p w14:paraId="58D6D69B" w14:textId="77777777" w:rsidR="00731A76" w:rsidRDefault="00731A76" w:rsidP="00C32F85">
      <w:pPr>
        <w:spacing w:after="0" w:line="254" w:lineRule="atLeast"/>
        <w:jc w:val="both"/>
        <w:rPr>
          <w:rFonts w:ascii="Arial" w:eastAsia="Times New Roman" w:hAnsi="Arial" w:cs="Arial"/>
          <w:color w:val="000000"/>
          <w:lang w:eastAsia="es-CO"/>
        </w:rPr>
      </w:pPr>
    </w:p>
    <w:p w14:paraId="7B9B853C" w14:textId="1924E66F"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Tampoco estarán sujetas al presente título las inversiones temporales realizadas en el exterior por residentes en el país, ni la tenencia y posesión en el exterior, por residentes en el país, de las divisas que deban ser transferidas o negociadas por medio del mercado cambiario, las cuales estarán reguladas por las normas generales sobre la materia que adopte la Junta Directiva del Banco de la República conforme al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10 y demás normas pertinentes de la Ley 9ª de 1991.  </w:t>
      </w:r>
    </w:p>
    <w:p w14:paraId="37A8FAA7" w14:textId="77777777" w:rsidR="008E021A" w:rsidRPr="002C1480" w:rsidRDefault="008E021A" w:rsidP="00C32F85">
      <w:pPr>
        <w:spacing w:after="0" w:line="254" w:lineRule="atLeast"/>
        <w:jc w:val="both"/>
        <w:rPr>
          <w:rFonts w:ascii="Arial" w:eastAsia="Times New Roman" w:hAnsi="Arial" w:cs="Arial"/>
          <w:color w:val="000000"/>
          <w:lang w:eastAsia="es-CO"/>
        </w:rPr>
      </w:pPr>
    </w:p>
    <w:p w14:paraId="622F4733" w14:textId="4D245F89" w:rsidR="00404266" w:rsidRDefault="002C1480" w:rsidP="00C32F85">
      <w:pPr>
        <w:spacing w:after="0" w:line="254" w:lineRule="atLeast"/>
        <w:jc w:val="both"/>
        <w:rPr>
          <w:rFonts w:ascii="Arial" w:eastAsia="Times New Roman" w:hAnsi="Arial" w:cs="Arial"/>
          <w:color w:val="000000"/>
          <w:lang w:eastAsia="es-CO"/>
        </w:rPr>
      </w:pPr>
      <w:bookmarkStart w:id="2058" w:name="ver_30105949"/>
      <w:bookmarkEnd w:id="2058"/>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2.17.2.7.2.Información. El Banco de la República podrá solicitar a los inversionistas o a las empresas receptoras de la inversión, la información adicional que considere necesaria sobre las inversiones internacionales para efectos estadísticos. La solicitud de información adicional se realizará de manera independiente al procedimiento de registro y en nada incidirá con el mismo, ni con los derechos cambiarios del inversionista.  </w:t>
      </w:r>
    </w:p>
    <w:p w14:paraId="0771F8D8"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4ACB573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La autoridad de supervisión y control del inversionista o de la empresa receptora de la inversión, podrá tomar las medidas que se deriven del incumplimiento en el suministro de la información adicional conforme con el régimen sancionatorio por la omisión al cumplimiento del deber de remitir información que sea requerida por el Banco de la República.  </w:t>
      </w:r>
    </w:p>
    <w:p w14:paraId="75DE34E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8A01373" w14:textId="3A64236D"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Banco de la República mantendrá a disposición de las entidades de control y vigilancia del régimen cambiario y de inversiones internacionales, y de las demás autoridades administrativas y judiciales que lo requieran para el cumplimiento de sus funciones, la información sobre el registro de las inversiones de que trata este título.  </w:t>
      </w:r>
    </w:p>
    <w:p w14:paraId="2EAFE5D7"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60171019" w14:textId="2D112965"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Banco de la República informará periódicamente al Ministerio de Minas y Energía, en relación con las empresas sometidas al régimen especial del sector de hidrocarburos y minería, sobre los movimientos de capital del exterior, identificando los inversionistas del exterior, la empresa receptora, y los montos de inversión registrados.  </w:t>
      </w:r>
    </w:p>
    <w:p w14:paraId="066DDBB1"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6FD16971" w14:textId="3F91BA2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3°. El Banco de la República informará periódicamente los datos mensuales sobre las inversiones que registre al Departamento Nacional de Planeación (DNP), la Unidad Administrativa Especial Dirección de impuestos y Aduanas Nacionales (DIAN) y al Ministerio de Comercio, Industria y Turismo, identificando por lo menos, el inversionista, la empresa receptora, y el monto de la inversión registrado.  </w:t>
      </w:r>
    </w:p>
    <w:p w14:paraId="549FC52F"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4FC71680" w14:textId="236A56B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El Banco de la República informará periódicamente a la Superintendencia Financiera de Colombia en relación con las entidades sometidas a su inspección y vigilancia sobre los movimientos de las inversiones identificando los inversionistas residentes o no residentes, la empresa receptora, las inversiones y montos registrados.  </w:t>
      </w:r>
    </w:p>
    <w:p w14:paraId="418DE713"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23B70F7B" w14:textId="2E42E9A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5°. Si la información que suministren las entidades en desarrollo de lo previsto en este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tiene el carácter de pública calificada como clasificada o reservada, según los términos previstos en la Ley 1712 de 2014 y demás normas que resulten aplicables, la entidad que remite los datos deberá advertirle de tal circunstancia a la entidad que los recibe, para que esta última excepcione también su divulgación. La entidad que clasifica originalmente la información será la responsable de dar respuesta a las solicitudes de acceso a dicha información. </w:t>
      </w:r>
    </w:p>
    <w:p w14:paraId="65C78C0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59" w:name="ver_30105951"/>
      <w:bookmarkEnd w:id="2059"/>
    </w:p>
    <w:p w14:paraId="33541FE5" w14:textId="42D0C6B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2.17.2.7.3.Impuestos. Los asuntos tributarios relacionados con la inversión continuarán rigiéndose por el Estatuto Tributario y sus normas complementarias.  </w:t>
      </w:r>
    </w:p>
    <w:p w14:paraId="5E6528CF"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3D5859E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Todo lo establecido en el presente título, debe entenderse sin perjuicio del pago previo de impuestos según lo ordenen las normas fiscales. </w:t>
      </w:r>
    </w:p>
    <w:p w14:paraId="38455B3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0" w:name="ver_30105952"/>
      <w:bookmarkEnd w:id="2060"/>
    </w:p>
    <w:p w14:paraId="57C91878" w14:textId="2473ACE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2.17.2.7.4.Transparencia regulatoria. De manera previa a su expedición, el Banco de la República publicará para comentarios del público a través de su página web, los proyectos reglamentarios de carácter general en los cuales establezca los procedimientos y condiciones aplicables al registro de la inversión de capitales del exterior en el país y de inversiones colombianas en el exterior, de acuerdo con lo establecido en el numeral 8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8° de la Ley 1437 de 2011 y demás normas que lo modifiquen o reglamenten”. </w:t>
      </w:r>
    </w:p>
    <w:p w14:paraId="223BBBFE" w14:textId="77777777" w:rsidR="00731A76" w:rsidRPr="00731A76" w:rsidRDefault="00731A76" w:rsidP="00731A76">
      <w:pPr>
        <w:spacing w:after="0" w:line="293" w:lineRule="atLeast"/>
        <w:jc w:val="center"/>
        <w:rPr>
          <w:rFonts w:ascii="Arial" w:eastAsia="Times New Roman" w:hAnsi="Arial" w:cs="Arial"/>
          <w:b/>
          <w:bCs/>
          <w:color w:val="000000"/>
          <w:lang w:eastAsia="es-CO"/>
        </w:rPr>
      </w:pPr>
      <w:bookmarkStart w:id="2061" w:name="ver_30057926"/>
      <w:bookmarkEnd w:id="2061"/>
    </w:p>
    <w:p w14:paraId="1BCBD9EE" w14:textId="07B768CA"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PARTE 18</w:t>
      </w:r>
    </w:p>
    <w:p w14:paraId="76743AE0" w14:textId="68A7B1FF" w:rsidR="0040426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DISPOSICIONES VARIAS</w:t>
      </w:r>
    </w:p>
    <w:p w14:paraId="046482B8" w14:textId="77777777" w:rsidR="00731A76" w:rsidRPr="00731A76" w:rsidRDefault="00731A76" w:rsidP="00731A76">
      <w:pPr>
        <w:spacing w:after="0" w:line="293" w:lineRule="atLeast"/>
        <w:jc w:val="center"/>
        <w:rPr>
          <w:rFonts w:ascii="Arial" w:eastAsia="Times New Roman" w:hAnsi="Arial" w:cs="Arial"/>
          <w:b/>
          <w:bCs/>
          <w:color w:val="000000"/>
          <w:lang w:eastAsia="es-CO"/>
        </w:rPr>
      </w:pPr>
    </w:p>
    <w:p w14:paraId="6403A526" w14:textId="77777777"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lastRenderedPageBreak/>
        <w:t>TÍTULO 1</w:t>
      </w:r>
    </w:p>
    <w:p w14:paraId="7AE393B8" w14:textId="77777777" w:rsidR="00404266" w:rsidRPr="00731A76" w:rsidRDefault="00404266" w:rsidP="00731A76">
      <w:pPr>
        <w:spacing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GARANTÍA CARTERA VIS SUBSIDIABLE</w:t>
      </w:r>
    </w:p>
    <w:p w14:paraId="07A6EFC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2" w:name="ver_30102890"/>
      <w:bookmarkStart w:id="2063" w:name="ver_30102889"/>
      <w:bookmarkEnd w:id="2062"/>
    </w:p>
    <w:p w14:paraId="2A49A1E6" w14:textId="7FE013C1"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2.18.1.1. Garantía Cartera VIS Subsidiable. La Nación-Ministerio de Hacienda y Crédito Público, a través del Fondo de Garantías de Instituciones Financieras (Fogafín), otorgará su garantía a los bonos hipotecarios para financiar cartera VIS subsidiable y a los títulos emitidos en procesos de titularización de cartera VIS subsidiable, que se emitan sobre cartera originada por los establecimientos de crédito, de conformidad con lo dispuesto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9°, 10 y 12 de la Ley 546 de 1999, con sujeción a lo previsto en el presente título. </w:t>
      </w:r>
    </w:p>
    <w:p w14:paraId="5262D3B0"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65D4D104" w14:textId="345FFB74"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Las garantías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se otorgarán a los bonos hipotecarios para financiar cartera VIS subsidiable y a los títulos emitidos en procesos de titularización de cartera VIS subsidiable que se emitan desde la fecha de entrada en vigencia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número 2215 de 2015 y hasta el 31 de diciembre de 2018, con sujeción a los recursos que se destinen para el efecto. </w:t>
      </w:r>
    </w:p>
    <w:p w14:paraId="613E55EC"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306365D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monto liberado del cupo de la garantía por el valor de los títulos recomprados, bien sea por las amortizaciones o por el prepago de las carteras subyacentes de dichos títulos, operará de forma rotativa y podrá ser utilizado de nuevo para el otorgamiento de garantías dentro del plazo establecido por el Gobierno nacional”. </w:t>
      </w:r>
    </w:p>
    <w:p w14:paraId="7DE2EF6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4" w:name="ver_30057928"/>
      <w:bookmarkEnd w:id="2063"/>
      <w:bookmarkEnd w:id="2064"/>
    </w:p>
    <w:p w14:paraId="06073B35" w14:textId="5D496A8D" w:rsidR="00404266"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2.18.1.2. Recursos. Para pagar las garantías a que se refiere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precedente y para atender los gastos y costos de la administración de la garantía, el Fondo de Garantías de Instituciones Financieras, Fogafín contará principalmente con los siguientes recursos, los cuales se mantendrán en una reserva especial y separada: sustituyan. </w:t>
      </w:r>
    </w:p>
    <w:p w14:paraId="64897A36"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5E770C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Los recursos que reciba de la Nación Ministerio de Hacienda y Crédito Público para pagar oportunamente las garantías, así como para cubrir los gastos directos que demande el sistema de garantías; </w:t>
      </w:r>
    </w:p>
    <w:p w14:paraId="655C02FC" w14:textId="77777777" w:rsidR="00731A76" w:rsidRDefault="00731A76" w:rsidP="00C32F85">
      <w:pPr>
        <w:spacing w:after="0" w:line="254" w:lineRule="atLeast"/>
        <w:jc w:val="both"/>
        <w:rPr>
          <w:rFonts w:ascii="Arial" w:eastAsia="Times New Roman" w:hAnsi="Arial" w:cs="Arial"/>
          <w:color w:val="000000"/>
          <w:lang w:eastAsia="es-CO"/>
        </w:rPr>
      </w:pPr>
    </w:p>
    <w:p w14:paraId="181D4B8A" w14:textId="7EC84DC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b) Los recursos provenientes de las comisiones o primas por el otorgamiento de las garantías, de conformidad con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2.18.1.5 de esta parte; </w:t>
      </w:r>
    </w:p>
    <w:p w14:paraId="08579328" w14:textId="77777777" w:rsidR="00731A76" w:rsidRDefault="00731A76" w:rsidP="00C32F85">
      <w:pPr>
        <w:spacing w:after="0" w:line="254" w:lineRule="atLeast"/>
        <w:jc w:val="both"/>
        <w:rPr>
          <w:rFonts w:ascii="Arial" w:eastAsia="Times New Roman" w:hAnsi="Arial" w:cs="Arial"/>
          <w:color w:val="000000"/>
          <w:lang w:eastAsia="es-CO"/>
        </w:rPr>
      </w:pPr>
    </w:p>
    <w:p w14:paraId="36E7BCA2" w14:textId="7235785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Otros recursos que obtenga directamente el Fondo de Garantías de Instituciones Financieras, Fogafín, provenientes de operaciones realizadas con cargo a los recursos de la reserva. </w:t>
      </w:r>
    </w:p>
    <w:p w14:paraId="6E878677"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5" w:name="ver_30057929"/>
      <w:bookmarkEnd w:id="2065"/>
    </w:p>
    <w:p w14:paraId="603E6A8E" w14:textId="4CFECA8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2.18.1.3. Alcance de la Garantía. La garantía se otorgará a los bonos hipotecarios para financiar cartera VIS subsidiable y a los títulos emitidos en procesos de titularización de cartera VIS subsidiable que cumplan con lo previsto en los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s 9° y 12 de la Ley 546 de 1999 y las normas que los desarrollen. </w:t>
      </w:r>
    </w:p>
    <w:p w14:paraId="45753E3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6" w:name="ver_30057930"/>
      <w:bookmarkEnd w:id="2066"/>
    </w:p>
    <w:p w14:paraId="3DDFEB57" w14:textId="7AB12D9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2.18.1.4. Requisitos. Previo al otorgamiento de la garantía, se deberá remitir al Fondo de Garantías de Instituciones Financieras, Fogafín la calificación del establecimiento de crédito emisor de los bonos o la calificación, reservada de la emisión de los títulos que se vayan a emitir en procesos de titularización. En todo caso, la garantía de la Nación sólo podrá otorgarse cuando la calificación corresponda a grado de inversión. </w:t>
      </w:r>
    </w:p>
    <w:p w14:paraId="5254470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635393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El establecimiento de crédito emisor de los bonos hipotecarios o el agente de manejo del respectivo proceso de titularización deberá suscribir con el Fondo de Garantías de Instituciones Financieras, </w:t>
      </w:r>
      <w:r w:rsidRPr="002C1480">
        <w:rPr>
          <w:rFonts w:ascii="Arial" w:eastAsia="Times New Roman" w:hAnsi="Arial" w:cs="Arial"/>
          <w:color w:val="000000"/>
          <w:lang w:eastAsia="es-CO"/>
        </w:rPr>
        <w:lastRenderedPageBreak/>
        <w:t>Fogafín los contratos respectivos, en los términos generales que apruebe su Junta Directiva, en los cuales se determinarán el valor y la forma en que habrá de pagarse la comisión por la garantía, los requisitos de la cartera hipotecaria VIS subsidiable financiada mediante la emisión de bonos o que respalda la emisión de títulos del proceso de titularización y los aspectos operativos de la garantía. </w:t>
      </w:r>
    </w:p>
    <w:p w14:paraId="2AE0B432"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7" w:name="ver_30057931"/>
      <w:bookmarkEnd w:id="2067"/>
    </w:p>
    <w:p w14:paraId="096DBD48" w14:textId="093BA71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2.18.1.5. Comisión. La comisión por el otorgamiento de la garantía será fijada de conformidad con lo establecido en el literal b), numeral 2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318 del Estatuto Orgánico del Sistema Financiero, teniendo en cuenta, entre otros criterios, el valor en riesgo y los costos y gastos de administración de la garantía. El Fondo de Garantías de Instituciones Financieras, Fogafín podrá establecer la información y documentación que requiera como condición para solicitar el acceso a la garantía y verificar el comportamiento de las emisiones. </w:t>
      </w:r>
    </w:p>
    <w:p w14:paraId="5D35EEC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8" w:name="ver_30057932"/>
      <w:bookmarkEnd w:id="2068"/>
    </w:p>
    <w:p w14:paraId="79170310" w14:textId="498C8A8B"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2.18.1.6. Disponibilidad de Recursos. La Nación Ministerio de Hacienda y Crédito Público dispondrá de los mecanismos necesarios para garantizar que en todo momento existan los recursos suficientes para honrar las garantías. </w:t>
      </w:r>
    </w:p>
    <w:p w14:paraId="1FDB826B" w14:textId="77777777" w:rsidR="00731A76" w:rsidRDefault="00731A76" w:rsidP="00C32F85">
      <w:pPr>
        <w:spacing w:after="0" w:line="254" w:lineRule="atLeast"/>
        <w:jc w:val="both"/>
        <w:rPr>
          <w:rFonts w:ascii="Arial" w:eastAsia="Times New Roman" w:hAnsi="Arial" w:cs="Arial"/>
          <w:color w:val="000000"/>
          <w:lang w:eastAsia="es-CO"/>
        </w:rPr>
      </w:pPr>
    </w:p>
    <w:p w14:paraId="02DD7FCB" w14:textId="3FB50DB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tal efecto, el Fondo de Garantías de Instituciones Financieras, Fogafín deberá presentar al Ministerio de Hacienda y Crédito Público las proyecciones y cálculos estimados de los recursos que se requerirán cada año para pagar las garantías. </w:t>
      </w:r>
    </w:p>
    <w:p w14:paraId="067C2F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530F6F8" w14:textId="6FD6E8B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Cuando los recursos de la reserva especial y separada a que alude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2.18.1.2 del presente título no sean suficientes para pagar las garantías, el Ministerio de Hacienda y Crédito Público deberá suministrar los recursos que permitan pagar a los tenedores de Bonos y Títulos, mediante la entrega de títulos de deuda pública. </w:t>
      </w:r>
    </w:p>
    <w:p w14:paraId="0FA537E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69" w:name="ver_30057933"/>
      <w:bookmarkEnd w:id="2069"/>
    </w:p>
    <w:p w14:paraId="505E687E" w14:textId="70B273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2.18.1.7. Convenio. Con el fin de regular los aspectos administrativos y operativos del sistema de garantías a que se refiere el presente título, el Ministerio de Hacienda y Crédito Público y el Fondo de Garantías de Instituciones Financieras, Fogafín, suscribirán un convenio en el cual regularán los derechos y obligaciones de la Nación y del Fondo de Garantías de Instituciones Financieras respecto del sistema de garantías. </w:t>
      </w:r>
    </w:p>
    <w:p w14:paraId="39CB7976" w14:textId="77777777" w:rsidR="00731A76" w:rsidRDefault="00731A76" w:rsidP="00C32F85">
      <w:pPr>
        <w:spacing w:after="0" w:line="293" w:lineRule="atLeast"/>
        <w:jc w:val="both"/>
        <w:rPr>
          <w:rFonts w:ascii="Arial" w:eastAsia="Times New Roman" w:hAnsi="Arial" w:cs="Arial"/>
          <w:color w:val="000000"/>
          <w:lang w:eastAsia="es-CO"/>
        </w:rPr>
      </w:pPr>
      <w:bookmarkStart w:id="2070" w:name="ver_30057934"/>
      <w:bookmarkEnd w:id="2070"/>
    </w:p>
    <w:p w14:paraId="50DB7FDE" w14:textId="58687132"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TÍTULO 2</w:t>
      </w:r>
    </w:p>
    <w:p w14:paraId="0FC5362D" w14:textId="77777777" w:rsidR="00404266" w:rsidRPr="00731A76" w:rsidRDefault="00404266" w:rsidP="00731A76">
      <w:pPr>
        <w:spacing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CAPTACIÓN MASIVA DE FONDOS</w:t>
      </w:r>
    </w:p>
    <w:p w14:paraId="1BBC1D9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71" w:name="ver_30057935"/>
      <w:bookmarkEnd w:id="2071"/>
    </w:p>
    <w:p w14:paraId="1AC8CB88" w14:textId="1AD9362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2.18.2.1. Definición. Para los efectos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2920 de 1982, se entiende que una persona natural o jurídica capta dineros del público en forma masiva y habitual en uno cualquiera de los siguientes casos: </w:t>
      </w:r>
    </w:p>
    <w:p w14:paraId="2434DC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AF90808" w14:textId="6F91088A"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Cuando su pasivo para con el público está compuesto por obligaciones con más de veinte (20) personas o por más de cincuenta (50) obligaciones, en cualquiera de los dos casos contraídas directamente o a través de interpuesta persona. </w:t>
      </w:r>
    </w:p>
    <w:p w14:paraId="2A017DFC" w14:textId="77777777" w:rsidR="008E021A" w:rsidRPr="002C1480" w:rsidRDefault="008E021A" w:rsidP="00C32F85">
      <w:pPr>
        <w:spacing w:after="0" w:line="254" w:lineRule="atLeast"/>
        <w:jc w:val="both"/>
        <w:rPr>
          <w:rFonts w:ascii="Arial" w:eastAsia="Times New Roman" w:hAnsi="Arial" w:cs="Arial"/>
          <w:color w:val="000000"/>
          <w:lang w:eastAsia="es-CO"/>
        </w:rPr>
      </w:pPr>
    </w:p>
    <w:p w14:paraId="5EB5EA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Por pasivo para con el público se entiende el monto de las obligaciones contraídas por haber recibido dinero a título de mutuo o a cualquiera otro en que no se prevea como contraprestación el suministro de bienes o servicios. </w:t>
      </w:r>
    </w:p>
    <w:p w14:paraId="03FFA62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19520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Cuando, conjunta o separadamente, haya celebrado en un período de tres (3) meses consecutivos más de veinte (20) contratos de mandato con el objeto de administrar dineros de sus </w:t>
      </w:r>
      <w:r w:rsidRPr="002C1480">
        <w:rPr>
          <w:rFonts w:ascii="Arial" w:eastAsia="Times New Roman" w:hAnsi="Arial" w:cs="Arial"/>
          <w:color w:val="000000"/>
          <w:lang w:eastAsia="es-CO"/>
        </w:rPr>
        <w:lastRenderedPageBreak/>
        <w:t>mandantes bajo la modalidad de libre administración o para invertirlos en títulos o valores a juicio del mandatario, o haya vendido títulos de crédito o de inversión con la obligación para el comprador de transferirle la propiedad de títulos de la misma especie, a la vista o en un plazo convenido, y contra reembolso de un precio. </w:t>
      </w:r>
    </w:p>
    <w:p w14:paraId="59EE83CF" w14:textId="77777777" w:rsidR="00731A76" w:rsidRDefault="00731A76" w:rsidP="00C32F85">
      <w:pPr>
        <w:spacing w:after="0" w:line="254" w:lineRule="atLeast"/>
        <w:jc w:val="both"/>
        <w:rPr>
          <w:rFonts w:ascii="Arial" w:eastAsia="Times New Roman" w:hAnsi="Arial" w:cs="Arial"/>
          <w:color w:val="000000"/>
          <w:lang w:eastAsia="es-CO"/>
        </w:rPr>
      </w:pPr>
    </w:p>
    <w:p w14:paraId="5103E091" w14:textId="4DFF65B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Para determinar el período de los tres (3) meses a que se refiere el inciso anterior, podrá tenerse como fecha inicial la que corresponda a cualquiera de los contratos de mandato o de las operaciones de venta. </w:t>
      </w:r>
    </w:p>
    <w:p w14:paraId="6F2AD73F" w14:textId="77777777" w:rsidR="00731A76" w:rsidRDefault="00731A76" w:rsidP="00C32F85">
      <w:pPr>
        <w:spacing w:after="0" w:line="254" w:lineRule="atLeast"/>
        <w:jc w:val="both"/>
        <w:rPr>
          <w:rFonts w:ascii="Arial" w:eastAsia="Times New Roman" w:hAnsi="Arial" w:cs="Arial"/>
          <w:color w:val="000000"/>
          <w:lang w:eastAsia="es-CO"/>
        </w:rPr>
      </w:pPr>
    </w:p>
    <w:p w14:paraId="1CCAEAED" w14:textId="2E4383FA"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En cualquiera de los casos señalados debe concurrir además una de las siguientes condiciones: </w:t>
      </w:r>
    </w:p>
    <w:p w14:paraId="19669F96" w14:textId="77777777" w:rsidR="00731A76" w:rsidRDefault="00731A76" w:rsidP="00C32F85">
      <w:pPr>
        <w:spacing w:after="0" w:line="254" w:lineRule="atLeast"/>
        <w:jc w:val="both"/>
        <w:rPr>
          <w:rFonts w:ascii="Arial" w:eastAsia="Times New Roman" w:hAnsi="Arial" w:cs="Arial"/>
          <w:color w:val="000000"/>
          <w:lang w:eastAsia="es-CO"/>
        </w:rPr>
      </w:pPr>
    </w:p>
    <w:p w14:paraId="2FA359A5" w14:textId="59908C6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Que el valor total de los dineros recibidos por el conjunto de las operaciones indicadas sobrepase el 50% del patrimonio líquido de aquella persona; o b) Que las operaciones respectivas hayan sido el resultado de haber realizado ofertas públicas o privadas a personas innominadas, o de haber utilizado cualquier otro sistema con efectos idénticos o similares. </w:t>
      </w:r>
    </w:p>
    <w:p w14:paraId="61A88B00" w14:textId="77777777" w:rsidR="00731A76" w:rsidRDefault="00731A76" w:rsidP="00C32F85">
      <w:pPr>
        <w:spacing w:after="0" w:line="254" w:lineRule="atLeast"/>
        <w:jc w:val="both"/>
        <w:rPr>
          <w:rFonts w:ascii="Arial" w:eastAsia="Times New Roman" w:hAnsi="Arial" w:cs="Arial"/>
          <w:color w:val="000000"/>
          <w:lang w:eastAsia="es-CO"/>
        </w:rPr>
      </w:pPr>
    </w:p>
    <w:p w14:paraId="28B2D6B9" w14:textId="2FDA382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No quedarán comprendidos dentro de los cómputos a que se refiere el presente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las operaciones realizadas con el cónyuge o los parientes hasta el 4° grado de consanguinidad, 2° de afinidad y único civil, o con los socios o asociados que, teniendo previamente esta calidad en la respectiva sociedad o asociación durante un período de seis (6) meses consecutivos, posean individualmente una participación en el capital de la misma sociedad o asociación superior al cinco por ciento (5%) de dicho capital. </w:t>
      </w:r>
    </w:p>
    <w:p w14:paraId="2D37C5C6" w14:textId="77777777" w:rsidR="00731A76" w:rsidRDefault="00731A76" w:rsidP="00C32F85">
      <w:pPr>
        <w:spacing w:after="0" w:line="254" w:lineRule="atLeast"/>
        <w:jc w:val="both"/>
        <w:rPr>
          <w:rFonts w:ascii="Arial" w:eastAsia="Times New Roman" w:hAnsi="Arial" w:cs="Arial"/>
          <w:color w:val="000000"/>
          <w:lang w:eastAsia="es-CO"/>
        </w:rPr>
      </w:pPr>
    </w:p>
    <w:p w14:paraId="6FE4517E" w14:textId="19E97B9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Tampoco se computarán las operaciones realizadas con las instituciones financieras definidas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24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2920 de 1982. </w:t>
      </w:r>
    </w:p>
    <w:p w14:paraId="6A1C5CB5" w14:textId="77777777" w:rsidR="00731A76" w:rsidRDefault="00731A76" w:rsidP="00C32F85">
      <w:pPr>
        <w:spacing w:after="0" w:line="293" w:lineRule="atLeast"/>
        <w:jc w:val="both"/>
        <w:rPr>
          <w:rFonts w:ascii="Arial" w:eastAsia="Times New Roman" w:hAnsi="Arial" w:cs="Arial"/>
          <w:color w:val="000000"/>
          <w:lang w:eastAsia="es-CO"/>
        </w:rPr>
      </w:pPr>
      <w:bookmarkStart w:id="2072" w:name="ver_30103453"/>
      <w:bookmarkEnd w:id="2072"/>
    </w:p>
    <w:p w14:paraId="098886A5" w14:textId="5C7AB270"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PARTE 19</w:t>
      </w:r>
    </w:p>
    <w:p w14:paraId="55A2120D" w14:textId="77777777" w:rsidR="00404266" w:rsidRPr="00731A76" w:rsidRDefault="00404266" w:rsidP="00731A76">
      <w:pPr>
        <w:spacing w:after="0"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FONDO NACIONAL PARA EL DESARROLLO DE LA INFRAESTRUCTURA</w:t>
      </w:r>
    </w:p>
    <w:p w14:paraId="73CD5E8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73" w:name="ver_30211436"/>
      <w:bookmarkStart w:id="2074" w:name="ver_30103454"/>
      <w:bookmarkEnd w:id="2073"/>
    </w:p>
    <w:p w14:paraId="28B13359" w14:textId="339796B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2.19.1.Administración y naturaleza jurídica. El Fondo Nacional para el Desarrollo de la Infraestructura (Fondes) es un patrimonio autónomo que será administrado por la Financiera de Desarrollo Nacional S.A. (en adelante la ‘‘FDN”), en los términos del contrato de fiducia mercantil (en adelante el “Contrato”) que se suscriba para el efecto con la entidad administradora.  </w:t>
      </w:r>
    </w:p>
    <w:p w14:paraId="310B950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4601FA1" w14:textId="3F43DF4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La administración del Fondes, así como los demás asuntos necesarios para su funcionamiento y el cabal cumplimento de su objeto, se regirán por lo establecido en esta Parte de conformidad con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144 de la Ley 1753 de 2015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56 de la Ley 1955 de 2019,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258 y 261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663 de 1993 y demás normas aplicables; el Contrato y el Reglamento del Fondes (en adelante el “Reglamento”). En consecuencia, frente al régimen legal aplicable a las sociedades fiduciarias, en la constitución y administración del patrimonio autónomo Fondes, en su rol como fiduciario, a la FDN sólo le será aplicable el régimen legal propio establecido 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258 y 261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663 de 1993 o la norma que lo adicione, modifique o sustituya.  </w:t>
      </w:r>
    </w:p>
    <w:p w14:paraId="6B80C314" w14:textId="52F84E7E" w:rsidR="00404266" w:rsidRPr="002C1480" w:rsidRDefault="00404266" w:rsidP="00731A7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075" w:name="ver_30211437"/>
      <w:bookmarkStart w:id="2076" w:name="ver_30103455"/>
      <w:bookmarkEnd w:id="2074"/>
      <w:bookmarkEnd w:id="2075"/>
    </w:p>
    <w:p w14:paraId="45C8C349" w14:textId="63D30C7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2.19.2.Objeto del Fondes. El Fondes tendrá por objeto la inversión y el financiamiento de proyectos de infraestructura, así como la inversión en el capital social de empresas de servicios públicos mixtas u oficiales.  </w:t>
      </w:r>
    </w:p>
    <w:p w14:paraId="36CD17D8" w14:textId="77777777" w:rsidR="00731A76" w:rsidRDefault="00731A76" w:rsidP="00C32F85">
      <w:pPr>
        <w:spacing w:after="0" w:line="254" w:lineRule="atLeast"/>
        <w:jc w:val="both"/>
        <w:rPr>
          <w:rFonts w:ascii="Arial" w:eastAsia="Times New Roman" w:hAnsi="Arial" w:cs="Arial"/>
          <w:color w:val="000000"/>
          <w:lang w:eastAsia="es-CO"/>
        </w:rPr>
      </w:pPr>
      <w:bookmarkStart w:id="2077" w:name="ver_30103456"/>
      <w:bookmarkEnd w:id="2076"/>
    </w:p>
    <w:p w14:paraId="58F5FF38" w14:textId="0EE3089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ARTÍCULO</w:t>
      </w:r>
      <w:r w:rsidR="00404266" w:rsidRPr="002C1480">
        <w:rPr>
          <w:rFonts w:ascii="Arial" w:eastAsia="Times New Roman" w:hAnsi="Arial" w:cs="Arial"/>
          <w:color w:val="000000"/>
          <w:lang w:eastAsia="es-CO"/>
        </w:rPr>
        <w:t xml:space="preserve"> 2.19.3.Recursos del Fondes. El patrimonio del Fondes estará constituido, entre otras, por las siguientes fuentes:  </w:t>
      </w:r>
    </w:p>
    <w:p w14:paraId="704CF14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D19DF1" w14:textId="1474033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Cuando el Gobierno nacional lo defina, los resultantes de la enajenación de la participación accionaria de la Nación, recibidos en desarrollo de un proceso regulado por la Ley 226 de 1995, después de aplicar los descuentos ordenados por la ley o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para otros fines, cuando ello sea aplicable.  </w:t>
      </w:r>
    </w:p>
    <w:p w14:paraId="4EA4FC5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A7194F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Los rendimientos que genere el Fondes, y los que obtenga por la inversión de los recursos que integran su patrimonio en la forma que se determina en esta Parte.  </w:t>
      </w:r>
    </w:p>
    <w:p w14:paraId="626D59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807729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Los recursos que obtenga a través de sus propias operaciones de crédito público y de tesorería.  </w:t>
      </w:r>
    </w:p>
    <w:p w14:paraId="70C46E6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CCA4A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Los títulos valores de su propiedad, así como los recursos producto de la enajenación de los mismos; y  </w:t>
      </w:r>
    </w:p>
    <w:p w14:paraId="57D4C9A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94997C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Los recursos provenientes de nuevas fuentes de ingreso que se obtengan, entre otros, a través de cobros de valorización nacional y/o valor residual de concesiones.  </w:t>
      </w:r>
    </w:p>
    <w:p w14:paraId="374FEA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FD9C3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Los demás que obtenga o que le asigne el Gobierno nacional a cualquier título.  </w:t>
      </w:r>
    </w:p>
    <w:p w14:paraId="46064C4B"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78" w:name="ver_30103457"/>
      <w:bookmarkEnd w:id="2077"/>
      <w:bookmarkEnd w:id="2078"/>
    </w:p>
    <w:p w14:paraId="7AA9A405" w14:textId="1351766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2.19.4.Consejo de administración del Fondes. El Fondes tendrá un Consejo de Administración, el cual constituye el máximo órgano de dirección del Fondes, y tendrá las facultades, funciones y obligaciones que se establecen en esta Parte, en El Contrato y el Reglamento del Fondes. </w:t>
      </w:r>
    </w:p>
    <w:p w14:paraId="5BA0D22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79" w:name="ver_30211440"/>
      <w:bookmarkStart w:id="2080" w:name="ver_30103458"/>
      <w:bookmarkEnd w:id="2079"/>
    </w:p>
    <w:p w14:paraId="43AAAE62" w14:textId="0B33C2D1"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2.19.5.Composición del Consejo de Administración del Fondes. El Consejo de Administración estará conformado por cinco (5) miembros, designados de la siguiente manera:  </w:t>
      </w:r>
    </w:p>
    <w:p w14:paraId="05F0B0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AB5DB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El Ministro de Hacienda y Crédito Público o su delegado, quien lo presidirá.  </w:t>
      </w:r>
    </w:p>
    <w:p w14:paraId="3237259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8A9480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Un miembro designado por el Presidente de la República.  </w:t>
      </w:r>
    </w:p>
    <w:p w14:paraId="613DF7C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157A4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Tres miembros independientes designados por el Ministro de Hacienda y Crédito Público.  </w:t>
      </w:r>
    </w:p>
    <w:p w14:paraId="3A4BAB3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F4FB2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El Ministro de Hacienda y Crédito Púbico sólo podrá delegar su participación en los viceministros y/o en cargos de nivel directivo. La FDN ejercerá la secretaría técnica del Consejo de Administración.  </w:t>
      </w:r>
    </w:p>
    <w:p w14:paraId="6853152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65E5B4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miembros independientes deberán cumplir como mínimo con las siguientes calidades y las demás establecidas en el Reglamento: (i) Tener experiencia demostrada de por lo menos 5 años en el sector de infraestructura y/o en el manejo de fondos de inversión; y (iii) No estar sancionados fiscal ni disciplinariamente, ni hallados penalmente responsables.  </w:t>
      </w:r>
    </w:p>
    <w:p w14:paraId="7CE130F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1FB8E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transitorio. En caso de que, el Consejo de Administración no cuente con la designación de los miembros necesarios para conformar el quórum decisorio establecido en su Reglamento a la fecha de inicio de ejecución del Fondes, el Ministerio de Hacienda y Crédito Público, durante los primeros seis (6) meses siguientes a la citada fecha, podrá: i) designar y/o delegar funcionarios de nivel directivo en los reglones establecidos para los miembros independientes o; ii) asumir de forma </w:t>
      </w:r>
      <w:r w:rsidRPr="002C1480">
        <w:rPr>
          <w:rFonts w:ascii="Arial" w:eastAsia="Times New Roman" w:hAnsi="Arial" w:cs="Arial"/>
          <w:color w:val="000000"/>
          <w:lang w:eastAsia="es-CO"/>
        </w:rPr>
        <w:lastRenderedPageBreak/>
        <w:t>directa las funciones del Consejo de Administración. La fecha de inicio de ejecución del Fondes será aquella que se defina en el Contrato.  </w:t>
      </w:r>
    </w:p>
    <w:p w14:paraId="5EB6B5DB" w14:textId="26BFFD8C" w:rsidR="00404266" w:rsidRPr="002C1480" w:rsidRDefault="00404266" w:rsidP="00731A7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081" w:name="ver_30211441"/>
      <w:bookmarkStart w:id="2082" w:name="ver_30103459"/>
      <w:bookmarkEnd w:id="2080"/>
      <w:bookmarkEnd w:id="2081"/>
    </w:p>
    <w:p w14:paraId="226B814E" w14:textId="4564652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2.19.6.Funciones del Consejo de Administración del Fondes. El Consejo de Administración tendrá las siguientes funciones:  </w:t>
      </w:r>
    </w:p>
    <w:p w14:paraId="114C52A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80B5E7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Aprobar las modificaciones al Reglamento del Fondes, así como cualquier cambio en las políticas y manuales contenidos en dicho Reglamento.  </w:t>
      </w:r>
    </w:p>
    <w:p w14:paraId="2733722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BAF8FE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Hacer seguimiento a las actividades del Administrador del Fondes y recibir los informes sobre el desarrollo de sus operaciones.  </w:t>
      </w:r>
    </w:p>
    <w:p w14:paraId="1931225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CFEE9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Revisar el informe de gestión, los estados financieros y en general la rendición de cuentas que presente la FDN como administrador del Fondes.  </w:t>
      </w:r>
    </w:p>
    <w:p w14:paraId="2A4BE1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C0ADC0F" w14:textId="333D0200"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4. Aprobar las operaciones de crédito público interno o externo del Fondes de las que trata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2.19.12 de esta Parte, sin perjuicio de los demás requisitos necesarios para su celebración dispuestos en dicho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w:t>
      </w:r>
    </w:p>
    <w:p w14:paraId="07A8FB5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8BE6AC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Resolver los posibles conflictos de interés que se presenten en el desarrollo del objeto del Fondes.  </w:t>
      </w:r>
    </w:p>
    <w:p w14:paraId="3C12528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5F47B1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Aprobar y fijar los términos de: i) las operaciones que se celebren entre la FDN y el Fondes, incluyendo el otorgamiento de financiamiento por parte del Fondes a aquella; ii) Aquellas inversiones y desinversiones que sean de competencia del Consejo de Administración, de conformidad con el Contrato y el Reglamento y; iii) Aquellas operaciones en que la FDN manifieste un conflicto de interés.  </w:t>
      </w:r>
    </w:p>
    <w:p w14:paraId="2F2282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9E36F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Darse su propio reglamento para el ejercicio de sus funciones, incluyendo la adopción de decisiones, quórum deliberativo y decisorio, mayorías, periodicidad de sus reuniones, convocatoria y las funciones de la Secretaría Técnica.  </w:t>
      </w:r>
    </w:p>
    <w:p w14:paraId="054AD7E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34A9BB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Definir los órganos de gobierno del Fondes, sus funciones y responsabilidades.  </w:t>
      </w:r>
    </w:p>
    <w:p w14:paraId="004424D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1469E9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Aprobar el presupuesto anual del Fondes, así como sus modificaciones.  </w:t>
      </w:r>
    </w:p>
    <w:p w14:paraId="1D3E766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050043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10. Las demás que, como máximo órgano de administración, deba ejercer para el cumplimiento del objeto del Fondes.  </w:t>
      </w:r>
    </w:p>
    <w:p w14:paraId="18BF56F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F778A5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Los miembros del Consejo de Administración recibirán remuneración con cargo a los recursos del Fondes por su participación en las sesiones del presente órgano de administración, para lo cual se deberá dar cumplimiento a la política de remuneración establecida para miembros de Juntas Directivas por parte del Comité de Activos del Ministerio de Hacienda y Crédito Público.  </w:t>
      </w:r>
    </w:p>
    <w:p w14:paraId="5F9958AF" w14:textId="1ADD571F" w:rsidR="00404266" w:rsidRPr="002C1480" w:rsidRDefault="00404266" w:rsidP="00731A7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083" w:name="ver_30211442"/>
      <w:bookmarkStart w:id="2084" w:name="ver_30103460"/>
      <w:bookmarkEnd w:id="2082"/>
      <w:bookmarkEnd w:id="2083"/>
    </w:p>
    <w:p w14:paraId="18EC2AA9" w14:textId="1999BA5A"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2.19.7.Administrador del Fondes. La FDN será la entidad encargada de ejercer la administración, vocería y representación del Fondes, incluyendo las decisiones particulares de inversión de sus recursos que no le correspondan al Consejo de Administración o a otro órgano de gobierno del Fondes, en las condiciones establecidas en el Contrato y en el Reglamento. Las obligaciones de la FDN bajo el Contrato serán de medio y no de resultado.  </w:t>
      </w:r>
    </w:p>
    <w:p w14:paraId="372D5D4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5F41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La FDN llevará además la personería del patrimonio autónomo Fondes en todas las actuaciones procesales de carácter administrativo o jurisdiccional que deban realizarse para proteger y defender los bienes que lo conforman, o para ejercer los derechos y acciones que le correspondan en desarrollo del Contrato, todo lo cual se realizará con los recursos del Fondes, conforme lo establecido en el Contrato y/o el Reglamento. En su calidad de vocero y administrador, la FDN actuará como el ordenador del gasto del Fondes, a través del Gerente del Fondes o de sus representantes legales. </w:t>
      </w:r>
    </w:p>
    <w:p w14:paraId="305B8009"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85" w:name="ver_30211443"/>
      <w:bookmarkStart w:id="2086" w:name="ver_30103461"/>
      <w:bookmarkEnd w:id="2084"/>
      <w:bookmarkEnd w:id="2085"/>
    </w:p>
    <w:p w14:paraId="414BB3C8" w14:textId="345FE7C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2.19.8.Contrato del Fondes. Para la administración fiduciaria de los recursos del Fondes, el Ministerio de Hacienda y Crédito Público suscribirá con la FDN el Contrato, el cual, además de contener todo lo necesario para dar aplicación a lo establecido en esta Parte, deberá al menos contemplar los siguientes aspectos:  </w:t>
      </w:r>
    </w:p>
    <w:p w14:paraId="103CE9A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BDD92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1. Las obligaciones de las partes.  </w:t>
      </w:r>
    </w:p>
    <w:p w14:paraId="4E586CF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Rendición de cuentas y contabilidad.  </w:t>
      </w:r>
    </w:p>
    <w:p w14:paraId="31595EE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3. Modificación y terminación del contrato.  </w:t>
      </w:r>
    </w:p>
    <w:p w14:paraId="4C99B01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F05075F" w14:textId="3E0164F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La FDN aplicará su propio régimen de contratación a los actos y contratos que celebre el Fondes para el desarrollo de su objeto y actividades, con excepción de las operaciones relacionadas con Crédito Público, las cuales surtirán el trámite previsto en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2015, y las normas que lo modifiquen, adicionen o sustituyan.  </w:t>
      </w:r>
    </w:p>
    <w:p w14:paraId="3E135C3D" w14:textId="5B0A3A1A" w:rsidR="00404266" w:rsidRPr="002C1480" w:rsidRDefault="00404266" w:rsidP="00731A76">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bookmarkStart w:id="2087" w:name="ver_30211444"/>
      <w:bookmarkStart w:id="2088" w:name="ver_30103562"/>
      <w:bookmarkEnd w:id="2086"/>
      <w:bookmarkEnd w:id="2087"/>
    </w:p>
    <w:p w14:paraId="07C654B9" w14:textId="2E635FF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2.19.9.Reglamento del Fondes. El Reglamento inicial del Fondes será aprobado por el Ministerio de Hacienda y Crédito Público y sus modificaciones posteriores serán aprobadas por el Consejo de Administración, el cual deberá desarrollar todos los aspectos operativos, administrativos y logísticos para la gestión de las operaciones del Fondes, incluyendo entre otros, el régimen y características generales de la inversión de los recursos. Lo anterior conforme a las operaciones autorizadas al Fondes en esta Parte, así como los órganos y comités que se requieran para su operación, y los diferentes manuales y guías que sea necesario adoptar.  </w:t>
      </w:r>
    </w:p>
    <w:p w14:paraId="0071DD9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89" w:name="ver_30103563"/>
      <w:bookmarkEnd w:id="2088"/>
      <w:bookmarkEnd w:id="2089"/>
    </w:p>
    <w:p w14:paraId="2B4E3662" w14:textId="609C117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2.19.10.Auditoría. La FDN contratará, con cargo a los recursos del Fondes, una auditoría externa que tendrá, como mínimo, la obligación de hacer seguimiento a la utilización de los recursos del Fondes por parte de la FDN, así como de presentar informes al Consejo Administrador sobre el funcionamiento, gestión y operación del Fondes.  </w:t>
      </w:r>
    </w:p>
    <w:p w14:paraId="10D27BE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90" w:name="ver_30211445"/>
      <w:bookmarkStart w:id="2091" w:name="ver_30103565"/>
      <w:bookmarkEnd w:id="2090"/>
    </w:p>
    <w:p w14:paraId="75E8D51D" w14:textId="5587B4F2"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2.19.11. Uso de los recursos del Fondes. En desarrollo de su objeto, el Fondes podrá utilizar sus recursos en las siguientes operaciones autorizadas, según las condiciones y características que se fijen en su Reglamento y en el Contrato:  </w:t>
      </w:r>
    </w:p>
    <w:p w14:paraId="0044A53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482BCD7" w14:textId="5A87BE38"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Otorgar financiamiento a la FDN para que esta pueda, directa o indirectamente, financiar o invertir en proyectos de infraestructura, incluyendo la financiación bajo cualquier modalidad, a empresas del sector energético que desarrollen proyectos de infraestructura. Para lo anterior, el Fondes podrá, entre otras actividades, invertir en títulos de contenido crediticio y en instrumentos emitidos por la FDN que computen en su capital regulatorio conforme al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las normas que lo sustituyan, modifiquen o adicionen.  </w:t>
      </w:r>
    </w:p>
    <w:p w14:paraId="0693751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200250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2. Efectuar las operaciones de tesorería que se requieran para el manejo de los recursos del Fondes.  </w:t>
      </w:r>
    </w:p>
    <w:p w14:paraId="3A98B14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ED55AF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3. Otorgar créditos para la financiación de proyectos de infraestructura en sus diferentes modalidades, bien sea directamente o por conducto de fondos de capital privado u otra clase de instrumentos o vehículos de inversión.  </w:t>
      </w:r>
    </w:p>
    <w:p w14:paraId="2A107B3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553EEF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4. Participar en el capital social de sociedades cuyo objeto incluya el desarrollo, inversión, ejecución y financiamiento de proyectos de infraestructura.  </w:t>
      </w:r>
    </w:p>
    <w:p w14:paraId="1003F2A5"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280672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5. Efectuar inversiones de capital en proyectos de infraestructura, bien sea directamente o por conducto de fondos de capital privado u otra clase de instrumentos o vehículos de inversión.  </w:t>
      </w:r>
    </w:p>
    <w:p w14:paraId="13021A6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2BB0BE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6. Invertir en títulos de contenido crediticio o de participación, instrumentos financieros u otros documentos representativos de derechos, emitidos por sociedades, entidades públicas o patrimonios autónomos cuyo objeto incluya la realización, financiamiento o inversión de proyectos de infraestructura.  </w:t>
      </w:r>
    </w:p>
    <w:p w14:paraId="6CC56A4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C8ADDD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7. Efectuar inversiones o desinversiones en el capital social de empresas de servicios públicos mixtas u oficiales.  </w:t>
      </w:r>
    </w:p>
    <w:p w14:paraId="266D55DA"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B835074"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8. El desarrollo de las actividades conexas o complementarias al objeto del Fondes incluyendo financiar, participar y apoyar la realización de estudios, investigaciones y actividades de estructuración o de preinversión para proyectos de infraestructura.  </w:t>
      </w:r>
    </w:p>
    <w:p w14:paraId="07B25E3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0D42E6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9. De conformidad con la normatividad presupuestal y administrativa aplicable, los recursos que le asigne el Gobierno nacional al Fondes relacionados con cobros de valorización nacional y/o valor residual de concesiones, podrán ser utilizados como fuente de pago de los compromisos que asuma el Gobierno nacional para proyectos de infraestructura.  </w:t>
      </w:r>
    </w:p>
    <w:p w14:paraId="4706076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D55F0C6" w14:textId="6C493D8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La inversión del Fondes en el capital social de empresas de servicios públicos mixtas u oficiales se realizará por el valor que se defina de acuerdo con los criterios y metodologías que se prevean en el Contrato y/o en el Reglamento. La inversión en empresas de servicios públicos deberá contar con la recomendación previa de la Comisión Intersectorial de Aprovechamiento de Activos Públicos y deberá seguir el proceso y autorizaciones contenidas en el Reglamento. El Fondes, actuando a través de la FDN, podrá suscribir contratos o convenios interadministrativos de compraventa de acciones, conforme a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20 de la Ley 226 de 1995.  </w:t>
      </w:r>
    </w:p>
    <w:p w14:paraId="7502C247"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E422A5" w14:textId="26095A4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En concordancia con lo establecido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2.19.14 de esta Parte, las sumas necesarias para la implementación del Fondes, su operación, representación, vocería, administración y liquidación, las actividades conexas o complementarias a su Objeto, los análisis, estudios de elegibilidad, factibilidad o viabilidad, realización, adquisición y enajenación de las inversiones, la defensa en actuaciones procesales, de carácter administrativo o procesal que deban realizarse para proteger los activos que lo conforman y los impuestos, tasas o contribuciones que afecten los bienes, títulos, operaciones o ingresos del Fondo, así como todos los costos y gastos inherentes al desarrollo de su Objeto, se atenderán con sus propios recursos.  </w:t>
      </w:r>
    </w:p>
    <w:p w14:paraId="1C11C95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166E22E" w14:textId="299F90C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3°. Los títulos emitidos por la FDN que computen en su capital regulatorio y que sean recibidos por el Fondes en virtud del traslado desde la Cuenta Especial Fondes, podrán ser redimidos, pagados, recomprados o sustituidos por la FDN independiente del plazo transcurrido desde su emisión, siempre que dichos títulos sean reemplazados, intercambiados o sustituidos por instrumentos emitidos por la misma FDN, que computen en su capital regulatorio, conforme al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las normas, que lo sustituyan, modifiquen o adicionen. Las condiciones </w:t>
      </w:r>
      <w:r w:rsidRPr="002C1480">
        <w:rPr>
          <w:rFonts w:ascii="Arial" w:eastAsia="Times New Roman" w:hAnsi="Arial" w:cs="Arial"/>
          <w:color w:val="000000"/>
          <w:lang w:eastAsia="es-CO"/>
        </w:rPr>
        <w:lastRenderedPageBreak/>
        <w:t>financieras de los nuevos instrumentos emitidos por la FDN y que llegaren a ser suscritos por el Fondes propenderán por generar una estructura eficiente de fondeo para la FDN, en línea con el rol de desarrollo que desempeña la misma. Para tal efecto, en el Reglamento se incluirán los criterios aplicables para la inversión en dichos títulos.  </w:t>
      </w:r>
    </w:p>
    <w:p w14:paraId="12FFE00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D42DE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Previo a la aprobación de las inversiones del Fondes en títulos emitidos por la FDN por parte del Consejo de Administración, la FDN deberá remitir al Ministerio de Hacienda y Crédito Público los términos generales propuestos para dichas operaciones. Los comentarios que llegare a tener el Ministerio de Hacienda y Crédito Público, sin ser vinculantes, deberán ser presentados al Consejo de Administración, quien será el competente y responsable exclusivo de la aprobación de la respectiva inversión.  </w:t>
      </w:r>
    </w:p>
    <w:p w14:paraId="094CE98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6A75CAB"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4°. El Fondes podrá invertir en todos los bienes y derechos que sean necesarios para el cumplimiento de su objeto y funciones, incluyendo, pero sin limitarse a: valores, cuotas, acciones, otros títulos o documentos representativos de derechos, así como bienes muebles e inmuebles, de conformidad con su régimen de inversiones y las condiciones que se establezcan en el Contrato. La contabilidad de los bienes que conforman el Fondes se realizará de conformidad con las metodologías de valoración que se definan en el Reglamento del Fondes, dentro de las cuales se podrá incluir los criterios utilizados por el Ministerio de Hacienda y Crédito Público para contabilizar este tipo de activos. Los títulos de deuda emitidos por la FDN que computen en su capital regulatorio y que sean de propiedad del Fondes, podrán ser valorados a su tasa de adquisición o TIR de compra por parte del Fondes, y (ii) las acciones en compañías de servicios públicos mixtas u oficiales podrán ser valoradas al precio de adquisición por parte del Fondes. </w:t>
      </w:r>
    </w:p>
    <w:p w14:paraId="7BD3E39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92" w:name="ver_30103566"/>
      <w:bookmarkEnd w:id="2091"/>
      <w:bookmarkEnd w:id="2092"/>
    </w:p>
    <w:p w14:paraId="0AD00F2D" w14:textId="17738B8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2.19.12.Operaciones pasivas del Fondes. El Fondes podrá, en virtud de lo dispuesto en el literal c) del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2.19.3 de esta Parte, efectuar operaciones pasivas de financiamiento interno o externo a su nombre.  </w:t>
      </w:r>
    </w:p>
    <w:p w14:paraId="6AE2DEA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1C858EEE"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Previo a la celebración de las operaciones pasivas de financiamiento y las asimiladas a estas por parte del Fondes, se requerirá de la autorización del Ministerio de Hacienda y Crédito Público, previa aprobación de la operación por parte de la Dirección General de Crédito Público y Tesoro Nacional. La mencionada autorización podrá otorgarse una vez se cuente con el concepto favorable del Conpes frente a la importancia estratégica de tal endeudamiento para el cumplimiento del objeto de Fondes.  </w:t>
      </w:r>
    </w:p>
    <w:p w14:paraId="4AC91282" w14:textId="77777777" w:rsidR="00404266" w:rsidRPr="002C1480" w:rsidRDefault="00404266" w:rsidP="00C32F85">
      <w:pPr>
        <w:spacing w:after="0" w:line="254" w:lineRule="atLeast"/>
        <w:jc w:val="both"/>
        <w:rPr>
          <w:rFonts w:ascii="Arial" w:eastAsia="Times New Roman" w:hAnsi="Arial" w:cs="Arial"/>
          <w:color w:val="000000"/>
          <w:lang w:eastAsia="es-CO"/>
        </w:rPr>
      </w:pPr>
    </w:p>
    <w:p w14:paraId="5B1D5204" w14:textId="6EC3D498" w:rsidR="00404266" w:rsidRPr="002C1480" w:rsidRDefault="002C1480" w:rsidP="00C32F85">
      <w:pPr>
        <w:spacing w:after="0" w:line="254" w:lineRule="atLeast"/>
        <w:jc w:val="both"/>
        <w:rPr>
          <w:rFonts w:ascii="Arial" w:eastAsia="Times New Roman" w:hAnsi="Arial" w:cs="Arial"/>
          <w:color w:val="000000"/>
          <w:lang w:eastAsia="es-CO"/>
        </w:rPr>
      </w:pPr>
      <w:bookmarkStart w:id="2093" w:name="ver_30103568"/>
      <w:bookmarkEnd w:id="2093"/>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2.19.13.Garantías para las operaciones del Fondes. La Nación podrá otorgar garantías a las operaciones pasivas de financiamiento del Fondes de las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anterior, una vez cuente con lo siguiente:  </w:t>
      </w:r>
    </w:p>
    <w:p w14:paraId="08086A0C" w14:textId="77777777" w:rsidR="00731A76" w:rsidRDefault="00731A76" w:rsidP="00C32F85">
      <w:pPr>
        <w:spacing w:after="0" w:line="254" w:lineRule="atLeast"/>
        <w:jc w:val="both"/>
        <w:rPr>
          <w:rFonts w:ascii="Arial" w:eastAsia="Times New Roman" w:hAnsi="Arial" w:cs="Arial"/>
          <w:color w:val="000000"/>
          <w:lang w:eastAsia="es-CO"/>
        </w:rPr>
      </w:pPr>
    </w:p>
    <w:p w14:paraId="0EE04430" w14:textId="788B033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 Concepto favorable del Consejo Nacional de Política Económica y Social, Conpes, respecto del otorgamiento de la garantía;  </w:t>
      </w:r>
    </w:p>
    <w:p w14:paraId="30E34385" w14:textId="77777777" w:rsidR="00731A76" w:rsidRDefault="00731A76" w:rsidP="00C32F85">
      <w:pPr>
        <w:spacing w:after="0" w:line="254" w:lineRule="atLeast"/>
        <w:jc w:val="both"/>
        <w:rPr>
          <w:rFonts w:ascii="Arial" w:eastAsia="Times New Roman" w:hAnsi="Arial" w:cs="Arial"/>
          <w:color w:val="000000"/>
          <w:lang w:eastAsia="es-CO"/>
        </w:rPr>
      </w:pPr>
    </w:p>
    <w:p w14:paraId="4CA4AC05" w14:textId="45D90009"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b) Concepto de la Comisión Interparlamentaria de Crédito Público, respecto del otorgamiento de la garantía por parte de la Nación, si estas se otorgan por plazo superior a un año; y  </w:t>
      </w:r>
    </w:p>
    <w:p w14:paraId="7913EFE9" w14:textId="77777777" w:rsidR="00731A76" w:rsidRDefault="00731A76" w:rsidP="00C32F85">
      <w:pPr>
        <w:spacing w:after="0" w:line="254" w:lineRule="atLeast"/>
        <w:jc w:val="both"/>
        <w:rPr>
          <w:rFonts w:ascii="Arial" w:eastAsia="Times New Roman" w:hAnsi="Arial" w:cs="Arial"/>
          <w:color w:val="000000"/>
          <w:lang w:eastAsia="es-CO"/>
        </w:rPr>
      </w:pPr>
    </w:p>
    <w:p w14:paraId="646819B3" w14:textId="19A20E86"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c) Autorización para celebrar el contrato de garantía impartida por el Ministerio de Hacienda y Crédito Público, una vez se hayan constituido a favor de la Nación las contragarantías adecuadas, a juicio del mencionado Ministerio.  </w:t>
      </w:r>
    </w:p>
    <w:p w14:paraId="30798A72" w14:textId="77777777" w:rsidR="00731A76" w:rsidRDefault="00731A76" w:rsidP="00C32F85">
      <w:pPr>
        <w:spacing w:after="0" w:line="254" w:lineRule="atLeast"/>
        <w:jc w:val="both"/>
        <w:rPr>
          <w:rFonts w:ascii="Arial" w:eastAsia="Times New Roman" w:hAnsi="Arial" w:cs="Arial"/>
          <w:color w:val="000000"/>
          <w:lang w:eastAsia="es-CO"/>
        </w:rPr>
      </w:pPr>
    </w:p>
    <w:p w14:paraId="08AED8B9" w14:textId="0CE7B78E"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lastRenderedPageBreak/>
        <w:t xml:space="preserve">Cuando alguna obligación de pago del Fondes sea garantizada por la Nación, este deberá aportar al Fondo de Contingencias de las Entidades Estatales de acuerdo con lo establecido por el Título 2 de la Parte 4 del Libro 2 del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1068 de 2015 o las normas que lo modifiquen, sustituyan o adicionen. </w:t>
      </w:r>
    </w:p>
    <w:p w14:paraId="28F202C8"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94" w:name="ver_30103569"/>
      <w:bookmarkEnd w:id="2094"/>
    </w:p>
    <w:p w14:paraId="67617E7B" w14:textId="7C1A14EE"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2.19.14.Separación de Activos. Los bienes del Fondes forman un patrimonio autónomo, distinto al de la Nación y al de la FDN. Entre los recursos de la Nación, los de la FDN, y los del Fondes, se mantendrá una absoluta separación, de modo que todos los costos y gastos del Fondes se financien con sus propios recursos y no con los de la Nación ni con los de la FDN. Cada vez que la FDN actúe por cuenta del Fondes, se considerará que compromete única y exclusivamente los bienes del Fondes.  </w:t>
      </w:r>
    </w:p>
    <w:p w14:paraId="223E2DFF"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677460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Los bienes del Fondes no hacen parte del patrimonio de la FDN. Por consiguiente constituirán un patrimonio independiente y separado de esta, y separado también de todos los demás bienes de terceros administrados por la FDN. Por lo tanto, los bienes del Fondes serán destinados exclusivamente al desarrollo de las actividades descritas en esta Parte, en El Contrato y en el Reglamento del Fondes, y al pago de las obligaciones que se contraigan por cuenta del Fondes.  </w:t>
      </w:r>
    </w:p>
    <w:p w14:paraId="68C69C29"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661C96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consecuencia, los bienes del Fondes no constituyen prenda general de los acreedores de la FDN ni de la Nación y están excluidos de la masa de bienes que pueda conformarse, para efectos de cualquier procedimiento de insolvencia, o de otras acciones legales que puedan afectar a la FDN o a la Nación. </w:t>
      </w:r>
    </w:p>
    <w:p w14:paraId="31589434"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95" w:name="ver_30103570"/>
      <w:bookmarkEnd w:id="2095"/>
    </w:p>
    <w:p w14:paraId="2E3A6C1A" w14:textId="4FD83DC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2.19.15. Contabilidad del Fondes. La FDN deberá llevar la contabilidad del Fondes de manera separada de su contabilidad. </w:t>
      </w:r>
    </w:p>
    <w:p w14:paraId="09AE786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96" w:name="ver_30211446"/>
      <w:bookmarkStart w:id="2097" w:name="ver_30103572"/>
      <w:bookmarkEnd w:id="2096"/>
    </w:p>
    <w:p w14:paraId="054CE80D" w14:textId="76E8C17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2.19.16.Cuenta especial Fondes. Los recursos producto de enajenaciones de participaciones accionarias de la Nación, que sean destinados al Fondes, ingresarán a la Cuenta Especial Fondes según lo dispuesto en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144 de la Ley 1753 de 2015, modificado por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56 de la Ley 1955 de 2019.  </w:t>
      </w:r>
    </w:p>
    <w:p w14:paraId="0271762C"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098" w:name="ver_30211447"/>
      <w:bookmarkStart w:id="2099" w:name="ver_30103574"/>
      <w:bookmarkEnd w:id="2097"/>
      <w:bookmarkEnd w:id="2098"/>
    </w:p>
    <w:p w14:paraId="55CF36F2" w14:textId="2AEF060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2.19.17.Inversiones admisibles de la cuenta especial Fondes. Los recursos de la Cuenta Especial Fondes podrán ser invertidos conforme a las operaciones autorizadas por vía general para la administración de los recursos del Tesoro Nacional, así como en títulos de contenido crediticio, incluyendo instrumentos emitidos por la FDN que computen en su capital regulatorio, conforme al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número 2555 de 2010 y títulos participativos de la FDN.  </w:t>
      </w:r>
    </w:p>
    <w:p w14:paraId="6DA4C3D8" w14:textId="0CDA01DC"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1°. El Consejo Superior de Política Fiscal (Confis) deberá autorizar la inversión de los recursos de la Cuenta Especial Fondes en títulos o instrumentos financieros emitidos por la FDN y deberá fijar los términos de dicha inversión.  </w:t>
      </w:r>
    </w:p>
    <w:p w14:paraId="64FA17B3"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696C0CF6" w14:textId="42ABBFA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2°. Los títulos emitidos por la FDN que computen en su capital regulatorio y que sean suscritos a nombre la Cuenta Especial Fondes, podrán ser redimidos, pagados, recomprados o sustituidos por la FDN independiente del plazo transcurrido desde su emisión, siempre que dichos títulos sean reemplazados, intercambiados o sustituidos por instrumentos emitidos por la misma FDN, que computen en su capital regulatorio, conforme al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2555 de 2010 o las normas, que lo sustituyan, modifiquen o adicionen.  </w:t>
      </w:r>
    </w:p>
    <w:p w14:paraId="70E987A1"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00" w:name="ver_30211448"/>
      <w:bookmarkStart w:id="2101" w:name="ver_30103576"/>
      <w:bookmarkEnd w:id="2099"/>
      <w:bookmarkEnd w:id="2100"/>
    </w:p>
    <w:p w14:paraId="4A051AC2" w14:textId="253FA59C"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2.19.18.Inclusión de los recursos del patrimonio autónomo Fondes en el Presupuesto General de la Nación. Los recursos que conformen el Fondes se mantendrán en dicho patrimonio autónomo hasta que se incorporen en el Presupuesto General de la Nación. El monto de los </w:t>
      </w:r>
      <w:r w:rsidR="00404266" w:rsidRPr="002C1480">
        <w:rPr>
          <w:rFonts w:ascii="Arial" w:eastAsia="Times New Roman" w:hAnsi="Arial" w:cs="Arial"/>
          <w:color w:val="000000"/>
          <w:lang w:eastAsia="es-CO"/>
        </w:rPr>
        <w:lastRenderedPageBreak/>
        <w:t>recursos del Fondes que vayan a ser incorporados en el Presupuesto General de la Nación en cada vigencia fiscal, será determinado previamente por el Consejo Superior de Política Fiscal (Confis). En todo caso, previa determinación por parte del Confis, el Consejo de Administración del Fondes deberá conceptuar favorablemente en el sentido que el monto a ser incluido en el Presupuesto General de la Nación no afecta los compromisos y/o el presupuesto de gastos del Fondes. </w:t>
      </w:r>
    </w:p>
    <w:p w14:paraId="6FE60A40"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02" w:name="ver_30211449"/>
      <w:bookmarkStart w:id="2103" w:name="ver_30103577"/>
      <w:bookmarkEnd w:id="2101"/>
      <w:bookmarkEnd w:id="2102"/>
    </w:p>
    <w:p w14:paraId="6724266B" w14:textId="7B5C82F6"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2.19.19.Traslado de recursos de la cuenta especial al patrimonio autónomo Fondes. Los recursos y/o activos de la Cuenta Especial Fondes de la que trata el </w:t>
      </w: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2.19.16 de la presente Parte, deberán ser trasladados al Patrimonio Autónomo Fondes en los plazos y/o condiciones que para el efecto determine el Ministerio de Hacienda y Crédito Público. En todo caso, cualquier traslado se realizará de conformidad con la disposición presupuestal aplicable a la fecha de perfeccionamiento del mismo.  </w:t>
      </w:r>
    </w:p>
    <w:p w14:paraId="70E2C9B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47621C98" w14:textId="46B6095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1°. Conforme a lo dispuesto en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144 de la Ley 1753 de 2015, modificado por 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56 de la Ley 1955 de 2019 respecto de la administración de la Cuenta Especial Fondes, una vez que el Contrato haya sido suscrito y el Reglamento inicial haya sido aprobado por el Ministerio de Hacienda y Crédito Público, se efectuará el primer traslado efectivo de los recursos y activos al Fondes. Hasta la fecha de traslado de los recursos, los rendimientos generados por la Cuenta Especial Fondes pertenecen a la Nación.  </w:t>
      </w:r>
    </w:p>
    <w:p w14:paraId="19EFD14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203B82E2"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Parágrafo 2°. El traslado de los recursos o activos podrá efectuarse a través de la transferencia y/o aporte a favor del Fondes de los derechos que la Cuenta Especial Fondes tenga sobre títulos emitidos por la FDN, sin que dicho traslado deba ser aprobado de manera previa por el Consejo de Administración.  </w:t>
      </w:r>
    </w:p>
    <w:p w14:paraId="54D17455"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04" w:name="ver_30211450"/>
      <w:bookmarkStart w:id="2105" w:name="ver_30103579"/>
      <w:bookmarkEnd w:id="2103"/>
      <w:bookmarkEnd w:id="2104"/>
    </w:p>
    <w:p w14:paraId="0268B314" w14:textId="46C43979"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2.19.20.Vigencia y liquidación del Fondes. El Fondes tendrá una vigencia de treinta (30) años, la cual podrá ser modificada o prorrogada por decisión del Gobierno nacional, al término de los cuales se liquidarán las inversiones existentes. Previo descuento de los gastos necesarios para la liquidación del mismo, los aportes de la Nación, así como sus rendimientos, serán transferidos al Tesoro Nacional.  </w:t>
      </w:r>
    </w:p>
    <w:p w14:paraId="05AAC3B6"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322CE80"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En caso de que al término de liquidación del Fondes persistan inversiones que no hayan sido liquidadas, estas serán transferidas al Ministerio de Hacienda y Crédito Público, de conformidad con lo que se haya dispuesto para el efecto en el Contrat </w:t>
      </w:r>
    </w:p>
    <w:p w14:paraId="6958C381"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3AEB0EF4" w14:textId="77777777" w:rsidR="00404266" w:rsidRPr="00731A76" w:rsidRDefault="00404266" w:rsidP="00731A76">
      <w:pPr>
        <w:spacing w:after="0" w:line="293" w:lineRule="atLeast"/>
        <w:jc w:val="center"/>
        <w:rPr>
          <w:rFonts w:ascii="Arial" w:eastAsia="Times New Roman" w:hAnsi="Arial" w:cs="Arial"/>
          <w:b/>
          <w:bCs/>
          <w:color w:val="000000"/>
          <w:lang w:eastAsia="es-CO"/>
        </w:rPr>
      </w:pPr>
      <w:bookmarkStart w:id="2106" w:name="ver_30057936"/>
      <w:bookmarkEnd w:id="2105"/>
      <w:bookmarkEnd w:id="2106"/>
      <w:r w:rsidRPr="00731A76">
        <w:rPr>
          <w:rFonts w:ascii="Arial" w:eastAsia="Times New Roman" w:hAnsi="Arial" w:cs="Arial"/>
          <w:b/>
          <w:bCs/>
          <w:color w:val="000000"/>
          <w:lang w:eastAsia="es-CO"/>
        </w:rPr>
        <w:t>LIBRO 3</w:t>
      </w:r>
    </w:p>
    <w:p w14:paraId="66A980A1" w14:textId="77777777" w:rsidR="00404266" w:rsidRPr="00731A76" w:rsidRDefault="00404266" w:rsidP="00731A76">
      <w:pPr>
        <w:spacing w:line="293" w:lineRule="atLeast"/>
        <w:jc w:val="center"/>
        <w:rPr>
          <w:rFonts w:ascii="Arial" w:eastAsia="Times New Roman" w:hAnsi="Arial" w:cs="Arial"/>
          <w:b/>
          <w:bCs/>
          <w:color w:val="000000"/>
          <w:lang w:eastAsia="es-CO"/>
        </w:rPr>
      </w:pPr>
      <w:r w:rsidRPr="00731A76">
        <w:rPr>
          <w:rFonts w:ascii="Arial" w:eastAsia="Times New Roman" w:hAnsi="Arial" w:cs="Arial"/>
          <w:b/>
          <w:bCs/>
          <w:color w:val="000000"/>
          <w:lang w:eastAsia="es-CO"/>
        </w:rPr>
        <w:t>DISPOSICIONES FINALES</w:t>
      </w:r>
    </w:p>
    <w:p w14:paraId="0FB8801A"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07" w:name="ver_30057937"/>
      <w:bookmarkEnd w:id="2107"/>
    </w:p>
    <w:p w14:paraId="3417103B" w14:textId="4AD7AAB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3.1. Derogatoria Integral.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regula íntegramente las materias contempladas en él. Por consiguiente, de conformidad con el </w:t>
      </w:r>
      <w:r w:rsidR="00717213">
        <w:rPr>
          <w:rFonts w:ascii="Arial" w:eastAsia="Times New Roman" w:hAnsi="Arial" w:cs="Arial"/>
          <w:color w:val="000000"/>
          <w:lang w:eastAsia="es-CO"/>
        </w:rPr>
        <w:t>ART.</w:t>
      </w:r>
      <w:r w:rsidR="00404266" w:rsidRPr="002C1480">
        <w:rPr>
          <w:rFonts w:ascii="Arial" w:eastAsia="Times New Roman" w:hAnsi="Arial" w:cs="Arial"/>
          <w:color w:val="000000"/>
          <w:lang w:eastAsia="es-CO"/>
        </w:rPr>
        <w:t xml:space="preserve"> 3 de la Ley 153 de 1887, quedan derogadas todas las disposiciones de naturaleza reglamentaria relativas al sector de Hacienda y Crédito Público que versan sobre las mismas materias, con excepción, exclusivamente, de los siguientes asuntos: </w:t>
      </w:r>
    </w:p>
    <w:p w14:paraId="73D67668"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05895EDC" w14:textId="1930E922" w:rsidR="0040426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1) No quedan cobijados por la derogatoria anterior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relativos a la creación y conformación de comisiones intersectoriales, comisiones interinstitucionales, consejos, comités, sistemas administrativos y demás asuntos relacionados con la estructura, configuración y conformación de las entidades y organismos del sector administrativo. </w:t>
      </w:r>
    </w:p>
    <w:p w14:paraId="6992300B" w14:textId="77777777" w:rsidR="00731A76" w:rsidRPr="002C1480" w:rsidRDefault="00731A76" w:rsidP="00C32F85">
      <w:pPr>
        <w:spacing w:after="0" w:line="254" w:lineRule="atLeast"/>
        <w:jc w:val="both"/>
        <w:rPr>
          <w:rFonts w:ascii="Arial" w:eastAsia="Times New Roman" w:hAnsi="Arial" w:cs="Arial"/>
          <w:color w:val="000000"/>
          <w:lang w:eastAsia="es-CO"/>
        </w:rPr>
      </w:pPr>
    </w:p>
    <w:p w14:paraId="37DC7E4E" w14:textId="77777777" w:rsidR="00731A76"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2) Igualmente, quedan excluidas de esta derogatoria las normas de naturaleza reglamentaria de este sector administrativo que, a la fecha de expedición del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se encuentren suspendidas por la Jurisdicción Contencioso Administrativa, las cuales serán compiladas en este </w:t>
      </w:r>
    </w:p>
    <w:p w14:paraId="0208C0C5" w14:textId="39FCF1FE" w:rsidR="00404266" w:rsidRPr="002C1480" w:rsidRDefault="008D6289" w:rsidP="00C32F85">
      <w:pPr>
        <w:spacing w:after="0" w:line="254" w:lineRule="atLeast"/>
        <w:jc w:val="both"/>
        <w:rPr>
          <w:rFonts w:ascii="Arial" w:eastAsia="Times New Roman" w:hAnsi="Arial" w:cs="Arial"/>
          <w:color w:val="000000"/>
          <w:lang w:eastAsia="es-CO"/>
        </w:rPr>
      </w:pPr>
      <w:r>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en caso de recuperar su eficacia jurídica. </w:t>
      </w:r>
    </w:p>
    <w:p w14:paraId="3FE93126" w14:textId="77777777" w:rsidR="00731A76" w:rsidRDefault="00731A76" w:rsidP="00C32F85">
      <w:pPr>
        <w:spacing w:after="0" w:line="254" w:lineRule="atLeast"/>
        <w:jc w:val="both"/>
        <w:rPr>
          <w:rFonts w:ascii="Arial" w:eastAsia="Times New Roman" w:hAnsi="Arial" w:cs="Arial"/>
          <w:color w:val="000000"/>
          <w:lang w:eastAsia="es-CO"/>
        </w:rPr>
      </w:pPr>
    </w:p>
    <w:p w14:paraId="24D7E470" w14:textId="20E658CB"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3) Tampoco quedan derogadas las disposiciones a que se refieren los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s 3.2. y 3.3. Los actos administrativos expedidos con fundamento en las disposiciones compiladas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mantendrán su vigencia y ejecutoriedad bajo el entendido de que sus fundamentos jurídicos permanecen en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compilatorio. </w:t>
      </w:r>
    </w:p>
    <w:p w14:paraId="0963703D"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08" w:name="ver_30057938"/>
      <w:bookmarkEnd w:id="2108"/>
    </w:p>
    <w:p w14:paraId="46D58C95" w14:textId="0DB9ED50"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3.2. Normas adicionales que no quedan derogadas. No quedan derogadas ni han sido compiladas en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Único las disposiciones sobre: </w:t>
      </w:r>
    </w:p>
    <w:p w14:paraId="15AEFBCD" w14:textId="77777777" w:rsidR="00731A76" w:rsidRDefault="00731A76" w:rsidP="00C32F85">
      <w:pPr>
        <w:spacing w:after="0" w:line="254" w:lineRule="atLeast"/>
        <w:jc w:val="both"/>
        <w:rPr>
          <w:rFonts w:ascii="Arial" w:eastAsia="Times New Roman" w:hAnsi="Arial" w:cs="Arial"/>
          <w:color w:val="000000"/>
          <w:lang w:eastAsia="es-CO"/>
        </w:rPr>
      </w:pPr>
    </w:p>
    <w:p w14:paraId="097F015B" w14:textId="700F4AA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Las Normas Internacionales de Contabilidad y de Información Financiera NIIF, y de Aseguramiento de la Información NIA; </w:t>
      </w:r>
    </w:p>
    <w:p w14:paraId="66FE28C6" w14:textId="77777777" w:rsidR="00731A76" w:rsidRDefault="00731A76" w:rsidP="00C32F85">
      <w:pPr>
        <w:spacing w:after="0" w:line="254" w:lineRule="atLeast"/>
        <w:jc w:val="both"/>
        <w:rPr>
          <w:rFonts w:ascii="Arial" w:eastAsia="Times New Roman" w:hAnsi="Arial" w:cs="Arial"/>
          <w:color w:val="000000"/>
          <w:lang w:eastAsia="es-CO"/>
        </w:rPr>
      </w:pPr>
    </w:p>
    <w:p w14:paraId="6863AFA3" w14:textId="74FE9DF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 El régimen de aduanas y comercio exterior que hayan sido expedidas con fundamento en el numeral 25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189 de la Constitución Política; </w:t>
      </w:r>
    </w:p>
    <w:p w14:paraId="266F6233" w14:textId="77777777" w:rsidR="00731A76" w:rsidRDefault="00731A76" w:rsidP="00C32F85">
      <w:pPr>
        <w:spacing w:after="0" w:line="254" w:lineRule="atLeast"/>
        <w:jc w:val="both"/>
        <w:rPr>
          <w:rFonts w:ascii="Arial" w:eastAsia="Times New Roman" w:hAnsi="Arial" w:cs="Arial"/>
          <w:color w:val="000000"/>
          <w:lang w:eastAsia="es-CO"/>
        </w:rPr>
      </w:pPr>
    </w:p>
    <w:p w14:paraId="5355E72A" w14:textId="3F6F2872"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Asuntos tributarios y pensionales; </w:t>
      </w:r>
    </w:p>
    <w:p w14:paraId="0198F0A3" w14:textId="77777777" w:rsidR="00731A76" w:rsidRDefault="00731A76" w:rsidP="00C32F85">
      <w:pPr>
        <w:spacing w:after="0" w:line="254" w:lineRule="atLeast"/>
        <w:jc w:val="both"/>
        <w:rPr>
          <w:rFonts w:ascii="Arial" w:eastAsia="Times New Roman" w:hAnsi="Arial" w:cs="Arial"/>
          <w:color w:val="000000"/>
          <w:lang w:eastAsia="es-CO"/>
        </w:rPr>
      </w:pPr>
    </w:p>
    <w:p w14:paraId="21922621" w14:textId="1A170EA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Afiliación al Sistema General de Seguridad Social. </w:t>
      </w:r>
    </w:p>
    <w:p w14:paraId="34636B14" w14:textId="77777777" w:rsidR="00731A76" w:rsidRDefault="00731A76" w:rsidP="00C32F85">
      <w:pPr>
        <w:spacing w:after="0" w:line="254" w:lineRule="atLeast"/>
        <w:jc w:val="both"/>
        <w:rPr>
          <w:rFonts w:ascii="Arial" w:eastAsia="Times New Roman" w:hAnsi="Arial" w:cs="Arial"/>
          <w:color w:val="000000"/>
          <w:lang w:eastAsia="es-CO"/>
        </w:rPr>
      </w:pPr>
    </w:p>
    <w:p w14:paraId="7ECD7ABB" w14:textId="4EB2CC61"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de liquidación del Presupuesto General de la Nación y sus modificaciones, así como los correspondientes al presupuesto bienal del Sistema General de Regalías. </w:t>
      </w:r>
    </w:p>
    <w:p w14:paraId="2BEA415C"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54DA2FC7" w14:textId="020F46D3"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Parágrafo.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1609 de 2013 por el cual se aprueba el programa de enajenación de las acciones que la Nación – Ministerio de Hacienda y Crédito Público posee en Isagen S. A. E.S.P. y sus modificaciones contenidas en 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1512 de 2014 y 2316 de 2013, que se encuentran en debate jurídico ante la jurisdicción de lo Contencioso Administrativo, no han sido compilados ni se derogan por este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Reglamentario. </w:t>
      </w:r>
    </w:p>
    <w:p w14:paraId="5167B876"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09" w:name="ver_30057939"/>
      <w:bookmarkEnd w:id="2109"/>
    </w:p>
    <w:p w14:paraId="131C7889" w14:textId="12FD494D"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3.3. Vigencia del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El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2555 de 2010 compila las normas en materia del sector financiero, asegurador y del mercado de valores y por lo tanto ninguna disposición allí contenida es derogada ni ha sido compilada por este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Único Reglamentario. </w:t>
      </w:r>
    </w:p>
    <w:p w14:paraId="4648E84D" w14:textId="77777777"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w:t>
      </w:r>
    </w:p>
    <w:p w14:paraId="7604A537" w14:textId="2B209964" w:rsidR="00404266" w:rsidRPr="002C1480" w:rsidRDefault="00404266"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 xml:space="preserve">Los </w:t>
      </w:r>
      <w:r w:rsidR="00731A76">
        <w:rPr>
          <w:rFonts w:ascii="Arial" w:eastAsia="Times New Roman" w:hAnsi="Arial" w:cs="Arial"/>
          <w:color w:val="000000"/>
          <w:lang w:eastAsia="es-CO"/>
        </w:rPr>
        <w:t>DECRETOS</w:t>
      </w:r>
      <w:r w:rsidRPr="002C1480">
        <w:rPr>
          <w:rFonts w:ascii="Arial" w:eastAsia="Times New Roman" w:hAnsi="Arial" w:cs="Arial"/>
          <w:color w:val="000000"/>
          <w:lang w:eastAsia="es-CO"/>
        </w:rPr>
        <w:t xml:space="preserve"> 790 de 2003, 2280 de 2003, 3965 de 2006, 2058 de 2009, 37 de 2015 y 756 de 2000 que se refieren a reglamentación sobre cooperativas que realizan actividad financiera, y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712 de 2004, modificado por el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1266 de 2005, que regula el numeral 1 del </w:t>
      </w:r>
      <w:r w:rsidR="002C1480" w:rsidRPr="002C1480">
        <w:rPr>
          <w:rFonts w:ascii="Arial" w:eastAsia="Times New Roman" w:hAnsi="Arial" w:cs="Arial"/>
          <w:color w:val="000000"/>
          <w:lang w:eastAsia="es-CO"/>
        </w:rPr>
        <w:t>ARTÍCULO</w:t>
      </w:r>
      <w:r w:rsidRPr="002C1480">
        <w:rPr>
          <w:rFonts w:ascii="Arial" w:eastAsia="Times New Roman" w:hAnsi="Arial" w:cs="Arial"/>
          <w:color w:val="000000"/>
          <w:lang w:eastAsia="es-CO"/>
        </w:rPr>
        <w:t xml:space="preserve"> 48 del Estatuto Orgánico del Sistema Financiero, no se consideran derogados por el presente </w:t>
      </w:r>
      <w:r w:rsidR="008D6289">
        <w:rPr>
          <w:rFonts w:ascii="Arial" w:eastAsia="Times New Roman" w:hAnsi="Arial" w:cs="Arial"/>
          <w:color w:val="000000"/>
          <w:lang w:eastAsia="es-CO"/>
        </w:rPr>
        <w:t>DECRETO</w:t>
      </w:r>
      <w:r w:rsidRPr="002C1480">
        <w:rPr>
          <w:rFonts w:ascii="Arial" w:eastAsia="Times New Roman" w:hAnsi="Arial" w:cs="Arial"/>
          <w:color w:val="000000"/>
          <w:lang w:eastAsia="es-CO"/>
        </w:rPr>
        <w:t xml:space="preserve"> Único. </w:t>
      </w:r>
    </w:p>
    <w:p w14:paraId="2B43279E" w14:textId="77777777" w:rsidR="00404266" w:rsidRPr="002C1480" w:rsidRDefault="00404266" w:rsidP="00C32F85">
      <w:pPr>
        <w:spacing w:after="0" w:line="240" w:lineRule="auto"/>
        <w:jc w:val="both"/>
        <w:rPr>
          <w:rFonts w:ascii="Arial" w:eastAsia="Times New Roman" w:hAnsi="Arial" w:cs="Arial"/>
          <w:color w:val="000000"/>
          <w:lang w:eastAsia="es-CO"/>
        </w:rPr>
      </w:pPr>
      <w:bookmarkStart w:id="2110" w:name="ver_30057940"/>
      <w:bookmarkEnd w:id="2110"/>
    </w:p>
    <w:p w14:paraId="4A539CF5" w14:textId="24B34CF4" w:rsidR="00404266" w:rsidRPr="002C1480" w:rsidRDefault="002C1480" w:rsidP="00C32F85">
      <w:pPr>
        <w:spacing w:after="0" w:line="254" w:lineRule="atLeast"/>
        <w:jc w:val="both"/>
        <w:rPr>
          <w:rFonts w:ascii="Arial" w:eastAsia="Times New Roman" w:hAnsi="Arial" w:cs="Arial"/>
          <w:color w:val="000000"/>
          <w:lang w:eastAsia="es-CO"/>
        </w:rPr>
      </w:pPr>
      <w:r w:rsidRPr="002C1480">
        <w:rPr>
          <w:rFonts w:ascii="Arial" w:eastAsia="Times New Roman" w:hAnsi="Arial" w:cs="Arial"/>
          <w:color w:val="000000"/>
          <w:lang w:eastAsia="es-CO"/>
        </w:rPr>
        <w:t>ARTÍCULO</w:t>
      </w:r>
      <w:r w:rsidR="00404266" w:rsidRPr="002C1480">
        <w:rPr>
          <w:rFonts w:ascii="Arial" w:eastAsia="Times New Roman" w:hAnsi="Arial" w:cs="Arial"/>
          <w:color w:val="000000"/>
          <w:lang w:eastAsia="es-CO"/>
        </w:rPr>
        <w:t xml:space="preserve"> 3.4. Vigencia. El presente </w:t>
      </w:r>
      <w:r w:rsidR="008D6289">
        <w:rPr>
          <w:rFonts w:ascii="Arial" w:eastAsia="Times New Roman" w:hAnsi="Arial" w:cs="Arial"/>
          <w:color w:val="000000"/>
          <w:lang w:eastAsia="es-CO"/>
        </w:rPr>
        <w:t>DECRETO</w:t>
      </w:r>
      <w:r w:rsidR="00404266" w:rsidRPr="002C1480">
        <w:rPr>
          <w:rFonts w:ascii="Arial" w:eastAsia="Times New Roman" w:hAnsi="Arial" w:cs="Arial"/>
          <w:color w:val="000000"/>
          <w:lang w:eastAsia="es-CO"/>
        </w:rPr>
        <w:t xml:space="preserve"> rige a partir de su publicación. </w:t>
      </w:r>
    </w:p>
    <w:p w14:paraId="7C411C97" w14:textId="77777777" w:rsidR="00731A76" w:rsidRDefault="00731A76" w:rsidP="00C32F85">
      <w:pPr>
        <w:spacing w:after="0" w:line="254" w:lineRule="atLeast"/>
        <w:jc w:val="both"/>
        <w:rPr>
          <w:rFonts w:ascii="Arial" w:eastAsia="Times New Roman" w:hAnsi="Arial" w:cs="Arial"/>
          <w:color w:val="000000"/>
          <w:lang w:eastAsia="es-CO"/>
        </w:rPr>
      </w:pPr>
      <w:bookmarkStart w:id="2111" w:name="ver_30057941"/>
      <w:bookmarkEnd w:id="2111"/>
    </w:p>
    <w:p w14:paraId="04B94491" w14:textId="68F2D1DA" w:rsidR="00404266" w:rsidRPr="002C1480" w:rsidRDefault="00404266" w:rsidP="00731A76">
      <w:pPr>
        <w:spacing w:after="0" w:line="254" w:lineRule="atLeast"/>
        <w:jc w:val="center"/>
        <w:rPr>
          <w:rFonts w:ascii="Arial" w:eastAsia="Times New Roman" w:hAnsi="Arial" w:cs="Arial"/>
          <w:color w:val="000000"/>
          <w:lang w:eastAsia="es-CO"/>
        </w:rPr>
      </w:pPr>
      <w:r w:rsidRPr="002C1480">
        <w:rPr>
          <w:rFonts w:ascii="Arial" w:eastAsia="Times New Roman" w:hAnsi="Arial" w:cs="Arial"/>
          <w:color w:val="000000"/>
          <w:lang w:eastAsia="es-CO"/>
        </w:rPr>
        <w:t>Publíquese y cúmplase.</w:t>
      </w:r>
    </w:p>
    <w:p w14:paraId="48AD6535" w14:textId="26505E68" w:rsidR="00404266" w:rsidRPr="002C1480" w:rsidRDefault="00404266" w:rsidP="00731A76">
      <w:pPr>
        <w:spacing w:after="0" w:line="254" w:lineRule="atLeast"/>
        <w:jc w:val="center"/>
        <w:rPr>
          <w:rFonts w:ascii="Arial" w:eastAsia="Times New Roman" w:hAnsi="Arial" w:cs="Arial"/>
          <w:color w:val="000000"/>
          <w:lang w:eastAsia="es-CO"/>
        </w:rPr>
      </w:pPr>
      <w:r w:rsidRPr="002C1480">
        <w:rPr>
          <w:rFonts w:ascii="Arial" w:eastAsia="Times New Roman" w:hAnsi="Arial" w:cs="Arial"/>
          <w:color w:val="000000"/>
          <w:lang w:eastAsia="es-CO"/>
        </w:rPr>
        <w:t>Dado en Bogotá, D. C., a 26 de mayo de 2015.</w:t>
      </w:r>
    </w:p>
    <w:p w14:paraId="74C08A0C" w14:textId="36004E23" w:rsidR="00404266" w:rsidRPr="002C1480" w:rsidRDefault="00404266" w:rsidP="00731A76">
      <w:pPr>
        <w:spacing w:after="0" w:line="254" w:lineRule="atLeast"/>
        <w:jc w:val="center"/>
        <w:rPr>
          <w:rFonts w:ascii="Arial" w:eastAsia="Times New Roman" w:hAnsi="Arial" w:cs="Arial"/>
          <w:color w:val="000000"/>
          <w:lang w:eastAsia="es-CO"/>
        </w:rPr>
      </w:pPr>
      <w:r w:rsidRPr="002C1480">
        <w:rPr>
          <w:rFonts w:ascii="Arial" w:eastAsia="Times New Roman" w:hAnsi="Arial" w:cs="Arial"/>
          <w:color w:val="000000"/>
          <w:lang w:eastAsia="es-CO"/>
        </w:rPr>
        <w:t>JUAN MANUEL SANTOS CALDERÓN</w:t>
      </w:r>
    </w:p>
    <w:p w14:paraId="197CD457" w14:textId="44C26D5B" w:rsidR="00404266" w:rsidRPr="002C1480" w:rsidRDefault="00404266" w:rsidP="00731A76">
      <w:pPr>
        <w:spacing w:after="0" w:line="254" w:lineRule="atLeast"/>
        <w:jc w:val="center"/>
        <w:rPr>
          <w:rFonts w:ascii="Arial" w:eastAsia="Times New Roman" w:hAnsi="Arial" w:cs="Arial"/>
          <w:color w:val="000000"/>
          <w:lang w:eastAsia="es-CO"/>
        </w:rPr>
      </w:pPr>
    </w:p>
    <w:p w14:paraId="64EAC952" w14:textId="71EA1153" w:rsidR="00404266" w:rsidRPr="002C1480" w:rsidRDefault="00404266" w:rsidP="00731A76">
      <w:pPr>
        <w:spacing w:after="0" w:line="254" w:lineRule="atLeast"/>
        <w:jc w:val="center"/>
        <w:rPr>
          <w:rFonts w:ascii="Arial" w:eastAsia="Times New Roman" w:hAnsi="Arial" w:cs="Arial"/>
          <w:color w:val="000000"/>
          <w:lang w:eastAsia="es-CO"/>
        </w:rPr>
      </w:pPr>
      <w:r w:rsidRPr="002C1480">
        <w:rPr>
          <w:rFonts w:ascii="Arial" w:eastAsia="Times New Roman" w:hAnsi="Arial" w:cs="Arial"/>
          <w:color w:val="000000"/>
          <w:lang w:eastAsia="es-CO"/>
        </w:rPr>
        <w:lastRenderedPageBreak/>
        <w:t>El Ministro de Hacienda y Crédito Público,</w:t>
      </w:r>
    </w:p>
    <w:p w14:paraId="1E3A4614" w14:textId="3BA7921E" w:rsidR="00404266" w:rsidRPr="002C1480" w:rsidRDefault="00404266" w:rsidP="00731A76">
      <w:pPr>
        <w:spacing w:after="0" w:line="254" w:lineRule="atLeast"/>
        <w:jc w:val="center"/>
        <w:rPr>
          <w:rFonts w:ascii="Arial" w:eastAsia="Times New Roman" w:hAnsi="Arial" w:cs="Arial"/>
          <w:color w:val="000000"/>
          <w:lang w:eastAsia="es-CO"/>
        </w:rPr>
      </w:pPr>
      <w:r w:rsidRPr="002C1480">
        <w:rPr>
          <w:rFonts w:ascii="Arial" w:eastAsia="Times New Roman" w:hAnsi="Arial" w:cs="Arial"/>
          <w:color w:val="000000"/>
          <w:lang w:eastAsia="es-CO"/>
        </w:rPr>
        <w:t>Mauricio Cárdenas Santamaría.</w:t>
      </w:r>
    </w:p>
    <w:p w14:paraId="4D2461E9" w14:textId="77777777" w:rsidR="00404266" w:rsidRPr="002C1480" w:rsidRDefault="00404266" w:rsidP="00731A76">
      <w:pPr>
        <w:spacing w:after="0" w:line="240" w:lineRule="auto"/>
        <w:jc w:val="center"/>
        <w:rPr>
          <w:rFonts w:ascii="Arial" w:hAnsi="Arial" w:cs="Arial"/>
        </w:rPr>
      </w:pPr>
    </w:p>
    <w:sectPr w:rsidR="00404266" w:rsidRPr="002C1480" w:rsidSect="00364A78">
      <w:pgSz w:w="12240" w:h="15840"/>
      <w:pgMar w:top="1559" w:right="1321" w:bottom="1417" w:left="1400" w:header="737" w:footer="1882"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D7241"/>
    <w:multiLevelType w:val="multilevel"/>
    <w:tmpl w:val="FD9833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84919B4"/>
    <w:multiLevelType w:val="multilevel"/>
    <w:tmpl w:val="72CA26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AD4228B"/>
    <w:multiLevelType w:val="multilevel"/>
    <w:tmpl w:val="C7BCF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320E24"/>
    <w:multiLevelType w:val="multilevel"/>
    <w:tmpl w:val="53A40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94362"/>
    <w:multiLevelType w:val="multilevel"/>
    <w:tmpl w:val="7E54BA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14A776B"/>
    <w:multiLevelType w:val="multilevel"/>
    <w:tmpl w:val="50F8AA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6C244BC"/>
    <w:multiLevelType w:val="multilevel"/>
    <w:tmpl w:val="39EA52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A45716B"/>
    <w:multiLevelType w:val="multilevel"/>
    <w:tmpl w:val="EC10E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A7531CF"/>
    <w:multiLevelType w:val="multilevel"/>
    <w:tmpl w:val="010465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C552F22"/>
    <w:multiLevelType w:val="multilevel"/>
    <w:tmpl w:val="AFF011F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4B16111"/>
    <w:multiLevelType w:val="multilevel"/>
    <w:tmpl w:val="2020CA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7D96D62"/>
    <w:multiLevelType w:val="multilevel"/>
    <w:tmpl w:val="166ECE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FC526B"/>
    <w:multiLevelType w:val="multilevel"/>
    <w:tmpl w:val="2CE6B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BA5654"/>
    <w:multiLevelType w:val="multilevel"/>
    <w:tmpl w:val="405C8F2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A935FDB"/>
    <w:multiLevelType w:val="multilevel"/>
    <w:tmpl w:val="1D9A1A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AD665C1"/>
    <w:multiLevelType w:val="multilevel"/>
    <w:tmpl w:val="F582021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3902A7C"/>
    <w:multiLevelType w:val="hybridMultilevel"/>
    <w:tmpl w:val="795C3C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C662559"/>
    <w:multiLevelType w:val="hybridMultilevel"/>
    <w:tmpl w:val="AE52092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D2D7AD0"/>
    <w:multiLevelType w:val="multilevel"/>
    <w:tmpl w:val="C63474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50B16666"/>
    <w:multiLevelType w:val="multilevel"/>
    <w:tmpl w:val="41CEEA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519C0608"/>
    <w:multiLevelType w:val="multilevel"/>
    <w:tmpl w:val="47A87E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3D71A0"/>
    <w:multiLevelType w:val="multilevel"/>
    <w:tmpl w:val="93E438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54C086D"/>
    <w:multiLevelType w:val="multilevel"/>
    <w:tmpl w:val="E1262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5B4CE5"/>
    <w:multiLevelType w:val="hybridMultilevel"/>
    <w:tmpl w:val="CA50EC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57E1B36"/>
    <w:multiLevelType w:val="multilevel"/>
    <w:tmpl w:val="2CE80C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599B5E5C"/>
    <w:multiLevelType w:val="multilevel"/>
    <w:tmpl w:val="97A88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CE9157B"/>
    <w:multiLevelType w:val="multilevel"/>
    <w:tmpl w:val="AC302B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F493AAF"/>
    <w:multiLevelType w:val="multilevel"/>
    <w:tmpl w:val="18DCF8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63A74BDD"/>
    <w:multiLevelType w:val="hybridMultilevel"/>
    <w:tmpl w:val="A524EC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813BD1"/>
    <w:multiLevelType w:val="multilevel"/>
    <w:tmpl w:val="F36E66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6D7A2B6F"/>
    <w:multiLevelType w:val="multilevel"/>
    <w:tmpl w:val="EAB270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726D09D0"/>
    <w:multiLevelType w:val="multilevel"/>
    <w:tmpl w:val="628025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72917609"/>
    <w:multiLevelType w:val="multilevel"/>
    <w:tmpl w:val="F6D6010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741B719F"/>
    <w:multiLevelType w:val="multilevel"/>
    <w:tmpl w:val="3E3CE7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75587429"/>
    <w:multiLevelType w:val="hybridMultilevel"/>
    <w:tmpl w:val="38D6D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7D60C35"/>
    <w:multiLevelType w:val="multilevel"/>
    <w:tmpl w:val="E578B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8C312C6"/>
    <w:multiLevelType w:val="hybridMultilevel"/>
    <w:tmpl w:val="346A41E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791433002">
    <w:abstractNumId w:val="22"/>
  </w:num>
  <w:num w:numId="2" w16cid:durableId="860977785">
    <w:abstractNumId w:val="35"/>
  </w:num>
  <w:num w:numId="3" w16cid:durableId="1878851979">
    <w:abstractNumId w:val="35"/>
    <w:lvlOverride w:ilvl="0">
      <w:startOverride w:val="2"/>
    </w:lvlOverride>
  </w:num>
  <w:num w:numId="4" w16cid:durableId="1339189557">
    <w:abstractNumId w:val="26"/>
  </w:num>
  <w:num w:numId="5" w16cid:durableId="299960332">
    <w:abstractNumId w:val="18"/>
  </w:num>
  <w:num w:numId="6" w16cid:durableId="208615308">
    <w:abstractNumId w:val="18"/>
    <w:lvlOverride w:ilvl="0">
      <w:startOverride w:val="3"/>
    </w:lvlOverride>
  </w:num>
  <w:num w:numId="7" w16cid:durableId="750469107">
    <w:abstractNumId w:val="27"/>
  </w:num>
  <w:num w:numId="8" w16cid:durableId="997075502">
    <w:abstractNumId w:val="27"/>
    <w:lvlOverride w:ilvl="0">
      <w:startOverride w:val="4"/>
    </w:lvlOverride>
  </w:num>
  <w:num w:numId="9" w16cid:durableId="1241021679">
    <w:abstractNumId w:val="12"/>
  </w:num>
  <w:num w:numId="10" w16cid:durableId="654380064">
    <w:abstractNumId w:val="11"/>
    <w:lvlOverride w:ilvl="0">
      <w:startOverride w:val="2"/>
    </w:lvlOverride>
  </w:num>
  <w:num w:numId="11" w16cid:durableId="1130783114">
    <w:abstractNumId w:val="3"/>
    <w:lvlOverride w:ilvl="0">
      <w:startOverride w:val="3"/>
    </w:lvlOverride>
  </w:num>
  <w:num w:numId="12" w16cid:durableId="887257593">
    <w:abstractNumId w:val="1"/>
  </w:num>
  <w:num w:numId="13" w16cid:durableId="1834029530">
    <w:abstractNumId w:val="33"/>
    <w:lvlOverride w:ilvl="0">
      <w:startOverride w:val="2"/>
    </w:lvlOverride>
  </w:num>
  <w:num w:numId="14" w16cid:durableId="386684695">
    <w:abstractNumId w:val="15"/>
    <w:lvlOverride w:ilvl="0">
      <w:startOverride w:val="3"/>
    </w:lvlOverride>
  </w:num>
  <w:num w:numId="15" w16cid:durableId="2032805277">
    <w:abstractNumId w:val="7"/>
    <w:lvlOverride w:ilvl="0">
      <w:startOverride w:val="4"/>
    </w:lvlOverride>
  </w:num>
  <w:num w:numId="16" w16cid:durableId="489366630">
    <w:abstractNumId w:val="13"/>
    <w:lvlOverride w:ilvl="0">
      <w:startOverride w:val="5"/>
    </w:lvlOverride>
  </w:num>
  <w:num w:numId="17" w16cid:durableId="880703807">
    <w:abstractNumId w:val="0"/>
  </w:num>
  <w:num w:numId="18" w16cid:durableId="191577229">
    <w:abstractNumId w:val="30"/>
    <w:lvlOverride w:ilvl="0">
      <w:startOverride w:val="2"/>
    </w:lvlOverride>
  </w:num>
  <w:num w:numId="19" w16cid:durableId="169951960">
    <w:abstractNumId w:val="10"/>
  </w:num>
  <w:num w:numId="20" w16cid:durableId="834759156">
    <w:abstractNumId w:val="29"/>
    <w:lvlOverride w:ilvl="0">
      <w:startOverride w:val="2"/>
    </w:lvlOverride>
  </w:num>
  <w:num w:numId="21" w16cid:durableId="124662473">
    <w:abstractNumId w:val="6"/>
    <w:lvlOverride w:ilvl="0">
      <w:startOverride w:val="3"/>
    </w:lvlOverride>
  </w:num>
  <w:num w:numId="22" w16cid:durableId="360907073">
    <w:abstractNumId w:val="20"/>
    <w:lvlOverride w:ilvl="0">
      <w:startOverride w:val="4"/>
    </w:lvlOverride>
  </w:num>
  <w:num w:numId="23" w16cid:durableId="245849325">
    <w:abstractNumId w:val="4"/>
  </w:num>
  <w:num w:numId="24" w16cid:durableId="873539066">
    <w:abstractNumId w:val="24"/>
    <w:lvlOverride w:ilvl="0">
      <w:startOverride w:val="2"/>
    </w:lvlOverride>
  </w:num>
  <w:num w:numId="25" w16cid:durableId="2038387248">
    <w:abstractNumId w:val="5"/>
  </w:num>
  <w:num w:numId="26" w16cid:durableId="1444570249">
    <w:abstractNumId w:val="19"/>
    <w:lvlOverride w:ilvl="0">
      <w:startOverride w:val="2"/>
    </w:lvlOverride>
  </w:num>
  <w:num w:numId="27" w16cid:durableId="1699815129">
    <w:abstractNumId w:val="2"/>
  </w:num>
  <w:num w:numId="28" w16cid:durableId="782848870">
    <w:abstractNumId w:val="9"/>
  </w:num>
  <w:num w:numId="29" w16cid:durableId="1781028868">
    <w:abstractNumId w:val="14"/>
    <w:lvlOverride w:ilvl="0">
      <w:startOverride w:val="2"/>
    </w:lvlOverride>
  </w:num>
  <w:num w:numId="30" w16cid:durableId="49042706">
    <w:abstractNumId w:val="25"/>
    <w:lvlOverride w:ilvl="0">
      <w:startOverride w:val="2"/>
    </w:lvlOverride>
  </w:num>
  <w:num w:numId="31" w16cid:durableId="1101218532">
    <w:abstractNumId w:val="31"/>
  </w:num>
  <w:num w:numId="32" w16cid:durableId="753404915">
    <w:abstractNumId w:val="8"/>
    <w:lvlOverride w:ilvl="0">
      <w:startOverride w:val="2"/>
    </w:lvlOverride>
  </w:num>
  <w:num w:numId="33" w16cid:durableId="1180238422">
    <w:abstractNumId w:val="32"/>
    <w:lvlOverride w:ilvl="0">
      <w:startOverride w:val="3"/>
    </w:lvlOverride>
  </w:num>
  <w:num w:numId="34" w16cid:durableId="658776708">
    <w:abstractNumId w:val="21"/>
    <w:lvlOverride w:ilvl="0">
      <w:startOverride w:val="4"/>
    </w:lvlOverride>
  </w:num>
  <w:num w:numId="35" w16cid:durableId="1970865666">
    <w:abstractNumId w:val="21"/>
    <w:lvlOverride w:ilvl="0">
      <w:startOverride w:val="5"/>
    </w:lvlOverride>
  </w:num>
  <w:num w:numId="36" w16cid:durableId="912592242">
    <w:abstractNumId w:val="23"/>
  </w:num>
  <w:num w:numId="37" w16cid:durableId="1030448625">
    <w:abstractNumId w:val="17"/>
  </w:num>
  <w:num w:numId="38" w16cid:durableId="569114626">
    <w:abstractNumId w:val="34"/>
  </w:num>
  <w:num w:numId="39" w16cid:durableId="1720595044">
    <w:abstractNumId w:val="16"/>
  </w:num>
  <w:num w:numId="40" w16cid:durableId="2013869574">
    <w:abstractNumId w:val="28"/>
  </w:num>
  <w:num w:numId="41" w16cid:durableId="13307917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5A1"/>
    <w:rsid w:val="000512F0"/>
    <w:rsid w:val="00081A2A"/>
    <w:rsid w:val="00091C46"/>
    <w:rsid w:val="000A3D56"/>
    <w:rsid w:val="000B1928"/>
    <w:rsid w:val="000C2641"/>
    <w:rsid w:val="000C599B"/>
    <w:rsid w:val="000D359C"/>
    <w:rsid w:val="000F2DC7"/>
    <w:rsid w:val="001357A1"/>
    <w:rsid w:val="00143144"/>
    <w:rsid w:val="001654AC"/>
    <w:rsid w:val="00183314"/>
    <w:rsid w:val="00190DA0"/>
    <w:rsid w:val="001A4377"/>
    <w:rsid w:val="001B36A4"/>
    <w:rsid w:val="001C0F29"/>
    <w:rsid w:val="001C5A01"/>
    <w:rsid w:val="001D5EFA"/>
    <w:rsid w:val="001E141D"/>
    <w:rsid w:val="001F3008"/>
    <w:rsid w:val="001F3D32"/>
    <w:rsid w:val="001F4A03"/>
    <w:rsid w:val="002079AD"/>
    <w:rsid w:val="00217204"/>
    <w:rsid w:val="00231732"/>
    <w:rsid w:val="002321A2"/>
    <w:rsid w:val="00242ADB"/>
    <w:rsid w:val="00253DDA"/>
    <w:rsid w:val="002903F5"/>
    <w:rsid w:val="00295FC1"/>
    <w:rsid w:val="002B48C7"/>
    <w:rsid w:val="002B5096"/>
    <w:rsid w:val="002C1480"/>
    <w:rsid w:val="002D20F1"/>
    <w:rsid w:val="002E61C6"/>
    <w:rsid w:val="003228FD"/>
    <w:rsid w:val="00326FFA"/>
    <w:rsid w:val="00330223"/>
    <w:rsid w:val="003517F6"/>
    <w:rsid w:val="00364A78"/>
    <w:rsid w:val="003A0184"/>
    <w:rsid w:val="003B1B42"/>
    <w:rsid w:val="003E2DE1"/>
    <w:rsid w:val="003F5DD8"/>
    <w:rsid w:val="00401D7E"/>
    <w:rsid w:val="00404266"/>
    <w:rsid w:val="004152BC"/>
    <w:rsid w:val="004345A1"/>
    <w:rsid w:val="00443BC6"/>
    <w:rsid w:val="0044471B"/>
    <w:rsid w:val="00451464"/>
    <w:rsid w:val="004612CD"/>
    <w:rsid w:val="00462600"/>
    <w:rsid w:val="00485C16"/>
    <w:rsid w:val="00491CBD"/>
    <w:rsid w:val="00492E24"/>
    <w:rsid w:val="004941FD"/>
    <w:rsid w:val="00496DEF"/>
    <w:rsid w:val="004A324B"/>
    <w:rsid w:val="004B2E4C"/>
    <w:rsid w:val="004D079B"/>
    <w:rsid w:val="004E41AF"/>
    <w:rsid w:val="004F433C"/>
    <w:rsid w:val="005132E8"/>
    <w:rsid w:val="00542CFA"/>
    <w:rsid w:val="0057151D"/>
    <w:rsid w:val="005825AD"/>
    <w:rsid w:val="00587A4D"/>
    <w:rsid w:val="005B46C1"/>
    <w:rsid w:val="005D0387"/>
    <w:rsid w:val="005D71D0"/>
    <w:rsid w:val="005E3C15"/>
    <w:rsid w:val="00610A36"/>
    <w:rsid w:val="00612536"/>
    <w:rsid w:val="0063420B"/>
    <w:rsid w:val="00650C16"/>
    <w:rsid w:val="00653379"/>
    <w:rsid w:val="00686CEE"/>
    <w:rsid w:val="0069137C"/>
    <w:rsid w:val="006A0010"/>
    <w:rsid w:val="006C792B"/>
    <w:rsid w:val="006E4363"/>
    <w:rsid w:val="00700D13"/>
    <w:rsid w:val="007048BC"/>
    <w:rsid w:val="00704E1B"/>
    <w:rsid w:val="00711F4F"/>
    <w:rsid w:val="00717213"/>
    <w:rsid w:val="00717AAC"/>
    <w:rsid w:val="00720937"/>
    <w:rsid w:val="00727128"/>
    <w:rsid w:val="00731A76"/>
    <w:rsid w:val="00744A34"/>
    <w:rsid w:val="00745652"/>
    <w:rsid w:val="00751C2A"/>
    <w:rsid w:val="00753837"/>
    <w:rsid w:val="007C22B0"/>
    <w:rsid w:val="007C6FC7"/>
    <w:rsid w:val="007F2954"/>
    <w:rsid w:val="007F5895"/>
    <w:rsid w:val="00801BFF"/>
    <w:rsid w:val="00806282"/>
    <w:rsid w:val="008077BA"/>
    <w:rsid w:val="00824604"/>
    <w:rsid w:val="008336A7"/>
    <w:rsid w:val="0084642D"/>
    <w:rsid w:val="0088287C"/>
    <w:rsid w:val="0088648E"/>
    <w:rsid w:val="008945EB"/>
    <w:rsid w:val="008A7BD2"/>
    <w:rsid w:val="008A7FEB"/>
    <w:rsid w:val="008B1334"/>
    <w:rsid w:val="008C2D31"/>
    <w:rsid w:val="008D59F0"/>
    <w:rsid w:val="008D6289"/>
    <w:rsid w:val="008D702B"/>
    <w:rsid w:val="008E021A"/>
    <w:rsid w:val="008F7B30"/>
    <w:rsid w:val="009058F0"/>
    <w:rsid w:val="00906B9A"/>
    <w:rsid w:val="00924FFE"/>
    <w:rsid w:val="00925C02"/>
    <w:rsid w:val="0092744A"/>
    <w:rsid w:val="0093512F"/>
    <w:rsid w:val="00945465"/>
    <w:rsid w:val="009553BD"/>
    <w:rsid w:val="009B1E3A"/>
    <w:rsid w:val="009B5265"/>
    <w:rsid w:val="009D30E7"/>
    <w:rsid w:val="009D4BCC"/>
    <w:rsid w:val="009E660F"/>
    <w:rsid w:val="009F612B"/>
    <w:rsid w:val="00A01E77"/>
    <w:rsid w:val="00A15B91"/>
    <w:rsid w:val="00A40A7A"/>
    <w:rsid w:val="00A42694"/>
    <w:rsid w:val="00A51B93"/>
    <w:rsid w:val="00A76441"/>
    <w:rsid w:val="00AB6706"/>
    <w:rsid w:val="00AC3239"/>
    <w:rsid w:val="00AD7CA2"/>
    <w:rsid w:val="00AE3255"/>
    <w:rsid w:val="00AF0C09"/>
    <w:rsid w:val="00AF2398"/>
    <w:rsid w:val="00AF5291"/>
    <w:rsid w:val="00B01F66"/>
    <w:rsid w:val="00B14EA4"/>
    <w:rsid w:val="00B27142"/>
    <w:rsid w:val="00B30F19"/>
    <w:rsid w:val="00B47412"/>
    <w:rsid w:val="00B504E4"/>
    <w:rsid w:val="00B647F4"/>
    <w:rsid w:val="00B67D4C"/>
    <w:rsid w:val="00B740DC"/>
    <w:rsid w:val="00B850EF"/>
    <w:rsid w:val="00B90184"/>
    <w:rsid w:val="00BC44E4"/>
    <w:rsid w:val="00BC542B"/>
    <w:rsid w:val="00BD2775"/>
    <w:rsid w:val="00BF0DA9"/>
    <w:rsid w:val="00C21E7A"/>
    <w:rsid w:val="00C32F85"/>
    <w:rsid w:val="00C50D38"/>
    <w:rsid w:val="00C53DA5"/>
    <w:rsid w:val="00C64D8C"/>
    <w:rsid w:val="00CA2D72"/>
    <w:rsid w:val="00CB1C61"/>
    <w:rsid w:val="00CD3FFB"/>
    <w:rsid w:val="00D01C00"/>
    <w:rsid w:val="00D05DFA"/>
    <w:rsid w:val="00D26D1B"/>
    <w:rsid w:val="00D31F0D"/>
    <w:rsid w:val="00D37144"/>
    <w:rsid w:val="00D65A99"/>
    <w:rsid w:val="00D745F2"/>
    <w:rsid w:val="00DB00B7"/>
    <w:rsid w:val="00DB7AED"/>
    <w:rsid w:val="00DF1A90"/>
    <w:rsid w:val="00DF70C3"/>
    <w:rsid w:val="00E03543"/>
    <w:rsid w:val="00E16DE0"/>
    <w:rsid w:val="00E477F8"/>
    <w:rsid w:val="00E52962"/>
    <w:rsid w:val="00E647D8"/>
    <w:rsid w:val="00E74EE3"/>
    <w:rsid w:val="00E8703F"/>
    <w:rsid w:val="00EA2507"/>
    <w:rsid w:val="00EA252E"/>
    <w:rsid w:val="00EC7098"/>
    <w:rsid w:val="00EE19A0"/>
    <w:rsid w:val="00F20419"/>
    <w:rsid w:val="00F26861"/>
    <w:rsid w:val="00F34822"/>
    <w:rsid w:val="00F41216"/>
    <w:rsid w:val="00F42255"/>
    <w:rsid w:val="00F54F26"/>
    <w:rsid w:val="00F61AF7"/>
    <w:rsid w:val="00F70A03"/>
    <w:rsid w:val="00F72789"/>
    <w:rsid w:val="00F76E4C"/>
    <w:rsid w:val="00F85B3F"/>
    <w:rsid w:val="00FA1213"/>
    <w:rsid w:val="00FC0E82"/>
    <w:rsid w:val="00FC54E9"/>
    <w:rsid w:val="00FD0979"/>
    <w:rsid w:val="00FD7EA0"/>
    <w:rsid w:val="00FE798F"/>
    <w:rsid w:val="00FF5720"/>
    <w:rsid w:val="061B09AA"/>
    <w:rsid w:val="09A9FDB5"/>
    <w:rsid w:val="0A309A12"/>
    <w:rsid w:val="0D12D571"/>
    <w:rsid w:val="1B8CA67B"/>
    <w:rsid w:val="25D083E7"/>
    <w:rsid w:val="2AE1EA83"/>
    <w:rsid w:val="30B8509F"/>
    <w:rsid w:val="3B4028A9"/>
    <w:rsid w:val="4C540B66"/>
    <w:rsid w:val="4D43BDDB"/>
    <w:rsid w:val="4D462263"/>
    <w:rsid w:val="561C6BF7"/>
    <w:rsid w:val="660F8EF8"/>
    <w:rsid w:val="6B06E71B"/>
    <w:rsid w:val="6C046D2B"/>
    <w:rsid w:val="6C945237"/>
    <w:rsid w:val="6E5ADA36"/>
    <w:rsid w:val="6FE8FE60"/>
    <w:rsid w:val="71C00FF2"/>
    <w:rsid w:val="733769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0F5C1"/>
  <w15:chartTrackingRefBased/>
  <w15:docId w15:val="{1B0CD10A-AAD2-46B0-B7DF-0C3788F43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4345A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msonormal0">
    <w:name w:val="msonormal"/>
    <w:basedOn w:val="Normal"/>
    <w:rsid w:val="008F7B3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8F7B30"/>
    <w:rPr>
      <w:b/>
      <w:bCs/>
    </w:rPr>
  </w:style>
  <w:style w:type="paragraph" w:customStyle="1" w:styleId="parrafo-division">
    <w:name w:val="parrafo-division"/>
    <w:basedOn w:val="Normal"/>
    <w:rsid w:val="008F7B3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nfasis">
    <w:name w:val="Emphasis"/>
    <w:basedOn w:val="Fuentedeprrafopredeter"/>
    <w:uiPriority w:val="20"/>
    <w:qFormat/>
    <w:rsid w:val="008F7B30"/>
    <w:rPr>
      <w:i/>
      <w:iCs/>
    </w:rPr>
  </w:style>
  <w:style w:type="character" w:customStyle="1" w:styleId="toctoggle">
    <w:name w:val="toctoggle"/>
    <w:basedOn w:val="Fuentedeprrafopredeter"/>
    <w:rsid w:val="008F7B30"/>
  </w:style>
  <w:style w:type="character" w:styleId="Hipervnculo">
    <w:name w:val="Hyperlink"/>
    <w:basedOn w:val="Fuentedeprrafopredeter"/>
    <w:uiPriority w:val="99"/>
    <w:unhideWhenUsed/>
    <w:rsid w:val="008F7B30"/>
    <w:rPr>
      <w:color w:val="0000FF"/>
      <w:u w:val="single"/>
    </w:rPr>
  </w:style>
  <w:style w:type="character" w:styleId="Hipervnculovisitado">
    <w:name w:val="FollowedHyperlink"/>
    <w:basedOn w:val="Fuentedeprrafopredeter"/>
    <w:uiPriority w:val="99"/>
    <w:semiHidden/>
    <w:unhideWhenUsed/>
    <w:rsid w:val="008F7B30"/>
    <w:rPr>
      <w:color w:val="800080"/>
      <w:u w:val="single"/>
    </w:rPr>
  </w:style>
  <w:style w:type="paragraph" w:customStyle="1" w:styleId="titulo-centrado">
    <w:name w:val="titulo-centrado"/>
    <w:basedOn w:val="Normal"/>
    <w:rsid w:val="008F7B3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8F7B30"/>
  </w:style>
  <w:style w:type="paragraph" w:styleId="Prrafodelista">
    <w:name w:val="List Paragraph"/>
    <w:basedOn w:val="Normal"/>
    <w:uiPriority w:val="34"/>
    <w:qFormat/>
    <w:rsid w:val="00B647F4"/>
    <w:pPr>
      <w:ind w:left="720"/>
      <w:contextualSpacing/>
    </w:pPr>
  </w:style>
  <w:style w:type="character" w:customStyle="1" w:styleId="Mencinsinresolver1">
    <w:name w:val="Mención sin resolver1"/>
    <w:basedOn w:val="Fuentedeprrafopredeter"/>
    <w:uiPriority w:val="99"/>
    <w:semiHidden/>
    <w:unhideWhenUsed/>
    <w:rsid w:val="00801BFF"/>
    <w:rPr>
      <w:color w:val="605E5C"/>
      <w:shd w:val="clear" w:color="auto" w:fill="E1DFDD"/>
    </w:rPr>
  </w:style>
  <w:style w:type="character" w:styleId="Mencinsinresolver">
    <w:name w:val="Unresolved Mention"/>
    <w:basedOn w:val="Fuentedeprrafopredeter"/>
    <w:uiPriority w:val="99"/>
    <w:semiHidden/>
    <w:unhideWhenUsed/>
    <w:rsid w:val="00927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277456">
      <w:bodyDiv w:val="1"/>
      <w:marLeft w:val="0"/>
      <w:marRight w:val="0"/>
      <w:marTop w:val="0"/>
      <w:marBottom w:val="0"/>
      <w:divBdr>
        <w:top w:val="none" w:sz="0" w:space="0" w:color="auto"/>
        <w:left w:val="none" w:sz="0" w:space="0" w:color="auto"/>
        <w:bottom w:val="none" w:sz="0" w:space="0" w:color="auto"/>
        <w:right w:val="none" w:sz="0" w:space="0" w:color="auto"/>
      </w:divBdr>
    </w:div>
    <w:div w:id="386733150">
      <w:bodyDiv w:val="1"/>
      <w:marLeft w:val="0"/>
      <w:marRight w:val="0"/>
      <w:marTop w:val="0"/>
      <w:marBottom w:val="0"/>
      <w:divBdr>
        <w:top w:val="none" w:sz="0" w:space="0" w:color="auto"/>
        <w:left w:val="none" w:sz="0" w:space="0" w:color="auto"/>
        <w:bottom w:val="none" w:sz="0" w:space="0" w:color="auto"/>
        <w:right w:val="none" w:sz="0" w:space="0" w:color="auto"/>
      </w:divBdr>
      <w:divsChild>
        <w:div w:id="1036931078">
          <w:marLeft w:val="0"/>
          <w:marRight w:val="0"/>
          <w:marTop w:val="300"/>
          <w:marBottom w:val="300"/>
          <w:divBdr>
            <w:top w:val="none" w:sz="0" w:space="0" w:color="auto"/>
            <w:left w:val="none" w:sz="0" w:space="0" w:color="auto"/>
            <w:bottom w:val="none" w:sz="0" w:space="0" w:color="auto"/>
            <w:right w:val="none" w:sz="0" w:space="0" w:color="auto"/>
          </w:divBdr>
        </w:div>
        <w:div w:id="1261375516">
          <w:marLeft w:val="0"/>
          <w:marRight w:val="0"/>
          <w:marTop w:val="0"/>
          <w:marBottom w:val="0"/>
          <w:divBdr>
            <w:top w:val="none" w:sz="0" w:space="0" w:color="auto"/>
            <w:left w:val="none" w:sz="0" w:space="0" w:color="auto"/>
            <w:bottom w:val="none" w:sz="0" w:space="0" w:color="auto"/>
            <w:right w:val="none" w:sz="0" w:space="0" w:color="auto"/>
          </w:divBdr>
          <w:divsChild>
            <w:div w:id="200283413">
              <w:marLeft w:val="0"/>
              <w:marRight w:val="0"/>
              <w:marTop w:val="0"/>
              <w:marBottom w:val="0"/>
              <w:divBdr>
                <w:top w:val="none" w:sz="0" w:space="0" w:color="auto"/>
                <w:left w:val="none" w:sz="0" w:space="0" w:color="auto"/>
                <w:bottom w:val="none" w:sz="0" w:space="0" w:color="auto"/>
                <w:right w:val="none" w:sz="0" w:space="0" w:color="auto"/>
              </w:divBdr>
            </w:div>
          </w:divsChild>
        </w:div>
        <w:div w:id="1178153696">
          <w:marLeft w:val="0"/>
          <w:marRight w:val="0"/>
          <w:marTop w:val="0"/>
          <w:marBottom w:val="0"/>
          <w:divBdr>
            <w:top w:val="none" w:sz="0" w:space="0" w:color="auto"/>
            <w:left w:val="none" w:sz="0" w:space="0" w:color="auto"/>
            <w:bottom w:val="none" w:sz="0" w:space="0" w:color="auto"/>
            <w:right w:val="none" w:sz="0" w:space="0" w:color="auto"/>
          </w:divBdr>
          <w:divsChild>
            <w:div w:id="288172537">
              <w:marLeft w:val="0"/>
              <w:marRight w:val="0"/>
              <w:marTop w:val="0"/>
              <w:marBottom w:val="0"/>
              <w:divBdr>
                <w:top w:val="none" w:sz="0" w:space="0" w:color="auto"/>
                <w:left w:val="none" w:sz="0" w:space="0" w:color="auto"/>
                <w:bottom w:val="none" w:sz="0" w:space="0" w:color="auto"/>
                <w:right w:val="none" w:sz="0" w:space="0" w:color="auto"/>
              </w:divBdr>
            </w:div>
          </w:divsChild>
        </w:div>
        <w:div w:id="380130250">
          <w:marLeft w:val="0"/>
          <w:marRight w:val="0"/>
          <w:marTop w:val="0"/>
          <w:marBottom w:val="0"/>
          <w:divBdr>
            <w:top w:val="none" w:sz="0" w:space="0" w:color="auto"/>
            <w:left w:val="none" w:sz="0" w:space="0" w:color="auto"/>
            <w:bottom w:val="none" w:sz="0" w:space="0" w:color="auto"/>
            <w:right w:val="none" w:sz="0" w:space="0" w:color="auto"/>
          </w:divBdr>
          <w:divsChild>
            <w:div w:id="1616325509">
              <w:marLeft w:val="0"/>
              <w:marRight w:val="0"/>
              <w:marTop w:val="0"/>
              <w:marBottom w:val="0"/>
              <w:divBdr>
                <w:top w:val="none" w:sz="0" w:space="0" w:color="auto"/>
                <w:left w:val="none" w:sz="0" w:space="0" w:color="auto"/>
                <w:bottom w:val="none" w:sz="0" w:space="0" w:color="auto"/>
                <w:right w:val="none" w:sz="0" w:space="0" w:color="auto"/>
              </w:divBdr>
            </w:div>
          </w:divsChild>
        </w:div>
        <w:div w:id="2052683160">
          <w:marLeft w:val="0"/>
          <w:marRight w:val="0"/>
          <w:marTop w:val="300"/>
          <w:marBottom w:val="300"/>
          <w:divBdr>
            <w:top w:val="none" w:sz="0" w:space="0" w:color="auto"/>
            <w:left w:val="none" w:sz="0" w:space="0" w:color="auto"/>
            <w:bottom w:val="none" w:sz="0" w:space="0" w:color="auto"/>
            <w:right w:val="none" w:sz="0" w:space="0" w:color="auto"/>
          </w:divBdr>
        </w:div>
        <w:div w:id="1058817148">
          <w:marLeft w:val="0"/>
          <w:marRight w:val="0"/>
          <w:marTop w:val="0"/>
          <w:marBottom w:val="0"/>
          <w:divBdr>
            <w:top w:val="none" w:sz="0" w:space="0" w:color="auto"/>
            <w:left w:val="none" w:sz="0" w:space="0" w:color="auto"/>
            <w:bottom w:val="none" w:sz="0" w:space="0" w:color="auto"/>
            <w:right w:val="none" w:sz="0" w:space="0" w:color="auto"/>
          </w:divBdr>
          <w:divsChild>
            <w:div w:id="1786465714">
              <w:marLeft w:val="0"/>
              <w:marRight w:val="0"/>
              <w:marTop w:val="0"/>
              <w:marBottom w:val="0"/>
              <w:divBdr>
                <w:top w:val="none" w:sz="0" w:space="0" w:color="auto"/>
                <w:left w:val="none" w:sz="0" w:space="0" w:color="auto"/>
                <w:bottom w:val="none" w:sz="0" w:space="0" w:color="auto"/>
                <w:right w:val="none" w:sz="0" w:space="0" w:color="auto"/>
              </w:divBdr>
            </w:div>
          </w:divsChild>
        </w:div>
        <w:div w:id="2004044136">
          <w:marLeft w:val="0"/>
          <w:marRight w:val="0"/>
          <w:marTop w:val="0"/>
          <w:marBottom w:val="0"/>
          <w:divBdr>
            <w:top w:val="none" w:sz="0" w:space="0" w:color="auto"/>
            <w:left w:val="none" w:sz="0" w:space="0" w:color="auto"/>
            <w:bottom w:val="none" w:sz="0" w:space="0" w:color="auto"/>
            <w:right w:val="none" w:sz="0" w:space="0" w:color="auto"/>
          </w:divBdr>
          <w:divsChild>
            <w:div w:id="1492910530">
              <w:marLeft w:val="0"/>
              <w:marRight w:val="0"/>
              <w:marTop w:val="0"/>
              <w:marBottom w:val="0"/>
              <w:divBdr>
                <w:top w:val="none" w:sz="0" w:space="0" w:color="auto"/>
                <w:left w:val="none" w:sz="0" w:space="0" w:color="auto"/>
                <w:bottom w:val="none" w:sz="0" w:space="0" w:color="auto"/>
                <w:right w:val="none" w:sz="0" w:space="0" w:color="auto"/>
              </w:divBdr>
            </w:div>
          </w:divsChild>
        </w:div>
        <w:div w:id="1028021091">
          <w:marLeft w:val="0"/>
          <w:marRight w:val="0"/>
          <w:marTop w:val="0"/>
          <w:marBottom w:val="0"/>
          <w:divBdr>
            <w:top w:val="none" w:sz="0" w:space="0" w:color="auto"/>
            <w:left w:val="none" w:sz="0" w:space="0" w:color="auto"/>
            <w:bottom w:val="none" w:sz="0" w:space="0" w:color="auto"/>
            <w:right w:val="none" w:sz="0" w:space="0" w:color="auto"/>
          </w:divBdr>
          <w:divsChild>
            <w:div w:id="902175470">
              <w:marLeft w:val="0"/>
              <w:marRight w:val="0"/>
              <w:marTop w:val="0"/>
              <w:marBottom w:val="0"/>
              <w:divBdr>
                <w:top w:val="none" w:sz="0" w:space="0" w:color="auto"/>
                <w:left w:val="none" w:sz="0" w:space="0" w:color="auto"/>
                <w:bottom w:val="none" w:sz="0" w:space="0" w:color="auto"/>
                <w:right w:val="none" w:sz="0" w:space="0" w:color="auto"/>
              </w:divBdr>
            </w:div>
          </w:divsChild>
        </w:div>
        <w:div w:id="1665818259">
          <w:marLeft w:val="0"/>
          <w:marRight w:val="0"/>
          <w:marTop w:val="0"/>
          <w:marBottom w:val="0"/>
          <w:divBdr>
            <w:top w:val="none" w:sz="0" w:space="0" w:color="auto"/>
            <w:left w:val="none" w:sz="0" w:space="0" w:color="auto"/>
            <w:bottom w:val="none" w:sz="0" w:space="0" w:color="auto"/>
            <w:right w:val="none" w:sz="0" w:space="0" w:color="auto"/>
          </w:divBdr>
          <w:divsChild>
            <w:div w:id="2053849162">
              <w:marLeft w:val="0"/>
              <w:marRight w:val="0"/>
              <w:marTop w:val="0"/>
              <w:marBottom w:val="0"/>
              <w:divBdr>
                <w:top w:val="none" w:sz="0" w:space="0" w:color="auto"/>
                <w:left w:val="none" w:sz="0" w:space="0" w:color="auto"/>
                <w:bottom w:val="none" w:sz="0" w:space="0" w:color="auto"/>
                <w:right w:val="none" w:sz="0" w:space="0" w:color="auto"/>
              </w:divBdr>
            </w:div>
          </w:divsChild>
        </w:div>
        <w:div w:id="1592660391">
          <w:marLeft w:val="0"/>
          <w:marRight w:val="0"/>
          <w:marTop w:val="0"/>
          <w:marBottom w:val="0"/>
          <w:divBdr>
            <w:top w:val="none" w:sz="0" w:space="0" w:color="auto"/>
            <w:left w:val="none" w:sz="0" w:space="0" w:color="auto"/>
            <w:bottom w:val="none" w:sz="0" w:space="0" w:color="auto"/>
            <w:right w:val="none" w:sz="0" w:space="0" w:color="auto"/>
          </w:divBdr>
          <w:divsChild>
            <w:div w:id="1508910075">
              <w:marLeft w:val="0"/>
              <w:marRight w:val="0"/>
              <w:marTop w:val="0"/>
              <w:marBottom w:val="0"/>
              <w:divBdr>
                <w:top w:val="none" w:sz="0" w:space="0" w:color="auto"/>
                <w:left w:val="none" w:sz="0" w:space="0" w:color="auto"/>
                <w:bottom w:val="none" w:sz="0" w:space="0" w:color="auto"/>
                <w:right w:val="none" w:sz="0" w:space="0" w:color="auto"/>
              </w:divBdr>
            </w:div>
          </w:divsChild>
        </w:div>
        <w:div w:id="806704885">
          <w:marLeft w:val="0"/>
          <w:marRight w:val="0"/>
          <w:marTop w:val="300"/>
          <w:marBottom w:val="300"/>
          <w:divBdr>
            <w:top w:val="none" w:sz="0" w:space="0" w:color="auto"/>
            <w:left w:val="none" w:sz="0" w:space="0" w:color="auto"/>
            <w:bottom w:val="none" w:sz="0" w:space="0" w:color="auto"/>
            <w:right w:val="none" w:sz="0" w:space="0" w:color="auto"/>
          </w:divBdr>
        </w:div>
        <w:div w:id="895510522">
          <w:marLeft w:val="0"/>
          <w:marRight w:val="0"/>
          <w:marTop w:val="0"/>
          <w:marBottom w:val="0"/>
          <w:divBdr>
            <w:top w:val="none" w:sz="0" w:space="0" w:color="auto"/>
            <w:left w:val="none" w:sz="0" w:space="0" w:color="auto"/>
            <w:bottom w:val="none" w:sz="0" w:space="0" w:color="auto"/>
            <w:right w:val="none" w:sz="0" w:space="0" w:color="auto"/>
          </w:divBdr>
          <w:divsChild>
            <w:div w:id="669602483">
              <w:marLeft w:val="0"/>
              <w:marRight w:val="0"/>
              <w:marTop w:val="0"/>
              <w:marBottom w:val="0"/>
              <w:divBdr>
                <w:top w:val="none" w:sz="0" w:space="0" w:color="auto"/>
                <w:left w:val="none" w:sz="0" w:space="0" w:color="auto"/>
                <w:bottom w:val="none" w:sz="0" w:space="0" w:color="auto"/>
                <w:right w:val="none" w:sz="0" w:space="0" w:color="auto"/>
              </w:divBdr>
            </w:div>
          </w:divsChild>
        </w:div>
        <w:div w:id="122617923">
          <w:marLeft w:val="0"/>
          <w:marRight w:val="0"/>
          <w:marTop w:val="0"/>
          <w:marBottom w:val="0"/>
          <w:divBdr>
            <w:top w:val="none" w:sz="0" w:space="0" w:color="auto"/>
            <w:left w:val="none" w:sz="0" w:space="0" w:color="auto"/>
            <w:bottom w:val="none" w:sz="0" w:space="0" w:color="auto"/>
            <w:right w:val="none" w:sz="0" w:space="0" w:color="auto"/>
          </w:divBdr>
          <w:divsChild>
            <w:div w:id="207955310">
              <w:marLeft w:val="0"/>
              <w:marRight w:val="0"/>
              <w:marTop w:val="0"/>
              <w:marBottom w:val="0"/>
              <w:divBdr>
                <w:top w:val="none" w:sz="0" w:space="0" w:color="auto"/>
                <w:left w:val="none" w:sz="0" w:space="0" w:color="auto"/>
                <w:bottom w:val="none" w:sz="0" w:space="0" w:color="auto"/>
                <w:right w:val="none" w:sz="0" w:space="0" w:color="auto"/>
              </w:divBdr>
            </w:div>
          </w:divsChild>
        </w:div>
        <w:div w:id="1251738494">
          <w:marLeft w:val="0"/>
          <w:marRight w:val="0"/>
          <w:marTop w:val="0"/>
          <w:marBottom w:val="0"/>
          <w:divBdr>
            <w:top w:val="none" w:sz="0" w:space="0" w:color="auto"/>
            <w:left w:val="none" w:sz="0" w:space="0" w:color="auto"/>
            <w:bottom w:val="none" w:sz="0" w:space="0" w:color="auto"/>
            <w:right w:val="none" w:sz="0" w:space="0" w:color="auto"/>
          </w:divBdr>
          <w:divsChild>
            <w:div w:id="552692859">
              <w:marLeft w:val="0"/>
              <w:marRight w:val="0"/>
              <w:marTop w:val="0"/>
              <w:marBottom w:val="0"/>
              <w:divBdr>
                <w:top w:val="none" w:sz="0" w:space="0" w:color="auto"/>
                <w:left w:val="none" w:sz="0" w:space="0" w:color="auto"/>
                <w:bottom w:val="none" w:sz="0" w:space="0" w:color="auto"/>
                <w:right w:val="none" w:sz="0" w:space="0" w:color="auto"/>
              </w:divBdr>
            </w:div>
          </w:divsChild>
        </w:div>
        <w:div w:id="2061394593">
          <w:marLeft w:val="0"/>
          <w:marRight w:val="0"/>
          <w:marTop w:val="0"/>
          <w:marBottom w:val="0"/>
          <w:divBdr>
            <w:top w:val="none" w:sz="0" w:space="0" w:color="auto"/>
            <w:left w:val="none" w:sz="0" w:space="0" w:color="auto"/>
            <w:bottom w:val="none" w:sz="0" w:space="0" w:color="auto"/>
            <w:right w:val="none" w:sz="0" w:space="0" w:color="auto"/>
          </w:divBdr>
          <w:divsChild>
            <w:div w:id="1914850452">
              <w:marLeft w:val="0"/>
              <w:marRight w:val="0"/>
              <w:marTop w:val="0"/>
              <w:marBottom w:val="0"/>
              <w:divBdr>
                <w:top w:val="none" w:sz="0" w:space="0" w:color="auto"/>
                <w:left w:val="none" w:sz="0" w:space="0" w:color="auto"/>
                <w:bottom w:val="none" w:sz="0" w:space="0" w:color="auto"/>
                <w:right w:val="none" w:sz="0" w:space="0" w:color="auto"/>
              </w:divBdr>
            </w:div>
          </w:divsChild>
        </w:div>
        <w:div w:id="700204727">
          <w:marLeft w:val="0"/>
          <w:marRight w:val="0"/>
          <w:marTop w:val="0"/>
          <w:marBottom w:val="0"/>
          <w:divBdr>
            <w:top w:val="none" w:sz="0" w:space="0" w:color="auto"/>
            <w:left w:val="none" w:sz="0" w:space="0" w:color="auto"/>
            <w:bottom w:val="none" w:sz="0" w:space="0" w:color="auto"/>
            <w:right w:val="none" w:sz="0" w:space="0" w:color="auto"/>
          </w:divBdr>
          <w:divsChild>
            <w:div w:id="1543130182">
              <w:marLeft w:val="0"/>
              <w:marRight w:val="0"/>
              <w:marTop w:val="0"/>
              <w:marBottom w:val="0"/>
              <w:divBdr>
                <w:top w:val="none" w:sz="0" w:space="0" w:color="auto"/>
                <w:left w:val="none" w:sz="0" w:space="0" w:color="auto"/>
                <w:bottom w:val="none" w:sz="0" w:space="0" w:color="auto"/>
                <w:right w:val="none" w:sz="0" w:space="0" w:color="auto"/>
              </w:divBdr>
            </w:div>
          </w:divsChild>
        </w:div>
        <w:div w:id="1927810843">
          <w:marLeft w:val="0"/>
          <w:marRight w:val="0"/>
          <w:marTop w:val="0"/>
          <w:marBottom w:val="0"/>
          <w:divBdr>
            <w:top w:val="none" w:sz="0" w:space="0" w:color="auto"/>
            <w:left w:val="none" w:sz="0" w:space="0" w:color="auto"/>
            <w:bottom w:val="none" w:sz="0" w:space="0" w:color="auto"/>
            <w:right w:val="none" w:sz="0" w:space="0" w:color="auto"/>
          </w:divBdr>
          <w:divsChild>
            <w:div w:id="190082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6256">
      <w:bodyDiv w:val="1"/>
      <w:marLeft w:val="0"/>
      <w:marRight w:val="0"/>
      <w:marTop w:val="0"/>
      <w:marBottom w:val="0"/>
      <w:divBdr>
        <w:top w:val="none" w:sz="0" w:space="0" w:color="auto"/>
        <w:left w:val="none" w:sz="0" w:space="0" w:color="auto"/>
        <w:bottom w:val="none" w:sz="0" w:space="0" w:color="auto"/>
        <w:right w:val="none" w:sz="0" w:space="0" w:color="auto"/>
      </w:divBdr>
    </w:div>
    <w:div w:id="1056048679">
      <w:bodyDiv w:val="1"/>
      <w:marLeft w:val="0"/>
      <w:marRight w:val="0"/>
      <w:marTop w:val="0"/>
      <w:marBottom w:val="0"/>
      <w:divBdr>
        <w:top w:val="none" w:sz="0" w:space="0" w:color="auto"/>
        <w:left w:val="none" w:sz="0" w:space="0" w:color="auto"/>
        <w:bottom w:val="none" w:sz="0" w:space="0" w:color="auto"/>
        <w:right w:val="none" w:sz="0" w:space="0" w:color="auto"/>
      </w:divBdr>
    </w:div>
    <w:div w:id="1137409030">
      <w:bodyDiv w:val="1"/>
      <w:marLeft w:val="0"/>
      <w:marRight w:val="0"/>
      <w:marTop w:val="0"/>
      <w:marBottom w:val="0"/>
      <w:divBdr>
        <w:top w:val="none" w:sz="0" w:space="0" w:color="auto"/>
        <w:left w:val="none" w:sz="0" w:space="0" w:color="auto"/>
        <w:bottom w:val="none" w:sz="0" w:space="0" w:color="auto"/>
        <w:right w:val="none" w:sz="0" w:space="0" w:color="auto"/>
      </w:divBdr>
      <w:divsChild>
        <w:div w:id="1466314635">
          <w:marLeft w:val="0"/>
          <w:marRight w:val="0"/>
          <w:marTop w:val="300"/>
          <w:marBottom w:val="300"/>
          <w:divBdr>
            <w:top w:val="none" w:sz="0" w:space="0" w:color="auto"/>
            <w:left w:val="none" w:sz="0" w:space="0" w:color="auto"/>
            <w:bottom w:val="none" w:sz="0" w:space="0" w:color="auto"/>
            <w:right w:val="none" w:sz="0" w:space="0" w:color="auto"/>
          </w:divBdr>
        </w:div>
        <w:div w:id="360209206">
          <w:marLeft w:val="0"/>
          <w:marRight w:val="0"/>
          <w:marTop w:val="0"/>
          <w:marBottom w:val="0"/>
          <w:divBdr>
            <w:top w:val="none" w:sz="0" w:space="0" w:color="auto"/>
            <w:left w:val="none" w:sz="0" w:space="0" w:color="auto"/>
            <w:bottom w:val="none" w:sz="0" w:space="0" w:color="auto"/>
            <w:right w:val="none" w:sz="0" w:space="0" w:color="auto"/>
          </w:divBdr>
          <w:divsChild>
            <w:div w:id="130752902">
              <w:marLeft w:val="0"/>
              <w:marRight w:val="0"/>
              <w:marTop w:val="0"/>
              <w:marBottom w:val="0"/>
              <w:divBdr>
                <w:top w:val="none" w:sz="0" w:space="0" w:color="auto"/>
                <w:left w:val="none" w:sz="0" w:space="0" w:color="auto"/>
                <w:bottom w:val="none" w:sz="0" w:space="0" w:color="auto"/>
                <w:right w:val="none" w:sz="0" w:space="0" w:color="auto"/>
              </w:divBdr>
            </w:div>
          </w:divsChild>
        </w:div>
        <w:div w:id="767653720">
          <w:marLeft w:val="0"/>
          <w:marRight w:val="0"/>
          <w:marTop w:val="0"/>
          <w:marBottom w:val="0"/>
          <w:divBdr>
            <w:top w:val="none" w:sz="0" w:space="0" w:color="auto"/>
            <w:left w:val="none" w:sz="0" w:space="0" w:color="auto"/>
            <w:bottom w:val="none" w:sz="0" w:space="0" w:color="auto"/>
            <w:right w:val="none" w:sz="0" w:space="0" w:color="auto"/>
          </w:divBdr>
          <w:divsChild>
            <w:div w:id="1465155437">
              <w:marLeft w:val="0"/>
              <w:marRight w:val="0"/>
              <w:marTop w:val="0"/>
              <w:marBottom w:val="0"/>
              <w:divBdr>
                <w:top w:val="none" w:sz="0" w:space="0" w:color="auto"/>
                <w:left w:val="none" w:sz="0" w:space="0" w:color="auto"/>
                <w:bottom w:val="none" w:sz="0" w:space="0" w:color="auto"/>
                <w:right w:val="none" w:sz="0" w:space="0" w:color="auto"/>
              </w:divBdr>
            </w:div>
          </w:divsChild>
        </w:div>
        <w:div w:id="681514413">
          <w:marLeft w:val="0"/>
          <w:marRight w:val="0"/>
          <w:marTop w:val="0"/>
          <w:marBottom w:val="0"/>
          <w:divBdr>
            <w:top w:val="none" w:sz="0" w:space="0" w:color="auto"/>
            <w:left w:val="none" w:sz="0" w:space="0" w:color="auto"/>
            <w:bottom w:val="none" w:sz="0" w:space="0" w:color="auto"/>
            <w:right w:val="none" w:sz="0" w:space="0" w:color="auto"/>
          </w:divBdr>
          <w:divsChild>
            <w:div w:id="418603509">
              <w:marLeft w:val="0"/>
              <w:marRight w:val="0"/>
              <w:marTop w:val="0"/>
              <w:marBottom w:val="0"/>
              <w:divBdr>
                <w:top w:val="none" w:sz="0" w:space="0" w:color="auto"/>
                <w:left w:val="none" w:sz="0" w:space="0" w:color="auto"/>
                <w:bottom w:val="none" w:sz="0" w:space="0" w:color="auto"/>
                <w:right w:val="none" w:sz="0" w:space="0" w:color="auto"/>
              </w:divBdr>
            </w:div>
          </w:divsChild>
        </w:div>
        <w:div w:id="967316099">
          <w:marLeft w:val="0"/>
          <w:marRight w:val="0"/>
          <w:marTop w:val="0"/>
          <w:marBottom w:val="0"/>
          <w:divBdr>
            <w:top w:val="none" w:sz="0" w:space="0" w:color="auto"/>
            <w:left w:val="none" w:sz="0" w:space="0" w:color="auto"/>
            <w:bottom w:val="none" w:sz="0" w:space="0" w:color="auto"/>
            <w:right w:val="none" w:sz="0" w:space="0" w:color="auto"/>
          </w:divBdr>
          <w:divsChild>
            <w:div w:id="177740983">
              <w:marLeft w:val="0"/>
              <w:marRight w:val="0"/>
              <w:marTop w:val="0"/>
              <w:marBottom w:val="0"/>
              <w:divBdr>
                <w:top w:val="none" w:sz="0" w:space="0" w:color="auto"/>
                <w:left w:val="none" w:sz="0" w:space="0" w:color="auto"/>
                <w:bottom w:val="none" w:sz="0" w:space="0" w:color="auto"/>
                <w:right w:val="none" w:sz="0" w:space="0" w:color="auto"/>
              </w:divBdr>
            </w:div>
          </w:divsChild>
        </w:div>
        <w:div w:id="1138839888">
          <w:marLeft w:val="0"/>
          <w:marRight w:val="0"/>
          <w:marTop w:val="0"/>
          <w:marBottom w:val="0"/>
          <w:divBdr>
            <w:top w:val="none" w:sz="0" w:space="0" w:color="auto"/>
            <w:left w:val="none" w:sz="0" w:space="0" w:color="auto"/>
            <w:bottom w:val="none" w:sz="0" w:space="0" w:color="auto"/>
            <w:right w:val="none" w:sz="0" w:space="0" w:color="auto"/>
          </w:divBdr>
          <w:divsChild>
            <w:div w:id="807436172">
              <w:marLeft w:val="0"/>
              <w:marRight w:val="0"/>
              <w:marTop w:val="0"/>
              <w:marBottom w:val="0"/>
              <w:divBdr>
                <w:top w:val="none" w:sz="0" w:space="0" w:color="auto"/>
                <w:left w:val="none" w:sz="0" w:space="0" w:color="auto"/>
                <w:bottom w:val="none" w:sz="0" w:space="0" w:color="auto"/>
                <w:right w:val="none" w:sz="0" w:space="0" w:color="auto"/>
              </w:divBdr>
            </w:div>
          </w:divsChild>
        </w:div>
        <w:div w:id="2114284652">
          <w:marLeft w:val="0"/>
          <w:marRight w:val="0"/>
          <w:marTop w:val="0"/>
          <w:marBottom w:val="0"/>
          <w:divBdr>
            <w:top w:val="none" w:sz="0" w:space="0" w:color="auto"/>
            <w:left w:val="none" w:sz="0" w:space="0" w:color="auto"/>
            <w:bottom w:val="none" w:sz="0" w:space="0" w:color="auto"/>
            <w:right w:val="none" w:sz="0" w:space="0" w:color="auto"/>
          </w:divBdr>
          <w:divsChild>
            <w:div w:id="2146583583">
              <w:marLeft w:val="0"/>
              <w:marRight w:val="0"/>
              <w:marTop w:val="0"/>
              <w:marBottom w:val="0"/>
              <w:divBdr>
                <w:top w:val="none" w:sz="0" w:space="0" w:color="auto"/>
                <w:left w:val="none" w:sz="0" w:space="0" w:color="auto"/>
                <w:bottom w:val="none" w:sz="0" w:space="0" w:color="auto"/>
                <w:right w:val="none" w:sz="0" w:space="0" w:color="auto"/>
              </w:divBdr>
            </w:div>
          </w:divsChild>
        </w:div>
        <w:div w:id="1490562694">
          <w:marLeft w:val="0"/>
          <w:marRight w:val="0"/>
          <w:marTop w:val="0"/>
          <w:marBottom w:val="0"/>
          <w:divBdr>
            <w:top w:val="none" w:sz="0" w:space="0" w:color="auto"/>
            <w:left w:val="none" w:sz="0" w:space="0" w:color="auto"/>
            <w:bottom w:val="none" w:sz="0" w:space="0" w:color="auto"/>
            <w:right w:val="none" w:sz="0" w:space="0" w:color="auto"/>
          </w:divBdr>
          <w:divsChild>
            <w:div w:id="18773933">
              <w:marLeft w:val="0"/>
              <w:marRight w:val="0"/>
              <w:marTop w:val="0"/>
              <w:marBottom w:val="0"/>
              <w:divBdr>
                <w:top w:val="none" w:sz="0" w:space="0" w:color="auto"/>
                <w:left w:val="none" w:sz="0" w:space="0" w:color="auto"/>
                <w:bottom w:val="none" w:sz="0" w:space="0" w:color="auto"/>
                <w:right w:val="none" w:sz="0" w:space="0" w:color="auto"/>
              </w:divBdr>
            </w:div>
          </w:divsChild>
        </w:div>
        <w:div w:id="1640187765">
          <w:marLeft w:val="0"/>
          <w:marRight w:val="0"/>
          <w:marTop w:val="300"/>
          <w:marBottom w:val="300"/>
          <w:divBdr>
            <w:top w:val="none" w:sz="0" w:space="0" w:color="auto"/>
            <w:left w:val="none" w:sz="0" w:space="0" w:color="auto"/>
            <w:bottom w:val="none" w:sz="0" w:space="0" w:color="auto"/>
            <w:right w:val="none" w:sz="0" w:space="0" w:color="auto"/>
          </w:divBdr>
        </w:div>
        <w:div w:id="207962302">
          <w:marLeft w:val="0"/>
          <w:marRight w:val="0"/>
          <w:marTop w:val="0"/>
          <w:marBottom w:val="0"/>
          <w:divBdr>
            <w:top w:val="none" w:sz="0" w:space="0" w:color="auto"/>
            <w:left w:val="none" w:sz="0" w:space="0" w:color="auto"/>
            <w:bottom w:val="none" w:sz="0" w:space="0" w:color="auto"/>
            <w:right w:val="none" w:sz="0" w:space="0" w:color="auto"/>
          </w:divBdr>
          <w:divsChild>
            <w:div w:id="1786582655">
              <w:marLeft w:val="0"/>
              <w:marRight w:val="0"/>
              <w:marTop w:val="0"/>
              <w:marBottom w:val="0"/>
              <w:divBdr>
                <w:top w:val="none" w:sz="0" w:space="0" w:color="auto"/>
                <w:left w:val="none" w:sz="0" w:space="0" w:color="auto"/>
                <w:bottom w:val="none" w:sz="0" w:space="0" w:color="auto"/>
                <w:right w:val="none" w:sz="0" w:space="0" w:color="auto"/>
              </w:divBdr>
            </w:div>
          </w:divsChild>
        </w:div>
        <w:div w:id="258681049">
          <w:marLeft w:val="0"/>
          <w:marRight w:val="0"/>
          <w:marTop w:val="0"/>
          <w:marBottom w:val="0"/>
          <w:divBdr>
            <w:top w:val="none" w:sz="0" w:space="0" w:color="auto"/>
            <w:left w:val="none" w:sz="0" w:space="0" w:color="auto"/>
            <w:bottom w:val="none" w:sz="0" w:space="0" w:color="auto"/>
            <w:right w:val="none" w:sz="0" w:space="0" w:color="auto"/>
          </w:divBdr>
          <w:divsChild>
            <w:div w:id="1382363643">
              <w:marLeft w:val="0"/>
              <w:marRight w:val="0"/>
              <w:marTop w:val="0"/>
              <w:marBottom w:val="0"/>
              <w:divBdr>
                <w:top w:val="none" w:sz="0" w:space="0" w:color="auto"/>
                <w:left w:val="none" w:sz="0" w:space="0" w:color="auto"/>
                <w:bottom w:val="none" w:sz="0" w:space="0" w:color="auto"/>
                <w:right w:val="none" w:sz="0" w:space="0" w:color="auto"/>
              </w:divBdr>
            </w:div>
          </w:divsChild>
        </w:div>
        <w:div w:id="277956855">
          <w:marLeft w:val="0"/>
          <w:marRight w:val="0"/>
          <w:marTop w:val="0"/>
          <w:marBottom w:val="0"/>
          <w:divBdr>
            <w:top w:val="none" w:sz="0" w:space="0" w:color="auto"/>
            <w:left w:val="none" w:sz="0" w:space="0" w:color="auto"/>
            <w:bottom w:val="none" w:sz="0" w:space="0" w:color="auto"/>
            <w:right w:val="none" w:sz="0" w:space="0" w:color="auto"/>
          </w:divBdr>
          <w:divsChild>
            <w:div w:id="837425274">
              <w:marLeft w:val="0"/>
              <w:marRight w:val="0"/>
              <w:marTop w:val="0"/>
              <w:marBottom w:val="0"/>
              <w:divBdr>
                <w:top w:val="none" w:sz="0" w:space="0" w:color="auto"/>
                <w:left w:val="none" w:sz="0" w:space="0" w:color="auto"/>
                <w:bottom w:val="none" w:sz="0" w:space="0" w:color="auto"/>
                <w:right w:val="none" w:sz="0" w:space="0" w:color="auto"/>
              </w:divBdr>
            </w:div>
          </w:divsChild>
        </w:div>
        <w:div w:id="911895523">
          <w:marLeft w:val="0"/>
          <w:marRight w:val="0"/>
          <w:marTop w:val="0"/>
          <w:marBottom w:val="0"/>
          <w:divBdr>
            <w:top w:val="none" w:sz="0" w:space="0" w:color="auto"/>
            <w:left w:val="none" w:sz="0" w:space="0" w:color="auto"/>
            <w:bottom w:val="none" w:sz="0" w:space="0" w:color="auto"/>
            <w:right w:val="none" w:sz="0" w:space="0" w:color="auto"/>
          </w:divBdr>
          <w:divsChild>
            <w:div w:id="1030179266">
              <w:marLeft w:val="0"/>
              <w:marRight w:val="0"/>
              <w:marTop w:val="0"/>
              <w:marBottom w:val="0"/>
              <w:divBdr>
                <w:top w:val="none" w:sz="0" w:space="0" w:color="auto"/>
                <w:left w:val="none" w:sz="0" w:space="0" w:color="auto"/>
                <w:bottom w:val="none" w:sz="0" w:space="0" w:color="auto"/>
                <w:right w:val="none" w:sz="0" w:space="0" w:color="auto"/>
              </w:divBdr>
            </w:div>
          </w:divsChild>
        </w:div>
        <w:div w:id="74210839">
          <w:marLeft w:val="0"/>
          <w:marRight w:val="0"/>
          <w:marTop w:val="0"/>
          <w:marBottom w:val="0"/>
          <w:divBdr>
            <w:top w:val="none" w:sz="0" w:space="0" w:color="auto"/>
            <w:left w:val="none" w:sz="0" w:space="0" w:color="auto"/>
            <w:bottom w:val="none" w:sz="0" w:space="0" w:color="auto"/>
            <w:right w:val="none" w:sz="0" w:space="0" w:color="auto"/>
          </w:divBdr>
          <w:divsChild>
            <w:div w:id="330719162">
              <w:marLeft w:val="0"/>
              <w:marRight w:val="0"/>
              <w:marTop w:val="0"/>
              <w:marBottom w:val="0"/>
              <w:divBdr>
                <w:top w:val="none" w:sz="0" w:space="0" w:color="auto"/>
                <w:left w:val="none" w:sz="0" w:space="0" w:color="auto"/>
                <w:bottom w:val="none" w:sz="0" w:space="0" w:color="auto"/>
                <w:right w:val="none" w:sz="0" w:space="0" w:color="auto"/>
              </w:divBdr>
            </w:div>
          </w:divsChild>
        </w:div>
        <w:div w:id="1352493667">
          <w:marLeft w:val="0"/>
          <w:marRight w:val="0"/>
          <w:marTop w:val="0"/>
          <w:marBottom w:val="0"/>
          <w:divBdr>
            <w:top w:val="none" w:sz="0" w:space="0" w:color="auto"/>
            <w:left w:val="none" w:sz="0" w:space="0" w:color="auto"/>
            <w:bottom w:val="none" w:sz="0" w:space="0" w:color="auto"/>
            <w:right w:val="none" w:sz="0" w:space="0" w:color="auto"/>
          </w:divBdr>
          <w:divsChild>
            <w:div w:id="765343563">
              <w:marLeft w:val="0"/>
              <w:marRight w:val="0"/>
              <w:marTop w:val="0"/>
              <w:marBottom w:val="0"/>
              <w:divBdr>
                <w:top w:val="none" w:sz="0" w:space="0" w:color="auto"/>
                <w:left w:val="none" w:sz="0" w:space="0" w:color="auto"/>
                <w:bottom w:val="none" w:sz="0" w:space="0" w:color="auto"/>
                <w:right w:val="none" w:sz="0" w:space="0" w:color="auto"/>
              </w:divBdr>
            </w:div>
          </w:divsChild>
        </w:div>
        <w:div w:id="1077944712">
          <w:marLeft w:val="0"/>
          <w:marRight w:val="0"/>
          <w:marTop w:val="0"/>
          <w:marBottom w:val="0"/>
          <w:divBdr>
            <w:top w:val="none" w:sz="0" w:space="0" w:color="auto"/>
            <w:left w:val="none" w:sz="0" w:space="0" w:color="auto"/>
            <w:bottom w:val="none" w:sz="0" w:space="0" w:color="auto"/>
            <w:right w:val="none" w:sz="0" w:space="0" w:color="auto"/>
          </w:divBdr>
          <w:divsChild>
            <w:div w:id="1906180548">
              <w:marLeft w:val="0"/>
              <w:marRight w:val="0"/>
              <w:marTop w:val="0"/>
              <w:marBottom w:val="0"/>
              <w:divBdr>
                <w:top w:val="none" w:sz="0" w:space="0" w:color="auto"/>
                <w:left w:val="none" w:sz="0" w:space="0" w:color="auto"/>
                <w:bottom w:val="none" w:sz="0" w:space="0" w:color="auto"/>
                <w:right w:val="none" w:sz="0" w:space="0" w:color="auto"/>
              </w:divBdr>
            </w:div>
          </w:divsChild>
        </w:div>
        <w:div w:id="1774935252">
          <w:marLeft w:val="0"/>
          <w:marRight w:val="0"/>
          <w:marTop w:val="0"/>
          <w:marBottom w:val="0"/>
          <w:divBdr>
            <w:top w:val="none" w:sz="0" w:space="0" w:color="auto"/>
            <w:left w:val="none" w:sz="0" w:space="0" w:color="auto"/>
            <w:bottom w:val="none" w:sz="0" w:space="0" w:color="auto"/>
            <w:right w:val="none" w:sz="0" w:space="0" w:color="auto"/>
          </w:divBdr>
          <w:divsChild>
            <w:div w:id="1635058434">
              <w:marLeft w:val="0"/>
              <w:marRight w:val="0"/>
              <w:marTop w:val="0"/>
              <w:marBottom w:val="0"/>
              <w:divBdr>
                <w:top w:val="none" w:sz="0" w:space="0" w:color="auto"/>
                <w:left w:val="none" w:sz="0" w:space="0" w:color="auto"/>
                <w:bottom w:val="none" w:sz="0" w:space="0" w:color="auto"/>
                <w:right w:val="none" w:sz="0" w:space="0" w:color="auto"/>
              </w:divBdr>
            </w:div>
          </w:divsChild>
        </w:div>
        <w:div w:id="1326854647">
          <w:marLeft w:val="0"/>
          <w:marRight w:val="0"/>
          <w:marTop w:val="300"/>
          <w:marBottom w:val="300"/>
          <w:divBdr>
            <w:top w:val="none" w:sz="0" w:space="0" w:color="auto"/>
            <w:left w:val="none" w:sz="0" w:space="0" w:color="auto"/>
            <w:bottom w:val="none" w:sz="0" w:space="0" w:color="auto"/>
            <w:right w:val="none" w:sz="0" w:space="0" w:color="auto"/>
          </w:divBdr>
        </w:div>
        <w:div w:id="384644374">
          <w:marLeft w:val="0"/>
          <w:marRight w:val="0"/>
          <w:marTop w:val="0"/>
          <w:marBottom w:val="0"/>
          <w:divBdr>
            <w:top w:val="none" w:sz="0" w:space="0" w:color="auto"/>
            <w:left w:val="none" w:sz="0" w:space="0" w:color="auto"/>
            <w:bottom w:val="none" w:sz="0" w:space="0" w:color="auto"/>
            <w:right w:val="none" w:sz="0" w:space="0" w:color="auto"/>
          </w:divBdr>
          <w:divsChild>
            <w:div w:id="2028408920">
              <w:marLeft w:val="0"/>
              <w:marRight w:val="0"/>
              <w:marTop w:val="0"/>
              <w:marBottom w:val="0"/>
              <w:divBdr>
                <w:top w:val="none" w:sz="0" w:space="0" w:color="auto"/>
                <w:left w:val="none" w:sz="0" w:space="0" w:color="auto"/>
                <w:bottom w:val="none" w:sz="0" w:space="0" w:color="auto"/>
                <w:right w:val="none" w:sz="0" w:space="0" w:color="auto"/>
              </w:divBdr>
            </w:div>
          </w:divsChild>
        </w:div>
        <w:div w:id="1823308631">
          <w:marLeft w:val="0"/>
          <w:marRight w:val="0"/>
          <w:marTop w:val="0"/>
          <w:marBottom w:val="0"/>
          <w:divBdr>
            <w:top w:val="none" w:sz="0" w:space="0" w:color="auto"/>
            <w:left w:val="none" w:sz="0" w:space="0" w:color="auto"/>
            <w:bottom w:val="none" w:sz="0" w:space="0" w:color="auto"/>
            <w:right w:val="none" w:sz="0" w:space="0" w:color="auto"/>
          </w:divBdr>
          <w:divsChild>
            <w:div w:id="593904457">
              <w:marLeft w:val="0"/>
              <w:marRight w:val="0"/>
              <w:marTop w:val="0"/>
              <w:marBottom w:val="0"/>
              <w:divBdr>
                <w:top w:val="none" w:sz="0" w:space="0" w:color="auto"/>
                <w:left w:val="none" w:sz="0" w:space="0" w:color="auto"/>
                <w:bottom w:val="none" w:sz="0" w:space="0" w:color="auto"/>
                <w:right w:val="none" w:sz="0" w:space="0" w:color="auto"/>
              </w:divBdr>
            </w:div>
          </w:divsChild>
        </w:div>
        <w:div w:id="2137140544">
          <w:marLeft w:val="0"/>
          <w:marRight w:val="0"/>
          <w:marTop w:val="0"/>
          <w:marBottom w:val="0"/>
          <w:divBdr>
            <w:top w:val="none" w:sz="0" w:space="0" w:color="auto"/>
            <w:left w:val="none" w:sz="0" w:space="0" w:color="auto"/>
            <w:bottom w:val="none" w:sz="0" w:space="0" w:color="auto"/>
            <w:right w:val="none" w:sz="0" w:space="0" w:color="auto"/>
          </w:divBdr>
          <w:divsChild>
            <w:div w:id="1383288944">
              <w:marLeft w:val="0"/>
              <w:marRight w:val="0"/>
              <w:marTop w:val="0"/>
              <w:marBottom w:val="0"/>
              <w:divBdr>
                <w:top w:val="none" w:sz="0" w:space="0" w:color="auto"/>
                <w:left w:val="none" w:sz="0" w:space="0" w:color="auto"/>
                <w:bottom w:val="none" w:sz="0" w:space="0" w:color="auto"/>
                <w:right w:val="none" w:sz="0" w:space="0" w:color="auto"/>
              </w:divBdr>
            </w:div>
          </w:divsChild>
        </w:div>
        <w:div w:id="308294323">
          <w:marLeft w:val="0"/>
          <w:marRight w:val="0"/>
          <w:marTop w:val="300"/>
          <w:marBottom w:val="300"/>
          <w:divBdr>
            <w:top w:val="none" w:sz="0" w:space="0" w:color="auto"/>
            <w:left w:val="none" w:sz="0" w:space="0" w:color="auto"/>
            <w:bottom w:val="none" w:sz="0" w:space="0" w:color="auto"/>
            <w:right w:val="none" w:sz="0" w:space="0" w:color="auto"/>
          </w:divBdr>
        </w:div>
        <w:div w:id="464857604">
          <w:marLeft w:val="0"/>
          <w:marRight w:val="0"/>
          <w:marTop w:val="0"/>
          <w:marBottom w:val="0"/>
          <w:divBdr>
            <w:top w:val="none" w:sz="0" w:space="0" w:color="auto"/>
            <w:left w:val="none" w:sz="0" w:space="0" w:color="auto"/>
            <w:bottom w:val="none" w:sz="0" w:space="0" w:color="auto"/>
            <w:right w:val="none" w:sz="0" w:space="0" w:color="auto"/>
          </w:divBdr>
          <w:divsChild>
            <w:div w:id="507522519">
              <w:marLeft w:val="0"/>
              <w:marRight w:val="0"/>
              <w:marTop w:val="0"/>
              <w:marBottom w:val="0"/>
              <w:divBdr>
                <w:top w:val="none" w:sz="0" w:space="0" w:color="auto"/>
                <w:left w:val="none" w:sz="0" w:space="0" w:color="auto"/>
                <w:bottom w:val="none" w:sz="0" w:space="0" w:color="auto"/>
                <w:right w:val="none" w:sz="0" w:space="0" w:color="auto"/>
              </w:divBdr>
            </w:div>
          </w:divsChild>
        </w:div>
        <w:div w:id="413861160">
          <w:marLeft w:val="0"/>
          <w:marRight w:val="0"/>
          <w:marTop w:val="0"/>
          <w:marBottom w:val="0"/>
          <w:divBdr>
            <w:top w:val="none" w:sz="0" w:space="0" w:color="auto"/>
            <w:left w:val="none" w:sz="0" w:space="0" w:color="auto"/>
            <w:bottom w:val="none" w:sz="0" w:space="0" w:color="auto"/>
            <w:right w:val="none" w:sz="0" w:space="0" w:color="auto"/>
          </w:divBdr>
          <w:divsChild>
            <w:div w:id="2039577679">
              <w:marLeft w:val="0"/>
              <w:marRight w:val="0"/>
              <w:marTop w:val="0"/>
              <w:marBottom w:val="0"/>
              <w:divBdr>
                <w:top w:val="none" w:sz="0" w:space="0" w:color="auto"/>
                <w:left w:val="none" w:sz="0" w:space="0" w:color="auto"/>
                <w:bottom w:val="none" w:sz="0" w:space="0" w:color="auto"/>
                <w:right w:val="none" w:sz="0" w:space="0" w:color="auto"/>
              </w:divBdr>
            </w:div>
          </w:divsChild>
        </w:div>
        <w:div w:id="1282999069">
          <w:marLeft w:val="0"/>
          <w:marRight w:val="0"/>
          <w:marTop w:val="0"/>
          <w:marBottom w:val="0"/>
          <w:divBdr>
            <w:top w:val="none" w:sz="0" w:space="0" w:color="auto"/>
            <w:left w:val="none" w:sz="0" w:space="0" w:color="auto"/>
            <w:bottom w:val="none" w:sz="0" w:space="0" w:color="auto"/>
            <w:right w:val="none" w:sz="0" w:space="0" w:color="auto"/>
          </w:divBdr>
          <w:divsChild>
            <w:div w:id="1768966464">
              <w:marLeft w:val="0"/>
              <w:marRight w:val="0"/>
              <w:marTop w:val="0"/>
              <w:marBottom w:val="0"/>
              <w:divBdr>
                <w:top w:val="none" w:sz="0" w:space="0" w:color="auto"/>
                <w:left w:val="none" w:sz="0" w:space="0" w:color="auto"/>
                <w:bottom w:val="none" w:sz="0" w:space="0" w:color="auto"/>
                <w:right w:val="none" w:sz="0" w:space="0" w:color="auto"/>
              </w:divBdr>
            </w:div>
          </w:divsChild>
        </w:div>
        <w:div w:id="1724284884">
          <w:marLeft w:val="0"/>
          <w:marRight w:val="0"/>
          <w:marTop w:val="0"/>
          <w:marBottom w:val="0"/>
          <w:divBdr>
            <w:top w:val="none" w:sz="0" w:space="0" w:color="auto"/>
            <w:left w:val="none" w:sz="0" w:space="0" w:color="auto"/>
            <w:bottom w:val="none" w:sz="0" w:space="0" w:color="auto"/>
            <w:right w:val="none" w:sz="0" w:space="0" w:color="auto"/>
          </w:divBdr>
          <w:divsChild>
            <w:div w:id="2131242867">
              <w:marLeft w:val="0"/>
              <w:marRight w:val="0"/>
              <w:marTop w:val="0"/>
              <w:marBottom w:val="0"/>
              <w:divBdr>
                <w:top w:val="none" w:sz="0" w:space="0" w:color="auto"/>
                <w:left w:val="none" w:sz="0" w:space="0" w:color="auto"/>
                <w:bottom w:val="none" w:sz="0" w:space="0" w:color="auto"/>
                <w:right w:val="none" w:sz="0" w:space="0" w:color="auto"/>
              </w:divBdr>
            </w:div>
          </w:divsChild>
        </w:div>
        <w:div w:id="2069184035">
          <w:marLeft w:val="0"/>
          <w:marRight w:val="0"/>
          <w:marTop w:val="0"/>
          <w:marBottom w:val="0"/>
          <w:divBdr>
            <w:top w:val="none" w:sz="0" w:space="0" w:color="auto"/>
            <w:left w:val="none" w:sz="0" w:space="0" w:color="auto"/>
            <w:bottom w:val="none" w:sz="0" w:space="0" w:color="auto"/>
            <w:right w:val="none" w:sz="0" w:space="0" w:color="auto"/>
          </w:divBdr>
          <w:divsChild>
            <w:div w:id="317467721">
              <w:marLeft w:val="0"/>
              <w:marRight w:val="0"/>
              <w:marTop w:val="0"/>
              <w:marBottom w:val="0"/>
              <w:divBdr>
                <w:top w:val="none" w:sz="0" w:space="0" w:color="auto"/>
                <w:left w:val="none" w:sz="0" w:space="0" w:color="auto"/>
                <w:bottom w:val="none" w:sz="0" w:space="0" w:color="auto"/>
                <w:right w:val="none" w:sz="0" w:space="0" w:color="auto"/>
              </w:divBdr>
            </w:div>
          </w:divsChild>
        </w:div>
        <w:div w:id="356202223">
          <w:marLeft w:val="0"/>
          <w:marRight w:val="0"/>
          <w:marTop w:val="0"/>
          <w:marBottom w:val="0"/>
          <w:divBdr>
            <w:top w:val="none" w:sz="0" w:space="0" w:color="auto"/>
            <w:left w:val="none" w:sz="0" w:space="0" w:color="auto"/>
            <w:bottom w:val="none" w:sz="0" w:space="0" w:color="auto"/>
            <w:right w:val="none" w:sz="0" w:space="0" w:color="auto"/>
          </w:divBdr>
          <w:divsChild>
            <w:div w:id="1315373847">
              <w:marLeft w:val="0"/>
              <w:marRight w:val="0"/>
              <w:marTop w:val="0"/>
              <w:marBottom w:val="0"/>
              <w:divBdr>
                <w:top w:val="none" w:sz="0" w:space="0" w:color="auto"/>
                <w:left w:val="none" w:sz="0" w:space="0" w:color="auto"/>
                <w:bottom w:val="none" w:sz="0" w:space="0" w:color="auto"/>
                <w:right w:val="none" w:sz="0" w:space="0" w:color="auto"/>
              </w:divBdr>
            </w:div>
          </w:divsChild>
        </w:div>
        <w:div w:id="1092049284">
          <w:marLeft w:val="0"/>
          <w:marRight w:val="0"/>
          <w:marTop w:val="0"/>
          <w:marBottom w:val="0"/>
          <w:divBdr>
            <w:top w:val="none" w:sz="0" w:space="0" w:color="auto"/>
            <w:left w:val="none" w:sz="0" w:space="0" w:color="auto"/>
            <w:bottom w:val="none" w:sz="0" w:space="0" w:color="auto"/>
            <w:right w:val="none" w:sz="0" w:space="0" w:color="auto"/>
          </w:divBdr>
          <w:divsChild>
            <w:div w:id="11076833">
              <w:marLeft w:val="0"/>
              <w:marRight w:val="0"/>
              <w:marTop w:val="0"/>
              <w:marBottom w:val="0"/>
              <w:divBdr>
                <w:top w:val="none" w:sz="0" w:space="0" w:color="auto"/>
                <w:left w:val="none" w:sz="0" w:space="0" w:color="auto"/>
                <w:bottom w:val="none" w:sz="0" w:space="0" w:color="auto"/>
                <w:right w:val="none" w:sz="0" w:space="0" w:color="auto"/>
              </w:divBdr>
            </w:div>
          </w:divsChild>
        </w:div>
        <w:div w:id="147283602">
          <w:marLeft w:val="0"/>
          <w:marRight w:val="0"/>
          <w:marTop w:val="0"/>
          <w:marBottom w:val="0"/>
          <w:divBdr>
            <w:top w:val="none" w:sz="0" w:space="0" w:color="auto"/>
            <w:left w:val="none" w:sz="0" w:space="0" w:color="auto"/>
            <w:bottom w:val="none" w:sz="0" w:space="0" w:color="auto"/>
            <w:right w:val="none" w:sz="0" w:space="0" w:color="auto"/>
          </w:divBdr>
          <w:divsChild>
            <w:div w:id="1029985166">
              <w:marLeft w:val="0"/>
              <w:marRight w:val="0"/>
              <w:marTop w:val="0"/>
              <w:marBottom w:val="0"/>
              <w:divBdr>
                <w:top w:val="none" w:sz="0" w:space="0" w:color="auto"/>
                <w:left w:val="none" w:sz="0" w:space="0" w:color="auto"/>
                <w:bottom w:val="none" w:sz="0" w:space="0" w:color="auto"/>
                <w:right w:val="none" w:sz="0" w:space="0" w:color="auto"/>
              </w:divBdr>
            </w:div>
          </w:divsChild>
        </w:div>
        <w:div w:id="871069234">
          <w:marLeft w:val="0"/>
          <w:marRight w:val="0"/>
          <w:marTop w:val="0"/>
          <w:marBottom w:val="0"/>
          <w:divBdr>
            <w:top w:val="none" w:sz="0" w:space="0" w:color="auto"/>
            <w:left w:val="none" w:sz="0" w:space="0" w:color="auto"/>
            <w:bottom w:val="none" w:sz="0" w:space="0" w:color="auto"/>
            <w:right w:val="none" w:sz="0" w:space="0" w:color="auto"/>
          </w:divBdr>
          <w:divsChild>
            <w:div w:id="598759415">
              <w:marLeft w:val="0"/>
              <w:marRight w:val="0"/>
              <w:marTop w:val="0"/>
              <w:marBottom w:val="0"/>
              <w:divBdr>
                <w:top w:val="none" w:sz="0" w:space="0" w:color="auto"/>
                <w:left w:val="none" w:sz="0" w:space="0" w:color="auto"/>
                <w:bottom w:val="none" w:sz="0" w:space="0" w:color="auto"/>
                <w:right w:val="none" w:sz="0" w:space="0" w:color="auto"/>
              </w:divBdr>
            </w:div>
          </w:divsChild>
        </w:div>
        <w:div w:id="2087797827">
          <w:marLeft w:val="0"/>
          <w:marRight w:val="0"/>
          <w:marTop w:val="0"/>
          <w:marBottom w:val="0"/>
          <w:divBdr>
            <w:top w:val="none" w:sz="0" w:space="0" w:color="auto"/>
            <w:left w:val="none" w:sz="0" w:space="0" w:color="auto"/>
            <w:bottom w:val="none" w:sz="0" w:space="0" w:color="auto"/>
            <w:right w:val="none" w:sz="0" w:space="0" w:color="auto"/>
          </w:divBdr>
          <w:divsChild>
            <w:div w:id="278801691">
              <w:marLeft w:val="0"/>
              <w:marRight w:val="0"/>
              <w:marTop w:val="0"/>
              <w:marBottom w:val="0"/>
              <w:divBdr>
                <w:top w:val="none" w:sz="0" w:space="0" w:color="auto"/>
                <w:left w:val="none" w:sz="0" w:space="0" w:color="auto"/>
                <w:bottom w:val="none" w:sz="0" w:space="0" w:color="auto"/>
                <w:right w:val="none" w:sz="0" w:space="0" w:color="auto"/>
              </w:divBdr>
            </w:div>
          </w:divsChild>
        </w:div>
        <w:div w:id="1330133220">
          <w:marLeft w:val="0"/>
          <w:marRight w:val="0"/>
          <w:marTop w:val="0"/>
          <w:marBottom w:val="0"/>
          <w:divBdr>
            <w:top w:val="none" w:sz="0" w:space="0" w:color="auto"/>
            <w:left w:val="none" w:sz="0" w:space="0" w:color="auto"/>
            <w:bottom w:val="none" w:sz="0" w:space="0" w:color="auto"/>
            <w:right w:val="none" w:sz="0" w:space="0" w:color="auto"/>
          </w:divBdr>
          <w:divsChild>
            <w:div w:id="1439832138">
              <w:marLeft w:val="0"/>
              <w:marRight w:val="0"/>
              <w:marTop w:val="0"/>
              <w:marBottom w:val="0"/>
              <w:divBdr>
                <w:top w:val="none" w:sz="0" w:space="0" w:color="auto"/>
                <w:left w:val="none" w:sz="0" w:space="0" w:color="auto"/>
                <w:bottom w:val="none" w:sz="0" w:space="0" w:color="auto"/>
                <w:right w:val="none" w:sz="0" w:space="0" w:color="auto"/>
              </w:divBdr>
            </w:div>
          </w:divsChild>
        </w:div>
        <w:div w:id="542252126">
          <w:marLeft w:val="0"/>
          <w:marRight w:val="0"/>
          <w:marTop w:val="0"/>
          <w:marBottom w:val="0"/>
          <w:divBdr>
            <w:top w:val="none" w:sz="0" w:space="0" w:color="auto"/>
            <w:left w:val="none" w:sz="0" w:space="0" w:color="auto"/>
            <w:bottom w:val="none" w:sz="0" w:space="0" w:color="auto"/>
            <w:right w:val="none" w:sz="0" w:space="0" w:color="auto"/>
          </w:divBdr>
          <w:divsChild>
            <w:div w:id="571046491">
              <w:marLeft w:val="0"/>
              <w:marRight w:val="0"/>
              <w:marTop w:val="0"/>
              <w:marBottom w:val="0"/>
              <w:divBdr>
                <w:top w:val="none" w:sz="0" w:space="0" w:color="auto"/>
                <w:left w:val="none" w:sz="0" w:space="0" w:color="auto"/>
                <w:bottom w:val="none" w:sz="0" w:space="0" w:color="auto"/>
                <w:right w:val="none" w:sz="0" w:space="0" w:color="auto"/>
              </w:divBdr>
            </w:div>
          </w:divsChild>
        </w:div>
        <w:div w:id="1956331198">
          <w:marLeft w:val="0"/>
          <w:marRight w:val="0"/>
          <w:marTop w:val="0"/>
          <w:marBottom w:val="0"/>
          <w:divBdr>
            <w:top w:val="none" w:sz="0" w:space="0" w:color="auto"/>
            <w:left w:val="none" w:sz="0" w:space="0" w:color="auto"/>
            <w:bottom w:val="none" w:sz="0" w:space="0" w:color="auto"/>
            <w:right w:val="none" w:sz="0" w:space="0" w:color="auto"/>
          </w:divBdr>
          <w:divsChild>
            <w:div w:id="1353875017">
              <w:marLeft w:val="0"/>
              <w:marRight w:val="0"/>
              <w:marTop w:val="0"/>
              <w:marBottom w:val="0"/>
              <w:divBdr>
                <w:top w:val="none" w:sz="0" w:space="0" w:color="auto"/>
                <w:left w:val="none" w:sz="0" w:space="0" w:color="auto"/>
                <w:bottom w:val="none" w:sz="0" w:space="0" w:color="auto"/>
                <w:right w:val="none" w:sz="0" w:space="0" w:color="auto"/>
              </w:divBdr>
            </w:div>
          </w:divsChild>
        </w:div>
        <w:div w:id="655720141">
          <w:marLeft w:val="0"/>
          <w:marRight w:val="0"/>
          <w:marTop w:val="0"/>
          <w:marBottom w:val="0"/>
          <w:divBdr>
            <w:top w:val="none" w:sz="0" w:space="0" w:color="auto"/>
            <w:left w:val="none" w:sz="0" w:space="0" w:color="auto"/>
            <w:bottom w:val="none" w:sz="0" w:space="0" w:color="auto"/>
            <w:right w:val="none" w:sz="0" w:space="0" w:color="auto"/>
          </w:divBdr>
          <w:divsChild>
            <w:div w:id="382292051">
              <w:marLeft w:val="0"/>
              <w:marRight w:val="0"/>
              <w:marTop w:val="0"/>
              <w:marBottom w:val="0"/>
              <w:divBdr>
                <w:top w:val="none" w:sz="0" w:space="0" w:color="auto"/>
                <w:left w:val="none" w:sz="0" w:space="0" w:color="auto"/>
                <w:bottom w:val="none" w:sz="0" w:space="0" w:color="auto"/>
                <w:right w:val="none" w:sz="0" w:space="0" w:color="auto"/>
              </w:divBdr>
            </w:div>
          </w:divsChild>
        </w:div>
        <w:div w:id="1856655131">
          <w:marLeft w:val="0"/>
          <w:marRight w:val="0"/>
          <w:marTop w:val="0"/>
          <w:marBottom w:val="0"/>
          <w:divBdr>
            <w:top w:val="none" w:sz="0" w:space="0" w:color="auto"/>
            <w:left w:val="none" w:sz="0" w:space="0" w:color="auto"/>
            <w:bottom w:val="none" w:sz="0" w:space="0" w:color="auto"/>
            <w:right w:val="none" w:sz="0" w:space="0" w:color="auto"/>
          </w:divBdr>
          <w:divsChild>
            <w:div w:id="589654350">
              <w:marLeft w:val="0"/>
              <w:marRight w:val="0"/>
              <w:marTop w:val="0"/>
              <w:marBottom w:val="0"/>
              <w:divBdr>
                <w:top w:val="none" w:sz="0" w:space="0" w:color="auto"/>
                <w:left w:val="none" w:sz="0" w:space="0" w:color="auto"/>
                <w:bottom w:val="none" w:sz="0" w:space="0" w:color="auto"/>
                <w:right w:val="none" w:sz="0" w:space="0" w:color="auto"/>
              </w:divBdr>
            </w:div>
          </w:divsChild>
        </w:div>
        <w:div w:id="1860049954">
          <w:marLeft w:val="0"/>
          <w:marRight w:val="0"/>
          <w:marTop w:val="0"/>
          <w:marBottom w:val="0"/>
          <w:divBdr>
            <w:top w:val="none" w:sz="0" w:space="0" w:color="auto"/>
            <w:left w:val="none" w:sz="0" w:space="0" w:color="auto"/>
            <w:bottom w:val="none" w:sz="0" w:space="0" w:color="auto"/>
            <w:right w:val="none" w:sz="0" w:space="0" w:color="auto"/>
          </w:divBdr>
          <w:divsChild>
            <w:div w:id="1397583068">
              <w:marLeft w:val="0"/>
              <w:marRight w:val="0"/>
              <w:marTop w:val="0"/>
              <w:marBottom w:val="0"/>
              <w:divBdr>
                <w:top w:val="none" w:sz="0" w:space="0" w:color="auto"/>
                <w:left w:val="none" w:sz="0" w:space="0" w:color="auto"/>
                <w:bottom w:val="none" w:sz="0" w:space="0" w:color="auto"/>
                <w:right w:val="none" w:sz="0" w:space="0" w:color="auto"/>
              </w:divBdr>
            </w:div>
          </w:divsChild>
        </w:div>
        <w:div w:id="745616448">
          <w:marLeft w:val="0"/>
          <w:marRight w:val="0"/>
          <w:marTop w:val="0"/>
          <w:marBottom w:val="0"/>
          <w:divBdr>
            <w:top w:val="none" w:sz="0" w:space="0" w:color="auto"/>
            <w:left w:val="none" w:sz="0" w:space="0" w:color="auto"/>
            <w:bottom w:val="none" w:sz="0" w:space="0" w:color="auto"/>
            <w:right w:val="none" w:sz="0" w:space="0" w:color="auto"/>
          </w:divBdr>
          <w:divsChild>
            <w:div w:id="1724475657">
              <w:marLeft w:val="0"/>
              <w:marRight w:val="0"/>
              <w:marTop w:val="0"/>
              <w:marBottom w:val="0"/>
              <w:divBdr>
                <w:top w:val="none" w:sz="0" w:space="0" w:color="auto"/>
                <w:left w:val="none" w:sz="0" w:space="0" w:color="auto"/>
                <w:bottom w:val="none" w:sz="0" w:space="0" w:color="auto"/>
                <w:right w:val="none" w:sz="0" w:space="0" w:color="auto"/>
              </w:divBdr>
            </w:div>
          </w:divsChild>
        </w:div>
        <w:div w:id="1502116933">
          <w:marLeft w:val="0"/>
          <w:marRight w:val="0"/>
          <w:marTop w:val="0"/>
          <w:marBottom w:val="0"/>
          <w:divBdr>
            <w:top w:val="none" w:sz="0" w:space="0" w:color="auto"/>
            <w:left w:val="none" w:sz="0" w:space="0" w:color="auto"/>
            <w:bottom w:val="none" w:sz="0" w:space="0" w:color="auto"/>
            <w:right w:val="none" w:sz="0" w:space="0" w:color="auto"/>
          </w:divBdr>
          <w:divsChild>
            <w:div w:id="399596436">
              <w:marLeft w:val="0"/>
              <w:marRight w:val="0"/>
              <w:marTop w:val="0"/>
              <w:marBottom w:val="0"/>
              <w:divBdr>
                <w:top w:val="none" w:sz="0" w:space="0" w:color="auto"/>
                <w:left w:val="none" w:sz="0" w:space="0" w:color="auto"/>
                <w:bottom w:val="none" w:sz="0" w:space="0" w:color="auto"/>
                <w:right w:val="none" w:sz="0" w:space="0" w:color="auto"/>
              </w:divBdr>
            </w:div>
          </w:divsChild>
        </w:div>
        <w:div w:id="434790615">
          <w:marLeft w:val="0"/>
          <w:marRight w:val="0"/>
          <w:marTop w:val="300"/>
          <w:marBottom w:val="300"/>
          <w:divBdr>
            <w:top w:val="none" w:sz="0" w:space="0" w:color="auto"/>
            <w:left w:val="none" w:sz="0" w:space="0" w:color="auto"/>
            <w:bottom w:val="none" w:sz="0" w:space="0" w:color="auto"/>
            <w:right w:val="none" w:sz="0" w:space="0" w:color="auto"/>
          </w:divBdr>
        </w:div>
        <w:div w:id="554119867">
          <w:marLeft w:val="0"/>
          <w:marRight w:val="0"/>
          <w:marTop w:val="0"/>
          <w:marBottom w:val="0"/>
          <w:divBdr>
            <w:top w:val="none" w:sz="0" w:space="0" w:color="auto"/>
            <w:left w:val="none" w:sz="0" w:space="0" w:color="auto"/>
            <w:bottom w:val="none" w:sz="0" w:space="0" w:color="auto"/>
            <w:right w:val="none" w:sz="0" w:space="0" w:color="auto"/>
          </w:divBdr>
          <w:divsChild>
            <w:div w:id="1180390510">
              <w:marLeft w:val="0"/>
              <w:marRight w:val="0"/>
              <w:marTop w:val="0"/>
              <w:marBottom w:val="0"/>
              <w:divBdr>
                <w:top w:val="none" w:sz="0" w:space="0" w:color="auto"/>
                <w:left w:val="none" w:sz="0" w:space="0" w:color="auto"/>
                <w:bottom w:val="none" w:sz="0" w:space="0" w:color="auto"/>
                <w:right w:val="none" w:sz="0" w:space="0" w:color="auto"/>
              </w:divBdr>
            </w:div>
          </w:divsChild>
        </w:div>
        <w:div w:id="2139642047">
          <w:marLeft w:val="0"/>
          <w:marRight w:val="0"/>
          <w:marTop w:val="0"/>
          <w:marBottom w:val="0"/>
          <w:divBdr>
            <w:top w:val="none" w:sz="0" w:space="0" w:color="auto"/>
            <w:left w:val="none" w:sz="0" w:space="0" w:color="auto"/>
            <w:bottom w:val="none" w:sz="0" w:space="0" w:color="auto"/>
            <w:right w:val="none" w:sz="0" w:space="0" w:color="auto"/>
          </w:divBdr>
          <w:divsChild>
            <w:div w:id="1463306205">
              <w:marLeft w:val="0"/>
              <w:marRight w:val="0"/>
              <w:marTop w:val="0"/>
              <w:marBottom w:val="0"/>
              <w:divBdr>
                <w:top w:val="none" w:sz="0" w:space="0" w:color="auto"/>
                <w:left w:val="none" w:sz="0" w:space="0" w:color="auto"/>
                <w:bottom w:val="none" w:sz="0" w:space="0" w:color="auto"/>
                <w:right w:val="none" w:sz="0" w:space="0" w:color="auto"/>
              </w:divBdr>
            </w:div>
          </w:divsChild>
        </w:div>
        <w:div w:id="771969572">
          <w:marLeft w:val="0"/>
          <w:marRight w:val="0"/>
          <w:marTop w:val="300"/>
          <w:marBottom w:val="300"/>
          <w:divBdr>
            <w:top w:val="none" w:sz="0" w:space="0" w:color="auto"/>
            <w:left w:val="none" w:sz="0" w:space="0" w:color="auto"/>
            <w:bottom w:val="none" w:sz="0" w:space="0" w:color="auto"/>
            <w:right w:val="none" w:sz="0" w:space="0" w:color="auto"/>
          </w:divBdr>
        </w:div>
        <w:div w:id="1858155715">
          <w:marLeft w:val="0"/>
          <w:marRight w:val="0"/>
          <w:marTop w:val="0"/>
          <w:marBottom w:val="0"/>
          <w:divBdr>
            <w:top w:val="none" w:sz="0" w:space="0" w:color="auto"/>
            <w:left w:val="none" w:sz="0" w:space="0" w:color="auto"/>
            <w:bottom w:val="none" w:sz="0" w:space="0" w:color="auto"/>
            <w:right w:val="none" w:sz="0" w:space="0" w:color="auto"/>
          </w:divBdr>
          <w:divsChild>
            <w:div w:id="1266646371">
              <w:marLeft w:val="0"/>
              <w:marRight w:val="0"/>
              <w:marTop w:val="0"/>
              <w:marBottom w:val="0"/>
              <w:divBdr>
                <w:top w:val="none" w:sz="0" w:space="0" w:color="auto"/>
                <w:left w:val="none" w:sz="0" w:space="0" w:color="auto"/>
                <w:bottom w:val="none" w:sz="0" w:space="0" w:color="auto"/>
                <w:right w:val="none" w:sz="0" w:space="0" w:color="auto"/>
              </w:divBdr>
            </w:div>
          </w:divsChild>
        </w:div>
        <w:div w:id="751313426">
          <w:marLeft w:val="0"/>
          <w:marRight w:val="0"/>
          <w:marTop w:val="0"/>
          <w:marBottom w:val="0"/>
          <w:divBdr>
            <w:top w:val="none" w:sz="0" w:space="0" w:color="auto"/>
            <w:left w:val="none" w:sz="0" w:space="0" w:color="auto"/>
            <w:bottom w:val="none" w:sz="0" w:space="0" w:color="auto"/>
            <w:right w:val="none" w:sz="0" w:space="0" w:color="auto"/>
          </w:divBdr>
          <w:divsChild>
            <w:div w:id="810640062">
              <w:marLeft w:val="0"/>
              <w:marRight w:val="0"/>
              <w:marTop w:val="0"/>
              <w:marBottom w:val="0"/>
              <w:divBdr>
                <w:top w:val="none" w:sz="0" w:space="0" w:color="auto"/>
                <w:left w:val="none" w:sz="0" w:space="0" w:color="auto"/>
                <w:bottom w:val="none" w:sz="0" w:space="0" w:color="auto"/>
                <w:right w:val="none" w:sz="0" w:space="0" w:color="auto"/>
              </w:divBdr>
            </w:div>
          </w:divsChild>
        </w:div>
        <w:div w:id="1402751805">
          <w:marLeft w:val="0"/>
          <w:marRight w:val="0"/>
          <w:marTop w:val="0"/>
          <w:marBottom w:val="0"/>
          <w:divBdr>
            <w:top w:val="none" w:sz="0" w:space="0" w:color="auto"/>
            <w:left w:val="none" w:sz="0" w:space="0" w:color="auto"/>
            <w:bottom w:val="none" w:sz="0" w:space="0" w:color="auto"/>
            <w:right w:val="none" w:sz="0" w:space="0" w:color="auto"/>
          </w:divBdr>
          <w:divsChild>
            <w:div w:id="561982956">
              <w:marLeft w:val="0"/>
              <w:marRight w:val="0"/>
              <w:marTop w:val="0"/>
              <w:marBottom w:val="0"/>
              <w:divBdr>
                <w:top w:val="none" w:sz="0" w:space="0" w:color="auto"/>
                <w:left w:val="none" w:sz="0" w:space="0" w:color="auto"/>
                <w:bottom w:val="none" w:sz="0" w:space="0" w:color="auto"/>
                <w:right w:val="none" w:sz="0" w:space="0" w:color="auto"/>
              </w:divBdr>
            </w:div>
          </w:divsChild>
        </w:div>
        <w:div w:id="1107625235">
          <w:marLeft w:val="0"/>
          <w:marRight w:val="0"/>
          <w:marTop w:val="0"/>
          <w:marBottom w:val="0"/>
          <w:divBdr>
            <w:top w:val="none" w:sz="0" w:space="0" w:color="auto"/>
            <w:left w:val="none" w:sz="0" w:space="0" w:color="auto"/>
            <w:bottom w:val="none" w:sz="0" w:space="0" w:color="auto"/>
            <w:right w:val="none" w:sz="0" w:space="0" w:color="auto"/>
          </w:divBdr>
          <w:divsChild>
            <w:div w:id="2117556018">
              <w:marLeft w:val="0"/>
              <w:marRight w:val="0"/>
              <w:marTop w:val="0"/>
              <w:marBottom w:val="0"/>
              <w:divBdr>
                <w:top w:val="none" w:sz="0" w:space="0" w:color="auto"/>
                <w:left w:val="none" w:sz="0" w:space="0" w:color="auto"/>
                <w:bottom w:val="none" w:sz="0" w:space="0" w:color="auto"/>
                <w:right w:val="none" w:sz="0" w:space="0" w:color="auto"/>
              </w:divBdr>
            </w:div>
          </w:divsChild>
        </w:div>
        <w:div w:id="691297608">
          <w:marLeft w:val="0"/>
          <w:marRight w:val="0"/>
          <w:marTop w:val="300"/>
          <w:marBottom w:val="300"/>
          <w:divBdr>
            <w:top w:val="none" w:sz="0" w:space="0" w:color="auto"/>
            <w:left w:val="none" w:sz="0" w:space="0" w:color="auto"/>
            <w:bottom w:val="none" w:sz="0" w:space="0" w:color="auto"/>
            <w:right w:val="none" w:sz="0" w:space="0" w:color="auto"/>
          </w:divBdr>
        </w:div>
        <w:div w:id="543951833">
          <w:marLeft w:val="0"/>
          <w:marRight w:val="0"/>
          <w:marTop w:val="0"/>
          <w:marBottom w:val="0"/>
          <w:divBdr>
            <w:top w:val="none" w:sz="0" w:space="0" w:color="auto"/>
            <w:left w:val="none" w:sz="0" w:space="0" w:color="auto"/>
            <w:bottom w:val="none" w:sz="0" w:space="0" w:color="auto"/>
            <w:right w:val="none" w:sz="0" w:space="0" w:color="auto"/>
          </w:divBdr>
          <w:divsChild>
            <w:div w:id="1102381200">
              <w:marLeft w:val="0"/>
              <w:marRight w:val="0"/>
              <w:marTop w:val="0"/>
              <w:marBottom w:val="0"/>
              <w:divBdr>
                <w:top w:val="none" w:sz="0" w:space="0" w:color="auto"/>
                <w:left w:val="none" w:sz="0" w:space="0" w:color="auto"/>
                <w:bottom w:val="none" w:sz="0" w:space="0" w:color="auto"/>
                <w:right w:val="none" w:sz="0" w:space="0" w:color="auto"/>
              </w:divBdr>
            </w:div>
          </w:divsChild>
        </w:div>
        <w:div w:id="379746539">
          <w:marLeft w:val="0"/>
          <w:marRight w:val="0"/>
          <w:marTop w:val="300"/>
          <w:marBottom w:val="300"/>
          <w:divBdr>
            <w:top w:val="none" w:sz="0" w:space="0" w:color="auto"/>
            <w:left w:val="none" w:sz="0" w:space="0" w:color="auto"/>
            <w:bottom w:val="none" w:sz="0" w:space="0" w:color="auto"/>
            <w:right w:val="none" w:sz="0" w:space="0" w:color="auto"/>
          </w:divBdr>
        </w:div>
        <w:div w:id="854272644">
          <w:marLeft w:val="0"/>
          <w:marRight w:val="0"/>
          <w:marTop w:val="0"/>
          <w:marBottom w:val="0"/>
          <w:divBdr>
            <w:top w:val="none" w:sz="0" w:space="0" w:color="auto"/>
            <w:left w:val="none" w:sz="0" w:space="0" w:color="auto"/>
            <w:bottom w:val="none" w:sz="0" w:space="0" w:color="auto"/>
            <w:right w:val="none" w:sz="0" w:space="0" w:color="auto"/>
          </w:divBdr>
          <w:divsChild>
            <w:div w:id="25373784">
              <w:marLeft w:val="0"/>
              <w:marRight w:val="0"/>
              <w:marTop w:val="0"/>
              <w:marBottom w:val="0"/>
              <w:divBdr>
                <w:top w:val="none" w:sz="0" w:space="0" w:color="auto"/>
                <w:left w:val="none" w:sz="0" w:space="0" w:color="auto"/>
                <w:bottom w:val="none" w:sz="0" w:space="0" w:color="auto"/>
                <w:right w:val="none" w:sz="0" w:space="0" w:color="auto"/>
              </w:divBdr>
            </w:div>
          </w:divsChild>
        </w:div>
        <w:div w:id="1966735519">
          <w:marLeft w:val="0"/>
          <w:marRight w:val="0"/>
          <w:marTop w:val="0"/>
          <w:marBottom w:val="0"/>
          <w:divBdr>
            <w:top w:val="none" w:sz="0" w:space="0" w:color="auto"/>
            <w:left w:val="none" w:sz="0" w:space="0" w:color="auto"/>
            <w:bottom w:val="none" w:sz="0" w:space="0" w:color="auto"/>
            <w:right w:val="none" w:sz="0" w:space="0" w:color="auto"/>
          </w:divBdr>
          <w:divsChild>
            <w:div w:id="576327791">
              <w:marLeft w:val="0"/>
              <w:marRight w:val="0"/>
              <w:marTop w:val="0"/>
              <w:marBottom w:val="0"/>
              <w:divBdr>
                <w:top w:val="none" w:sz="0" w:space="0" w:color="auto"/>
                <w:left w:val="none" w:sz="0" w:space="0" w:color="auto"/>
                <w:bottom w:val="none" w:sz="0" w:space="0" w:color="auto"/>
                <w:right w:val="none" w:sz="0" w:space="0" w:color="auto"/>
              </w:divBdr>
            </w:div>
          </w:divsChild>
        </w:div>
        <w:div w:id="1753744675">
          <w:marLeft w:val="0"/>
          <w:marRight w:val="0"/>
          <w:marTop w:val="300"/>
          <w:marBottom w:val="300"/>
          <w:divBdr>
            <w:top w:val="none" w:sz="0" w:space="0" w:color="auto"/>
            <w:left w:val="none" w:sz="0" w:space="0" w:color="auto"/>
            <w:bottom w:val="none" w:sz="0" w:space="0" w:color="auto"/>
            <w:right w:val="none" w:sz="0" w:space="0" w:color="auto"/>
          </w:divBdr>
        </w:div>
        <w:div w:id="1213082096">
          <w:marLeft w:val="0"/>
          <w:marRight w:val="0"/>
          <w:marTop w:val="0"/>
          <w:marBottom w:val="0"/>
          <w:divBdr>
            <w:top w:val="none" w:sz="0" w:space="0" w:color="auto"/>
            <w:left w:val="none" w:sz="0" w:space="0" w:color="auto"/>
            <w:bottom w:val="none" w:sz="0" w:space="0" w:color="auto"/>
            <w:right w:val="none" w:sz="0" w:space="0" w:color="auto"/>
          </w:divBdr>
          <w:divsChild>
            <w:div w:id="140467772">
              <w:marLeft w:val="0"/>
              <w:marRight w:val="0"/>
              <w:marTop w:val="0"/>
              <w:marBottom w:val="0"/>
              <w:divBdr>
                <w:top w:val="none" w:sz="0" w:space="0" w:color="auto"/>
                <w:left w:val="none" w:sz="0" w:space="0" w:color="auto"/>
                <w:bottom w:val="none" w:sz="0" w:space="0" w:color="auto"/>
                <w:right w:val="none" w:sz="0" w:space="0" w:color="auto"/>
              </w:divBdr>
            </w:div>
          </w:divsChild>
        </w:div>
        <w:div w:id="1935362235">
          <w:marLeft w:val="0"/>
          <w:marRight w:val="0"/>
          <w:marTop w:val="300"/>
          <w:marBottom w:val="300"/>
          <w:divBdr>
            <w:top w:val="none" w:sz="0" w:space="0" w:color="auto"/>
            <w:left w:val="none" w:sz="0" w:space="0" w:color="auto"/>
            <w:bottom w:val="none" w:sz="0" w:space="0" w:color="auto"/>
            <w:right w:val="none" w:sz="0" w:space="0" w:color="auto"/>
          </w:divBdr>
        </w:div>
        <w:div w:id="1470319425">
          <w:marLeft w:val="0"/>
          <w:marRight w:val="0"/>
          <w:marTop w:val="0"/>
          <w:marBottom w:val="0"/>
          <w:divBdr>
            <w:top w:val="none" w:sz="0" w:space="0" w:color="auto"/>
            <w:left w:val="none" w:sz="0" w:space="0" w:color="auto"/>
            <w:bottom w:val="none" w:sz="0" w:space="0" w:color="auto"/>
            <w:right w:val="none" w:sz="0" w:space="0" w:color="auto"/>
          </w:divBdr>
          <w:divsChild>
            <w:div w:id="1439913812">
              <w:marLeft w:val="0"/>
              <w:marRight w:val="0"/>
              <w:marTop w:val="0"/>
              <w:marBottom w:val="0"/>
              <w:divBdr>
                <w:top w:val="none" w:sz="0" w:space="0" w:color="auto"/>
                <w:left w:val="none" w:sz="0" w:space="0" w:color="auto"/>
                <w:bottom w:val="none" w:sz="0" w:space="0" w:color="auto"/>
                <w:right w:val="none" w:sz="0" w:space="0" w:color="auto"/>
              </w:divBdr>
            </w:div>
          </w:divsChild>
        </w:div>
        <w:div w:id="793061057">
          <w:marLeft w:val="0"/>
          <w:marRight w:val="0"/>
          <w:marTop w:val="0"/>
          <w:marBottom w:val="0"/>
          <w:divBdr>
            <w:top w:val="none" w:sz="0" w:space="0" w:color="auto"/>
            <w:left w:val="none" w:sz="0" w:space="0" w:color="auto"/>
            <w:bottom w:val="none" w:sz="0" w:space="0" w:color="auto"/>
            <w:right w:val="none" w:sz="0" w:space="0" w:color="auto"/>
          </w:divBdr>
          <w:divsChild>
            <w:div w:id="295961034">
              <w:marLeft w:val="0"/>
              <w:marRight w:val="0"/>
              <w:marTop w:val="0"/>
              <w:marBottom w:val="0"/>
              <w:divBdr>
                <w:top w:val="none" w:sz="0" w:space="0" w:color="auto"/>
                <w:left w:val="none" w:sz="0" w:space="0" w:color="auto"/>
                <w:bottom w:val="none" w:sz="0" w:space="0" w:color="auto"/>
                <w:right w:val="none" w:sz="0" w:space="0" w:color="auto"/>
              </w:divBdr>
            </w:div>
          </w:divsChild>
        </w:div>
        <w:div w:id="1144732505">
          <w:marLeft w:val="0"/>
          <w:marRight w:val="0"/>
          <w:marTop w:val="300"/>
          <w:marBottom w:val="300"/>
          <w:divBdr>
            <w:top w:val="none" w:sz="0" w:space="0" w:color="auto"/>
            <w:left w:val="none" w:sz="0" w:space="0" w:color="auto"/>
            <w:bottom w:val="none" w:sz="0" w:space="0" w:color="auto"/>
            <w:right w:val="none" w:sz="0" w:space="0" w:color="auto"/>
          </w:divBdr>
        </w:div>
        <w:div w:id="1972905570">
          <w:marLeft w:val="0"/>
          <w:marRight w:val="0"/>
          <w:marTop w:val="0"/>
          <w:marBottom w:val="0"/>
          <w:divBdr>
            <w:top w:val="none" w:sz="0" w:space="0" w:color="auto"/>
            <w:left w:val="none" w:sz="0" w:space="0" w:color="auto"/>
            <w:bottom w:val="none" w:sz="0" w:space="0" w:color="auto"/>
            <w:right w:val="none" w:sz="0" w:space="0" w:color="auto"/>
          </w:divBdr>
          <w:divsChild>
            <w:div w:id="1770733832">
              <w:marLeft w:val="0"/>
              <w:marRight w:val="0"/>
              <w:marTop w:val="0"/>
              <w:marBottom w:val="0"/>
              <w:divBdr>
                <w:top w:val="none" w:sz="0" w:space="0" w:color="auto"/>
                <w:left w:val="none" w:sz="0" w:space="0" w:color="auto"/>
                <w:bottom w:val="none" w:sz="0" w:space="0" w:color="auto"/>
                <w:right w:val="none" w:sz="0" w:space="0" w:color="auto"/>
              </w:divBdr>
            </w:div>
          </w:divsChild>
        </w:div>
        <w:div w:id="1945380330">
          <w:marLeft w:val="0"/>
          <w:marRight w:val="0"/>
          <w:marTop w:val="0"/>
          <w:marBottom w:val="0"/>
          <w:divBdr>
            <w:top w:val="none" w:sz="0" w:space="0" w:color="auto"/>
            <w:left w:val="none" w:sz="0" w:space="0" w:color="auto"/>
            <w:bottom w:val="none" w:sz="0" w:space="0" w:color="auto"/>
            <w:right w:val="none" w:sz="0" w:space="0" w:color="auto"/>
          </w:divBdr>
          <w:divsChild>
            <w:div w:id="145325331">
              <w:marLeft w:val="0"/>
              <w:marRight w:val="0"/>
              <w:marTop w:val="0"/>
              <w:marBottom w:val="0"/>
              <w:divBdr>
                <w:top w:val="none" w:sz="0" w:space="0" w:color="auto"/>
                <w:left w:val="none" w:sz="0" w:space="0" w:color="auto"/>
                <w:bottom w:val="none" w:sz="0" w:space="0" w:color="auto"/>
                <w:right w:val="none" w:sz="0" w:space="0" w:color="auto"/>
              </w:divBdr>
            </w:div>
          </w:divsChild>
        </w:div>
        <w:div w:id="421993930">
          <w:marLeft w:val="0"/>
          <w:marRight w:val="0"/>
          <w:marTop w:val="300"/>
          <w:marBottom w:val="300"/>
          <w:divBdr>
            <w:top w:val="none" w:sz="0" w:space="0" w:color="auto"/>
            <w:left w:val="none" w:sz="0" w:space="0" w:color="auto"/>
            <w:bottom w:val="none" w:sz="0" w:space="0" w:color="auto"/>
            <w:right w:val="none" w:sz="0" w:space="0" w:color="auto"/>
          </w:divBdr>
        </w:div>
        <w:div w:id="1364596811">
          <w:marLeft w:val="0"/>
          <w:marRight w:val="0"/>
          <w:marTop w:val="0"/>
          <w:marBottom w:val="0"/>
          <w:divBdr>
            <w:top w:val="none" w:sz="0" w:space="0" w:color="auto"/>
            <w:left w:val="none" w:sz="0" w:space="0" w:color="auto"/>
            <w:bottom w:val="none" w:sz="0" w:space="0" w:color="auto"/>
            <w:right w:val="none" w:sz="0" w:space="0" w:color="auto"/>
          </w:divBdr>
          <w:divsChild>
            <w:div w:id="1696543716">
              <w:marLeft w:val="0"/>
              <w:marRight w:val="0"/>
              <w:marTop w:val="0"/>
              <w:marBottom w:val="0"/>
              <w:divBdr>
                <w:top w:val="none" w:sz="0" w:space="0" w:color="auto"/>
                <w:left w:val="none" w:sz="0" w:space="0" w:color="auto"/>
                <w:bottom w:val="none" w:sz="0" w:space="0" w:color="auto"/>
                <w:right w:val="none" w:sz="0" w:space="0" w:color="auto"/>
              </w:divBdr>
            </w:div>
          </w:divsChild>
        </w:div>
        <w:div w:id="1979913751">
          <w:marLeft w:val="0"/>
          <w:marRight w:val="0"/>
          <w:marTop w:val="0"/>
          <w:marBottom w:val="0"/>
          <w:divBdr>
            <w:top w:val="none" w:sz="0" w:space="0" w:color="auto"/>
            <w:left w:val="none" w:sz="0" w:space="0" w:color="auto"/>
            <w:bottom w:val="none" w:sz="0" w:space="0" w:color="auto"/>
            <w:right w:val="none" w:sz="0" w:space="0" w:color="auto"/>
          </w:divBdr>
          <w:divsChild>
            <w:div w:id="259025981">
              <w:marLeft w:val="0"/>
              <w:marRight w:val="0"/>
              <w:marTop w:val="0"/>
              <w:marBottom w:val="0"/>
              <w:divBdr>
                <w:top w:val="none" w:sz="0" w:space="0" w:color="auto"/>
                <w:left w:val="none" w:sz="0" w:space="0" w:color="auto"/>
                <w:bottom w:val="none" w:sz="0" w:space="0" w:color="auto"/>
                <w:right w:val="none" w:sz="0" w:space="0" w:color="auto"/>
              </w:divBdr>
            </w:div>
          </w:divsChild>
        </w:div>
        <w:div w:id="2018075602">
          <w:marLeft w:val="0"/>
          <w:marRight w:val="0"/>
          <w:marTop w:val="0"/>
          <w:marBottom w:val="0"/>
          <w:divBdr>
            <w:top w:val="none" w:sz="0" w:space="0" w:color="auto"/>
            <w:left w:val="none" w:sz="0" w:space="0" w:color="auto"/>
            <w:bottom w:val="none" w:sz="0" w:space="0" w:color="auto"/>
            <w:right w:val="none" w:sz="0" w:space="0" w:color="auto"/>
          </w:divBdr>
          <w:divsChild>
            <w:div w:id="1872643981">
              <w:marLeft w:val="0"/>
              <w:marRight w:val="0"/>
              <w:marTop w:val="0"/>
              <w:marBottom w:val="0"/>
              <w:divBdr>
                <w:top w:val="none" w:sz="0" w:space="0" w:color="auto"/>
                <w:left w:val="none" w:sz="0" w:space="0" w:color="auto"/>
                <w:bottom w:val="none" w:sz="0" w:space="0" w:color="auto"/>
                <w:right w:val="none" w:sz="0" w:space="0" w:color="auto"/>
              </w:divBdr>
            </w:div>
          </w:divsChild>
        </w:div>
        <w:div w:id="2098164150">
          <w:marLeft w:val="0"/>
          <w:marRight w:val="0"/>
          <w:marTop w:val="0"/>
          <w:marBottom w:val="0"/>
          <w:divBdr>
            <w:top w:val="none" w:sz="0" w:space="0" w:color="auto"/>
            <w:left w:val="none" w:sz="0" w:space="0" w:color="auto"/>
            <w:bottom w:val="none" w:sz="0" w:space="0" w:color="auto"/>
            <w:right w:val="none" w:sz="0" w:space="0" w:color="auto"/>
          </w:divBdr>
          <w:divsChild>
            <w:div w:id="409156025">
              <w:marLeft w:val="0"/>
              <w:marRight w:val="0"/>
              <w:marTop w:val="0"/>
              <w:marBottom w:val="0"/>
              <w:divBdr>
                <w:top w:val="none" w:sz="0" w:space="0" w:color="auto"/>
                <w:left w:val="none" w:sz="0" w:space="0" w:color="auto"/>
                <w:bottom w:val="none" w:sz="0" w:space="0" w:color="auto"/>
                <w:right w:val="none" w:sz="0" w:space="0" w:color="auto"/>
              </w:divBdr>
            </w:div>
          </w:divsChild>
        </w:div>
        <w:div w:id="946694601">
          <w:marLeft w:val="0"/>
          <w:marRight w:val="0"/>
          <w:marTop w:val="0"/>
          <w:marBottom w:val="0"/>
          <w:divBdr>
            <w:top w:val="none" w:sz="0" w:space="0" w:color="auto"/>
            <w:left w:val="none" w:sz="0" w:space="0" w:color="auto"/>
            <w:bottom w:val="none" w:sz="0" w:space="0" w:color="auto"/>
            <w:right w:val="none" w:sz="0" w:space="0" w:color="auto"/>
          </w:divBdr>
          <w:divsChild>
            <w:div w:id="1891460244">
              <w:marLeft w:val="0"/>
              <w:marRight w:val="0"/>
              <w:marTop w:val="0"/>
              <w:marBottom w:val="0"/>
              <w:divBdr>
                <w:top w:val="none" w:sz="0" w:space="0" w:color="auto"/>
                <w:left w:val="none" w:sz="0" w:space="0" w:color="auto"/>
                <w:bottom w:val="none" w:sz="0" w:space="0" w:color="auto"/>
                <w:right w:val="none" w:sz="0" w:space="0" w:color="auto"/>
              </w:divBdr>
            </w:div>
          </w:divsChild>
        </w:div>
        <w:div w:id="701707820">
          <w:marLeft w:val="0"/>
          <w:marRight w:val="0"/>
          <w:marTop w:val="0"/>
          <w:marBottom w:val="0"/>
          <w:divBdr>
            <w:top w:val="none" w:sz="0" w:space="0" w:color="auto"/>
            <w:left w:val="none" w:sz="0" w:space="0" w:color="auto"/>
            <w:bottom w:val="none" w:sz="0" w:space="0" w:color="auto"/>
            <w:right w:val="none" w:sz="0" w:space="0" w:color="auto"/>
          </w:divBdr>
          <w:divsChild>
            <w:div w:id="2101483626">
              <w:marLeft w:val="0"/>
              <w:marRight w:val="0"/>
              <w:marTop w:val="0"/>
              <w:marBottom w:val="0"/>
              <w:divBdr>
                <w:top w:val="none" w:sz="0" w:space="0" w:color="auto"/>
                <w:left w:val="none" w:sz="0" w:space="0" w:color="auto"/>
                <w:bottom w:val="none" w:sz="0" w:space="0" w:color="auto"/>
                <w:right w:val="none" w:sz="0" w:space="0" w:color="auto"/>
              </w:divBdr>
            </w:div>
          </w:divsChild>
        </w:div>
        <w:div w:id="1602059184">
          <w:marLeft w:val="0"/>
          <w:marRight w:val="0"/>
          <w:marTop w:val="0"/>
          <w:marBottom w:val="0"/>
          <w:divBdr>
            <w:top w:val="none" w:sz="0" w:space="0" w:color="auto"/>
            <w:left w:val="none" w:sz="0" w:space="0" w:color="auto"/>
            <w:bottom w:val="none" w:sz="0" w:space="0" w:color="auto"/>
            <w:right w:val="none" w:sz="0" w:space="0" w:color="auto"/>
          </w:divBdr>
          <w:divsChild>
            <w:div w:id="1325354996">
              <w:marLeft w:val="0"/>
              <w:marRight w:val="0"/>
              <w:marTop w:val="0"/>
              <w:marBottom w:val="0"/>
              <w:divBdr>
                <w:top w:val="none" w:sz="0" w:space="0" w:color="auto"/>
                <w:left w:val="none" w:sz="0" w:space="0" w:color="auto"/>
                <w:bottom w:val="none" w:sz="0" w:space="0" w:color="auto"/>
                <w:right w:val="none" w:sz="0" w:space="0" w:color="auto"/>
              </w:divBdr>
            </w:div>
          </w:divsChild>
        </w:div>
        <w:div w:id="854268586">
          <w:marLeft w:val="0"/>
          <w:marRight w:val="0"/>
          <w:marTop w:val="0"/>
          <w:marBottom w:val="0"/>
          <w:divBdr>
            <w:top w:val="none" w:sz="0" w:space="0" w:color="auto"/>
            <w:left w:val="none" w:sz="0" w:space="0" w:color="auto"/>
            <w:bottom w:val="none" w:sz="0" w:space="0" w:color="auto"/>
            <w:right w:val="none" w:sz="0" w:space="0" w:color="auto"/>
          </w:divBdr>
          <w:divsChild>
            <w:div w:id="685062489">
              <w:marLeft w:val="0"/>
              <w:marRight w:val="0"/>
              <w:marTop w:val="0"/>
              <w:marBottom w:val="0"/>
              <w:divBdr>
                <w:top w:val="none" w:sz="0" w:space="0" w:color="auto"/>
                <w:left w:val="none" w:sz="0" w:space="0" w:color="auto"/>
                <w:bottom w:val="none" w:sz="0" w:space="0" w:color="auto"/>
                <w:right w:val="none" w:sz="0" w:space="0" w:color="auto"/>
              </w:divBdr>
            </w:div>
          </w:divsChild>
        </w:div>
        <w:div w:id="1184828064">
          <w:marLeft w:val="0"/>
          <w:marRight w:val="0"/>
          <w:marTop w:val="0"/>
          <w:marBottom w:val="0"/>
          <w:divBdr>
            <w:top w:val="none" w:sz="0" w:space="0" w:color="auto"/>
            <w:left w:val="none" w:sz="0" w:space="0" w:color="auto"/>
            <w:bottom w:val="none" w:sz="0" w:space="0" w:color="auto"/>
            <w:right w:val="none" w:sz="0" w:space="0" w:color="auto"/>
          </w:divBdr>
          <w:divsChild>
            <w:div w:id="1880892097">
              <w:marLeft w:val="0"/>
              <w:marRight w:val="0"/>
              <w:marTop w:val="0"/>
              <w:marBottom w:val="0"/>
              <w:divBdr>
                <w:top w:val="none" w:sz="0" w:space="0" w:color="auto"/>
                <w:left w:val="none" w:sz="0" w:space="0" w:color="auto"/>
                <w:bottom w:val="none" w:sz="0" w:space="0" w:color="auto"/>
                <w:right w:val="none" w:sz="0" w:space="0" w:color="auto"/>
              </w:divBdr>
            </w:div>
          </w:divsChild>
        </w:div>
        <w:div w:id="1744141092">
          <w:marLeft w:val="0"/>
          <w:marRight w:val="0"/>
          <w:marTop w:val="0"/>
          <w:marBottom w:val="0"/>
          <w:divBdr>
            <w:top w:val="none" w:sz="0" w:space="0" w:color="auto"/>
            <w:left w:val="none" w:sz="0" w:space="0" w:color="auto"/>
            <w:bottom w:val="none" w:sz="0" w:space="0" w:color="auto"/>
            <w:right w:val="none" w:sz="0" w:space="0" w:color="auto"/>
          </w:divBdr>
          <w:divsChild>
            <w:div w:id="886992539">
              <w:marLeft w:val="0"/>
              <w:marRight w:val="0"/>
              <w:marTop w:val="0"/>
              <w:marBottom w:val="0"/>
              <w:divBdr>
                <w:top w:val="none" w:sz="0" w:space="0" w:color="auto"/>
                <w:left w:val="none" w:sz="0" w:space="0" w:color="auto"/>
                <w:bottom w:val="none" w:sz="0" w:space="0" w:color="auto"/>
                <w:right w:val="none" w:sz="0" w:space="0" w:color="auto"/>
              </w:divBdr>
            </w:div>
          </w:divsChild>
        </w:div>
        <w:div w:id="737823011">
          <w:marLeft w:val="0"/>
          <w:marRight w:val="0"/>
          <w:marTop w:val="0"/>
          <w:marBottom w:val="0"/>
          <w:divBdr>
            <w:top w:val="none" w:sz="0" w:space="0" w:color="auto"/>
            <w:left w:val="none" w:sz="0" w:space="0" w:color="auto"/>
            <w:bottom w:val="none" w:sz="0" w:space="0" w:color="auto"/>
            <w:right w:val="none" w:sz="0" w:space="0" w:color="auto"/>
          </w:divBdr>
          <w:divsChild>
            <w:div w:id="1149860480">
              <w:marLeft w:val="0"/>
              <w:marRight w:val="0"/>
              <w:marTop w:val="0"/>
              <w:marBottom w:val="0"/>
              <w:divBdr>
                <w:top w:val="none" w:sz="0" w:space="0" w:color="auto"/>
                <w:left w:val="none" w:sz="0" w:space="0" w:color="auto"/>
                <w:bottom w:val="none" w:sz="0" w:space="0" w:color="auto"/>
                <w:right w:val="none" w:sz="0" w:space="0" w:color="auto"/>
              </w:divBdr>
            </w:div>
          </w:divsChild>
        </w:div>
        <w:div w:id="1623802570">
          <w:marLeft w:val="0"/>
          <w:marRight w:val="0"/>
          <w:marTop w:val="0"/>
          <w:marBottom w:val="0"/>
          <w:divBdr>
            <w:top w:val="none" w:sz="0" w:space="0" w:color="auto"/>
            <w:left w:val="none" w:sz="0" w:space="0" w:color="auto"/>
            <w:bottom w:val="none" w:sz="0" w:space="0" w:color="auto"/>
            <w:right w:val="none" w:sz="0" w:space="0" w:color="auto"/>
          </w:divBdr>
          <w:divsChild>
            <w:div w:id="1806316310">
              <w:marLeft w:val="0"/>
              <w:marRight w:val="0"/>
              <w:marTop w:val="0"/>
              <w:marBottom w:val="0"/>
              <w:divBdr>
                <w:top w:val="none" w:sz="0" w:space="0" w:color="auto"/>
                <w:left w:val="none" w:sz="0" w:space="0" w:color="auto"/>
                <w:bottom w:val="none" w:sz="0" w:space="0" w:color="auto"/>
                <w:right w:val="none" w:sz="0" w:space="0" w:color="auto"/>
              </w:divBdr>
            </w:div>
          </w:divsChild>
        </w:div>
        <w:div w:id="312950811">
          <w:marLeft w:val="0"/>
          <w:marRight w:val="0"/>
          <w:marTop w:val="0"/>
          <w:marBottom w:val="0"/>
          <w:divBdr>
            <w:top w:val="none" w:sz="0" w:space="0" w:color="auto"/>
            <w:left w:val="none" w:sz="0" w:space="0" w:color="auto"/>
            <w:bottom w:val="none" w:sz="0" w:space="0" w:color="auto"/>
            <w:right w:val="none" w:sz="0" w:space="0" w:color="auto"/>
          </w:divBdr>
          <w:divsChild>
            <w:div w:id="1233390940">
              <w:marLeft w:val="0"/>
              <w:marRight w:val="0"/>
              <w:marTop w:val="0"/>
              <w:marBottom w:val="0"/>
              <w:divBdr>
                <w:top w:val="none" w:sz="0" w:space="0" w:color="auto"/>
                <w:left w:val="none" w:sz="0" w:space="0" w:color="auto"/>
                <w:bottom w:val="none" w:sz="0" w:space="0" w:color="auto"/>
                <w:right w:val="none" w:sz="0" w:space="0" w:color="auto"/>
              </w:divBdr>
            </w:div>
          </w:divsChild>
        </w:div>
        <w:div w:id="1278372474">
          <w:marLeft w:val="0"/>
          <w:marRight w:val="0"/>
          <w:marTop w:val="0"/>
          <w:marBottom w:val="0"/>
          <w:divBdr>
            <w:top w:val="none" w:sz="0" w:space="0" w:color="auto"/>
            <w:left w:val="none" w:sz="0" w:space="0" w:color="auto"/>
            <w:bottom w:val="none" w:sz="0" w:space="0" w:color="auto"/>
            <w:right w:val="none" w:sz="0" w:space="0" w:color="auto"/>
          </w:divBdr>
          <w:divsChild>
            <w:div w:id="1695156497">
              <w:marLeft w:val="0"/>
              <w:marRight w:val="0"/>
              <w:marTop w:val="0"/>
              <w:marBottom w:val="0"/>
              <w:divBdr>
                <w:top w:val="none" w:sz="0" w:space="0" w:color="auto"/>
                <w:left w:val="none" w:sz="0" w:space="0" w:color="auto"/>
                <w:bottom w:val="none" w:sz="0" w:space="0" w:color="auto"/>
                <w:right w:val="none" w:sz="0" w:space="0" w:color="auto"/>
              </w:divBdr>
            </w:div>
          </w:divsChild>
        </w:div>
        <w:div w:id="1334528102">
          <w:marLeft w:val="0"/>
          <w:marRight w:val="0"/>
          <w:marTop w:val="0"/>
          <w:marBottom w:val="0"/>
          <w:divBdr>
            <w:top w:val="none" w:sz="0" w:space="0" w:color="auto"/>
            <w:left w:val="none" w:sz="0" w:space="0" w:color="auto"/>
            <w:bottom w:val="none" w:sz="0" w:space="0" w:color="auto"/>
            <w:right w:val="none" w:sz="0" w:space="0" w:color="auto"/>
          </w:divBdr>
          <w:divsChild>
            <w:div w:id="1783115021">
              <w:marLeft w:val="0"/>
              <w:marRight w:val="0"/>
              <w:marTop w:val="0"/>
              <w:marBottom w:val="0"/>
              <w:divBdr>
                <w:top w:val="none" w:sz="0" w:space="0" w:color="auto"/>
                <w:left w:val="none" w:sz="0" w:space="0" w:color="auto"/>
                <w:bottom w:val="none" w:sz="0" w:space="0" w:color="auto"/>
                <w:right w:val="none" w:sz="0" w:space="0" w:color="auto"/>
              </w:divBdr>
            </w:div>
          </w:divsChild>
        </w:div>
        <w:div w:id="2127919639">
          <w:marLeft w:val="0"/>
          <w:marRight w:val="0"/>
          <w:marTop w:val="300"/>
          <w:marBottom w:val="300"/>
          <w:divBdr>
            <w:top w:val="none" w:sz="0" w:space="0" w:color="auto"/>
            <w:left w:val="none" w:sz="0" w:space="0" w:color="auto"/>
            <w:bottom w:val="none" w:sz="0" w:space="0" w:color="auto"/>
            <w:right w:val="none" w:sz="0" w:space="0" w:color="auto"/>
          </w:divBdr>
        </w:div>
        <w:div w:id="2022659728">
          <w:marLeft w:val="0"/>
          <w:marRight w:val="0"/>
          <w:marTop w:val="0"/>
          <w:marBottom w:val="0"/>
          <w:divBdr>
            <w:top w:val="none" w:sz="0" w:space="0" w:color="auto"/>
            <w:left w:val="none" w:sz="0" w:space="0" w:color="auto"/>
            <w:bottom w:val="none" w:sz="0" w:space="0" w:color="auto"/>
            <w:right w:val="none" w:sz="0" w:space="0" w:color="auto"/>
          </w:divBdr>
          <w:divsChild>
            <w:div w:id="1916354314">
              <w:marLeft w:val="0"/>
              <w:marRight w:val="0"/>
              <w:marTop w:val="0"/>
              <w:marBottom w:val="0"/>
              <w:divBdr>
                <w:top w:val="none" w:sz="0" w:space="0" w:color="auto"/>
                <w:left w:val="none" w:sz="0" w:space="0" w:color="auto"/>
                <w:bottom w:val="none" w:sz="0" w:space="0" w:color="auto"/>
                <w:right w:val="none" w:sz="0" w:space="0" w:color="auto"/>
              </w:divBdr>
            </w:div>
          </w:divsChild>
        </w:div>
        <w:div w:id="646471377">
          <w:marLeft w:val="0"/>
          <w:marRight w:val="0"/>
          <w:marTop w:val="0"/>
          <w:marBottom w:val="0"/>
          <w:divBdr>
            <w:top w:val="none" w:sz="0" w:space="0" w:color="auto"/>
            <w:left w:val="none" w:sz="0" w:space="0" w:color="auto"/>
            <w:bottom w:val="none" w:sz="0" w:space="0" w:color="auto"/>
            <w:right w:val="none" w:sz="0" w:space="0" w:color="auto"/>
          </w:divBdr>
          <w:divsChild>
            <w:div w:id="1969165124">
              <w:marLeft w:val="0"/>
              <w:marRight w:val="0"/>
              <w:marTop w:val="0"/>
              <w:marBottom w:val="0"/>
              <w:divBdr>
                <w:top w:val="none" w:sz="0" w:space="0" w:color="auto"/>
                <w:left w:val="none" w:sz="0" w:space="0" w:color="auto"/>
                <w:bottom w:val="none" w:sz="0" w:space="0" w:color="auto"/>
                <w:right w:val="none" w:sz="0" w:space="0" w:color="auto"/>
              </w:divBdr>
            </w:div>
          </w:divsChild>
        </w:div>
        <w:div w:id="1340736929">
          <w:marLeft w:val="0"/>
          <w:marRight w:val="0"/>
          <w:marTop w:val="0"/>
          <w:marBottom w:val="0"/>
          <w:divBdr>
            <w:top w:val="none" w:sz="0" w:space="0" w:color="auto"/>
            <w:left w:val="none" w:sz="0" w:space="0" w:color="auto"/>
            <w:bottom w:val="none" w:sz="0" w:space="0" w:color="auto"/>
            <w:right w:val="none" w:sz="0" w:space="0" w:color="auto"/>
          </w:divBdr>
          <w:divsChild>
            <w:div w:id="213002448">
              <w:marLeft w:val="0"/>
              <w:marRight w:val="0"/>
              <w:marTop w:val="0"/>
              <w:marBottom w:val="0"/>
              <w:divBdr>
                <w:top w:val="none" w:sz="0" w:space="0" w:color="auto"/>
                <w:left w:val="none" w:sz="0" w:space="0" w:color="auto"/>
                <w:bottom w:val="none" w:sz="0" w:space="0" w:color="auto"/>
                <w:right w:val="none" w:sz="0" w:space="0" w:color="auto"/>
              </w:divBdr>
            </w:div>
          </w:divsChild>
        </w:div>
        <w:div w:id="423570985">
          <w:marLeft w:val="0"/>
          <w:marRight w:val="0"/>
          <w:marTop w:val="0"/>
          <w:marBottom w:val="0"/>
          <w:divBdr>
            <w:top w:val="none" w:sz="0" w:space="0" w:color="auto"/>
            <w:left w:val="none" w:sz="0" w:space="0" w:color="auto"/>
            <w:bottom w:val="none" w:sz="0" w:space="0" w:color="auto"/>
            <w:right w:val="none" w:sz="0" w:space="0" w:color="auto"/>
          </w:divBdr>
          <w:divsChild>
            <w:div w:id="1792240815">
              <w:marLeft w:val="0"/>
              <w:marRight w:val="0"/>
              <w:marTop w:val="0"/>
              <w:marBottom w:val="0"/>
              <w:divBdr>
                <w:top w:val="none" w:sz="0" w:space="0" w:color="auto"/>
                <w:left w:val="none" w:sz="0" w:space="0" w:color="auto"/>
                <w:bottom w:val="none" w:sz="0" w:space="0" w:color="auto"/>
                <w:right w:val="none" w:sz="0" w:space="0" w:color="auto"/>
              </w:divBdr>
            </w:div>
          </w:divsChild>
        </w:div>
        <w:div w:id="303779831">
          <w:marLeft w:val="0"/>
          <w:marRight w:val="0"/>
          <w:marTop w:val="0"/>
          <w:marBottom w:val="0"/>
          <w:divBdr>
            <w:top w:val="none" w:sz="0" w:space="0" w:color="auto"/>
            <w:left w:val="none" w:sz="0" w:space="0" w:color="auto"/>
            <w:bottom w:val="none" w:sz="0" w:space="0" w:color="auto"/>
            <w:right w:val="none" w:sz="0" w:space="0" w:color="auto"/>
          </w:divBdr>
          <w:divsChild>
            <w:div w:id="2137409551">
              <w:marLeft w:val="0"/>
              <w:marRight w:val="0"/>
              <w:marTop w:val="0"/>
              <w:marBottom w:val="0"/>
              <w:divBdr>
                <w:top w:val="none" w:sz="0" w:space="0" w:color="auto"/>
                <w:left w:val="none" w:sz="0" w:space="0" w:color="auto"/>
                <w:bottom w:val="none" w:sz="0" w:space="0" w:color="auto"/>
                <w:right w:val="none" w:sz="0" w:space="0" w:color="auto"/>
              </w:divBdr>
            </w:div>
          </w:divsChild>
        </w:div>
        <w:div w:id="2040083952">
          <w:marLeft w:val="0"/>
          <w:marRight w:val="0"/>
          <w:marTop w:val="0"/>
          <w:marBottom w:val="0"/>
          <w:divBdr>
            <w:top w:val="none" w:sz="0" w:space="0" w:color="auto"/>
            <w:left w:val="none" w:sz="0" w:space="0" w:color="auto"/>
            <w:bottom w:val="none" w:sz="0" w:space="0" w:color="auto"/>
            <w:right w:val="none" w:sz="0" w:space="0" w:color="auto"/>
          </w:divBdr>
          <w:divsChild>
            <w:div w:id="1444152860">
              <w:marLeft w:val="0"/>
              <w:marRight w:val="0"/>
              <w:marTop w:val="0"/>
              <w:marBottom w:val="0"/>
              <w:divBdr>
                <w:top w:val="none" w:sz="0" w:space="0" w:color="auto"/>
                <w:left w:val="none" w:sz="0" w:space="0" w:color="auto"/>
                <w:bottom w:val="none" w:sz="0" w:space="0" w:color="auto"/>
                <w:right w:val="none" w:sz="0" w:space="0" w:color="auto"/>
              </w:divBdr>
            </w:div>
          </w:divsChild>
        </w:div>
        <w:div w:id="1465810450">
          <w:marLeft w:val="0"/>
          <w:marRight w:val="0"/>
          <w:marTop w:val="0"/>
          <w:marBottom w:val="0"/>
          <w:divBdr>
            <w:top w:val="none" w:sz="0" w:space="0" w:color="auto"/>
            <w:left w:val="none" w:sz="0" w:space="0" w:color="auto"/>
            <w:bottom w:val="none" w:sz="0" w:space="0" w:color="auto"/>
            <w:right w:val="none" w:sz="0" w:space="0" w:color="auto"/>
          </w:divBdr>
          <w:divsChild>
            <w:div w:id="1295940549">
              <w:marLeft w:val="0"/>
              <w:marRight w:val="0"/>
              <w:marTop w:val="0"/>
              <w:marBottom w:val="0"/>
              <w:divBdr>
                <w:top w:val="none" w:sz="0" w:space="0" w:color="auto"/>
                <w:left w:val="none" w:sz="0" w:space="0" w:color="auto"/>
                <w:bottom w:val="none" w:sz="0" w:space="0" w:color="auto"/>
                <w:right w:val="none" w:sz="0" w:space="0" w:color="auto"/>
              </w:divBdr>
            </w:div>
          </w:divsChild>
        </w:div>
        <w:div w:id="1000502469">
          <w:marLeft w:val="0"/>
          <w:marRight w:val="0"/>
          <w:marTop w:val="0"/>
          <w:marBottom w:val="0"/>
          <w:divBdr>
            <w:top w:val="none" w:sz="0" w:space="0" w:color="auto"/>
            <w:left w:val="none" w:sz="0" w:space="0" w:color="auto"/>
            <w:bottom w:val="none" w:sz="0" w:space="0" w:color="auto"/>
            <w:right w:val="none" w:sz="0" w:space="0" w:color="auto"/>
          </w:divBdr>
          <w:divsChild>
            <w:div w:id="486097906">
              <w:marLeft w:val="0"/>
              <w:marRight w:val="0"/>
              <w:marTop w:val="0"/>
              <w:marBottom w:val="0"/>
              <w:divBdr>
                <w:top w:val="none" w:sz="0" w:space="0" w:color="auto"/>
                <w:left w:val="none" w:sz="0" w:space="0" w:color="auto"/>
                <w:bottom w:val="none" w:sz="0" w:space="0" w:color="auto"/>
                <w:right w:val="none" w:sz="0" w:space="0" w:color="auto"/>
              </w:divBdr>
            </w:div>
          </w:divsChild>
        </w:div>
        <w:div w:id="823203705">
          <w:marLeft w:val="0"/>
          <w:marRight w:val="0"/>
          <w:marTop w:val="0"/>
          <w:marBottom w:val="0"/>
          <w:divBdr>
            <w:top w:val="none" w:sz="0" w:space="0" w:color="auto"/>
            <w:left w:val="none" w:sz="0" w:space="0" w:color="auto"/>
            <w:bottom w:val="none" w:sz="0" w:space="0" w:color="auto"/>
            <w:right w:val="none" w:sz="0" w:space="0" w:color="auto"/>
          </w:divBdr>
          <w:divsChild>
            <w:div w:id="1604804726">
              <w:marLeft w:val="0"/>
              <w:marRight w:val="0"/>
              <w:marTop w:val="0"/>
              <w:marBottom w:val="0"/>
              <w:divBdr>
                <w:top w:val="none" w:sz="0" w:space="0" w:color="auto"/>
                <w:left w:val="none" w:sz="0" w:space="0" w:color="auto"/>
                <w:bottom w:val="none" w:sz="0" w:space="0" w:color="auto"/>
                <w:right w:val="none" w:sz="0" w:space="0" w:color="auto"/>
              </w:divBdr>
            </w:div>
          </w:divsChild>
        </w:div>
        <w:div w:id="385102207">
          <w:marLeft w:val="0"/>
          <w:marRight w:val="0"/>
          <w:marTop w:val="0"/>
          <w:marBottom w:val="0"/>
          <w:divBdr>
            <w:top w:val="none" w:sz="0" w:space="0" w:color="auto"/>
            <w:left w:val="none" w:sz="0" w:space="0" w:color="auto"/>
            <w:bottom w:val="none" w:sz="0" w:space="0" w:color="auto"/>
            <w:right w:val="none" w:sz="0" w:space="0" w:color="auto"/>
          </w:divBdr>
          <w:divsChild>
            <w:div w:id="454714696">
              <w:marLeft w:val="0"/>
              <w:marRight w:val="0"/>
              <w:marTop w:val="0"/>
              <w:marBottom w:val="0"/>
              <w:divBdr>
                <w:top w:val="none" w:sz="0" w:space="0" w:color="auto"/>
                <w:left w:val="none" w:sz="0" w:space="0" w:color="auto"/>
                <w:bottom w:val="none" w:sz="0" w:space="0" w:color="auto"/>
                <w:right w:val="none" w:sz="0" w:space="0" w:color="auto"/>
              </w:divBdr>
            </w:div>
          </w:divsChild>
        </w:div>
        <w:div w:id="861552466">
          <w:marLeft w:val="0"/>
          <w:marRight w:val="0"/>
          <w:marTop w:val="0"/>
          <w:marBottom w:val="0"/>
          <w:divBdr>
            <w:top w:val="none" w:sz="0" w:space="0" w:color="auto"/>
            <w:left w:val="none" w:sz="0" w:space="0" w:color="auto"/>
            <w:bottom w:val="none" w:sz="0" w:space="0" w:color="auto"/>
            <w:right w:val="none" w:sz="0" w:space="0" w:color="auto"/>
          </w:divBdr>
          <w:divsChild>
            <w:div w:id="1703044645">
              <w:marLeft w:val="0"/>
              <w:marRight w:val="0"/>
              <w:marTop w:val="0"/>
              <w:marBottom w:val="0"/>
              <w:divBdr>
                <w:top w:val="none" w:sz="0" w:space="0" w:color="auto"/>
                <w:left w:val="none" w:sz="0" w:space="0" w:color="auto"/>
                <w:bottom w:val="none" w:sz="0" w:space="0" w:color="auto"/>
                <w:right w:val="none" w:sz="0" w:space="0" w:color="auto"/>
              </w:divBdr>
            </w:div>
          </w:divsChild>
        </w:div>
        <w:div w:id="1688435877">
          <w:marLeft w:val="0"/>
          <w:marRight w:val="0"/>
          <w:marTop w:val="0"/>
          <w:marBottom w:val="0"/>
          <w:divBdr>
            <w:top w:val="none" w:sz="0" w:space="0" w:color="auto"/>
            <w:left w:val="none" w:sz="0" w:space="0" w:color="auto"/>
            <w:bottom w:val="none" w:sz="0" w:space="0" w:color="auto"/>
            <w:right w:val="none" w:sz="0" w:space="0" w:color="auto"/>
          </w:divBdr>
          <w:divsChild>
            <w:div w:id="1052728109">
              <w:marLeft w:val="0"/>
              <w:marRight w:val="0"/>
              <w:marTop w:val="0"/>
              <w:marBottom w:val="0"/>
              <w:divBdr>
                <w:top w:val="none" w:sz="0" w:space="0" w:color="auto"/>
                <w:left w:val="none" w:sz="0" w:space="0" w:color="auto"/>
                <w:bottom w:val="none" w:sz="0" w:space="0" w:color="auto"/>
                <w:right w:val="none" w:sz="0" w:space="0" w:color="auto"/>
              </w:divBdr>
            </w:div>
          </w:divsChild>
        </w:div>
        <w:div w:id="1469400489">
          <w:marLeft w:val="0"/>
          <w:marRight w:val="0"/>
          <w:marTop w:val="0"/>
          <w:marBottom w:val="0"/>
          <w:divBdr>
            <w:top w:val="none" w:sz="0" w:space="0" w:color="auto"/>
            <w:left w:val="none" w:sz="0" w:space="0" w:color="auto"/>
            <w:bottom w:val="none" w:sz="0" w:space="0" w:color="auto"/>
            <w:right w:val="none" w:sz="0" w:space="0" w:color="auto"/>
          </w:divBdr>
          <w:divsChild>
            <w:div w:id="1894001285">
              <w:marLeft w:val="0"/>
              <w:marRight w:val="0"/>
              <w:marTop w:val="0"/>
              <w:marBottom w:val="0"/>
              <w:divBdr>
                <w:top w:val="none" w:sz="0" w:space="0" w:color="auto"/>
                <w:left w:val="none" w:sz="0" w:space="0" w:color="auto"/>
                <w:bottom w:val="none" w:sz="0" w:space="0" w:color="auto"/>
                <w:right w:val="none" w:sz="0" w:space="0" w:color="auto"/>
              </w:divBdr>
            </w:div>
          </w:divsChild>
        </w:div>
        <w:div w:id="1830442862">
          <w:marLeft w:val="0"/>
          <w:marRight w:val="0"/>
          <w:marTop w:val="0"/>
          <w:marBottom w:val="0"/>
          <w:divBdr>
            <w:top w:val="none" w:sz="0" w:space="0" w:color="auto"/>
            <w:left w:val="none" w:sz="0" w:space="0" w:color="auto"/>
            <w:bottom w:val="none" w:sz="0" w:space="0" w:color="auto"/>
            <w:right w:val="none" w:sz="0" w:space="0" w:color="auto"/>
          </w:divBdr>
          <w:divsChild>
            <w:div w:id="151218500">
              <w:marLeft w:val="0"/>
              <w:marRight w:val="0"/>
              <w:marTop w:val="0"/>
              <w:marBottom w:val="0"/>
              <w:divBdr>
                <w:top w:val="none" w:sz="0" w:space="0" w:color="auto"/>
                <w:left w:val="none" w:sz="0" w:space="0" w:color="auto"/>
                <w:bottom w:val="none" w:sz="0" w:space="0" w:color="auto"/>
                <w:right w:val="none" w:sz="0" w:space="0" w:color="auto"/>
              </w:divBdr>
            </w:div>
          </w:divsChild>
        </w:div>
        <w:div w:id="940918286">
          <w:marLeft w:val="0"/>
          <w:marRight w:val="0"/>
          <w:marTop w:val="0"/>
          <w:marBottom w:val="0"/>
          <w:divBdr>
            <w:top w:val="none" w:sz="0" w:space="0" w:color="auto"/>
            <w:left w:val="none" w:sz="0" w:space="0" w:color="auto"/>
            <w:bottom w:val="none" w:sz="0" w:space="0" w:color="auto"/>
            <w:right w:val="none" w:sz="0" w:space="0" w:color="auto"/>
          </w:divBdr>
          <w:divsChild>
            <w:div w:id="1245728138">
              <w:marLeft w:val="0"/>
              <w:marRight w:val="0"/>
              <w:marTop w:val="0"/>
              <w:marBottom w:val="0"/>
              <w:divBdr>
                <w:top w:val="none" w:sz="0" w:space="0" w:color="auto"/>
                <w:left w:val="none" w:sz="0" w:space="0" w:color="auto"/>
                <w:bottom w:val="none" w:sz="0" w:space="0" w:color="auto"/>
                <w:right w:val="none" w:sz="0" w:space="0" w:color="auto"/>
              </w:divBdr>
            </w:div>
          </w:divsChild>
        </w:div>
        <w:div w:id="336034122">
          <w:marLeft w:val="0"/>
          <w:marRight w:val="0"/>
          <w:marTop w:val="0"/>
          <w:marBottom w:val="0"/>
          <w:divBdr>
            <w:top w:val="none" w:sz="0" w:space="0" w:color="auto"/>
            <w:left w:val="none" w:sz="0" w:space="0" w:color="auto"/>
            <w:bottom w:val="none" w:sz="0" w:space="0" w:color="auto"/>
            <w:right w:val="none" w:sz="0" w:space="0" w:color="auto"/>
          </w:divBdr>
          <w:divsChild>
            <w:div w:id="730542384">
              <w:marLeft w:val="0"/>
              <w:marRight w:val="0"/>
              <w:marTop w:val="0"/>
              <w:marBottom w:val="0"/>
              <w:divBdr>
                <w:top w:val="none" w:sz="0" w:space="0" w:color="auto"/>
                <w:left w:val="none" w:sz="0" w:space="0" w:color="auto"/>
                <w:bottom w:val="none" w:sz="0" w:space="0" w:color="auto"/>
                <w:right w:val="none" w:sz="0" w:space="0" w:color="auto"/>
              </w:divBdr>
            </w:div>
          </w:divsChild>
        </w:div>
        <w:div w:id="1017656842">
          <w:marLeft w:val="0"/>
          <w:marRight w:val="0"/>
          <w:marTop w:val="0"/>
          <w:marBottom w:val="0"/>
          <w:divBdr>
            <w:top w:val="none" w:sz="0" w:space="0" w:color="auto"/>
            <w:left w:val="none" w:sz="0" w:space="0" w:color="auto"/>
            <w:bottom w:val="none" w:sz="0" w:space="0" w:color="auto"/>
            <w:right w:val="none" w:sz="0" w:space="0" w:color="auto"/>
          </w:divBdr>
          <w:divsChild>
            <w:div w:id="1095983166">
              <w:marLeft w:val="0"/>
              <w:marRight w:val="0"/>
              <w:marTop w:val="0"/>
              <w:marBottom w:val="0"/>
              <w:divBdr>
                <w:top w:val="none" w:sz="0" w:space="0" w:color="auto"/>
                <w:left w:val="none" w:sz="0" w:space="0" w:color="auto"/>
                <w:bottom w:val="none" w:sz="0" w:space="0" w:color="auto"/>
                <w:right w:val="none" w:sz="0" w:space="0" w:color="auto"/>
              </w:divBdr>
            </w:div>
          </w:divsChild>
        </w:div>
        <w:div w:id="679426548">
          <w:marLeft w:val="0"/>
          <w:marRight w:val="0"/>
          <w:marTop w:val="0"/>
          <w:marBottom w:val="0"/>
          <w:divBdr>
            <w:top w:val="none" w:sz="0" w:space="0" w:color="auto"/>
            <w:left w:val="none" w:sz="0" w:space="0" w:color="auto"/>
            <w:bottom w:val="none" w:sz="0" w:space="0" w:color="auto"/>
            <w:right w:val="none" w:sz="0" w:space="0" w:color="auto"/>
          </w:divBdr>
          <w:divsChild>
            <w:div w:id="1052269258">
              <w:marLeft w:val="0"/>
              <w:marRight w:val="0"/>
              <w:marTop w:val="0"/>
              <w:marBottom w:val="0"/>
              <w:divBdr>
                <w:top w:val="none" w:sz="0" w:space="0" w:color="auto"/>
                <w:left w:val="none" w:sz="0" w:space="0" w:color="auto"/>
                <w:bottom w:val="none" w:sz="0" w:space="0" w:color="auto"/>
                <w:right w:val="none" w:sz="0" w:space="0" w:color="auto"/>
              </w:divBdr>
            </w:div>
          </w:divsChild>
        </w:div>
        <w:div w:id="1398241723">
          <w:marLeft w:val="0"/>
          <w:marRight w:val="0"/>
          <w:marTop w:val="300"/>
          <w:marBottom w:val="300"/>
          <w:divBdr>
            <w:top w:val="none" w:sz="0" w:space="0" w:color="auto"/>
            <w:left w:val="none" w:sz="0" w:space="0" w:color="auto"/>
            <w:bottom w:val="none" w:sz="0" w:space="0" w:color="auto"/>
            <w:right w:val="none" w:sz="0" w:space="0" w:color="auto"/>
          </w:divBdr>
        </w:div>
        <w:div w:id="1034693654">
          <w:marLeft w:val="0"/>
          <w:marRight w:val="0"/>
          <w:marTop w:val="0"/>
          <w:marBottom w:val="0"/>
          <w:divBdr>
            <w:top w:val="none" w:sz="0" w:space="0" w:color="auto"/>
            <w:left w:val="none" w:sz="0" w:space="0" w:color="auto"/>
            <w:bottom w:val="none" w:sz="0" w:space="0" w:color="auto"/>
            <w:right w:val="none" w:sz="0" w:space="0" w:color="auto"/>
          </w:divBdr>
          <w:divsChild>
            <w:div w:id="926693962">
              <w:marLeft w:val="0"/>
              <w:marRight w:val="0"/>
              <w:marTop w:val="0"/>
              <w:marBottom w:val="0"/>
              <w:divBdr>
                <w:top w:val="none" w:sz="0" w:space="0" w:color="auto"/>
                <w:left w:val="none" w:sz="0" w:space="0" w:color="auto"/>
                <w:bottom w:val="none" w:sz="0" w:space="0" w:color="auto"/>
                <w:right w:val="none" w:sz="0" w:space="0" w:color="auto"/>
              </w:divBdr>
            </w:div>
          </w:divsChild>
        </w:div>
        <w:div w:id="1660886327">
          <w:marLeft w:val="0"/>
          <w:marRight w:val="0"/>
          <w:marTop w:val="300"/>
          <w:marBottom w:val="300"/>
          <w:divBdr>
            <w:top w:val="none" w:sz="0" w:space="0" w:color="auto"/>
            <w:left w:val="none" w:sz="0" w:space="0" w:color="auto"/>
            <w:bottom w:val="none" w:sz="0" w:space="0" w:color="auto"/>
            <w:right w:val="none" w:sz="0" w:space="0" w:color="auto"/>
          </w:divBdr>
        </w:div>
        <w:div w:id="38021492">
          <w:marLeft w:val="0"/>
          <w:marRight w:val="0"/>
          <w:marTop w:val="0"/>
          <w:marBottom w:val="0"/>
          <w:divBdr>
            <w:top w:val="none" w:sz="0" w:space="0" w:color="auto"/>
            <w:left w:val="none" w:sz="0" w:space="0" w:color="auto"/>
            <w:bottom w:val="none" w:sz="0" w:space="0" w:color="auto"/>
            <w:right w:val="none" w:sz="0" w:space="0" w:color="auto"/>
          </w:divBdr>
          <w:divsChild>
            <w:div w:id="1626345390">
              <w:marLeft w:val="0"/>
              <w:marRight w:val="0"/>
              <w:marTop w:val="0"/>
              <w:marBottom w:val="0"/>
              <w:divBdr>
                <w:top w:val="none" w:sz="0" w:space="0" w:color="auto"/>
                <w:left w:val="none" w:sz="0" w:space="0" w:color="auto"/>
                <w:bottom w:val="none" w:sz="0" w:space="0" w:color="auto"/>
                <w:right w:val="none" w:sz="0" w:space="0" w:color="auto"/>
              </w:divBdr>
            </w:div>
          </w:divsChild>
        </w:div>
        <w:div w:id="460728490">
          <w:marLeft w:val="0"/>
          <w:marRight w:val="0"/>
          <w:marTop w:val="0"/>
          <w:marBottom w:val="0"/>
          <w:divBdr>
            <w:top w:val="none" w:sz="0" w:space="0" w:color="auto"/>
            <w:left w:val="none" w:sz="0" w:space="0" w:color="auto"/>
            <w:bottom w:val="none" w:sz="0" w:space="0" w:color="auto"/>
            <w:right w:val="none" w:sz="0" w:space="0" w:color="auto"/>
          </w:divBdr>
          <w:divsChild>
            <w:div w:id="1746798426">
              <w:marLeft w:val="0"/>
              <w:marRight w:val="0"/>
              <w:marTop w:val="0"/>
              <w:marBottom w:val="0"/>
              <w:divBdr>
                <w:top w:val="none" w:sz="0" w:space="0" w:color="auto"/>
                <w:left w:val="none" w:sz="0" w:space="0" w:color="auto"/>
                <w:bottom w:val="none" w:sz="0" w:space="0" w:color="auto"/>
                <w:right w:val="none" w:sz="0" w:space="0" w:color="auto"/>
              </w:divBdr>
            </w:div>
          </w:divsChild>
        </w:div>
        <w:div w:id="1886789095">
          <w:marLeft w:val="0"/>
          <w:marRight w:val="0"/>
          <w:marTop w:val="0"/>
          <w:marBottom w:val="0"/>
          <w:divBdr>
            <w:top w:val="none" w:sz="0" w:space="0" w:color="auto"/>
            <w:left w:val="none" w:sz="0" w:space="0" w:color="auto"/>
            <w:bottom w:val="none" w:sz="0" w:space="0" w:color="auto"/>
            <w:right w:val="none" w:sz="0" w:space="0" w:color="auto"/>
          </w:divBdr>
          <w:divsChild>
            <w:div w:id="409740967">
              <w:marLeft w:val="0"/>
              <w:marRight w:val="0"/>
              <w:marTop w:val="0"/>
              <w:marBottom w:val="0"/>
              <w:divBdr>
                <w:top w:val="none" w:sz="0" w:space="0" w:color="auto"/>
                <w:left w:val="none" w:sz="0" w:space="0" w:color="auto"/>
                <w:bottom w:val="none" w:sz="0" w:space="0" w:color="auto"/>
                <w:right w:val="none" w:sz="0" w:space="0" w:color="auto"/>
              </w:divBdr>
            </w:div>
          </w:divsChild>
        </w:div>
        <w:div w:id="1560172002">
          <w:marLeft w:val="0"/>
          <w:marRight w:val="0"/>
          <w:marTop w:val="0"/>
          <w:marBottom w:val="0"/>
          <w:divBdr>
            <w:top w:val="none" w:sz="0" w:space="0" w:color="auto"/>
            <w:left w:val="none" w:sz="0" w:space="0" w:color="auto"/>
            <w:bottom w:val="none" w:sz="0" w:space="0" w:color="auto"/>
            <w:right w:val="none" w:sz="0" w:space="0" w:color="auto"/>
          </w:divBdr>
          <w:divsChild>
            <w:div w:id="820268633">
              <w:marLeft w:val="0"/>
              <w:marRight w:val="0"/>
              <w:marTop w:val="0"/>
              <w:marBottom w:val="0"/>
              <w:divBdr>
                <w:top w:val="none" w:sz="0" w:space="0" w:color="auto"/>
                <w:left w:val="none" w:sz="0" w:space="0" w:color="auto"/>
                <w:bottom w:val="none" w:sz="0" w:space="0" w:color="auto"/>
                <w:right w:val="none" w:sz="0" w:space="0" w:color="auto"/>
              </w:divBdr>
            </w:div>
          </w:divsChild>
        </w:div>
        <w:div w:id="1561134079">
          <w:marLeft w:val="0"/>
          <w:marRight w:val="0"/>
          <w:marTop w:val="0"/>
          <w:marBottom w:val="0"/>
          <w:divBdr>
            <w:top w:val="none" w:sz="0" w:space="0" w:color="auto"/>
            <w:left w:val="none" w:sz="0" w:space="0" w:color="auto"/>
            <w:bottom w:val="none" w:sz="0" w:space="0" w:color="auto"/>
            <w:right w:val="none" w:sz="0" w:space="0" w:color="auto"/>
          </w:divBdr>
          <w:divsChild>
            <w:div w:id="1732657199">
              <w:marLeft w:val="0"/>
              <w:marRight w:val="0"/>
              <w:marTop w:val="0"/>
              <w:marBottom w:val="0"/>
              <w:divBdr>
                <w:top w:val="none" w:sz="0" w:space="0" w:color="auto"/>
                <w:left w:val="none" w:sz="0" w:space="0" w:color="auto"/>
                <w:bottom w:val="none" w:sz="0" w:space="0" w:color="auto"/>
                <w:right w:val="none" w:sz="0" w:space="0" w:color="auto"/>
              </w:divBdr>
            </w:div>
          </w:divsChild>
        </w:div>
        <w:div w:id="1990791568">
          <w:marLeft w:val="0"/>
          <w:marRight w:val="0"/>
          <w:marTop w:val="0"/>
          <w:marBottom w:val="0"/>
          <w:divBdr>
            <w:top w:val="none" w:sz="0" w:space="0" w:color="auto"/>
            <w:left w:val="none" w:sz="0" w:space="0" w:color="auto"/>
            <w:bottom w:val="none" w:sz="0" w:space="0" w:color="auto"/>
            <w:right w:val="none" w:sz="0" w:space="0" w:color="auto"/>
          </w:divBdr>
          <w:divsChild>
            <w:div w:id="1315792426">
              <w:marLeft w:val="0"/>
              <w:marRight w:val="0"/>
              <w:marTop w:val="0"/>
              <w:marBottom w:val="0"/>
              <w:divBdr>
                <w:top w:val="none" w:sz="0" w:space="0" w:color="auto"/>
                <w:left w:val="none" w:sz="0" w:space="0" w:color="auto"/>
                <w:bottom w:val="none" w:sz="0" w:space="0" w:color="auto"/>
                <w:right w:val="none" w:sz="0" w:space="0" w:color="auto"/>
              </w:divBdr>
            </w:div>
          </w:divsChild>
        </w:div>
        <w:div w:id="1037387381">
          <w:marLeft w:val="0"/>
          <w:marRight w:val="0"/>
          <w:marTop w:val="300"/>
          <w:marBottom w:val="300"/>
          <w:divBdr>
            <w:top w:val="none" w:sz="0" w:space="0" w:color="auto"/>
            <w:left w:val="none" w:sz="0" w:space="0" w:color="auto"/>
            <w:bottom w:val="none" w:sz="0" w:space="0" w:color="auto"/>
            <w:right w:val="none" w:sz="0" w:space="0" w:color="auto"/>
          </w:divBdr>
        </w:div>
        <w:div w:id="151410818">
          <w:marLeft w:val="0"/>
          <w:marRight w:val="0"/>
          <w:marTop w:val="0"/>
          <w:marBottom w:val="0"/>
          <w:divBdr>
            <w:top w:val="none" w:sz="0" w:space="0" w:color="auto"/>
            <w:left w:val="none" w:sz="0" w:space="0" w:color="auto"/>
            <w:bottom w:val="none" w:sz="0" w:space="0" w:color="auto"/>
            <w:right w:val="none" w:sz="0" w:space="0" w:color="auto"/>
          </w:divBdr>
          <w:divsChild>
            <w:div w:id="588083999">
              <w:marLeft w:val="0"/>
              <w:marRight w:val="0"/>
              <w:marTop w:val="0"/>
              <w:marBottom w:val="0"/>
              <w:divBdr>
                <w:top w:val="none" w:sz="0" w:space="0" w:color="auto"/>
                <w:left w:val="none" w:sz="0" w:space="0" w:color="auto"/>
                <w:bottom w:val="none" w:sz="0" w:space="0" w:color="auto"/>
                <w:right w:val="none" w:sz="0" w:space="0" w:color="auto"/>
              </w:divBdr>
            </w:div>
          </w:divsChild>
        </w:div>
        <w:div w:id="497769367">
          <w:marLeft w:val="0"/>
          <w:marRight w:val="0"/>
          <w:marTop w:val="0"/>
          <w:marBottom w:val="0"/>
          <w:divBdr>
            <w:top w:val="none" w:sz="0" w:space="0" w:color="auto"/>
            <w:left w:val="none" w:sz="0" w:space="0" w:color="auto"/>
            <w:bottom w:val="none" w:sz="0" w:space="0" w:color="auto"/>
            <w:right w:val="none" w:sz="0" w:space="0" w:color="auto"/>
          </w:divBdr>
          <w:divsChild>
            <w:div w:id="113985702">
              <w:marLeft w:val="0"/>
              <w:marRight w:val="0"/>
              <w:marTop w:val="0"/>
              <w:marBottom w:val="0"/>
              <w:divBdr>
                <w:top w:val="none" w:sz="0" w:space="0" w:color="auto"/>
                <w:left w:val="none" w:sz="0" w:space="0" w:color="auto"/>
                <w:bottom w:val="none" w:sz="0" w:space="0" w:color="auto"/>
                <w:right w:val="none" w:sz="0" w:space="0" w:color="auto"/>
              </w:divBdr>
            </w:div>
          </w:divsChild>
        </w:div>
        <w:div w:id="1567764628">
          <w:marLeft w:val="0"/>
          <w:marRight w:val="0"/>
          <w:marTop w:val="300"/>
          <w:marBottom w:val="300"/>
          <w:divBdr>
            <w:top w:val="none" w:sz="0" w:space="0" w:color="auto"/>
            <w:left w:val="none" w:sz="0" w:space="0" w:color="auto"/>
            <w:bottom w:val="none" w:sz="0" w:space="0" w:color="auto"/>
            <w:right w:val="none" w:sz="0" w:space="0" w:color="auto"/>
          </w:divBdr>
        </w:div>
        <w:div w:id="248125803">
          <w:marLeft w:val="0"/>
          <w:marRight w:val="0"/>
          <w:marTop w:val="0"/>
          <w:marBottom w:val="0"/>
          <w:divBdr>
            <w:top w:val="none" w:sz="0" w:space="0" w:color="auto"/>
            <w:left w:val="none" w:sz="0" w:space="0" w:color="auto"/>
            <w:bottom w:val="none" w:sz="0" w:space="0" w:color="auto"/>
            <w:right w:val="none" w:sz="0" w:space="0" w:color="auto"/>
          </w:divBdr>
          <w:divsChild>
            <w:div w:id="1071926871">
              <w:marLeft w:val="0"/>
              <w:marRight w:val="0"/>
              <w:marTop w:val="0"/>
              <w:marBottom w:val="0"/>
              <w:divBdr>
                <w:top w:val="none" w:sz="0" w:space="0" w:color="auto"/>
                <w:left w:val="none" w:sz="0" w:space="0" w:color="auto"/>
                <w:bottom w:val="none" w:sz="0" w:space="0" w:color="auto"/>
                <w:right w:val="none" w:sz="0" w:space="0" w:color="auto"/>
              </w:divBdr>
            </w:div>
          </w:divsChild>
        </w:div>
        <w:div w:id="1109279789">
          <w:marLeft w:val="0"/>
          <w:marRight w:val="0"/>
          <w:marTop w:val="0"/>
          <w:marBottom w:val="0"/>
          <w:divBdr>
            <w:top w:val="none" w:sz="0" w:space="0" w:color="auto"/>
            <w:left w:val="none" w:sz="0" w:space="0" w:color="auto"/>
            <w:bottom w:val="none" w:sz="0" w:space="0" w:color="auto"/>
            <w:right w:val="none" w:sz="0" w:space="0" w:color="auto"/>
          </w:divBdr>
          <w:divsChild>
            <w:div w:id="558594118">
              <w:marLeft w:val="0"/>
              <w:marRight w:val="0"/>
              <w:marTop w:val="0"/>
              <w:marBottom w:val="0"/>
              <w:divBdr>
                <w:top w:val="none" w:sz="0" w:space="0" w:color="auto"/>
                <w:left w:val="none" w:sz="0" w:space="0" w:color="auto"/>
                <w:bottom w:val="none" w:sz="0" w:space="0" w:color="auto"/>
                <w:right w:val="none" w:sz="0" w:space="0" w:color="auto"/>
              </w:divBdr>
            </w:div>
          </w:divsChild>
        </w:div>
        <w:div w:id="482241621">
          <w:marLeft w:val="0"/>
          <w:marRight w:val="0"/>
          <w:marTop w:val="0"/>
          <w:marBottom w:val="0"/>
          <w:divBdr>
            <w:top w:val="none" w:sz="0" w:space="0" w:color="auto"/>
            <w:left w:val="none" w:sz="0" w:space="0" w:color="auto"/>
            <w:bottom w:val="none" w:sz="0" w:space="0" w:color="auto"/>
            <w:right w:val="none" w:sz="0" w:space="0" w:color="auto"/>
          </w:divBdr>
          <w:divsChild>
            <w:div w:id="353384966">
              <w:marLeft w:val="0"/>
              <w:marRight w:val="0"/>
              <w:marTop w:val="0"/>
              <w:marBottom w:val="0"/>
              <w:divBdr>
                <w:top w:val="none" w:sz="0" w:space="0" w:color="auto"/>
                <w:left w:val="none" w:sz="0" w:space="0" w:color="auto"/>
                <w:bottom w:val="none" w:sz="0" w:space="0" w:color="auto"/>
                <w:right w:val="none" w:sz="0" w:space="0" w:color="auto"/>
              </w:divBdr>
            </w:div>
          </w:divsChild>
        </w:div>
        <w:div w:id="1686708118">
          <w:marLeft w:val="0"/>
          <w:marRight w:val="0"/>
          <w:marTop w:val="0"/>
          <w:marBottom w:val="0"/>
          <w:divBdr>
            <w:top w:val="none" w:sz="0" w:space="0" w:color="auto"/>
            <w:left w:val="none" w:sz="0" w:space="0" w:color="auto"/>
            <w:bottom w:val="none" w:sz="0" w:space="0" w:color="auto"/>
            <w:right w:val="none" w:sz="0" w:space="0" w:color="auto"/>
          </w:divBdr>
          <w:divsChild>
            <w:div w:id="783576127">
              <w:marLeft w:val="0"/>
              <w:marRight w:val="0"/>
              <w:marTop w:val="0"/>
              <w:marBottom w:val="0"/>
              <w:divBdr>
                <w:top w:val="none" w:sz="0" w:space="0" w:color="auto"/>
                <w:left w:val="none" w:sz="0" w:space="0" w:color="auto"/>
                <w:bottom w:val="none" w:sz="0" w:space="0" w:color="auto"/>
                <w:right w:val="none" w:sz="0" w:space="0" w:color="auto"/>
              </w:divBdr>
            </w:div>
          </w:divsChild>
        </w:div>
        <w:div w:id="1416364180">
          <w:marLeft w:val="0"/>
          <w:marRight w:val="0"/>
          <w:marTop w:val="300"/>
          <w:marBottom w:val="300"/>
          <w:divBdr>
            <w:top w:val="none" w:sz="0" w:space="0" w:color="auto"/>
            <w:left w:val="none" w:sz="0" w:space="0" w:color="auto"/>
            <w:bottom w:val="none" w:sz="0" w:space="0" w:color="auto"/>
            <w:right w:val="none" w:sz="0" w:space="0" w:color="auto"/>
          </w:divBdr>
        </w:div>
        <w:div w:id="462580273">
          <w:marLeft w:val="0"/>
          <w:marRight w:val="0"/>
          <w:marTop w:val="0"/>
          <w:marBottom w:val="0"/>
          <w:divBdr>
            <w:top w:val="none" w:sz="0" w:space="0" w:color="auto"/>
            <w:left w:val="none" w:sz="0" w:space="0" w:color="auto"/>
            <w:bottom w:val="none" w:sz="0" w:space="0" w:color="auto"/>
            <w:right w:val="none" w:sz="0" w:space="0" w:color="auto"/>
          </w:divBdr>
          <w:divsChild>
            <w:div w:id="1157383734">
              <w:marLeft w:val="0"/>
              <w:marRight w:val="0"/>
              <w:marTop w:val="0"/>
              <w:marBottom w:val="0"/>
              <w:divBdr>
                <w:top w:val="none" w:sz="0" w:space="0" w:color="auto"/>
                <w:left w:val="none" w:sz="0" w:space="0" w:color="auto"/>
                <w:bottom w:val="none" w:sz="0" w:space="0" w:color="auto"/>
                <w:right w:val="none" w:sz="0" w:space="0" w:color="auto"/>
              </w:divBdr>
            </w:div>
          </w:divsChild>
        </w:div>
        <w:div w:id="792485382">
          <w:marLeft w:val="0"/>
          <w:marRight w:val="0"/>
          <w:marTop w:val="0"/>
          <w:marBottom w:val="0"/>
          <w:divBdr>
            <w:top w:val="none" w:sz="0" w:space="0" w:color="auto"/>
            <w:left w:val="none" w:sz="0" w:space="0" w:color="auto"/>
            <w:bottom w:val="none" w:sz="0" w:space="0" w:color="auto"/>
            <w:right w:val="none" w:sz="0" w:space="0" w:color="auto"/>
          </w:divBdr>
          <w:divsChild>
            <w:div w:id="223181644">
              <w:marLeft w:val="0"/>
              <w:marRight w:val="0"/>
              <w:marTop w:val="0"/>
              <w:marBottom w:val="0"/>
              <w:divBdr>
                <w:top w:val="none" w:sz="0" w:space="0" w:color="auto"/>
                <w:left w:val="none" w:sz="0" w:space="0" w:color="auto"/>
                <w:bottom w:val="none" w:sz="0" w:space="0" w:color="auto"/>
                <w:right w:val="none" w:sz="0" w:space="0" w:color="auto"/>
              </w:divBdr>
            </w:div>
          </w:divsChild>
        </w:div>
        <w:div w:id="838079573">
          <w:marLeft w:val="0"/>
          <w:marRight w:val="0"/>
          <w:marTop w:val="300"/>
          <w:marBottom w:val="300"/>
          <w:divBdr>
            <w:top w:val="none" w:sz="0" w:space="0" w:color="auto"/>
            <w:left w:val="none" w:sz="0" w:space="0" w:color="auto"/>
            <w:bottom w:val="none" w:sz="0" w:space="0" w:color="auto"/>
            <w:right w:val="none" w:sz="0" w:space="0" w:color="auto"/>
          </w:divBdr>
        </w:div>
        <w:div w:id="160052382">
          <w:marLeft w:val="0"/>
          <w:marRight w:val="0"/>
          <w:marTop w:val="0"/>
          <w:marBottom w:val="0"/>
          <w:divBdr>
            <w:top w:val="none" w:sz="0" w:space="0" w:color="auto"/>
            <w:left w:val="none" w:sz="0" w:space="0" w:color="auto"/>
            <w:bottom w:val="none" w:sz="0" w:space="0" w:color="auto"/>
            <w:right w:val="none" w:sz="0" w:space="0" w:color="auto"/>
          </w:divBdr>
          <w:divsChild>
            <w:div w:id="556822326">
              <w:marLeft w:val="0"/>
              <w:marRight w:val="0"/>
              <w:marTop w:val="0"/>
              <w:marBottom w:val="0"/>
              <w:divBdr>
                <w:top w:val="none" w:sz="0" w:space="0" w:color="auto"/>
                <w:left w:val="none" w:sz="0" w:space="0" w:color="auto"/>
                <w:bottom w:val="none" w:sz="0" w:space="0" w:color="auto"/>
                <w:right w:val="none" w:sz="0" w:space="0" w:color="auto"/>
              </w:divBdr>
            </w:div>
          </w:divsChild>
        </w:div>
        <w:div w:id="931864122">
          <w:marLeft w:val="0"/>
          <w:marRight w:val="0"/>
          <w:marTop w:val="0"/>
          <w:marBottom w:val="0"/>
          <w:divBdr>
            <w:top w:val="none" w:sz="0" w:space="0" w:color="auto"/>
            <w:left w:val="none" w:sz="0" w:space="0" w:color="auto"/>
            <w:bottom w:val="none" w:sz="0" w:space="0" w:color="auto"/>
            <w:right w:val="none" w:sz="0" w:space="0" w:color="auto"/>
          </w:divBdr>
          <w:divsChild>
            <w:div w:id="454830258">
              <w:marLeft w:val="0"/>
              <w:marRight w:val="0"/>
              <w:marTop w:val="0"/>
              <w:marBottom w:val="0"/>
              <w:divBdr>
                <w:top w:val="none" w:sz="0" w:space="0" w:color="auto"/>
                <w:left w:val="none" w:sz="0" w:space="0" w:color="auto"/>
                <w:bottom w:val="none" w:sz="0" w:space="0" w:color="auto"/>
                <w:right w:val="none" w:sz="0" w:space="0" w:color="auto"/>
              </w:divBdr>
            </w:div>
          </w:divsChild>
        </w:div>
        <w:div w:id="847016910">
          <w:marLeft w:val="0"/>
          <w:marRight w:val="0"/>
          <w:marTop w:val="0"/>
          <w:marBottom w:val="0"/>
          <w:divBdr>
            <w:top w:val="none" w:sz="0" w:space="0" w:color="auto"/>
            <w:left w:val="none" w:sz="0" w:space="0" w:color="auto"/>
            <w:bottom w:val="none" w:sz="0" w:space="0" w:color="auto"/>
            <w:right w:val="none" w:sz="0" w:space="0" w:color="auto"/>
          </w:divBdr>
          <w:divsChild>
            <w:div w:id="919217206">
              <w:marLeft w:val="0"/>
              <w:marRight w:val="0"/>
              <w:marTop w:val="0"/>
              <w:marBottom w:val="0"/>
              <w:divBdr>
                <w:top w:val="none" w:sz="0" w:space="0" w:color="auto"/>
                <w:left w:val="none" w:sz="0" w:space="0" w:color="auto"/>
                <w:bottom w:val="none" w:sz="0" w:space="0" w:color="auto"/>
                <w:right w:val="none" w:sz="0" w:space="0" w:color="auto"/>
              </w:divBdr>
            </w:div>
          </w:divsChild>
        </w:div>
        <w:div w:id="138694310">
          <w:marLeft w:val="0"/>
          <w:marRight w:val="0"/>
          <w:marTop w:val="0"/>
          <w:marBottom w:val="0"/>
          <w:divBdr>
            <w:top w:val="none" w:sz="0" w:space="0" w:color="auto"/>
            <w:left w:val="none" w:sz="0" w:space="0" w:color="auto"/>
            <w:bottom w:val="none" w:sz="0" w:space="0" w:color="auto"/>
            <w:right w:val="none" w:sz="0" w:space="0" w:color="auto"/>
          </w:divBdr>
          <w:divsChild>
            <w:div w:id="1441948189">
              <w:marLeft w:val="0"/>
              <w:marRight w:val="0"/>
              <w:marTop w:val="0"/>
              <w:marBottom w:val="0"/>
              <w:divBdr>
                <w:top w:val="none" w:sz="0" w:space="0" w:color="auto"/>
                <w:left w:val="none" w:sz="0" w:space="0" w:color="auto"/>
                <w:bottom w:val="none" w:sz="0" w:space="0" w:color="auto"/>
                <w:right w:val="none" w:sz="0" w:space="0" w:color="auto"/>
              </w:divBdr>
            </w:div>
          </w:divsChild>
        </w:div>
        <w:div w:id="574556380">
          <w:marLeft w:val="0"/>
          <w:marRight w:val="0"/>
          <w:marTop w:val="0"/>
          <w:marBottom w:val="0"/>
          <w:divBdr>
            <w:top w:val="none" w:sz="0" w:space="0" w:color="auto"/>
            <w:left w:val="none" w:sz="0" w:space="0" w:color="auto"/>
            <w:bottom w:val="none" w:sz="0" w:space="0" w:color="auto"/>
            <w:right w:val="none" w:sz="0" w:space="0" w:color="auto"/>
          </w:divBdr>
          <w:divsChild>
            <w:div w:id="1579510669">
              <w:marLeft w:val="0"/>
              <w:marRight w:val="0"/>
              <w:marTop w:val="0"/>
              <w:marBottom w:val="0"/>
              <w:divBdr>
                <w:top w:val="none" w:sz="0" w:space="0" w:color="auto"/>
                <w:left w:val="none" w:sz="0" w:space="0" w:color="auto"/>
                <w:bottom w:val="none" w:sz="0" w:space="0" w:color="auto"/>
                <w:right w:val="none" w:sz="0" w:space="0" w:color="auto"/>
              </w:divBdr>
            </w:div>
          </w:divsChild>
        </w:div>
        <w:div w:id="1912303659">
          <w:marLeft w:val="0"/>
          <w:marRight w:val="0"/>
          <w:marTop w:val="300"/>
          <w:marBottom w:val="300"/>
          <w:divBdr>
            <w:top w:val="none" w:sz="0" w:space="0" w:color="auto"/>
            <w:left w:val="none" w:sz="0" w:space="0" w:color="auto"/>
            <w:bottom w:val="none" w:sz="0" w:space="0" w:color="auto"/>
            <w:right w:val="none" w:sz="0" w:space="0" w:color="auto"/>
          </w:divBdr>
        </w:div>
        <w:div w:id="635066183">
          <w:marLeft w:val="0"/>
          <w:marRight w:val="0"/>
          <w:marTop w:val="0"/>
          <w:marBottom w:val="0"/>
          <w:divBdr>
            <w:top w:val="none" w:sz="0" w:space="0" w:color="auto"/>
            <w:left w:val="none" w:sz="0" w:space="0" w:color="auto"/>
            <w:bottom w:val="none" w:sz="0" w:space="0" w:color="auto"/>
            <w:right w:val="none" w:sz="0" w:space="0" w:color="auto"/>
          </w:divBdr>
          <w:divsChild>
            <w:div w:id="1048383717">
              <w:marLeft w:val="0"/>
              <w:marRight w:val="0"/>
              <w:marTop w:val="0"/>
              <w:marBottom w:val="0"/>
              <w:divBdr>
                <w:top w:val="none" w:sz="0" w:space="0" w:color="auto"/>
                <w:left w:val="none" w:sz="0" w:space="0" w:color="auto"/>
                <w:bottom w:val="none" w:sz="0" w:space="0" w:color="auto"/>
                <w:right w:val="none" w:sz="0" w:space="0" w:color="auto"/>
              </w:divBdr>
            </w:div>
          </w:divsChild>
        </w:div>
        <w:div w:id="1798066728">
          <w:marLeft w:val="0"/>
          <w:marRight w:val="0"/>
          <w:marTop w:val="300"/>
          <w:marBottom w:val="300"/>
          <w:divBdr>
            <w:top w:val="none" w:sz="0" w:space="0" w:color="auto"/>
            <w:left w:val="none" w:sz="0" w:space="0" w:color="auto"/>
            <w:bottom w:val="none" w:sz="0" w:space="0" w:color="auto"/>
            <w:right w:val="none" w:sz="0" w:space="0" w:color="auto"/>
          </w:divBdr>
        </w:div>
        <w:div w:id="1610548349">
          <w:marLeft w:val="0"/>
          <w:marRight w:val="0"/>
          <w:marTop w:val="0"/>
          <w:marBottom w:val="0"/>
          <w:divBdr>
            <w:top w:val="none" w:sz="0" w:space="0" w:color="auto"/>
            <w:left w:val="none" w:sz="0" w:space="0" w:color="auto"/>
            <w:bottom w:val="none" w:sz="0" w:space="0" w:color="auto"/>
            <w:right w:val="none" w:sz="0" w:space="0" w:color="auto"/>
          </w:divBdr>
          <w:divsChild>
            <w:div w:id="1566260728">
              <w:marLeft w:val="0"/>
              <w:marRight w:val="0"/>
              <w:marTop w:val="0"/>
              <w:marBottom w:val="0"/>
              <w:divBdr>
                <w:top w:val="none" w:sz="0" w:space="0" w:color="auto"/>
                <w:left w:val="none" w:sz="0" w:space="0" w:color="auto"/>
                <w:bottom w:val="none" w:sz="0" w:space="0" w:color="auto"/>
                <w:right w:val="none" w:sz="0" w:space="0" w:color="auto"/>
              </w:divBdr>
            </w:div>
          </w:divsChild>
        </w:div>
        <w:div w:id="750737439">
          <w:marLeft w:val="0"/>
          <w:marRight w:val="0"/>
          <w:marTop w:val="0"/>
          <w:marBottom w:val="0"/>
          <w:divBdr>
            <w:top w:val="none" w:sz="0" w:space="0" w:color="auto"/>
            <w:left w:val="none" w:sz="0" w:space="0" w:color="auto"/>
            <w:bottom w:val="none" w:sz="0" w:space="0" w:color="auto"/>
            <w:right w:val="none" w:sz="0" w:space="0" w:color="auto"/>
          </w:divBdr>
          <w:divsChild>
            <w:div w:id="1260334458">
              <w:marLeft w:val="0"/>
              <w:marRight w:val="0"/>
              <w:marTop w:val="0"/>
              <w:marBottom w:val="0"/>
              <w:divBdr>
                <w:top w:val="none" w:sz="0" w:space="0" w:color="auto"/>
                <w:left w:val="none" w:sz="0" w:space="0" w:color="auto"/>
                <w:bottom w:val="none" w:sz="0" w:space="0" w:color="auto"/>
                <w:right w:val="none" w:sz="0" w:space="0" w:color="auto"/>
              </w:divBdr>
            </w:div>
          </w:divsChild>
        </w:div>
        <w:div w:id="1247105830">
          <w:marLeft w:val="0"/>
          <w:marRight w:val="0"/>
          <w:marTop w:val="0"/>
          <w:marBottom w:val="0"/>
          <w:divBdr>
            <w:top w:val="none" w:sz="0" w:space="0" w:color="auto"/>
            <w:left w:val="none" w:sz="0" w:space="0" w:color="auto"/>
            <w:bottom w:val="none" w:sz="0" w:space="0" w:color="auto"/>
            <w:right w:val="none" w:sz="0" w:space="0" w:color="auto"/>
          </w:divBdr>
          <w:divsChild>
            <w:div w:id="1317109440">
              <w:marLeft w:val="0"/>
              <w:marRight w:val="0"/>
              <w:marTop w:val="0"/>
              <w:marBottom w:val="0"/>
              <w:divBdr>
                <w:top w:val="none" w:sz="0" w:space="0" w:color="auto"/>
                <w:left w:val="none" w:sz="0" w:space="0" w:color="auto"/>
                <w:bottom w:val="none" w:sz="0" w:space="0" w:color="auto"/>
                <w:right w:val="none" w:sz="0" w:space="0" w:color="auto"/>
              </w:divBdr>
            </w:div>
          </w:divsChild>
        </w:div>
        <w:div w:id="1537811173">
          <w:marLeft w:val="0"/>
          <w:marRight w:val="0"/>
          <w:marTop w:val="0"/>
          <w:marBottom w:val="0"/>
          <w:divBdr>
            <w:top w:val="none" w:sz="0" w:space="0" w:color="auto"/>
            <w:left w:val="none" w:sz="0" w:space="0" w:color="auto"/>
            <w:bottom w:val="none" w:sz="0" w:space="0" w:color="auto"/>
            <w:right w:val="none" w:sz="0" w:space="0" w:color="auto"/>
          </w:divBdr>
          <w:divsChild>
            <w:div w:id="1831171269">
              <w:marLeft w:val="0"/>
              <w:marRight w:val="0"/>
              <w:marTop w:val="0"/>
              <w:marBottom w:val="0"/>
              <w:divBdr>
                <w:top w:val="none" w:sz="0" w:space="0" w:color="auto"/>
                <w:left w:val="none" w:sz="0" w:space="0" w:color="auto"/>
                <w:bottom w:val="none" w:sz="0" w:space="0" w:color="auto"/>
                <w:right w:val="none" w:sz="0" w:space="0" w:color="auto"/>
              </w:divBdr>
            </w:div>
          </w:divsChild>
        </w:div>
        <w:div w:id="1199003079">
          <w:marLeft w:val="0"/>
          <w:marRight w:val="0"/>
          <w:marTop w:val="300"/>
          <w:marBottom w:val="300"/>
          <w:divBdr>
            <w:top w:val="none" w:sz="0" w:space="0" w:color="auto"/>
            <w:left w:val="none" w:sz="0" w:space="0" w:color="auto"/>
            <w:bottom w:val="none" w:sz="0" w:space="0" w:color="auto"/>
            <w:right w:val="none" w:sz="0" w:space="0" w:color="auto"/>
          </w:divBdr>
        </w:div>
        <w:div w:id="2033722625">
          <w:marLeft w:val="0"/>
          <w:marRight w:val="0"/>
          <w:marTop w:val="0"/>
          <w:marBottom w:val="0"/>
          <w:divBdr>
            <w:top w:val="none" w:sz="0" w:space="0" w:color="auto"/>
            <w:left w:val="none" w:sz="0" w:space="0" w:color="auto"/>
            <w:bottom w:val="none" w:sz="0" w:space="0" w:color="auto"/>
            <w:right w:val="none" w:sz="0" w:space="0" w:color="auto"/>
          </w:divBdr>
          <w:divsChild>
            <w:div w:id="1352489903">
              <w:marLeft w:val="0"/>
              <w:marRight w:val="0"/>
              <w:marTop w:val="0"/>
              <w:marBottom w:val="0"/>
              <w:divBdr>
                <w:top w:val="none" w:sz="0" w:space="0" w:color="auto"/>
                <w:left w:val="none" w:sz="0" w:space="0" w:color="auto"/>
                <w:bottom w:val="none" w:sz="0" w:space="0" w:color="auto"/>
                <w:right w:val="none" w:sz="0" w:space="0" w:color="auto"/>
              </w:divBdr>
            </w:div>
          </w:divsChild>
        </w:div>
        <w:div w:id="523250189">
          <w:marLeft w:val="0"/>
          <w:marRight w:val="0"/>
          <w:marTop w:val="300"/>
          <w:marBottom w:val="300"/>
          <w:divBdr>
            <w:top w:val="none" w:sz="0" w:space="0" w:color="auto"/>
            <w:left w:val="none" w:sz="0" w:space="0" w:color="auto"/>
            <w:bottom w:val="none" w:sz="0" w:space="0" w:color="auto"/>
            <w:right w:val="none" w:sz="0" w:space="0" w:color="auto"/>
          </w:divBdr>
        </w:div>
        <w:div w:id="1872835005">
          <w:marLeft w:val="0"/>
          <w:marRight w:val="0"/>
          <w:marTop w:val="0"/>
          <w:marBottom w:val="0"/>
          <w:divBdr>
            <w:top w:val="none" w:sz="0" w:space="0" w:color="auto"/>
            <w:left w:val="none" w:sz="0" w:space="0" w:color="auto"/>
            <w:bottom w:val="none" w:sz="0" w:space="0" w:color="auto"/>
            <w:right w:val="none" w:sz="0" w:space="0" w:color="auto"/>
          </w:divBdr>
          <w:divsChild>
            <w:div w:id="1188251946">
              <w:marLeft w:val="0"/>
              <w:marRight w:val="0"/>
              <w:marTop w:val="0"/>
              <w:marBottom w:val="0"/>
              <w:divBdr>
                <w:top w:val="none" w:sz="0" w:space="0" w:color="auto"/>
                <w:left w:val="none" w:sz="0" w:space="0" w:color="auto"/>
                <w:bottom w:val="none" w:sz="0" w:space="0" w:color="auto"/>
                <w:right w:val="none" w:sz="0" w:space="0" w:color="auto"/>
              </w:divBdr>
            </w:div>
          </w:divsChild>
        </w:div>
        <w:div w:id="713695032">
          <w:marLeft w:val="0"/>
          <w:marRight w:val="0"/>
          <w:marTop w:val="300"/>
          <w:marBottom w:val="300"/>
          <w:divBdr>
            <w:top w:val="none" w:sz="0" w:space="0" w:color="auto"/>
            <w:left w:val="none" w:sz="0" w:space="0" w:color="auto"/>
            <w:bottom w:val="none" w:sz="0" w:space="0" w:color="auto"/>
            <w:right w:val="none" w:sz="0" w:space="0" w:color="auto"/>
          </w:divBdr>
        </w:div>
        <w:div w:id="1341540711">
          <w:marLeft w:val="0"/>
          <w:marRight w:val="0"/>
          <w:marTop w:val="0"/>
          <w:marBottom w:val="0"/>
          <w:divBdr>
            <w:top w:val="none" w:sz="0" w:space="0" w:color="auto"/>
            <w:left w:val="none" w:sz="0" w:space="0" w:color="auto"/>
            <w:bottom w:val="none" w:sz="0" w:space="0" w:color="auto"/>
            <w:right w:val="none" w:sz="0" w:space="0" w:color="auto"/>
          </w:divBdr>
          <w:divsChild>
            <w:div w:id="684092456">
              <w:marLeft w:val="0"/>
              <w:marRight w:val="0"/>
              <w:marTop w:val="0"/>
              <w:marBottom w:val="0"/>
              <w:divBdr>
                <w:top w:val="none" w:sz="0" w:space="0" w:color="auto"/>
                <w:left w:val="none" w:sz="0" w:space="0" w:color="auto"/>
                <w:bottom w:val="none" w:sz="0" w:space="0" w:color="auto"/>
                <w:right w:val="none" w:sz="0" w:space="0" w:color="auto"/>
              </w:divBdr>
            </w:div>
          </w:divsChild>
        </w:div>
        <w:div w:id="562838413">
          <w:marLeft w:val="0"/>
          <w:marRight w:val="0"/>
          <w:marTop w:val="300"/>
          <w:marBottom w:val="300"/>
          <w:divBdr>
            <w:top w:val="none" w:sz="0" w:space="0" w:color="auto"/>
            <w:left w:val="none" w:sz="0" w:space="0" w:color="auto"/>
            <w:bottom w:val="none" w:sz="0" w:space="0" w:color="auto"/>
            <w:right w:val="none" w:sz="0" w:space="0" w:color="auto"/>
          </w:divBdr>
        </w:div>
        <w:div w:id="456800915">
          <w:marLeft w:val="0"/>
          <w:marRight w:val="0"/>
          <w:marTop w:val="0"/>
          <w:marBottom w:val="0"/>
          <w:divBdr>
            <w:top w:val="none" w:sz="0" w:space="0" w:color="auto"/>
            <w:left w:val="none" w:sz="0" w:space="0" w:color="auto"/>
            <w:bottom w:val="none" w:sz="0" w:space="0" w:color="auto"/>
            <w:right w:val="none" w:sz="0" w:space="0" w:color="auto"/>
          </w:divBdr>
          <w:divsChild>
            <w:div w:id="406196146">
              <w:marLeft w:val="0"/>
              <w:marRight w:val="0"/>
              <w:marTop w:val="0"/>
              <w:marBottom w:val="0"/>
              <w:divBdr>
                <w:top w:val="none" w:sz="0" w:space="0" w:color="auto"/>
                <w:left w:val="none" w:sz="0" w:space="0" w:color="auto"/>
                <w:bottom w:val="none" w:sz="0" w:space="0" w:color="auto"/>
                <w:right w:val="none" w:sz="0" w:space="0" w:color="auto"/>
              </w:divBdr>
            </w:div>
          </w:divsChild>
        </w:div>
        <w:div w:id="603925194">
          <w:marLeft w:val="0"/>
          <w:marRight w:val="0"/>
          <w:marTop w:val="300"/>
          <w:marBottom w:val="300"/>
          <w:divBdr>
            <w:top w:val="none" w:sz="0" w:space="0" w:color="auto"/>
            <w:left w:val="none" w:sz="0" w:space="0" w:color="auto"/>
            <w:bottom w:val="none" w:sz="0" w:space="0" w:color="auto"/>
            <w:right w:val="none" w:sz="0" w:space="0" w:color="auto"/>
          </w:divBdr>
        </w:div>
        <w:div w:id="1630475547">
          <w:marLeft w:val="0"/>
          <w:marRight w:val="0"/>
          <w:marTop w:val="0"/>
          <w:marBottom w:val="0"/>
          <w:divBdr>
            <w:top w:val="none" w:sz="0" w:space="0" w:color="auto"/>
            <w:left w:val="none" w:sz="0" w:space="0" w:color="auto"/>
            <w:bottom w:val="none" w:sz="0" w:space="0" w:color="auto"/>
            <w:right w:val="none" w:sz="0" w:space="0" w:color="auto"/>
          </w:divBdr>
          <w:divsChild>
            <w:div w:id="302196728">
              <w:marLeft w:val="0"/>
              <w:marRight w:val="0"/>
              <w:marTop w:val="0"/>
              <w:marBottom w:val="0"/>
              <w:divBdr>
                <w:top w:val="none" w:sz="0" w:space="0" w:color="auto"/>
                <w:left w:val="none" w:sz="0" w:space="0" w:color="auto"/>
                <w:bottom w:val="none" w:sz="0" w:space="0" w:color="auto"/>
                <w:right w:val="none" w:sz="0" w:space="0" w:color="auto"/>
              </w:divBdr>
            </w:div>
          </w:divsChild>
        </w:div>
        <w:div w:id="1226572621">
          <w:marLeft w:val="0"/>
          <w:marRight w:val="0"/>
          <w:marTop w:val="0"/>
          <w:marBottom w:val="0"/>
          <w:divBdr>
            <w:top w:val="none" w:sz="0" w:space="0" w:color="auto"/>
            <w:left w:val="none" w:sz="0" w:space="0" w:color="auto"/>
            <w:bottom w:val="none" w:sz="0" w:space="0" w:color="auto"/>
            <w:right w:val="none" w:sz="0" w:space="0" w:color="auto"/>
          </w:divBdr>
          <w:divsChild>
            <w:div w:id="755907456">
              <w:marLeft w:val="0"/>
              <w:marRight w:val="0"/>
              <w:marTop w:val="0"/>
              <w:marBottom w:val="0"/>
              <w:divBdr>
                <w:top w:val="none" w:sz="0" w:space="0" w:color="auto"/>
                <w:left w:val="none" w:sz="0" w:space="0" w:color="auto"/>
                <w:bottom w:val="none" w:sz="0" w:space="0" w:color="auto"/>
                <w:right w:val="none" w:sz="0" w:space="0" w:color="auto"/>
              </w:divBdr>
            </w:div>
          </w:divsChild>
        </w:div>
        <w:div w:id="1878161268">
          <w:marLeft w:val="0"/>
          <w:marRight w:val="0"/>
          <w:marTop w:val="0"/>
          <w:marBottom w:val="0"/>
          <w:divBdr>
            <w:top w:val="none" w:sz="0" w:space="0" w:color="auto"/>
            <w:left w:val="none" w:sz="0" w:space="0" w:color="auto"/>
            <w:bottom w:val="none" w:sz="0" w:space="0" w:color="auto"/>
            <w:right w:val="none" w:sz="0" w:space="0" w:color="auto"/>
          </w:divBdr>
          <w:divsChild>
            <w:div w:id="869101742">
              <w:marLeft w:val="0"/>
              <w:marRight w:val="0"/>
              <w:marTop w:val="0"/>
              <w:marBottom w:val="0"/>
              <w:divBdr>
                <w:top w:val="none" w:sz="0" w:space="0" w:color="auto"/>
                <w:left w:val="none" w:sz="0" w:space="0" w:color="auto"/>
                <w:bottom w:val="none" w:sz="0" w:space="0" w:color="auto"/>
                <w:right w:val="none" w:sz="0" w:space="0" w:color="auto"/>
              </w:divBdr>
            </w:div>
          </w:divsChild>
        </w:div>
        <w:div w:id="1930964840">
          <w:marLeft w:val="0"/>
          <w:marRight w:val="0"/>
          <w:marTop w:val="0"/>
          <w:marBottom w:val="0"/>
          <w:divBdr>
            <w:top w:val="none" w:sz="0" w:space="0" w:color="auto"/>
            <w:left w:val="none" w:sz="0" w:space="0" w:color="auto"/>
            <w:bottom w:val="none" w:sz="0" w:space="0" w:color="auto"/>
            <w:right w:val="none" w:sz="0" w:space="0" w:color="auto"/>
          </w:divBdr>
          <w:divsChild>
            <w:div w:id="1525746181">
              <w:marLeft w:val="0"/>
              <w:marRight w:val="0"/>
              <w:marTop w:val="0"/>
              <w:marBottom w:val="0"/>
              <w:divBdr>
                <w:top w:val="none" w:sz="0" w:space="0" w:color="auto"/>
                <w:left w:val="none" w:sz="0" w:space="0" w:color="auto"/>
                <w:bottom w:val="none" w:sz="0" w:space="0" w:color="auto"/>
                <w:right w:val="none" w:sz="0" w:space="0" w:color="auto"/>
              </w:divBdr>
            </w:div>
          </w:divsChild>
        </w:div>
        <w:div w:id="1527787832">
          <w:marLeft w:val="0"/>
          <w:marRight w:val="0"/>
          <w:marTop w:val="0"/>
          <w:marBottom w:val="0"/>
          <w:divBdr>
            <w:top w:val="none" w:sz="0" w:space="0" w:color="auto"/>
            <w:left w:val="none" w:sz="0" w:space="0" w:color="auto"/>
            <w:bottom w:val="none" w:sz="0" w:space="0" w:color="auto"/>
            <w:right w:val="none" w:sz="0" w:space="0" w:color="auto"/>
          </w:divBdr>
          <w:divsChild>
            <w:div w:id="1015696141">
              <w:marLeft w:val="0"/>
              <w:marRight w:val="0"/>
              <w:marTop w:val="0"/>
              <w:marBottom w:val="0"/>
              <w:divBdr>
                <w:top w:val="none" w:sz="0" w:space="0" w:color="auto"/>
                <w:left w:val="none" w:sz="0" w:space="0" w:color="auto"/>
                <w:bottom w:val="none" w:sz="0" w:space="0" w:color="auto"/>
                <w:right w:val="none" w:sz="0" w:space="0" w:color="auto"/>
              </w:divBdr>
            </w:div>
          </w:divsChild>
        </w:div>
        <w:div w:id="1231034862">
          <w:marLeft w:val="0"/>
          <w:marRight w:val="0"/>
          <w:marTop w:val="300"/>
          <w:marBottom w:val="300"/>
          <w:divBdr>
            <w:top w:val="none" w:sz="0" w:space="0" w:color="auto"/>
            <w:left w:val="none" w:sz="0" w:space="0" w:color="auto"/>
            <w:bottom w:val="none" w:sz="0" w:space="0" w:color="auto"/>
            <w:right w:val="none" w:sz="0" w:space="0" w:color="auto"/>
          </w:divBdr>
        </w:div>
        <w:div w:id="800224563">
          <w:marLeft w:val="0"/>
          <w:marRight w:val="0"/>
          <w:marTop w:val="0"/>
          <w:marBottom w:val="0"/>
          <w:divBdr>
            <w:top w:val="none" w:sz="0" w:space="0" w:color="auto"/>
            <w:left w:val="none" w:sz="0" w:space="0" w:color="auto"/>
            <w:bottom w:val="none" w:sz="0" w:space="0" w:color="auto"/>
            <w:right w:val="none" w:sz="0" w:space="0" w:color="auto"/>
          </w:divBdr>
          <w:divsChild>
            <w:div w:id="1532838557">
              <w:marLeft w:val="0"/>
              <w:marRight w:val="0"/>
              <w:marTop w:val="0"/>
              <w:marBottom w:val="0"/>
              <w:divBdr>
                <w:top w:val="none" w:sz="0" w:space="0" w:color="auto"/>
                <w:left w:val="none" w:sz="0" w:space="0" w:color="auto"/>
                <w:bottom w:val="none" w:sz="0" w:space="0" w:color="auto"/>
                <w:right w:val="none" w:sz="0" w:space="0" w:color="auto"/>
              </w:divBdr>
            </w:div>
          </w:divsChild>
        </w:div>
        <w:div w:id="1489663296">
          <w:marLeft w:val="0"/>
          <w:marRight w:val="0"/>
          <w:marTop w:val="0"/>
          <w:marBottom w:val="0"/>
          <w:divBdr>
            <w:top w:val="none" w:sz="0" w:space="0" w:color="auto"/>
            <w:left w:val="none" w:sz="0" w:space="0" w:color="auto"/>
            <w:bottom w:val="none" w:sz="0" w:space="0" w:color="auto"/>
            <w:right w:val="none" w:sz="0" w:space="0" w:color="auto"/>
          </w:divBdr>
          <w:divsChild>
            <w:div w:id="1517621755">
              <w:marLeft w:val="0"/>
              <w:marRight w:val="0"/>
              <w:marTop w:val="0"/>
              <w:marBottom w:val="0"/>
              <w:divBdr>
                <w:top w:val="none" w:sz="0" w:space="0" w:color="auto"/>
                <w:left w:val="none" w:sz="0" w:space="0" w:color="auto"/>
                <w:bottom w:val="none" w:sz="0" w:space="0" w:color="auto"/>
                <w:right w:val="none" w:sz="0" w:space="0" w:color="auto"/>
              </w:divBdr>
            </w:div>
          </w:divsChild>
        </w:div>
        <w:div w:id="842160476">
          <w:marLeft w:val="0"/>
          <w:marRight w:val="0"/>
          <w:marTop w:val="0"/>
          <w:marBottom w:val="0"/>
          <w:divBdr>
            <w:top w:val="none" w:sz="0" w:space="0" w:color="auto"/>
            <w:left w:val="none" w:sz="0" w:space="0" w:color="auto"/>
            <w:bottom w:val="none" w:sz="0" w:space="0" w:color="auto"/>
            <w:right w:val="none" w:sz="0" w:space="0" w:color="auto"/>
          </w:divBdr>
          <w:divsChild>
            <w:div w:id="836533538">
              <w:marLeft w:val="0"/>
              <w:marRight w:val="0"/>
              <w:marTop w:val="0"/>
              <w:marBottom w:val="0"/>
              <w:divBdr>
                <w:top w:val="none" w:sz="0" w:space="0" w:color="auto"/>
                <w:left w:val="none" w:sz="0" w:space="0" w:color="auto"/>
                <w:bottom w:val="none" w:sz="0" w:space="0" w:color="auto"/>
                <w:right w:val="none" w:sz="0" w:space="0" w:color="auto"/>
              </w:divBdr>
            </w:div>
          </w:divsChild>
        </w:div>
        <w:div w:id="1388072514">
          <w:marLeft w:val="0"/>
          <w:marRight w:val="0"/>
          <w:marTop w:val="0"/>
          <w:marBottom w:val="0"/>
          <w:divBdr>
            <w:top w:val="none" w:sz="0" w:space="0" w:color="auto"/>
            <w:left w:val="none" w:sz="0" w:space="0" w:color="auto"/>
            <w:bottom w:val="none" w:sz="0" w:space="0" w:color="auto"/>
            <w:right w:val="none" w:sz="0" w:space="0" w:color="auto"/>
          </w:divBdr>
          <w:divsChild>
            <w:div w:id="1230772398">
              <w:marLeft w:val="0"/>
              <w:marRight w:val="0"/>
              <w:marTop w:val="0"/>
              <w:marBottom w:val="0"/>
              <w:divBdr>
                <w:top w:val="none" w:sz="0" w:space="0" w:color="auto"/>
                <w:left w:val="none" w:sz="0" w:space="0" w:color="auto"/>
                <w:bottom w:val="none" w:sz="0" w:space="0" w:color="auto"/>
                <w:right w:val="none" w:sz="0" w:space="0" w:color="auto"/>
              </w:divBdr>
            </w:div>
          </w:divsChild>
        </w:div>
        <w:div w:id="1746957325">
          <w:marLeft w:val="0"/>
          <w:marRight w:val="0"/>
          <w:marTop w:val="300"/>
          <w:marBottom w:val="300"/>
          <w:divBdr>
            <w:top w:val="none" w:sz="0" w:space="0" w:color="auto"/>
            <w:left w:val="none" w:sz="0" w:space="0" w:color="auto"/>
            <w:bottom w:val="none" w:sz="0" w:space="0" w:color="auto"/>
            <w:right w:val="none" w:sz="0" w:space="0" w:color="auto"/>
          </w:divBdr>
        </w:div>
        <w:div w:id="895169644">
          <w:marLeft w:val="0"/>
          <w:marRight w:val="0"/>
          <w:marTop w:val="0"/>
          <w:marBottom w:val="0"/>
          <w:divBdr>
            <w:top w:val="none" w:sz="0" w:space="0" w:color="auto"/>
            <w:left w:val="none" w:sz="0" w:space="0" w:color="auto"/>
            <w:bottom w:val="none" w:sz="0" w:space="0" w:color="auto"/>
            <w:right w:val="none" w:sz="0" w:space="0" w:color="auto"/>
          </w:divBdr>
          <w:divsChild>
            <w:div w:id="980187866">
              <w:marLeft w:val="0"/>
              <w:marRight w:val="0"/>
              <w:marTop w:val="0"/>
              <w:marBottom w:val="0"/>
              <w:divBdr>
                <w:top w:val="none" w:sz="0" w:space="0" w:color="auto"/>
                <w:left w:val="none" w:sz="0" w:space="0" w:color="auto"/>
                <w:bottom w:val="none" w:sz="0" w:space="0" w:color="auto"/>
                <w:right w:val="none" w:sz="0" w:space="0" w:color="auto"/>
              </w:divBdr>
            </w:div>
          </w:divsChild>
        </w:div>
        <w:div w:id="159540516">
          <w:marLeft w:val="0"/>
          <w:marRight w:val="0"/>
          <w:marTop w:val="0"/>
          <w:marBottom w:val="0"/>
          <w:divBdr>
            <w:top w:val="none" w:sz="0" w:space="0" w:color="auto"/>
            <w:left w:val="none" w:sz="0" w:space="0" w:color="auto"/>
            <w:bottom w:val="none" w:sz="0" w:space="0" w:color="auto"/>
            <w:right w:val="none" w:sz="0" w:space="0" w:color="auto"/>
          </w:divBdr>
          <w:divsChild>
            <w:div w:id="598106282">
              <w:marLeft w:val="0"/>
              <w:marRight w:val="0"/>
              <w:marTop w:val="0"/>
              <w:marBottom w:val="0"/>
              <w:divBdr>
                <w:top w:val="none" w:sz="0" w:space="0" w:color="auto"/>
                <w:left w:val="none" w:sz="0" w:space="0" w:color="auto"/>
                <w:bottom w:val="none" w:sz="0" w:space="0" w:color="auto"/>
                <w:right w:val="none" w:sz="0" w:space="0" w:color="auto"/>
              </w:divBdr>
            </w:div>
          </w:divsChild>
        </w:div>
        <w:div w:id="820997739">
          <w:marLeft w:val="0"/>
          <w:marRight w:val="0"/>
          <w:marTop w:val="300"/>
          <w:marBottom w:val="300"/>
          <w:divBdr>
            <w:top w:val="none" w:sz="0" w:space="0" w:color="auto"/>
            <w:left w:val="none" w:sz="0" w:space="0" w:color="auto"/>
            <w:bottom w:val="none" w:sz="0" w:space="0" w:color="auto"/>
            <w:right w:val="none" w:sz="0" w:space="0" w:color="auto"/>
          </w:divBdr>
        </w:div>
        <w:div w:id="532694945">
          <w:marLeft w:val="0"/>
          <w:marRight w:val="0"/>
          <w:marTop w:val="0"/>
          <w:marBottom w:val="0"/>
          <w:divBdr>
            <w:top w:val="none" w:sz="0" w:space="0" w:color="auto"/>
            <w:left w:val="none" w:sz="0" w:space="0" w:color="auto"/>
            <w:bottom w:val="none" w:sz="0" w:space="0" w:color="auto"/>
            <w:right w:val="none" w:sz="0" w:space="0" w:color="auto"/>
          </w:divBdr>
          <w:divsChild>
            <w:div w:id="887494448">
              <w:marLeft w:val="0"/>
              <w:marRight w:val="0"/>
              <w:marTop w:val="0"/>
              <w:marBottom w:val="0"/>
              <w:divBdr>
                <w:top w:val="none" w:sz="0" w:space="0" w:color="auto"/>
                <w:left w:val="none" w:sz="0" w:space="0" w:color="auto"/>
                <w:bottom w:val="none" w:sz="0" w:space="0" w:color="auto"/>
                <w:right w:val="none" w:sz="0" w:space="0" w:color="auto"/>
              </w:divBdr>
            </w:div>
          </w:divsChild>
        </w:div>
        <w:div w:id="23486637">
          <w:marLeft w:val="0"/>
          <w:marRight w:val="0"/>
          <w:marTop w:val="0"/>
          <w:marBottom w:val="0"/>
          <w:divBdr>
            <w:top w:val="none" w:sz="0" w:space="0" w:color="auto"/>
            <w:left w:val="none" w:sz="0" w:space="0" w:color="auto"/>
            <w:bottom w:val="none" w:sz="0" w:space="0" w:color="auto"/>
            <w:right w:val="none" w:sz="0" w:space="0" w:color="auto"/>
          </w:divBdr>
          <w:divsChild>
            <w:div w:id="317343836">
              <w:marLeft w:val="0"/>
              <w:marRight w:val="0"/>
              <w:marTop w:val="0"/>
              <w:marBottom w:val="0"/>
              <w:divBdr>
                <w:top w:val="none" w:sz="0" w:space="0" w:color="auto"/>
                <w:left w:val="none" w:sz="0" w:space="0" w:color="auto"/>
                <w:bottom w:val="none" w:sz="0" w:space="0" w:color="auto"/>
                <w:right w:val="none" w:sz="0" w:space="0" w:color="auto"/>
              </w:divBdr>
            </w:div>
          </w:divsChild>
        </w:div>
        <w:div w:id="864027673">
          <w:marLeft w:val="0"/>
          <w:marRight w:val="0"/>
          <w:marTop w:val="0"/>
          <w:marBottom w:val="0"/>
          <w:divBdr>
            <w:top w:val="none" w:sz="0" w:space="0" w:color="auto"/>
            <w:left w:val="none" w:sz="0" w:space="0" w:color="auto"/>
            <w:bottom w:val="none" w:sz="0" w:space="0" w:color="auto"/>
            <w:right w:val="none" w:sz="0" w:space="0" w:color="auto"/>
          </w:divBdr>
          <w:divsChild>
            <w:div w:id="1752265340">
              <w:marLeft w:val="0"/>
              <w:marRight w:val="0"/>
              <w:marTop w:val="0"/>
              <w:marBottom w:val="0"/>
              <w:divBdr>
                <w:top w:val="none" w:sz="0" w:space="0" w:color="auto"/>
                <w:left w:val="none" w:sz="0" w:space="0" w:color="auto"/>
                <w:bottom w:val="none" w:sz="0" w:space="0" w:color="auto"/>
                <w:right w:val="none" w:sz="0" w:space="0" w:color="auto"/>
              </w:divBdr>
            </w:div>
          </w:divsChild>
        </w:div>
        <w:div w:id="2081056010">
          <w:marLeft w:val="0"/>
          <w:marRight w:val="0"/>
          <w:marTop w:val="0"/>
          <w:marBottom w:val="0"/>
          <w:divBdr>
            <w:top w:val="none" w:sz="0" w:space="0" w:color="auto"/>
            <w:left w:val="none" w:sz="0" w:space="0" w:color="auto"/>
            <w:bottom w:val="none" w:sz="0" w:space="0" w:color="auto"/>
            <w:right w:val="none" w:sz="0" w:space="0" w:color="auto"/>
          </w:divBdr>
          <w:divsChild>
            <w:div w:id="1083335173">
              <w:marLeft w:val="0"/>
              <w:marRight w:val="0"/>
              <w:marTop w:val="0"/>
              <w:marBottom w:val="0"/>
              <w:divBdr>
                <w:top w:val="none" w:sz="0" w:space="0" w:color="auto"/>
                <w:left w:val="none" w:sz="0" w:space="0" w:color="auto"/>
                <w:bottom w:val="none" w:sz="0" w:space="0" w:color="auto"/>
                <w:right w:val="none" w:sz="0" w:space="0" w:color="auto"/>
              </w:divBdr>
            </w:div>
          </w:divsChild>
        </w:div>
        <w:div w:id="1126849778">
          <w:marLeft w:val="0"/>
          <w:marRight w:val="0"/>
          <w:marTop w:val="0"/>
          <w:marBottom w:val="0"/>
          <w:divBdr>
            <w:top w:val="none" w:sz="0" w:space="0" w:color="auto"/>
            <w:left w:val="none" w:sz="0" w:space="0" w:color="auto"/>
            <w:bottom w:val="none" w:sz="0" w:space="0" w:color="auto"/>
            <w:right w:val="none" w:sz="0" w:space="0" w:color="auto"/>
          </w:divBdr>
          <w:divsChild>
            <w:div w:id="1433823404">
              <w:marLeft w:val="0"/>
              <w:marRight w:val="0"/>
              <w:marTop w:val="0"/>
              <w:marBottom w:val="0"/>
              <w:divBdr>
                <w:top w:val="none" w:sz="0" w:space="0" w:color="auto"/>
                <w:left w:val="none" w:sz="0" w:space="0" w:color="auto"/>
                <w:bottom w:val="none" w:sz="0" w:space="0" w:color="auto"/>
                <w:right w:val="none" w:sz="0" w:space="0" w:color="auto"/>
              </w:divBdr>
            </w:div>
          </w:divsChild>
        </w:div>
        <w:div w:id="72551101">
          <w:marLeft w:val="0"/>
          <w:marRight w:val="0"/>
          <w:marTop w:val="0"/>
          <w:marBottom w:val="0"/>
          <w:divBdr>
            <w:top w:val="none" w:sz="0" w:space="0" w:color="auto"/>
            <w:left w:val="none" w:sz="0" w:space="0" w:color="auto"/>
            <w:bottom w:val="none" w:sz="0" w:space="0" w:color="auto"/>
            <w:right w:val="none" w:sz="0" w:space="0" w:color="auto"/>
          </w:divBdr>
          <w:divsChild>
            <w:div w:id="1697997454">
              <w:marLeft w:val="0"/>
              <w:marRight w:val="0"/>
              <w:marTop w:val="0"/>
              <w:marBottom w:val="0"/>
              <w:divBdr>
                <w:top w:val="none" w:sz="0" w:space="0" w:color="auto"/>
                <w:left w:val="none" w:sz="0" w:space="0" w:color="auto"/>
                <w:bottom w:val="none" w:sz="0" w:space="0" w:color="auto"/>
                <w:right w:val="none" w:sz="0" w:space="0" w:color="auto"/>
              </w:divBdr>
            </w:div>
          </w:divsChild>
        </w:div>
        <w:div w:id="831334208">
          <w:marLeft w:val="0"/>
          <w:marRight w:val="0"/>
          <w:marTop w:val="0"/>
          <w:marBottom w:val="0"/>
          <w:divBdr>
            <w:top w:val="none" w:sz="0" w:space="0" w:color="auto"/>
            <w:left w:val="none" w:sz="0" w:space="0" w:color="auto"/>
            <w:bottom w:val="none" w:sz="0" w:space="0" w:color="auto"/>
            <w:right w:val="none" w:sz="0" w:space="0" w:color="auto"/>
          </w:divBdr>
          <w:divsChild>
            <w:div w:id="2144034097">
              <w:marLeft w:val="0"/>
              <w:marRight w:val="0"/>
              <w:marTop w:val="0"/>
              <w:marBottom w:val="0"/>
              <w:divBdr>
                <w:top w:val="none" w:sz="0" w:space="0" w:color="auto"/>
                <w:left w:val="none" w:sz="0" w:space="0" w:color="auto"/>
                <w:bottom w:val="none" w:sz="0" w:space="0" w:color="auto"/>
                <w:right w:val="none" w:sz="0" w:space="0" w:color="auto"/>
              </w:divBdr>
            </w:div>
          </w:divsChild>
        </w:div>
        <w:div w:id="658577540">
          <w:marLeft w:val="0"/>
          <w:marRight w:val="0"/>
          <w:marTop w:val="0"/>
          <w:marBottom w:val="0"/>
          <w:divBdr>
            <w:top w:val="none" w:sz="0" w:space="0" w:color="auto"/>
            <w:left w:val="none" w:sz="0" w:space="0" w:color="auto"/>
            <w:bottom w:val="none" w:sz="0" w:space="0" w:color="auto"/>
            <w:right w:val="none" w:sz="0" w:space="0" w:color="auto"/>
          </w:divBdr>
          <w:divsChild>
            <w:div w:id="1702896643">
              <w:marLeft w:val="0"/>
              <w:marRight w:val="0"/>
              <w:marTop w:val="0"/>
              <w:marBottom w:val="0"/>
              <w:divBdr>
                <w:top w:val="none" w:sz="0" w:space="0" w:color="auto"/>
                <w:left w:val="none" w:sz="0" w:space="0" w:color="auto"/>
                <w:bottom w:val="none" w:sz="0" w:space="0" w:color="auto"/>
                <w:right w:val="none" w:sz="0" w:space="0" w:color="auto"/>
              </w:divBdr>
            </w:div>
          </w:divsChild>
        </w:div>
        <w:div w:id="1756197533">
          <w:marLeft w:val="0"/>
          <w:marRight w:val="0"/>
          <w:marTop w:val="0"/>
          <w:marBottom w:val="0"/>
          <w:divBdr>
            <w:top w:val="none" w:sz="0" w:space="0" w:color="auto"/>
            <w:left w:val="none" w:sz="0" w:space="0" w:color="auto"/>
            <w:bottom w:val="none" w:sz="0" w:space="0" w:color="auto"/>
            <w:right w:val="none" w:sz="0" w:space="0" w:color="auto"/>
          </w:divBdr>
          <w:divsChild>
            <w:div w:id="32704709">
              <w:marLeft w:val="0"/>
              <w:marRight w:val="0"/>
              <w:marTop w:val="0"/>
              <w:marBottom w:val="0"/>
              <w:divBdr>
                <w:top w:val="none" w:sz="0" w:space="0" w:color="auto"/>
                <w:left w:val="none" w:sz="0" w:space="0" w:color="auto"/>
                <w:bottom w:val="none" w:sz="0" w:space="0" w:color="auto"/>
                <w:right w:val="none" w:sz="0" w:space="0" w:color="auto"/>
              </w:divBdr>
            </w:div>
          </w:divsChild>
        </w:div>
        <w:div w:id="270018149">
          <w:marLeft w:val="0"/>
          <w:marRight w:val="0"/>
          <w:marTop w:val="300"/>
          <w:marBottom w:val="300"/>
          <w:divBdr>
            <w:top w:val="none" w:sz="0" w:space="0" w:color="auto"/>
            <w:left w:val="none" w:sz="0" w:space="0" w:color="auto"/>
            <w:bottom w:val="none" w:sz="0" w:space="0" w:color="auto"/>
            <w:right w:val="none" w:sz="0" w:space="0" w:color="auto"/>
          </w:divBdr>
        </w:div>
        <w:div w:id="1567258175">
          <w:marLeft w:val="0"/>
          <w:marRight w:val="0"/>
          <w:marTop w:val="0"/>
          <w:marBottom w:val="0"/>
          <w:divBdr>
            <w:top w:val="none" w:sz="0" w:space="0" w:color="auto"/>
            <w:left w:val="none" w:sz="0" w:space="0" w:color="auto"/>
            <w:bottom w:val="none" w:sz="0" w:space="0" w:color="auto"/>
            <w:right w:val="none" w:sz="0" w:space="0" w:color="auto"/>
          </w:divBdr>
          <w:divsChild>
            <w:div w:id="234896417">
              <w:marLeft w:val="0"/>
              <w:marRight w:val="0"/>
              <w:marTop w:val="0"/>
              <w:marBottom w:val="0"/>
              <w:divBdr>
                <w:top w:val="none" w:sz="0" w:space="0" w:color="auto"/>
                <w:left w:val="none" w:sz="0" w:space="0" w:color="auto"/>
                <w:bottom w:val="none" w:sz="0" w:space="0" w:color="auto"/>
                <w:right w:val="none" w:sz="0" w:space="0" w:color="auto"/>
              </w:divBdr>
            </w:div>
          </w:divsChild>
        </w:div>
        <w:div w:id="1684165561">
          <w:marLeft w:val="0"/>
          <w:marRight w:val="0"/>
          <w:marTop w:val="0"/>
          <w:marBottom w:val="0"/>
          <w:divBdr>
            <w:top w:val="none" w:sz="0" w:space="0" w:color="auto"/>
            <w:left w:val="none" w:sz="0" w:space="0" w:color="auto"/>
            <w:bottom w:val="none" w:sz="0" w:space="0" w:color="auto"/>
            <w:right w:val="none" w:sz="0" w:space="0" w:color="auto"/>
          </w:divBdr>
          <w:divsChild>
            <w:div w:id="98069834">
              <w:marLeft w:val="0"/>
              <w:marRight w:val="0"/>
              <w:marTop w:val="0"/>
              <w:marBottom w:val="0"/>
              <w:divBdr>
                <w:top w:val="none" w:sz="0" w:space="0" w:color="auto"/>
                <w:left w:val="none" w:sz="0" w:space="0" w:color="auto"/>
                <w:bottom w:val="none" w:sz="0" w:space="0" w:color="auto"/>
                <w:right w:val="none" w:sz="0" w:space="0" w:color="auto"/>
              </w:divBdr>
            </w:div>
          </w:divsChild>
        </w:div>
        <w:div w:id="2062247877">
          <w:marLeft w:val="0"/>
          <w:marRight w:val="0"/>
          <w:marTop w:val="300"/>
          <w:marBottom w:val="300"/>
          <w:divBdr>
            <w:top w:val="none" w:sz="0" w:space="0" w:color="auto"/>
            <w:left w:val="none" w:sz="0" w:space="0" w:color="auto"/>
            <w:bottom w:val="none" w:sz="0" w:space="0" w:color="auto"/>
            <w:right w:val="none" w:sz="0" w:space="0" w:color="auto"/>
          </w:divBdr>
        </w:div>
        <w:div w:id="1280380516">
          <w:marLeft w:val="0"/>
          <w:marRight w:val="0"/>
          <w:marTop w:val="0"/>
          <w:marBottom w:val="0"/>
          <w:divBdr>
            <w:top w:val="none" w:sz="0" w:space="0" w:color="auto"/>
            <w:left w:val="none" w:sz="0" w:space="0" w:color="auto"/>
            <w:bottom w:val="none" w:sz="0" w:space="0" w:color="auto"/>
            <w:right w:val="none" w:sz="0" w:space="0" w:color="auto"/>
          </w:divBdr>
          <w:divsChild>
            <w:div w:id="110899589">
              <w:marLeft w:val="0"/>
              <w:marRight w:val="0"/>
              <w:marTop w:val="0"/>
              <w:marBottom w:val="0"/>
              <w:divBdr>
                <w:top w:val="none" w:sz="0" w:space="0" w:color="auto"/>
                <w:left w:val="none" w:sz="0" w:space="0" w:color="auto"/>
                <w:bottom w:val="none" w:sz="0" w:space="0" w:color="auto"/>
                <w:right w:val="none" w:sz="0" w:space="0" w:color="auto"/>
              </w:divBdr>
            </w:div>
          </w:divsChild>
        </w:div>
        <w:div w:id="184947618">
          <w:marLeft w:val="0"/>
          <w:marRight w:val="0"/>
          <w:marTop w:val="0"/>
          <w:marBottom w:val="0"/>
          <w:divBdr>
            <w:top w:val="none" w:sz="0" w:space="0" w:color="auto"/>
            <w:left w:val="none" w:sz="0" w:space="0" w:color="auto"/>
            <w:bottom w:val="none" w:sz="0" w:space="0" w:color="auto"/>
            <w:right w:val="none" w:sz="0" w:space="0" w:color="auto"/>
          </w:divBdr>
          <w:divsChild>
            <w:div w:id="608896501">
              <w:marLeft w:val="0"/>
              <w:marRight w:val="0"/>
              <w:marTop w:val="0"/>
              <w:marBottom w:val="0"/>
              <w:divBdr>
                <w:top w:val="none" w:sz="0" w:space="0" w:color="auto"/>
                <w:left w:val="none" w:sz="0" w:space="0" w:color="auto"/>
                <w:bottom w:val="none" w:sz="0" w:space="0" w:color="auto"/>
                <w:right w:val="none" w:sz="0" w:space="0" w:color="auto"/>
              </w:divBdr>
            </w:div>
          </w:divsChild>
        </w:div>
        <w:div w:id="1864632191">
          <w:marLeft w:val="0"/>
          <w:marRight w:val="0"/>
          <w:marTop w:val="0"/>
          <w:marBottom w:val="0"/>
          <w:divBdr>
            <w:top w:val="none" w:sz="0" w:space="0" w:color="auto"/>
            <w:left w:val="none" w:sz="0" w:space="0" w:color="auto"/>
            <w:bottom w:val="none" w:sz="0" w:space="0" w:color="auto"/>
            <w:right w:val="none" w:sz="0" w:space="0" w:color="auto"/>
          </w:divBdr>
          <w:divsChild>
            <w:div w:id="1263685230">
              <w:marLeft w:val="0"/>
              <w:marRight w:val="0"/>
              <w:marTop w:val="0"/>
              <w:marBottom w:val="0"/>
              <w:divBdr>
                <w:top w:val="none" w:sz="0" w:space="0" w:color="auto"/>
                <w:left w:val="none" w:sz="0" w:space="0" w:color="auto"/>
                <w:bottom w:val="none" w:sz="0" w:space="0" w:color="auto"/>
                <w:right w:val="none" w:sz="0" w:space="0" w:color="auto"/>
              </w:divBdr>
            </w:div>
          </w:divsChild>
        </w:div>
        <w:div w:id="82461552">
          <w:marLeft w:val="0"/>
          <w:marRight w:val="0"/>
          <w:marTop w:val="0"/>
          <w:marBottom w:val="0"/>
          <w:divBdr>
            <w:top w:val="none" w:sz="0" w:space="0" w:color="auto"/>
            <w:left w:val="none" w:sz="0" w:space="0" w:color="auto"/>
            <w:bottom w:val="none" w:sz="0" w:space="0" w:color="auto"/>
            <w:right w:val="none" w:sz="0" w:space="0" w:color="auto"/>
          </w:divBdr>
          <w:divsChild>
            <w:div w:id="188880304">
              <w:marLeft w:val="0"/>
              <w:marRight w:val="0"/>
              <w:marTop w:val="0"/>
              <w:marBottom w:val="0"/>
              <w:divBdr>
                <w:top w:val="none" w:sz="0" w:space="0" w:color="auto"/>
                <w:left w:val="none" w:sz="0" w:space="0" w:color="auto"/>
                <w:bottom w:val="none" w:sz="0" w:space="0" w:color="auto"/>
                <w:right w:val="none" w:sz="0" w:space="0" w:color="auto"/>
              </w:divBdr>
            </w:div>
          </w:divsChild>
        </w:div>
        <w:div w:id="1258565283">
          <w:marLeft w:val="0"/>
          <w:marRight w:val="0"/>
          <w:marTop w:val="0"/>
          <w:marBottom w:val="0"/>
          <w:divBdr>
            <w:top w:val="none" w:sz="0" w:space="0" w:color="auto"/>
            <w:left w:val="none" w:sz="0" w:space="0" w:color="auto"/>
            <w:bottom w:val="none" w:sz="0" w:space="0" w:color="auto"/>
            <w:right w:val="none" w:sz="0" w:space="0" w:color="auto"/>
          </w:divBdr>
          <w:divsChild>
            <w:div w:id="1130516981">
              <w:marLeft w:val="0"/>
              <w:marRight w:val="0"/>
              <w:marTop w:val="0"/>
              <w:marBottom w:val="0"/>
              <w:divBdr>
                <w:top w:val="none" w:sz="0" w:space="0" w:color="auto"/>
                <w:left w:val="none" w:sz="0" w:space="0" w:color="auto"/>
                <w:bottom w:val="none" w:sz="0" w:space="0" w:color="auto"/>
                <w:right w:val="none" w:sz="0" w:space="0" w:color="auto"/>
              </w:divBdr>
            </w:div>
          </w:divsChild>
        </w:div>
        <w:div w:id="1176383227">
          <w:marLeft w:val="0"/>
          <w:marRight w:val="0"/>
          <w:marTop w:val="300"/>
          <w:marBottom w:val="300"/>
          <w:divBdr>
            <w:top w:val="none" w:sz="0" w:space="0" w:color="auto"/>
            <w:left w:val="none" w:sz="0" w:space="0" w:color="auto"/>
            <w:bottom w:val="none" w:sz="0" w:space="0" w:color="auto"/>
            <w:right w:val="none" w:sz="0" w:space="0" w:color="auto"/>
          </w:divBdr>
        </w:div>
        <w:div w:id="1490825379">
          <w:marLeft w:val="0"/>
          <w:marRight w:val="0"/>
          <w:marTop w:val="0"/>
          <w:marBottom w:val="0"/>
          <w:divBdr>
            <w:top w:val="none" w:sz="0" w:space="0" w:color="auto"/>
            <w:left w:val="none" w:sz="0" w:space="0" w:color="auto"/>
            <w:bottom w:val="none" w:sz="0" w:space="0" w:color="auto"/>
            <w:right w:val="none" w:sz="0" w:space="0" w:color="auto"/>
          </w:divBdr>
          <w:divsChild>
            <w:div w:id="1596009898">
              <w:marLeft w:val="0"/>
              <w:marRight w:val="0"/>
              <w:marTop w:val="0"/>
              <w:marBottom w:val="0"/>
              <w:divBdr>
                <w:top w:val="none" w:sz="0" w:space="0" w:color="auto"/>
                <w:left w:val="none" w:sz="0" w:space="0" w:color="auto"/>
                <w:bottom w:val="none" w:sz="0" w:space="0" w:color="auto"/>
                <w:right w:val="none" w:sz="0" w:space="0" w:color="auto"/>
              </w:divBdr>
            </w:div>
          </w:divsChild>
        </w:div>
        <w:div w:id="156775662">
          <w:marLeft w:val="0"/>
          <w:marRight w:val="0"/>
          <w:marTop w:val="0"/>
          <w:marBottom w:val="0"/>
          <w:divBdr>
            <w:top w:val="none" w:sz="0" w:space="0" w:color="auto"/>
            <w:left w:val="none" w:sz="0" w:space="0" w:color="auto"/>
            <w:bottom w:val="none" w:sz="0" w:space="0" w:color="auto"/>
            <w:right w:val="none" w:sz="0" w:space="0" w:color="auto"/>
          </w:divBdr>
          <w:divsChild>
            <w:div w:id="1973368125">
              <w:marLeft w:val="0"/>
              <w:marRight w:val="0"/>
              <w:marTop w:val="0"/>
              <w:marBottom w:val="0"/>
              <w:divBdr>
                <w:top w:val="none" w:sz="0" w:space="0" w:color="auto"/>
                <w:left w:val="none" w:sz="0" w:space="0" w:color="auto"/>
                <w:bottom w:val="none" w:sz="0" w:space="0" w:color="auto"/>
                <w:right w:val="none" w:sz="0" w:space="0" w:color="auto"/>
              </w:divBdr>
            </w:div>
          </w:divsChild>
        </w:div>
        <w:div w:id="479006016">
          <w:marLeft w:val="0"/>
          <w:marRight w:val="0"/>
          <w:marTop w:val="0"/>
          <w:marBottom w:val="0"/>
          <w:divBdr>
            <w:top w:val="none" w:sz="0" w:space="0" w:color="auto"/>
            <w:left w:val="none" w:sz="0" w:space="0" w:color="auto"/>
            <w:bottom w:val="none" w:sz="0" w:space="0" w:color="auto"/>
            <w:right w:val="none" w:sz="0" w:space="0" w:color="auto"/>
          </w:divBdr>
          <w:divsChild>
            <w:div w:id="423040506">
              <w:marLeft w:val="0"/>
              <w:marRight w:val="0"/>
              <w:marTop w:val="0"/>
              <w:marBottom w:val="0"/>
              <w:divBdr>
                <w:top w:val="none" w:sz="0" w:space="0" w:color="auto"/>
                <w:left w:val="none" w:sz="0" w:space="0" w:color="auto"/>
                <w:bottom w:val="none" w:sz="0" w:space="0" w:color="auto"/>
                <w:right w:val="none" w:sz="0" w:space="0" w:color="auto"/>
              </w:divBdr>
            </w:div>
          </w:divsChild>
        </w:div>
        <w:div w:id="859392784">
          <w:marLeft w:val="0"/>
          <w:marRight w:val="0"/>
          <w:marTop w:val="0"/>
          <w:marBottom w:val="0"/>
          <w:divBdr>
            <w:top w:val="none" w:sz="0" w:space="0" w:color="auto"/>
            <w:left w:val="none" w:sz="0" w:space="0" w:color="auto"/>
            <w:bottom w:val="none" w:sz="0" w:space="0" w:color="auto"/>
            <w:right w:val="none" w:sz="0" w:space="0" w:color="auto"/>
          </w:divBdr>
          <w:divsChild>
            <w:div w:id="1662805054">
              <w:marLeft w:val="0"/>
              <w:marRight w:val="0"/>
              <w:marTop w:val="0"/>
              <w:marBottom w:val="0"/>
              <w:divBdr>
                <w:top w:val="none" w:sz="0" w:space="0" w:color="auto"/>
                <w:left w:val="none" w:sz="0" w:space="0" w:color="auto"/>
                <w:bottom w:val="none" w:sz="0" w:space="0" w:color="auto"/>
                <w:right w:val="none" w:sz="0" w:space="0" w:color="auto"/>
              </w:divBdr>
            </w:div>
          </w:divsChild>
        </w:div>
        <w:div w:id="889875729">
          <w:marLeft w:val="0"/>
          <w:marRight w:val="0"/>
          <w:marTop w:val="300"/>
          <w:marBottom w:val="300"/>
          <w:divBdr>
            <w:top w:val="none" w:sz="0" w:space="0" w:color="auto"/>
            <w:left w:val="none" w:sz="0" w:space="0" w:color="auto"/>
            <w:bottom w:val="none" w:sz="0" w:space="0" w:color="auto"/>
            <w:right w:val="none" w:sz="0" w:space="0" w:color="auto"/>
          </w:divBdr>
        </w:div>
        <w:div w:id="960380858">
          <w:marLeft w:val="0"/>
          <w:marRight w:val="0"/>
          <w:marTop w:val="0"/>
          <w:marBottom w:val="0"/>
          <w:divBdr>
            <w:top w:val="none" w:sz="0" w:space="0" w:color="auto"/>
            <w:left w:val="none" w:sz="0" w:space="0" w:color="auto"/>
            <w:bottom w:val="none" w:sz="0" w:space="0" w:color="auto"/>
            <w:right w:val="none" w:sz="0" w:space="0" w:color="auto"/>
          </w:divBdr>
          <w:divsChild>
            <w:div w:id="1279483602">
              <w:marLeft w:val="0"/>
              <w:marRight w:val="0"/>
              <w:marTop w:val="0"/>
              <w:marBottom w:val="0"/>
              <w:divBdr>
                <w:top w:val="none" w:sz="0" w:space="0" w:color="auto"/>
                <w:left w:val="none" w:sz="0" w:space="0" w:color="auto"/>
                <w:bottom w:val="none" w:sz="0" w:space="0" w:color="auto"/>
                <w:right w:val="none" w:sz="0" w:space="0" w:color="auto"/>
              </w:divBdr>
            </w:div>
          </w:divsChild>
        </w:div>
        <w:div w:id="2147116868">
          <w:marLeft w:val="0"/>
          <w:marRight w:val="0"/>
          <w:marTop w:val="0"/>
          <w:marBottom w:val="0"/>
          <w:divBdr>
            <w:top w:val="none" w:sz="0" w:space="0" w:color="auto"/>
            <w:left w:val="none" w:sz="0" w:space="0" w:color="auto"/>
            <w:bottom w:val="none" w:sz="0" w:space="0" w:color="auto"/>
            <w:right w:val="none" w:sz="0" w:space="0" w:color="auto"/>
          </w:divBdr>
          <w:divsChild>
            <w:div w:id="1388065869">
              <w:marLeft w:val="0"/>
              <w:marRight w:val="0"/>
              <w:marTop w:val="0"/>
              <w:marBottom w:val="0"/>
              <w:divBdr>
                <w:top w:val="none" w:sz="0" w:space="0" w:color="auto"/>
                <w:left w:val="none" w:sz="0" w:space="0" w:color="auto"/>
                <w:bottom w:val="none" w:sz="0" w:space="0" w:color="auto"/>
                <w:right w:val="none" w:sz="0" w:space="0" w:color="auto"/>
              </w:divBdr>
            </w:div>
          </w:divsChild>
        </w:div>
        <w:div w:id="2074769519">
          <w:marLeft w:val="0"/>
          <w:marRight w:val="0"/>
          <w:marTop w:val="0"/>
          <w:marBottom w:val="0"/>
          <w:divBdr>
            <w:top w:val="none" w:sz="0" w:space="0" w:color="auto"/>
            <w:left w:val="none" w:sz="0" w:space="0" w:color="auto"/>
            <w:bottom w:val="none" w:sz="0" w:space="0" w:color="auto"/>
            <w:right w:val="none" w:sz="0" w:space="0" w:color="auto"/>
          </w:divBdr>
          <w:divsChild>
            <w:div w:id="345450078">
              <w:marLeft w:val="0"/>
              <w:marRight w:val="0"/>
              <w:marTop w:val="0"/>
              <w:marBottom w:val="0"/>
              <w:divBdr>
                <w:top w:val="none" w:sz="0" w:space="0" w:color="auto"/>
                <w:left w:val="none" w:sz="0" w:space="0" w:color="auto"/>
                <w:bottom w:val="none" w:sz="0" w:space="0" w:color="auto"/>
                <w:right w:val="none" w:sz="0" w:space="0" w:color="auto"/>
              </w:divBdr>
            </w:div>
          </w:divsChild>
        </w:div>
        <w:div w:id="1848014889">
          <w:marLeft w:val="0"/>
          <w:marRight w:val="0"/>
          <w:marTop w:val="300"/>
          <w:marBottom w:val="300"/>
          <w:divBdr>
            <w:top w:val="none" w:sz="0" w:space="0" w:color="auto"/>
            <w:left w:val="none" w:sz="0" w:space="0" w:color="auto"/>
            <w:bottom w:val="none" w:sz="0" w:space="0" w:color="auto"/>
            <w:right w:val="none" w:sz="0" w:space="0" w:color="auto"/>
          </w:divBdr>
        </w:div>
        <w:div w:id="396322501">
          <w:marLeft w:val="0"/>
          <w:marRight w:val="0"/>
          <w:marTop w:val="0"/>
          <w:marBottom w:val="0"/>
          <w:divBdr>
            <w:top w:val="none" w:sz="0" w:space="0" w:color="auto"/>
            <w:left w:val="none" w:sz="0" w:space="0" w:color="auto"/>
            <w:bottom w:val="none" w:sz="0" w:space="0" w:color="auto"/>
            <w:right w:val="none" w:sz="0" w:space="0" w:color="auto"/>
          </w:divBdr>
          <w:divsChild>
            <w:div w:id="1444959519">
              <w:marLeft w:val="0"/>
              <w:marRight w:val="0"/>
              <w:marTop w:val="0"/>
              <w:marBottom w:val="0"/>
              <w:divBdr>
                <w:top w:val="none" w:sz="0" w:space="0" w:color="auto"/>
                <w:left w:val="none" w:sz="0" w:space="0" w:color="auto"/>
                <w:bottom w:val="none" w:sz="0" w:space="0" w:color="auto"/>
                <w:right w:val="none" w:sz="0" w:space="0" w:color="auto"/>
              </w:divBdr>
            </w:div>
          </w:divsChild>
        </w:div>
        <w:div w:id="632753599">
          <w:marLeft w:val="0"/>
          <w:marRight w:val="0"/>
          <w:marTop w:val="0"/>
          <w:marBottom w:val="0"/>
          <w:divBdr>
            <w:top w:val="none" w:sz="0" w:space="0" w:color="auto"/>
            <w:left w:val="none" w:sz="0" w:space="0" w:color="auto"/>
            <w:bottom w:val="none" w:sz="0" w:space="0" w:color="auto"/>
            <w:right w:val="none" w:sz="0" w:space="0" w:color="auto"/>
          </w:divBdr>
          <w:divsChild>
            <w:div w:id="1187135710">
              <w:marLeft w:val="0"/>
              <w:marRight w:val="0"/>
              <w:marTop w:val="0"/>
              <w:marBottom w:val="0"/>
              <w:divBdr>
                <w:top w:val="none" w:sz="0" w:space="0" w:color="auto"/>
                <w:left w:val="none" w:sz="0" w:space="0" w:color="auto"/>
                <w:bottom w:val="none" w:sz="0" w:space="0" w:color="auto"/>
                <w:right w:val="none" w:sz="0" w:space="0" w:color="auto"/>
              </w:divBdr>
            </w:div>
          </w:divsChild>
        </w:div>
        <w:div w:id="1930042200">
          <w:marLeft w:val="0"/>
          <w:marRight w:val="0"/>
          <w:marTop w:val="0"/>
          <w:marBottom w:val="0"/>
          <w:divBdr>
            <w:top w:val="none" w:sz="0" w:space="0" w:color="auto"/>
            <w:left w:val="none" w:sz="0" w:space="0" w:color="auto"/>
            <w:bottom w:val="none" w:sz="0" w:space="0" w:color="auto"/>
            <w:right w:val="none" w:sz="0" w:space="0" w:color="auto"/>
          </w:divBdr>
          <w:divsChild>
            <w:div w:id="1454472474">
              <w:marLeft w:val="0"/>
              <w:marRight w:val="0"/>
              <w:marTop w:val="0"/>
              <w:marBottom w:val="0"/>
              <w:divBdr>
                <w:top w:val="none" w:sz="0" w:space="0" w:color="auto"/>
                <w:left w:val="none" w:sz="0" w:space="0" w:color="auto"/>
                <w:bottom w:val="none" w:sz="0" w:space="0" w:color="auto"/>
                <w:right w:val="none" w:sz="0" w:space="0" w:color="auto"/>
              </w:divBdr>
            </w:div>
          </w:divsChild>
        </w:div>
        <w:div w:id="623583755">
          <w:marLeft w:val="0"/>
          <w:marRight w:val="0"/>
          <w:marTop w:val="0"/>
          <w:marBottom w:val="0"/>
          <w:divBdr>
            <w:top w:val="none" w:sz="0" w:space="0" w:color="auto"/>
            <w:left w:val="none" w:sz="0" w:space="0" w:color="auto"/>
            <w:bottom w:val="none" w:sz="0" w:space="0" w:color="auto"/>
            <w:right w:val="none" w:sz="0" w:space="0" w:color="auto"/>
          </w:divBdr>
          <w:divsChild>
            <w:div w:id="933978987">
              <w:marLeft w:val="0"/>
              <w:marRight w:val="0"/>
              <w:marTop w:val="0"/>
              <w:marBottom w:val="0"/>
              <w:divBdr>
                <w:top w:val="none" w:sz="0" w:space="0" w:color="auto"/>
                <w:left w:val="none" w:sz="0" w:space="0" w:color="auto"/>
                <w:bottom w:val="none" w:sz="0" w:space="0" w:color="auto"/>
                <w:right w:val="none" w:sz="0" w:space="0" w:color="auto"/>
              </w:divBdr>
            </w:div>
          </w:divsChild>
        </w:div>
        <w:div w:id="554968114">
          <w:marLeft w:val="0"/>
          <w:marRight w:val="0"/>
          <w:marTop w:val="0"/>
          <w:marBottom w:val="0"/>
          <w:divBdr>
            <w:top w:val="none" w:sz="0" w:space="0" w:color="auto"/>
            <w:left w:val="none" w:sz="0" w:space="0" w:color="auto"/>
            <w:bottom w:val="none" w:sz="0" w:space="0" w:color="auto"/>
            <w:right w:val="none" w:sz="0" w:space="0" w:color="auto"/>
          </w:divBdr>
          <w:divsChild>
            <w:div w:id="1135442473">
              <w:marLeft w:val="0"/>
              <w:marRight w:val="0"/>
              <w:marTop w:val="0"/>
              <w:marBottom w:val="0"/>
              <w:divBdr>
                <w:top w:val="none" w:sz="0" w:space="0" w:color="auto"/>
                <w:left w:val="none" w:sz="0" w:space="0" w:color="auto"/>
                <w:bottom w:val="none" w:sz="0" w:space="0" w:color="auto"/>
                <w:right w:val="none" w:sz="0" w:space="0" w:color="auto"/>
              </w:divBdr>
            </w:div>
          </w:divsChild>
        </w:div>
        <w:div w:id="1192887545">
          <w:marLeft w:val="0"/>
          <w:marRight w:val="0"/>
          <w:marTop w:val="0"/>
          <w:marBottom w:val="0"/>
          <w:divBdr>
            <w:top w:val="none" w:sz="0" w:space="0" w:color="auto"/>
            <w:left w:val="none" w:sz="0" w:space="0" w:color="auto"/>
            <w:bottom w:val="none" w:sz="0" w:space="0" w:color="auto"/>
            <w:right w:val="none" w:sz="0" w:space="0" w:color="auto"/>
          </w:divBdr>
          <w:divsChild>
            <w:div w:id="1451122036">
              <w:marLeft w:val="0"/>
              <w:marRight w:val="0"/>
              <w:marTop w:val="0"/>
              <w:marBottom w:val="0"/>
              <w:divBdr>
                <w:top w:val="none" w:sz="0" w:space="0" w:color="auto"/>
                <w:left w:val="none" w:sz="0" w:space="0" w:color="auto"/>
                <w:bottom w:val="none" w:sz="0" w:space="0" w:color="auto"/>
                <w:right w:val="none" w:sz="0" w:space="0" w:color="auto"/>
              </w:divBdr>
            </w:div>
          </w:divsChild>
        </w:div>
        <w:div w:id="852644839">
          <w:marLeft w:val="0"/>
          <w:marRight w:val="0"/>
          <w:marTop w:val="0"/>
          <w:marBottom w:val="0"/>
          <w:divBdr>
            <w:top w:val="none" w:sz="0" w:space="0" w:color="auto"/>
            <w:left w:val="none" w:sz="0" w:space="0" w:color="auto"/>
            <w:bottom w:val="none" w:sz="0" w:space="0" w:color="auto"/>
            <w:right w:val="none" w:sz="0" w:space="0" w:color="auto"/>
          </w:divBdr>
          <w:divsChild>
            <w:div w:id="1518692387">
              <w:marLeft w:val="0"/>
              <w:marRight w:val="0"/>
              <w:marTop w:val="0"/>
              <w:marBottom w:val="0"/>
              <w:divBdr>
                <w:top w:val="none" w:sz="0" w:space="0" w:color="auto"/>
                <w:left w:val="none" w:sz="0" w:space="0" w:color="auto"/>
                <w:bottom w:val="none" w:sz="0" w:space="0" w:color="auto"/>
                <w:right w:val="none" w:sz="0" w:space="0" w:color="auto"/>
              </w:divBdr>
            </w:div>
          </w:divsChild>
        </w:div>
        <w:div w:id="2011642114">
          <w:marLeft w:val="0"/>
          <w:marRight w:val="0"/>
          <w:marTop w:val="0"/>
          <w:marBottom w:val="0"/>
          <w:divBdr>
            <w:top w:val="none" w:sz="0" w:space="0" w:color="auto"/>
            <w:left w:val="none" w:sz="0" w:space="0" w:color="auto"/>
            <w:bottom w:val="none" w:sz="0" w:space="0" w:color="auto"/>
            <w:right w:val="none" w:sz="0" w:space="0" w:color="auto"/>
          </w:divBdr>
          <w:divsChild>
            <w:div w:id="1868835686">
              <w:marLeft w:val="0"/>
              <w:marRight w:val="0"/>
              <w:marTop w:val="0"/>
              <w:marBottom w:val="0"/>
              <w:divBdr>
                <w:top w:val="none" w:sz="0" w:space="0" w:color="auto"/>
                <w:left w:val="none" w:sz="0" w:space="0" w:color="auto"/>
                <w:bottom w:val="none" w:sz="0" w:space="0" w:color="auto"/>
                <w:right w:val="none" w:sz="0" w:space="0" w:color="auto"/>
              </w:divBdr>
            </w:div>
          </w:divsChild>
        </w:div>
        <w:div w:id="1987659801">
          <w:marLeft w:val="0"/>
          <w:marRight w:val="0"/>
          <w:marTop w:val="0"/>
          <w:marBottom w:val="0"/>
          <w:divBdr>
            <w:top w:val="none" w:sz="0" w:space="0" w:color="auto"/>
            <w:left w:val="none" w:sz="0" w:space="0" w:color="auto"/>
            <w:bottom w:val="none" w:sz="0" w:space="0" w:color="auto"/>
            <w:right w:val="none" w:sz="0" w:space="0" w:color="auto"/>
          </w:divBdr>
          <w:divsChild>
            <w:div w:id="26031648">
              <w:marLeft w:val="0"/>
              <w:marRight w:val="0"/>
              <w:marTop w:val="0"/>
              <w:marBottom w:val="0"/>
              <w:divBdr>
                <w:top w:val="none" w:sz="0" w:space="0" w:color="auto"/>
                <w:left w:val="none" w:sz="0" w:space="0" w:color="auto"/>
                <w:bottom w:val="none" w:sz="0" w:space="0" w:color="auto"/>
                <w:right w:val="none" w:sz="0" w:space="0" w:color="auto"/>
              </w:divBdr>
            </w:div>
          </w:divsChild>
        </w:div>
        <w:div w:id="2020424164">
          <w:marLeft w:val="0"/>
          <w:marRight w:val="0"/>
          <w:marTop w:val="0"/>
          <w:marBottom w:val="0"/>
          <w:divBdr>
            <w:top w:val="none" w:sz="0" w:space="0" w:color="auto"/>
            <w:left w:val="none" w:sz="0" w:space="0" w:color="auto"/>
            <w:bottom w:val="none" w:sz="0" w:space="0" w:color="auto"/>
            <w:right w:val="none" w:sz="0" w:space="0" w:color="auto"/>
          </w:divBdr>
          <w:divsChild>
            <w:div w:id="1924492652">
              <w:marLeft w:val="0"/>
              <w:marRight w:val="0"/>
              <w:marTop w:val="0"/>
              <w:marBottom w:val="0"/>
              <w:divBdr>
                <w:top w:val="none" w:sz="0" w:space="0" w:color="auto"/>
                <w:left w:val="none" w:sz="0" w:space="0" w:color="auto"/>
                <w:bottom w:val="none" w:sz="0" w:space="0" w:color="auto"/>
                <w:right w:val="none" w:sz="0" w:space="0" w:color="auto"/>
              </w:divBdr>
            </w:div>
          </w:divsChild>
        </w:div>
        <w:div w:id="1773739588">
          <w:marLeft w:val="0"/>
          <w:marRight w:val="0"/>
          <w:marTop w:val="0"/>
          <w:marBottom w:val="0"/>
          <w:divBdr>
            <w:top w:val="none" w:sz="0" w:space="0" w:color="auto"/>
            <w:left w:val="none" w:sz="0" w:space="0" w:color="auto"/>
            <w:bottom w:val="none" w:sz="0" w:space="0" w:color="auto"/>
            <w:right w:val="none" w:sz="0" w:space="0" w:color="auto"/>
          </w:divBdr>
          <w:divsChild>
            <w:div w:id="114255952">
              <w:marLeft w:val="0"/>
              <w:marRight w:val="0"/>
              <w:marTop w:val="0"/>
              <w:marBottom w:val="0"/>
              <w:divBdr>
                <w:top w:val="none" w:sz="0" w:space="0" w:color="auto"/>
                <w:left w:val="none" w:sz="0" w:space="0" w:color="auto"/>
                <w:bottom w:val="none" w:sz="0" w:space="0" w:color="auto"/>
                <w:right w:val="none" w:sz="0" w:space="0" w:color="auto"/>
              </w:divBdr>
            </w:div>
          </w:divsChild>
        </w:div>
        <w:div w:id="673453364">
          <w:marLeft w:val="0"/>
          <w:marRight w:val="0"/>
          <w:marTop w:val="300"/>
          <w:marBottom w:val="300"/>
          <w:divBdr>
            <w:top w:val="none" w:sz="0" w:space="0" w:color="auto"/>
            <w:left w:val="none" w:sz="0" w:space="0" w:color="auto"/>
            <w:bottom w:val="none" w:sz="0" w:space="0" w:color="auto"/>
            <w:right w:val="none" w:sz="0" w:space="0" w:color="auto"/>
          </w:divBdr>
        </w:div>
        <w:div w:id="570430699">
          <w:marLeft w:val="0"/>
          <w:marRight w:val="0"/>
          <w:marTop w:val="0"/>
          <w:marBottom w:val="0"/>
          <w:divBdr>
            <w:top w:val="none" w:sz="0" w:space="0" w:color="auto"/>
            <w:left w:val="none" w:sz="0" w:space="0" w:color="auto"/>
            <w:bottom w:val="none" w:sz="0" w:space="0" w:color="auto"/>
            <w:right w:val="none" w:sz="0" w:space="0" w:color="auto"/>
          </w:divBdr>
          <w:divsChild>
            <w:div w:id="1748530675">
              <w:marLeft w:val="0"/>
              <w:marRight w:val="0"/>
              <w:marTop w:val="0"/>
              <w:marBottom w:val="0"/>
              <w:divBdr>
                <w:top w:val="none" w:sz="0" w:space="0" w:color="auto"/>
                <w:left w:val="none" w:sz="0" w:space="0" w:color="auto"/>
                <w:bottom w:val="none" w:sz="0" w:space="0" w:color="auto"/>
                <w:right w:val="none" w:sz="0" w:space="0" w:color="auto"/>
              </w:divBdr>
            </w:div>
          </w:divsChild>
        </w:div>
        <w:div w:id="2018999896">
          <w:marLeft w:val="0"/>
          <w:marRight w:val="0"/>
          <w:marTop w:val="0"/>
          <w:marBottom w:val="0"/>
          <w:divBdr>
            <w:top w:val="none" w:sz="0" w:space="0" w:color="auto"/>
            <w:left w:val="none" w:sz="0" w:space="0" w:color="auto"/>
            <w:bottom w:val="none" w:sz="0" w:space="0" w:color="auto"/>
            <w:right w:val="none" w:sz="0" w:space="0" w:color="auto"/>
          </w:divBdr>
          <w:divsChild>
            <w:div w:id="2027174946">
              <w:marLeft w:val="0"/>
              <w:marRight w:val="0"/>
              <w:marTop w:val="0"/>
              <w:marBottom w:val="0"/>
              <w:divBdr>
                <w:top w:val="none" w:sz="0" w:space="0" w:color="auto"/>
                <w:left w:val="none" w:sz="0" w:space="0" w:color="auto"/>
                <w:bottom w:val="none" w:sz="0" w:space="0" w:color="auto"/>
                <w:right w:val="none" w:sz="0" w:space="0" w:color="auto"/>
              </w:divBdr>
            </w:div>
          </w:divsChild>
        </w:div>
        <w:div w:id="1104111547">
          <w:marLeft w:val="0"/>
          <w:marRight w:val="0"/>
          <w:marTop w:val="0"/>
          <w:marBottom w:val="0"/>
          <w:divBdr>
            <w:top w:val="none" w:sz="0" w:space="0" w:color="auto"/>
            <w:left w:val="none" w:sz="0" w:space="0" w:color="auto"/>
            <w:bottom w:val="none" w:sz="0" w:space="0" w:color="auto"/>
            <w:right w:val="none" w:sz="0" w:space="0" w:color="auto"/>
          </w:divBdr>
          <w:divsChild>
            <w:div w:id="914318418">
              <w:marLeft w:val="0"/>
              <w:marRight w:val="0"/>
              <w:marTop w:val="0"/>
              <w:marBottom w:val="0"/>
              <w:divBdr>
                <w:top w:val="none" w:sz="0" w:space="0" w:color="auto"/>
                <w:left w:val="none" w:sz="0" w:space="0" w:color="auto"/>
                <w:bottom w:val="none" w:sz="0" w:space="0" w:color="auto"/>
                <w:right w:val="none" w:sz="0" w:space="0" w:color="auto"/>
              </w:divBdr>
            </w:div>
          </w:divsChild>
        </w:div>
        <w:div w:id="325978969">
          <w:marLeft w:val="0"/>
          <w:marRight w:val="0"/>
          <w:marTop w:val="0"/>
          <w:marBottom w:val="0"/>
          <w:divBdr>
            <w:top w:val="none" w:sz="0" w:space="0" w:color="auto"/>
            <w:left w:val="none" w:sz="0" w:space="0" w:color="auto"/>
            <w:bottom w:val="none" w:sz="0" w:space="0" w:color="auto"/>
            <w:right w:val="none" w:sz="0" w:space="0" w:color="auto"/>
          </w:divBdr>
          <w:divsChild>
            <w:div w:id="163326386">
              <w:marLeft w:val="0"/>
              <w:marRight w:val="0"/>
              <w:marTop w:val="0"/>
              <w:marBottom w:val="0"/>
              <w:divBdr>
                <w:top w:val="none" w:sz="0" w:space="0" w:color="auto"/>
                <w:left w:val="none" w:sz="0" w:space="0" w:color="auto"/>
                <w:bottom w:val="none" w:sz="0" w:space="0" w:color="auto"/>
                <w:right w:val="none" w:sz="0" w:space="0" w:color="auto"/>
              </w:divBdr>
            </w:div>
          </w:divsChild>
        </w:div>
        <w:div w:id="470942626">
          <w:marLeft w:val="0"/>
          <w:marRight w:val="0"/>
          <w:marTop w:val="0"/>
          <w:marBottom w:val="0"/>
          <w:divBdr>
            <w:top w:val="none" w:sz="0" w:space="0" w:color="auto"/>
            <w:left w:val="none" w:sz="0" w:space="0" w:color="auto"/>
            <w:bottom w:val="none" w:sz="0" w:space="0" w:color="auto"/>
            <w:right w:val="none" w:sz="0" w:space="0" w:color="auto"/>
          </w:divBdr>
          <w:divsChild>
            <w:div w:id="1888956714">
              <w:marLeft w:val="0"/>
              <w:marRight w:val="0"/>
              <w:marTop w:val="0"/>
              <w:marBottom w:val="0"/>
              <w:divBdr>
                <w:top w:val="none" w:sz="0" w:space="0" w:color="auto"/>
                <w:left w:val="none" w:sz="0" w:space="0" w:color="auto"/>
                <w:bottom w:val="none" w:sz="0" w:space="0" w:color="auto"/>
                <w:right w:val="none" w:sz="0" w:space="0" w:color="auto"/>
              </w:divBdr>
            </w:div>
          </w:divsChild>
        </w:div>
        <w:div w:id="2142846692">
          <w:marLeft w:val="0"/>
          <w:marRight w:val="0"/>
          <w:marTop w:val="0"/>
          <w:marBottom w:val="0"/>
          <w:divBdr>
            <w:top w:val="none" w:sz="0" w:space="0" w:color="auto"/>
            <w:left w:val="none" w:sz="0" w:space="0" w:color="auto"/>
            <w:bottom w:val="none" w:sz="0" w:space="0" w:color="auto"/>
            <w:right w:val="none" w:sz="0" w:space="0" w:color="auto"/>
          </w:divBdr>
          <w:divsChild>
            <w:div w:id="1453789048">
              <w:marLeft w:val="0"/>
              <w:marRight w:val="0"/>
              <w:marTop w:val="0"/>
              <w:marBottom w:val="0"/>
              <w:divBdr>
                <w:top w:val="none" w:sz="0" w:space="0" w:color="auto"/>
                <w:left w:val="none" w:sz="0" w:space="0" w:color="auto"/>
                <w:bottom w:val="none" w:sz="0" w:space="0" w:color="auto"/>
                <w:right w:val="none" w:sz="0" w:space="0" w:color="auto"/>
              </w:divBdr>
            </w:div>
          </w:divsChild>
        </w:div>
        <w:div w:id="1220357086">
          <w:marLeft w:val="0"/>
          <w:marRight w:val="0"/>
          <w:marTop w:val="300"/>
          <w:marBottom w:val="300"/>
          <w:divBdr>
            <w:top w:val="none" w:sz="0" w:space="0" w:color="auto"/>
            <w:left w:val="none" w:sz="0" w:space="0" w:color="auto"/>
            <w:bottom w:val="none" w:sz="0" w:space="0" w:color="auto"/>
            <w:right w:val="none" w:sz="0" w:space="0" w:color="auto"/>
          </w:divBdr>
        </w:div>
        <w:div w:id="1236355522">
          <w:marLeft w:val="0"/>
          <w:marRight w:val="0"/>
          <w:marTop w:val="0"/>
          <w:marBottom w:val="0"/>
          <w:divBdr>
            <w:top w:val="none" w:sz="0" w:space="0" w:color="auto"/>
            <w:left w:val="none" w:sz="0" w:space="0" w:color="auto"/>
            <w:bottom w:val="none" w:sz="0" w:space="0" w:color="auto"/>
            <w:right w:val="none" w:sz="0" w:space="0" w:color="auto"/>
          </w:divBdr>
          <w:divsChild>
            <w:div w:id="1539783279">
              <w:marLeft w:val="0"/>
              <w:marRight w:val="0"/>
              <w:marTop w:val="0"/>
              <w:marBottom w:val="0"/>
              <w:divBdr>
                <w:top w:val="none" w:sz="0" w:space="0" w:color="auto"/>
                <w:left w:val="none" w:sz="0" w:space="0" w:color="auto"/>
                <w:bottom w:val="none" w:sz="0" w:space="0" w:color="auto"/>
                <w:right w:val="none" w:sz="0" w:space="0" w:color="auto"/>
              </w:divBdr>
            </w:div>
          </w:divsChild>
        </w:div>
        <w:div w:id="1278564900">
          <w:marLeft w:val="0"/>
          <w:marRight w:val="0"/>
          <w:marTop w:val="0"/>
          <w:marBottom w:val="0"/>
          <w:divBdr>
            <w:top w:val="none" w:sz="0" w:space="0" w:color="auto"/>
            <w:left w:val="none" w:sz="0" w:space="0" w:color="auto"/>
            <w:bottom w:val="none" w:sz="0" w:space="0" w:color="auto"/>
            <w:right w:val="none" w:sz="0" w:space="0" w:color="auto"/>
          </w:divBdr>
          <w:divsChild>
            <w:div w:id="666253658">
              <w:marLeft w:val="0"/>
              <w:marRight w:val="0"/>
              <w:marTop w:val="0"/>
              <w:marBottom w:val="0"/>
              <w:divBdr>
                <w:top w:val="none" w:sz="0" w:space="0" w:color="auto"/>
                <w:left w:val="none" w:sz="0" w:space="0" w:color="auto"/>
                <w:bottom w:val="none" w:sz="0" w:space="0" w:color="auto"/>
                <w:right w:val="none" w:sz="0" w:space="0" w:color="auto"/>
              </w:divBdr>
            </w:div>
          </w:divsChild>
        </w:div>
        <w:div w:id="1119715172">
          <w:marLeft w:val="0"/>
          <w:marRight w:val="0"/>
          <w:marTop w:val="300"/>
          <w:marBottom w:val="300"/>
          <w:divBdr>
            <w:top w:val="none" w:sz="0" w:space="0" w:color="auto"/>
            <w:left w:val="none" w:sz="0" w:space="0" w:color="auto"/>
            <w:bottom w:val="none" w:sz="0" w:space="0" w:color="auto"/>
            <w:right w:val="none" w:sz="0" w:space="0" w:color="auto"/>
          </w:divBdr>
        </w:div>
        <w:div w:id="781076683">
          <w:marLeft w:val="0"/>
          <w:marRight w:val="0"/>
          <w:marTop w:val="0"/>
          <w:marBottom w:val="0"/>
          <w:divBdr>
            <w:top w:val="none" w:sz="0" w:space="0" w:color="auto"/>
            <w:left w:val="none" w:sz="0" w:space="0" w:color="auto"/>
            <w:bottom w:val="none" w:sz="0" w:space="0" w:color="auto"/>
            <w:right w:val="none" w:sz="0" w:space="0" w:color="auto"/>
          </w:divBdr>
          <w:divsChild>
            <w:div w:id="1134101665">
              <w:marLeft w:val="0"/>
              <w:marRight w:val="0"/>
              <w:marTop w:val="0"/>
              <w:marBottom w:val="0"/>
              <w:divBdr>
                <w:top w:val="none" w:sz="0" w:space="0" w:color="auto"/>
                <w:left w:val="none" w:sz="0" w:space="0" w:color="auto"/>
                <w:bottom w:val="none" w:sz="0" w:space="0" w:color="auto"/>
                <w:right w:val="none" w:sz="0" w:space="0" w:color="auto"/>
              </w:divBdr>
            </w:div>
          </w:divsChild>
        </w:div>
        <w:div w:id="1121070988">
          <w:marLeft w:val="0"/>
          <w:marRight w:val="0"/>
          <w:marTop w:val="300"/>
          <w:marBottom w:val="300"/>
          <w:divBdr>
            <w:top w:val="none" w:sz="0" w:space="0" w:color="auto"/>
            <w:left w:val="none" w:sz="0" w:space="0" w:color="auto"/>
            <w:bottom w:val="none" w:sz="0" w:space="0" w:color="auto"/>
            <w:right w:val="none" w:sz="0" w:space="0" w:color="auto"/>
          </w:divBdr>
        </w:div>
        <w:div w:id="388458432">
          <w:marLeft w:val="0"/>
          <w:marRight w:val="0"/>
          <w:marTop w:val="0"/>
          <w:marBottom w:val="0"/>
          <w:divBdr>
            <w:top w:val="none" w:sz="0" w:space="0" w:color="auto"/>
            <w:left w:val="none" w:sz="0" w:space="0" w:color="auto"/>
            <w:bottom w:val="none" w:sz="0" w:space="0" w:color="auto"/>
            <w:right w:val="none" w:sz="0" w:space="0" w:color="auto"/>
          </w:divBdr>
          <w:divsChild>
            <w:div w:id="362561738">
              <w:marLeft w:val="0"/>
              <w:marRight w:val="0"/>
              <w:marTop w:val="0"/>
              <w:marBottom w:val="0"/>
              <w:divBdr>
                <w:top w:val="none" w:sz="0" w:space="0" w:color="auto"/>
                <w:left w:val="none" w:sz="0" w:space="0" w:color="auto"/>
                <w:bottom w:val="none" w:sz="0" w:space="0" w:color="auto"/>
                <w:right w:val="none" w:sz="0" w:space="0" w:color="auto"/>
              </w:divBdr>
            </w:div>
          </w:divsChild>
        </w:div>
        <w:div w:id="2092072580">
          <w:marLeft w:val="0"/>
          <w:marRight w:val="0"/>
          <w:marTop w:val="0"/>
          <w:marBottom w:val="0"/>
          <w:divBdr>
            <w:top w:val="none" w:sz="0" w:space="0" w:color="auto"/>
            <w:left w:val="none" w:sz="0" w:space="0" w:color="auto"/>
            <w:bottom w:val="none" w:sz="0" w:space="0" w:color="auto"/>
            <w:right w:val="none" w:sz="0" w:space="0" w:color="auto"/>
          </w:divBdr>
          <w:divsChild>
            <w:div w:id="1789085801">
              <w:marLeft w:val="0"/>
              <w:marRight w:val="0"/>
              <w:marTop w:val="0"/>
              <w:marBottom w:val="0"/>
              <w:divBdr>
                <w:top w:val="none" w:sz="0" w:space="0" w:color="auto"/>
                <w:left w:val="none" w:sz="0" w:space="0" w:color="auto"/>
                <w:bottom w:val="none" w:sz="0" w:space="0" w:color="auto"/>
                <w:right w:val="none" w:sz="0" w:space="0" w:color="auto"/>
              </w:divBdr>
            </w:div>
          </w:divsChild>
        </w:div>
        <w:div w:id="575823847">
          <w:marLeft w:val="0"/>
          <w:marRight w:val="0"/>
          <w:marTop w:val="0"/>
          <w:marBottom w:val="0"/>
          <w:divBdr>
            <w:top w:val="none" w:sz="0" w:space="0" w:color="auto"/>
            <w:left w:val="none" w:sz="0" w:space="0" w:color="auto"/>
            <w:bottom w:val="none" w:sz="0" w:space="0" w:color="auto"/>
            <w:right w:val="none" w:sz="0" w:space="0" w:color="auto"/>
          </w:divBdr>
          <w:divsChild>
            <w:div w:id="816142760">
              <w:marLeft w:val="0"/>
              <w:marRight w:val="0"/>
              <w:marTop w:val="0"/>
              <w:marBottom w:val="0"/>
              <w:divBdr>
                <w:top w:val="none" w:sz="0" w:space="0" w:color="auto"/>
                <w:left w:val="none" w:sz="0" w:space="0" w:color="auto"/>
                <w:bottom w:val="none" w:sz="0" w:space="0" w:color="auto"/>
                <w:right w:val="none" w:sz="0" w:space="0" w:color="auto"/>
              </w:divBdr>
            </w:div>
          </w:divsChild>
        </w:div>
        <w:div w:id="791438214">
          <w:marLeft w:val="0"/>
          <w:marRight w:val="0"/>
          <w:marTop w:val="0"/>
          <w:marBottom w:val="0"/>
          <w:divBdr>
            <w:top w:val="none" w:sz="0" w:space="0" w:color="auto"/>
            <w:left w:val="none" w:sz="0" w:space="0" w:color="auto"/>
            <w:bottom w:val="none" w:sz="0" w:space="0" w:color="auto"/>
            <w:right w:val="none" w:sz="0" w:space="0" w:color="auto"/>
          </w:divBdr>
          <w:divsChild>
            <w:div w:id="1128743999">
              <w:marLeft w:val="0"/>
              <w:marRight w:val="0"/>
              <w:marTop w:val="0"/>
              <w:marBottom w:val="0"/>
              <w:divBdr>
                <w:top w:val="none" w:sz="0" w:space="0" w:color="auto"/>
                <w:left w:val="none" w:sz="0" w:space="0" w:color="auto"/>
                <w:bottom w:val="none" w:sz="0" w:space="0" w:color="auto"/>
                <w:right w:val="none" w:sz="0" w:space="0" w:color="auto"/>
              </w:divBdr>
            </w:div>
          </w:divsChild>
        </w:div>
        <w:div w:id="164784256">
          <w:marLeft w:val="0"/>
          <w:marRight w:val="0"/>
          <w:marTop w:val="0"/>
          <w:marBottom w:val="0"/>
          <w:divBdr>
            <w:top w:val="none" w:sz="0" w:space="0" w:color="auto"/>
            <w:left w:val="none" w:sz="0" w:space="0" w:color="auto"/>
            <w:bottom w:val="none" w:sz="0" w:space="0" w:color="auto"/>
            <w:right w:val="none" w:sz="0" w:space="0" w:color="auto"/>
          </w:divBdr>
          <w:divsChild>
            <w:div w:id="896279738">
              <w:marLeft w:val="0"/>
              <w:marRight w:val="0"/>
              <w:marTop w:val="0"/>
              <w:marBottom w:val="0"/>
              <w:divBdr>
                <w:top w:val="none" w:sz="0" w:space="0" w:color="auto"/>
                <w:left w:val="none" w:sz="0" w:space="0" w:color="auto"/>
                <w:bottom w:val="none" w:sz="0" w:space="0" w:color="auto"/>
                <w:right w:val="none" w:sz="0" w:space="0" w:color="auto"/>
              </w:divBdr>
            </w:div>
          </w:divsChild>
        </w:div>
        <w:div w:id="782918201">
          <w:marLeft w:val="0"/>
          <w:marRight w:val="0"/>
          <w:marTop w:val="300"/>
          <w:marBottom w:val="300"/>
          <w:divBdr>
            <w:top w:val="none" w:sz="0" w:space="0" w:color="auto"/>
            <w:left w:val="none" w:sz="0" w:space="0" w:color="auto"/>
            <w:bottom w:val="none" w:sz="0" w:space="0" w:color="auto"/>
            <w:right w:val="none" w:sz="0" w:space="0" w:color="auto"/>
          </w:divBdr>
        </w:div>
        <w:div w:id="1934699082">
          <w:marLeft w:val="0"/>
          <w:marRight w:val="0"/>
          <w:marTop w:val="0"/>
          <w:marBottom w:val="0"/>
          <w:divBdr>
            <w:top w:val="none" w:sz="0" w:space="0" w:color="auto"/>
            <w:left w:val="none" w:sz="0" w:space="0" w:color="auto"/>
            <w:bottom w:val="none" w:sz="0" w:space="0" w:color="auto"/>
            <w:right w:val="none" w:sz="0" w:space="0" w:color="auto"/>
          </w:divBdr>
          <w:divsChild>
            <w:div w:id="1128401256">
              <w:marLeft w:val="0"/>
              <w:marRight w:val="0"/>
              <w:marTop w:val="0"/>
              <w:marBottom w:val="0"/>
              <w:divBdr>
                <w:top w:val="none" w:sz="0" w:space="0" w:color="auto"/>
                <w:left w:val="none" w:sz="0" w:space="0" w:color="auto"/>
                <w:bottom w:val="none" w:sz="0" w:space="0" w:color="auto"/>
                <w:right w:val="none" w:sz="0" w:space="0" w:color="auto"/>
              </w:divBdr>
            </w:div>
          </w:divsChild>
        </w:div>
        <w:div w:id="1756828217">
          <w:marLeft w:val="0"/>
          <w:marRight w:val="0"/>
          <w:marTop w:val="0"/>
          <w:marBottom w:val="0"/>
          <w:divBdr>
            <w:top w:val="none" w:sz="0" w:space="0" w:color="auto"/>
            <w:left w:val="none" w:sz="0" w:space="0" w:color="auto"/>
            <w:bottom w:val="none" w:sz="0" w:space="0" w:color="auto"/>
            <w:right w:val="none" w:sz="0" w:space="0" w:color="auto"/>
          </w:divBdr>
          <w:divsChild>
            <w:div w:id="1541280215">
              <w:marLeft w:val="0"/>
              <w:marRight w:val="0"/>
              <w:marTop w:val="0"/>
              <w:marBottom w:val="0"/>
              <w:divBdr>
                <w:top w:val="none" w:sz="0" w:space="0" w:color="auto"/>
                <w:left w:val="none" w:sz="0" w:space="0" w:color="auto"/>
                <w:bottom w:val="none" w:sz="0" w:space="0" w:color="auto"/>
                <w:right w:val="none" w:sz="0" w:space="0" w:color="auto"/>
              </w:divBdr>
            </w:div>
          </w:divsChild>
        </w:div>
        <w:div w:id="710809107">
          <w:marLeft w:val="0"/>
          <w:marRight w:val="0"/>
          <w:marTop w:val="0"/>
          <w:marBottom w:val="0"/>
          <w:divBdr>
            <w:top w:val="none" w:sz="0" w:space="0" w:color="auto"/>
            <w:left w:val="none" w:sz="0" w:space="0" w:color="auto"/>
            <w:bottom w:val="none" w:sz="0" w:space="0" w:color="auto"/>
            <w:right w:val="none" w:sz="0" w:space="0" w:color="auto"/>
          </w:divBdr>
          <w:divsChild>
            <w:div w:id="518273149">
              <w:marLeft w:val="0"/>
              <w:marRight w:val="0"/>
              <w:marTop w:val="0"/>
              <w:marBottom w:val="0"/>
              <w:divBdr>
                <w:top w:val="none" w:sz="0" w:space="0" w:color="auto"/>
                <w:left w:val="none" w:sz="0" w:space="0" w:color="auto"/>
                <w:bottom w:val="none" w:sz="0" w:space="0" w:color="auto"/>
                <w:right w:val="none" w:sz="0" w:space="0" w:color="auto"/>
              </w:divBdr>
            </w:div>
          </w:divsChild>
        </w:div>
        <w:div w:id="2061593606">
          <w:marLeft w:val="0"/>
          <w:marRight w:val="0"/>
          <w:marTop w:val="0"/>
          <w:marBottom w:val="0"/>
          <w:divBdr>
            <w:top w:val="none" w:sz="0" w:space="0" w:color="auto"/>
            <w:left w:val="none" w:sz="0" w:space="0" w:color="auto"/>
            <w:bottom w:val="none" w:sz="0" w:space="0" w:color="auto"/>
            <w:right w:val="none" w:sz="0" w:space="0" w:color="auto"/>
          </w:divBdr>
          <w:divsChild>
            <w:div w:id="1678145751">
              <w:marLeft w:val="0"/>
              <w:marRight w:val="0"/>
              <w:marTop w:val="0"/>
              <w:marBottom w:val="0"/>
              <w:divBdr>
                <w:top w:val="none" w:sz="0" w:space="0" w:color="auto"/>
                <w:left w:val="none" w:sz="0" w:space="0" w:color="auto"/>
                <w:bottom w:val="none" w:sz="0" w:space="0" w:color="auto"/>
                <w:right w:val="none" w:sz="0" w:space="0" w:color="auto"/>
              </w:divBdr>
            </w:div>
          </w:divsChild>
        </w:div>
        <w:div w:id="1366444957">
          <w:marLeft w:val="0"/>
          <w:marRight w:val="0"/>
          <w:marTop w:val="300"/>
          <w:marBottom w:val="300"/>
          <w:divBdr>
            <w:top w:val="none" w:sz="0" w:space="0" w:color="auto"/>
            <w:left w:val="none" w:sz="0" w:space="0" w:color="auto"/>
            <w:bottom w:val="none" w:sz="0" w:space="0" w:color="auto"/>
            <w:right w:val="none" w:sz="0" w:space="0" w:color="auto"/>
          </w:divBdr>
        </w:div>
        <w:div w:id="903568050">
          <w:marLeft w:val="0"/>
          <w:marRight w:val="0"/>
          <w:marTop w:val="0"/>
          <w:marBottom w:val="0"/>
          <w:divBdr>
            <w:top w:val="none" w:sz="0" w:space="0" w:color="auto"/>
            <w:left w:val="none" w:sz="0" w:space="0" w:color="auto"/>
            <w:bottom w:val="none" w:sz="0" w:space="0" w:color="auto"/>
            <w:right w:val="none" w:sz="0" w:space="0" w:color="auto"/>
          </w:divBdr>
          <w:divsChild>
            <w:div w:id="1475097862">
              <w:marLeft w:val="0"/>
              <w:marRight w:val="0"/>
              <w:marTop w:val="0"/>
              <w:marBottom w:val="0"/>
              <w:divBdr>
                <w:top w:val="none" w:sz="0" w:space="0" w:color="auto"/>
                <w:left w:val="none" w:sz="0" w:space="0" w:color="auto"/>
                <w:bottom w:val="none" w:sz="0" w:space="0" w:color="auto"/>
                <w:right w:val="none" w:sz="0" w:space="0" w:color="auto"/>
              </w:divBdr>
            </w:div>
          </w:divsChild>
        </w:div>
        <w:div w:id="213782155">
          <w:marLeft w:val="0"/>
          <w:marRight w:val="0"/>
          <w:marTop w:val="0"/>
          <w:marBottom w:val="0"/>
          <w:divBdr>
            <w:top w:val="none" w:sz="0" w:space="0" w:color="auto"/>
            <w:left w:val="none" w:sz="0" w:space="0" w:color="auto"/>
            <w:bottom w:val="none" w:sz="0" w:space="0" w:color="auto"/>
            <w:right w:val="none" w:sz="0" w:space="0" w:color="auto"/>
          </w:divBdr>
          <w:divsChild>
            <w:div w:id="320962262">
              <w:marLeft w:val="0"/>
              <w:marRight w:val="0"/>
              <w:marTop w:val="0"/>
              <w:marBottom w:val="0"/>
              <w:divBdr>
                <w:top w:val="none" w:sz="0" w:space="0" w:color="auto"/>
                <w:left w:val="none" w:sz="0" w:space="0" w:color="auto"/>
                <w:bottom w:val="none" w:sz="0" w:space="0" w:color="auto"/>
                <w:right w:val="none" w:sz="0" w:space="0" w:color="auto"/>
              </w:divBdr>
            </w:div>
          </w:divsChild>
        </w:div>
        <w:div w:id="298150200">
          <w:marLeft w:val="0"/>
          <w:marRight w:val="0"/>
          <w:marTop w:val="0"/>
          <w:marBottom w:val="0"/>
          <w:divBdr>
            <w:top w:val="none" w:sz="0" w:space="0" w:color="auto"/>
            <w:left w:val="none" w:sz="0" w:space="0" w:color="auto"/>
            <w:bottom w:val="none" w:sz="0" w:space="0" w:color="auto"/>
            <w:right w:val="none" w:sz="0" w:space="0" w:color="auto"/>
          </w:divBdr>
          <w:divsChild>
            <w:div w:id="145048845">
              <w:marLeft w:val="0"/>
              <w:marRight w:val="0"/>
              <w:marTop w:val="0"/>
              <w:marBottom w:val="0"/>
              <w:divBdr>
                <w:top w:val="none" w:sz="0" w:space="0" w:color="auto"/>
                <w:left w:val="none" w:sz="0" w:space="0" w:color="auto"/>
                <w:bottom w:val="none" w:sz="0" w:space="0" w:color="auto"/>
                <w:right w:val="none" w:sz="0" w:space="0" w:color="auto"/>
              </w:divBdr>
            </w:div>
          </w:divsChild>
        </w:div>
        <w:div w:id="664937297">
          <w:marLeft w:val="0"/>
          <w:marRight w:val="0"/>
          <w:marTop w:val="300"/>
          <w:marBottom w:val="300"/>
          <w:divBdr>
            <w:top w:val="none" w:sz="0" w:space="0" w:color="auto"/>
            <w:left w:val="none" w:sz="0" w:space="0" w:color="auto"/>
            <w:bottom w:val="none" w:sz="0" w:space="0" w:color="auto"/>
            <w:right w:val="none" w:sz="0" w:space="0" w:color="auto"/>
          </w:divBdr>
        </w:div>
        <w:div w:id="1588730190">
          <w:marLeft w:val="0"/>
          <w:marRight w:val="0"/>
          <w:marTop w:val="0"/>
          <w:marBottom w:val="0"/>
          <w:divBdr>
            <w:top w:val="none" w:sz="0" w:space="0" w:color="auto"/>
            <w:left w:val="none" w:sz="0" w:space="0" w:color="auto"/>
            <w:bottom w:val="none" w:sz="0" w:space="0" w:color="auto"/>
            <w:right w:val="none" w:sz="0" w:space="0" w:color="auto"/>
          </w:divBdr>
          <w:divsChild>
            <w:div w:id="1571429884">
              <w:marLeft w:val="0"/>
              <w:marRight w:val="0"/>
              <w:marTop w:val="0"/>
              <w:marBottom w:val="0"/>
              <w:divBdr>
                <w:top w:val="none" w:sz="0" w:space="0" w:color="auto"/>
                <w:left w:val="none" w:sz="0" w:space="0" w:color="auto"/>
                <w:bottom w:val="none" w:sz="0" w:space="0" w:color="auto"/>
                <w:right w:val="none" w:sz="0" w:space="0" w:color="auto"/>
              </w:divBdr>
            </w:div>
          </w:divsChild>
        </w:div>
        <w:div w:id="1721707326">
          <w:marLeft w:val="0"/>
          <w:marRight w:val="0"/>
          <w:marTop w:val="0"/>
          <w:marBottom w:val="0"/>
          <w:divBdr>
            <w:top w:val="none" w:sz="0" w:space="0" w:color="auto"/>
            <w:left w:val="none" w:sz="0" w:space="0" w:color="auto"/>
            <w:bottom w:val="none" w:sz="0" w:space="0" w:color="auto"/>
            <w:right w:val="none" w:sz="0" w:space="0" w:color="auto"/>
          </w:divBdr>
          <w:divsChild>
            <w:div w:id="1179538047">
              <w:marLeft w:val="0"/>
              <w:marRight w:val="0"/>
              <w:marTop w:val="0"/>
              <w:marBottom w:val="0"/>
              <w:divBdr>
                <w:top w:val="none" w:sz="0" w:space="0" w:color="auto"/>
                <w:left w:val="none" w:sz="0" w:space="0" w:color="auto"/>
                <w:bottom w:val="none" w:sz="0" w:space="0" w:color="auto"/>
                <w:right w:val="none" w:sz="0" w:space="0" w:color="auto"/>
              </w:divBdr>
            </w:div>
          </w:divsChild>
        </w:div>
        <w:div w:id="1669288287">
          <w:marLeft w:val="0"/>
          <w:marRight w:val="0"/>
          <w:marTop w:val="0"/>
          <w:marBottom w:val="0"/>
          <w:divBdr>
            <w:top w:val="none" w:sz="0" w:space="0" w:color="auto"/>
            <w:left w:val="none" w:sz="0" w:space="0" w:color="auto"/>
            <w:bottom w:val="none" w:sz="0" w:space="0" w:color="auto"/>
            <w:right w:val="none" w:sz="0" w:space="0" w:color="auto"/>
          </w:divBdr>
          <w:divsChild>
            <w:div w:id="1932733329">
              <w:marLeft w:val="0"/>
              <w:marRight w:val="0"/>
              <w:marTop w:val="0"/>
              <w:marBottom w:val="0"/>
              <w:divBdr>
                <w:top w:val="none" w:sz="0" w:space="0" w:color="auto"/>
                <w:left w:val="none" w:sz="0" w:space="0" w:color="auto"/>
                <w:bottom w:val="none" w:sz="0" w:space="0" w:color="auto"/>
                <w:right w:val="none" w:sz="0" w:space="0" w:color="auto"/>
              </w:divBdr>
            </w:div>
          </w:divsChild>
        </w:div>
        <w:div w:id="1469086260">
          <w:marLeft w:val="0"/>
          <w:marRight w:val="0"/>
          <w:marTop w:val="300"/>
          <w:marBottom w:val="300"/>
          <w:divBdr>
            <w:top w:val="none" w:sz="0" w:space="0" w:color="auto"/>
            <w:left w:val="none" w:sz="0" w:space="0" w:color="auto"/>
            <w:bottom w:val="none" w:sz="0" w:space="0" w:color="auto"/>
            <w:right w:val="none" w:sz="0" w:space="0" w:color="auto"/>
          </w:divBdr>
        </w:div>
        <w:div w:id="790057632">
          <w:marLeft w:val="0"/>
          <w:marRight w:val="0"/>
          <w:marTop w:val="0"/>
          <w:marBottom w:val="0"/>
          <w:divBdr>
            <w:top w:val="none" w:sz="0" w:space="0" w:color="auto"/>
            <w:left w:val="none" w:sz="0" w:space="0" w:color="auto"/>
            <w:bottom w:val="none" w:sz="0" w:space="0" w:color="auto"/>
            <w:right w:val="none" w:sz="0" w:space="0" w:color="auto"/>
          </w:divBdr>
          <w:divsChild>
            <w:div w:id="918753195">
              <w:marLeft w:val="0"/>
              <w:marRight w:val="0"/>
              <w:marTop w:val="0"/>
              <w:marBottom w:val="0"/>
              <w:divBdr>
                <w:top w:val="none" w:sz="0" w:space="0" w:color="auto"/>
                <w:left w:val="none" w:sz="0" w:space="0" w:color="auto"/>
                <w:bottom w:val="none" w:sz="0" w:space="0" w:color="auto"/>
                <w:right w:val="none" w:sz="0" w:space="0" w:color="auto"/>
              </w:divBdr>
            </w:div>
          </w:divsChild>
        </w:div>
        <w:div w:id="1156721340">
          <w:marLeft w:val="0"/>
          <w:marRight w:val="0"/>
          <w:marTop w:val="0"/>
          <w:marBottom w:val="0"/>
          <w:divBdr>
            <w:top w:val="none" w:sz="0" w:space="0" w:color="auto"/>
            <w:left w:val="none" w:sz="0" w:space="0" w:color="auto"/>
            <w:bottom w:val="none" w:sz="0" w:space="0" w:color="auto"/>
            <w:right w:val="none" w:sz="0" w:space="0" w:color="auto"/>
          </w:divBdr>
          <w:divsChild>
            <w:div w:id="1834564961">
              <w:marLeft w:val="0"/>
              <w:marRight w:val="0"/>
              <w:marTop w:val="0"/>
              <w:marBottom w:val="0"/>
              <w:divBdr>
                <w:top w:val="none" w:sz="0" w:space="0" w:color="auto"/>
                <w:left w:val="none" w:sz="0" w:space="0" w:color="auto"/>
                <w:bottom w:val="none" w:sz="0" w:space="0" w:color="auto"/>
                <w:right w:val="none" w:sz="0" w:space="0" w:color="auto"/>
              </w:divBdr>
            </w:div>
          </w:divsChild>
        </w:div>
        <w:div w:id="2022273037">
          <w:marLeft w:val="0"/>
          <w:marRight w:val="0"/>
          <w:marTop w:val="0"/>
          <w:marBottom w:val="0"/>
          <w:divBdr>
            <w:top w:val="none" w:sz="0" w:space="0" w:color="auto"/>
            <w:left w:val="none" w:sz="0" w:space="0" w:color="auto"/>
            <w:bottom w:val="none" w:sz="0" w:space="0" w:color="auto"/>
            <w:right w:val="none" w:sz="0" w:space="0" w:color="auto"/>
          </w:divBdr>
          <w:divsChild>
            <w:div w:id="330186529">
              <w:marLeft w:val="0"/>
              <w:marRight w:val="0"/>
              <w:marTop w:val="0"/>
              <w:marBottom w:val="0"/>
              <w:divBdr>
                <w:top w:val="none" w:sz="0" w:space="0" w:color="auto"/>
                <w:left w:val="none" w:sz="0" w:space="0" w:color="auto"/>
                <w:bottom w:val="none" w:sz="0" w:space="0" w:color="auto"/>
                <w:right w:val="none" w:sz="0" w:space="0" w:color="auto"/>
              </w:divBdr>
            </w:div>
          </w:divsChild>
        </w:div>
        <w:div w:id="1472750992">
          <w:marLeft w:val="0"/>
          <w:marRight w:val="0"/>
          <w:marTop w:val="300"/>
          <w:marBottom w:val="300"/>
          <w:divBdr>
            <w:top w:val="none" w:sz="0" w:space="0" w:color="auto"/>
            <w:left w:val="none" w:sz="0" w:space="0" w:color="auto"/>
            <w:bottom w:val="none" w:sz="0" w:space="0" w:color="auto"/>
            <w:right w:val="none" w:sz="0" w:space="0" w:color="auto"/>
          </w:divBdr>
        </w:div>
        <w:div w:id="1813062769">
          <w:marLeft w:val="0"/>
          <w:marRight w:val="0"/>
          <w:marTop w:val="0"/>
          <w:marBottom w:val="0"/>
          <w:divBdr>
            <w:top w:val="none" w:sz="0" w:space="0" w:color="auto"/>
            <w:left w:val="none" w:sz="0" w:space="0" w:color="auto"/>
            <w:bottom w:val="none" w:sz="0" w:space="0" w:color="auto"/>
            <w:right w:val="none" w:sz="0" w:space="0" w:color="auto"/>
          </w:divBdr>
          <w:divsChild>
            <w:div w:id="1918050666">
              <w:marLeft w:val="0"/>
              <w:marRight w:val="0"/>
              <w:marTop w:val="0"/>
              <w:marBottom w:val="0"/>
              <w:divBdr>
                <w:top w:val="none" w:sz="0" w:space="0" w:color="auto"/>
                <w:left w:val="none" w:sz="0" w:space="0" w:color="auto"/>
                <w:bottom w:val="none" w:sz="0" w:space="0" w:color="auto"/>
                <w:right w:val="none" w:sz="0" w:space="0" w:color="auto"/>
              </w:divBdr>
            </w:div>
          </w:divsChild>
        </w:div>
        <w:div w:id="2056537152">
          <w:marLeft w:val="0"/>
          <w:marRight w:val="0"/>
          <w:marTop w:val="0"/>
          <w:marBottom w:val="0"/>
          <w:divBdr>
            <w:top w:val="none" w:sz="0" w:space="0" w:color="auto"/>
            <w:left w:val="none" w:sz="0" w:space="0" w:color="auto"/>
            <w:bottom w:val="none" w:sz="0" w:space="0" w:color="auto"/>
            <w:right w:val="none" w:sz="0" w:space="0" w:color="auto"/>
          </w:divBdr>
          <w:divsChild>
            <w:div w:id="422264119">
              <w:marLeft w:val="0"/>
              <w:marRight w:val="0"/>
              <w:marTop w:val="0"/>
              <w:marBottom w:val="0"/>
              <w:divBdr>
                <w:top w:val="none" w:sz="0" w:space="0" w:color="auto"/>
                <w:left w:val="none" w:sz="0" w:space="0" w:color="auto"/>
                <w:bottom w:val="none" w:sz="0" w:space="0" w:color="auto"/>
                <w:right w:val="none" w:sz="0" w:space="0" w:color="auto"/>
              </w:divBdr>
            </w:div>
          </w:divsChild>
        </w:div>
        <w:div w:id="2072458351">
          <w:marLeft w:val="0"/>
          <w:marRight w:val="0"/>
          <w:marTop w:val="0"/>
          <w:marBottom w:val="0"/>
          <w:divBdr>
            <w:top w:val="none" w:sz="0" w:space="0" w:color="auto"/>
            <w:left w:val="none" w:sz="0" w:space="0" w:color="auto"/>
            <w:bottom w:val="none" w:sz="0" w:space="0" w:color="auto"/>
            <w:right w:val="none" w:sz="0" w:space="0" w:color="auto"/>
          </w:divBdr>
          <w:divsChild>
            <w:div w:id="1843547198">
              <w:marLeft w:val="0"/>
              <w:marRight w:val="0"/>
              <w:marTop w:val="0"/>
              <w:marBottom w:val="0"/>
              <w:divBdr>
                <w:top w:val="none" w:sz="0" w:space="0" w:color="auto"/>
                <w:left w:val="none" w:sz="0" w:space="0" w:color="auto"/>
                <w:bottom w:val="none" w:sz="0" w:space="0" w:color="auto"/>
                <w:right w:val="none" w:sz="0" w:space="0" w:color="auto"/>
              </w:divBdr>
            </w:div>
          </w:divsChild>
        </w:div>
        <w:div w:id="1024598289">
          <w:marLeft w:val="0"/>
          <w:marRight w:val="0"/>
          <w:marTop w:val="0"/>
          <w:marBottom w:val="0"/>
          <w:divBdr>
            <w:top w:val="none" w:sz="0" w:space="0" w:color="auto"/>
            <w:left w:val="none" w:sz="0" w:space="0" w:color="auto"/>
            <w:bottom w:val="none" w:sz="0" w:space="0" w:color="auto"/>
            <w:right w:val="none" w:sz="0" w:space="0" w:color="auto"/>
          </w:divBdr>
          <w:divsChild>
            <w:div w:id="446508837">
              <w:marLeft w:val="0"/>
              <w:marRight w:val="0"/>
              <w:marTop w:val="0"/>
              <w:marBottom w:val="0"/>
              <w:divBdr>
                <w:top w:val="none" w:sz="0" w:space="0" w:color="auto"/>
                <w:left w:val="none" w:sz="0" w:space="0" w:color="auto"/>
                <w:bottom w:val="none" w:sz="0" w:space="0" w:color="auto"/>
                <w:right w:val="none" w:sz="0" w:space="0" w:color="auto"/>
              </w:divBdr>
            </w:div>
          </w:divsChild>
        </w:div>
        <w:div w:id="372117477">
          <w:marLeft w:val="0"/>
          <w:marRight w:val="0"/>
          <w:marTop w:val="0"/>
          <w:marBottom w:val="0"/>
          <w:divBdr>
            <w:top w:val="none" w:sz="0" w:space="0" w:color="auto"/>
            <w:left w:val="none" w:sz="0" w:space="0" w:color="auto"/>
            <w:bottom w:val="none" w:sz="0" w:space="0" w:color="auto"/>
            <w:right w:val="none" w:sz="0" w:space="0" w:color="auto"/>
          </w:divBdr>
          <w:divsChild>
            <w:div w:id="247466305">
              <w:marLeft w:val="0"/>
              <w:marRight w:val="0"/>
              <w:marTop w:val="0"/>
              <w:marBottom w:val="0"/>
              <w:divBdr>
                <w:top w:val="none" w:sz="0" w:space="0" w:color="auto"/>
                <w:left w:val="none" w:sz="0" w:space="0" w:color="auto"/>
                <w:bottom w:val="none" w:sz="0" w:space="0" w:color="auto"/>
                <w:right w:val="none" w:sz="0" w:space="0" w:color="auto"/>
              </w:divBdr>
            </w:div>
          </w:divsChild>
        </w:div>
        <w:div w:id="1277517341">
          <w:marLeft w:val="0"/>
          <w:marRight w:val="0"/>
          <w:marTop w:val="0"/>
          <w:marBottom w:val="0"/>
          <w:divBdr>
            <w:top w:val="none" w:sz="0" w:space="0" w:color="auto"/>
            <w:left w:val="none" w:sz="0" w:space="0" w:color="auto"/>
            <w:bottom w:val="none" w:sz="0" w:space="0" w:color="auto"/>
            <w:right w:val="none" w:sz="0" w:space="0" w:color="auto"/>
          </w:divBdr>
          <w:divsChild>
            <w:div w:id="1632634859">
              <w:marLeft w:val="0"/>
              <w:marRight w:val="0"/>
              <w:marTop w:val="0"/>
              <w:marBottom w:val="0"/>
              <w:divBdr>
                <w:top w:val="none" w:sz="0" w:space="0" w:color="auto"/>
                <w:left w:val="none" w:sz="0" w:space="0" w:color="auto"/>
                <w:bottom w:val="none" w:sz="0" w:space="0" w:color="auto"/>
                <w:right w:val="none" w:sz="0" w:space="0" w:color="auto"/>
              </w:divBdr>
            </w:div>
          </w:divsChild>
        </w:div>
        <w:div w:id="881358436">
          <w:marLeft w:val="0"/>
          <w:marRight w:val="0"/>
          <w:marTop w:val="0"/>
          <w:marBottom w:val="0"/>
          <w:divBdr>
            <w:top w:val="none" w:sz="0" w:space="0" w:color="auto"/>
            <w:left w:val="none" w:sz="0" w:space="0" w:color="auto"/>
            <w:bottom w:val="none" w:sz="0" w:space="0" w:color="auto"/>
            <w:right w:val="none" w:sz="0" w:space="0" w:color="auto"/>
          </w:divBdr>
          <w:divsChild>
            <w:div w:id="556286488">
              <w:marLeft w:val="0"/>
              <w:marRight w:val="0"/>
              <w:marTop w:val="0"/>
              <w:marBottom w:val="0"/>
              <w:divBdr>
                <w:top w:val="none" w:sz="0" w:space="0" w:color="auto"/>
                <w:left w:val="none" w:sz="0" w:space="0" w:color="auto"/>
                <w:bottom w:val="none" w:sz="0" w:space="0" w:color="auto"/>
                <w:right w:val="none" w:sz="0" w:space="0" w:color="auto"/>
              </w:divBdr>
            </w:div>
          </w:divsChild>
        </w:div>
        <w:div w:id="157039829">
          <w:marLeft w:val="0"/>
          <w:marRight w:val="0"/>
          <w:marTop w:val="0"/>
          <w:marBottom w:val="0"/>
          <w:divBdr>
            <w:top w:val="none" w:sz="0" w:space="0" w:color="auto"/>
            <w:left w:val="none" w:sz="0" w:space="0" w:color="auto"/>
            <w:bottom w:val="none" w:sz="0" w:space="0" w:color="auto"/>
            <w:right w:val="none" w:sz="0" w:space="0" w:color="auto"/>
          </w:divBdr>
          <w:divsChild>
            <w:div w:id="2083871273">
              <w:marLeft w:val="0"/>
              <w:marRight w:val="0"/>
              <w:marTop w:val="0"/>
              <w:marBottom w:val="0"/>
              <w:divBdr>
                <w:top w:val="none" w:sz="0" w:space="0" w:color="auto"/>
                <w:left w:val="none" w:sz="0" w:space="0" w:color="auto"/>
                <w:bottom w:val="none" w:sz="0" w:space="0" w:color="auto"/>
                <w:right w:val="none" w:sz="0" w:space="0" w:color="auto"/>
              </w:divBdr>
            </w:div>
          </w:divsChild>
        </w:div>
        <w:div w:id="1107238735">
          <w:marLeft w:val="0"/>
          <w:marRight w:val="0"/>
          <w:marTop w:val="0"/>
          <w:marBottom w:val="0"/>
          <w:divBdr>
            <w:top w:val="none" w:sz="0" w:space="0" w:color="auto"/>
            <w:left w:val="none" w:sz="0" w:space="0" w:color="auto"/>
            <w:bottom w:val="none" w:sz="0" w:space="0" w:color="auto"/>
            <w:right w:val="none" w:sz="0" w:space="0" w:color="auto"/>
          </w:divBdr>
          <w:divsChild>
            <w:div w:id="1463959531">
              <w:marLeft w:val="0"/>
              <w:marRight w:val="0"/>
              <w:marTop w:val="0"/>
              <w:marBottom w:val="0"/>
              <w:divBdr>
                <w:top w:val="none" w:sz="0" w:space="0" w:color="auto"/>
                <w:left w:val="none" w:sz="0" w:space="0" w:color="auto"/>
                <w:bottom w:val="none" w:sz="0" w:space="0" w:color="auto"/>
                <w:right w:val="none" w:sz="0" w:space="0" w:color="auto"/>
              </w:divBdr>
            </w:div>
          </w:divsChild>
        </w:div>
        <w:div w:id="340935854">
          <w:marLeft w:val="0"/>
          <w:marRight w:val="0"/>
          <w:marTop w:val="0"/>
          <w:marBottom w:val="0"/>
          <w:divBdr>
            <w:top w:val="none" w:sz="0" w:space="0" w:color="auto"/>
            <w:left w:val="none" w:sz="0" w:space="0" w:color="auto"/>
            <w:bottom w:val="none" w:sz="0" w:space="0" w:color="auto"/>
            <w:right w:val="none" w:sz="0" w:space="0" w:color="auto"/>
          </w:divBdr>
          <w:divsChild>
            <w:div w:id="850493383">
              <w:marLeft w:val="0"/>
              <w:marRight w:val="0"/>
              <w:marTop w:val="0"/>
              <w:marBottom w:val="0"/>
              <w:divBdr>
                <w:top w:val="none" w:sz="0" w:space="0" w:color="auto"/>
                <w:left w:val="none" w:sz="0" w:space="0" w:color="auto"/>
                <w:bottom w:val="none" w:sz="0" w:space="0" w:color="auto"/>
                <w:right w:val="none" w:sz="0" w:space="0" w:color="auto"/>
              </w:divBdr>
            </w:div>
          </w:divsChild>
        </w:div>
        <w:div w:id="304744018">
          <w:marLeft w:val="0"/>
          <w:marRight w:val="0"/>
          <w:marTop w:val="0"/>
          <w:marBottom w:val="0"/>
          <w:divBdr>
            <w:top w:val="none" w:sz="0" w:space="0" w:color="auto"/>
            <w:left w:val="none" w:sz="0" w:space="0" w:color="auto"/>
            <w:bottom w:val="none" w:sz="0" w:space="0" w:color="auto"/>
            <w:right w:val="none" w:sz="0" w:space="0" w:color="auto"/>
          </w:divBdr>
          <w:divsChild>
            <w:div w:id="1839883445">
              <w:marLeft w:val="0"/>
              <w:marRight w:val="0"/>
              <w:marTop w:val="0"/>
              <w:marBottom w:val="0"/>
              <w:divBdr>
                <w:top w:val="none" w:sz="0" w:space="0" w:color="auto"/>
                <w:left w:val="none" w:sz="0" w:space="0" w:color="auto"/>
                <w:bottom w:val="none" w:sz="0" w:space="0" w:color="auto"/>
                <w:right w:val="none" w:sz="0" w:space="0" w:color="auto"/>
              </w:divBdr>
            </w:div>
          </w:divsChild>
        </w:div>
        <w:div w:id="326715760">
          <w:marLeft w:val="0"/>
          <w:marRight w:val="0"/>
          <w:marTop w:val="300"/>
          <w:marBottom w:val="300"/>
          <w:divBdr>
            <w:top w:val="none" w:sz="0" w:space="0" w:color="auto"/>
            <w:left w:val="none" w:sz="0" w:space="0" w:color="auto"/>
            <w:bottom w:val="none" w:sz="0" w:space="0" w:color="auto"/>
            <w:right w:val="none" w:sz="0" w:space="0" w:color="auto"/>
          </w:divBdr>
        </w:div>
        <w:div w:id="231474261">
          <w:marLeft w:val="0"/>
          <w:marRight w:val="0"/>
          <w:marTop w:val="0"/>
          <w:marBottom w:val="0"/>
          <w:divBdr>
            <w:top w:val="none" w:sz="0" w:space="0" w:color="auto"/>
            <w:left w:val="none" w:sz="0" w:space="0" w:color="auto"/>
            <w:bottom w:val="none" w:sz="0" w:space="0" w:color="auto"/>
            <w:right w:val="none" w:sz="0" w:space="0" w:color="auto"/>
          </w:divBdr>
          <w:divsChild>
            <w:div w:id="1639802564">
              <w:marLeft w:val="0"/>
              <w:marRight w:val="0"/>
              <w:marTop w:val="0"/>
              <w:marBottom w:val="0"/>
              <w:divBdr>
                <w:top w:val="none" w:sz="0" w:space="0" w:color="auto"/>
                <w:left w:val="none" w:sz="0" w:space="0" w:color="auto"/>
                <w:bottom w:val="none" w:sz="0" w:space="0" w:color="auto"/>
                <w:right w:val="none" w:sz="0" w:space="0" w:color="auto"/>
              </w:divBdr>
            </w:div>
          </w:divsChild>
        </w:div>
        <w:div w:id="958726623">
          <w:marLeft w:val="0"/>
          <w:marRight w:val="0"/>
          <w:marTop w:val="0"/>
          <w:marBottom w:val="0"/>
          <w:divBdr>
            <w:top w:val="none" w:sz="0" w:space="0" w:color="auto"/>
            <w:left w:val="none" w:sz="0" w:space="0" w:color="auto"/>
            <w:bottom w:val="none" w:sz="0" w:space="0" w:color="auto"/>
            <w:right w:val="none" w:sz="0" w:space="0" w:color="auto"/>
          </w:divBdr>
          <w:divsChild>
            <w:div w:id="674117641">
              <w:marLeft w:val="0"/>
              <w:marRight w:val="0"/>
              <w:marTop w:val="0"/>
              <w:marBottom w:val="0"/>
              <w:divBdr>
                <w:top w:val="none" w:sz="0" w:space="0" w:color="auto"/>
                <w:left w:val="none" w:sz="0" w:space="0" w:color="auto"/>
                <w:bottom w:val="none" w:sz="0" w:space="0" w:color="auto"/>
                <w:right w:val="none" w:sz="0" w:space="0" w:color="auto"/>
              </w:divBdr>
            </w:div>
          </w:divsChild>
        </w:div>
        <w:div w:id="754279306">
          <w:marLeft w:val="0"/>
          <w:marRight w:val="0"/>
          <w:marTop w:val="0"/>
          <w:marBottom w:val="0"/>
          <w:divBdr>
            <w:top w:val="none" w:sz="0" w:space="0" w:color="auto"/>
            <w:left w:val="none" w:sz="0" w:space="0" w:color="auto"/>
            <w:bottom w:val="none" w:sz="0" w:space="0" w:color="auto"/>
            <w:right w:val="none" w:sz="0" w:space="0" w:color="auto"/>
          </w:divBdr>
          <w:divsChild>
            <w:div w:id="1209684135">
              <w:marLeft w:val="0"/>
              <w:marRight w:val="0"/>
              <w:marTop w:val="0"/>
              <w:marBottom w:val="0"/>
              <w:divBdr>
                <w:top w:val="none" w:sz="0" w:space="0" w:color="auto"/>
                <w:left w:val="none" w:sz="0" w:space="0" w:color="auto"/>
                <w:bottom w:val="none" w:sz="0" w:space="0" w:color="auto"/>
                <w:right w:val="none" w:sz="0" w:space="0" w:color="auto"/>
              </w:divBdr>
            </w:div>
          </w:divsChild>
        </w:div>
        <w:div w:id="1568764106">
          <w:marLeft w:val="0"/>
          <w:marRight w:val="0"/>
          <w:marTop w:val="0"/>
          <w:marBottom w:val="0"/>
          <w:divBdr>
            <w:top w:val="none" w:sz="0" w:space="0" w:color="auto"/>
            <w:left w:val="none" w:sz="0" w:space="0" w:color="auto"/>
            <w:bottom w:val="none" w:sz="0" w:space="0" w:color="auto"/>
            <w:right w:val="none" w:sz="0" w:space="0" w:color="auto"/>
          </w:divBdr>
          <w:divsChild>
            <w:div w:id="1243832282">
              <w:marLeft w:val="0"/>
              <w:marRight w:val="0"/>
              <w:marTop w:val="0"/>
              <w:marBottom w:val="0"/>
              <w:divBdr>
                <w:top w:val="none" w:sz="0" w:space="0" w:color="auto"/>
                <w:left w:val="none" w:sz="0" w:space="0" w:color="auto"/>
                <w:bottom w:val="none" w:sz="0" w:space="0" w:color="auto"/>
                <w:right w:val="none" w:sz="0" w:space="0" w:color="auto"/>
              </w:divBdr>
            </w:div>
          </w:divsChild>
        </w:div>
        <w:div w:id="550382221">
          <w:marLeft w:val="0"/>
          <w:marRight w:val="0"/>
          <w:marTop w:val="0"/>
          <w:marBottom w:val="0"/>
          <w:divBdr>
            <w:top w:val="none" w:sz="0" w:space="0" w:color="auto"/>
            <w:left w:val="none" w:sz="0" w:space="0" w:color="auto"/>
            <w:bottom w:val="none" w:sz="0" w:space="0" w:color="auto"/>
            <w:right w:val="none" w:sz="0" w:space="0" w:color="auto"/>
          </w:divBdr>
          <w:divsChild>
            <w:div w:id="412318573">
              <w:marLeft w:val="0"/>
              <w:marRight w:val="0"/>
              <w:marTop w:val="0"/>
              <w:marBottom w:val="0"/>
              <w:divBdr>
                <w:top w:val="none" w:sz="0" w:space="0" w:color="auto"/>
                <w:left w:val="none" w:sz="0" w:space="0" w:color="auto"/>
                <w:bottom w:val="none" w:sz="0" w:space="0" w:color="auto"/>
                <w:right w:val="none" w:sz="0" w:space="0" w:color="auto"/>
              </w:divBdr>
            </w:div>
          </w:divsChild>
        </w:div>
        <w:div w:id="1329096776">
          <w:marLeft w:val="0"/>
          <w:marRight w:val="0"/>
          <w:marTop w:val="0"/>
          <w:marBottom w:val="0"/>
          <w:divBdr>
            <w:top w:val="none" w:sz="0" w:space="0" w:color="auto"/>
            <w:left w:val="none" w:sz="0" w:space="0" w:color="auto"/>
            <w:bottom w:val="none" w:sz="0" w:space="0" w:color="auto"/>
            <w:right w:val="none" w:sz="0" w:space="0" w:color="auto"/>
          </w:divBdr>
          <w:divsChild>
            <w:div w:id="1857234422">
              <w:marLeft w:val="0"/>
              <w:marRight w:val="0"/>
              <w:marTop w:val="0"/>
              <w:marBottom w:val="0"/>
              <w:divBdr>
                <w:top w:val="none" w:sz="0" w:space="0" w:color="auto"/>
                <w:left w:val="none" w:sz="0" w:space="0" w:color="auto"/>
                <w:bottom w:val="none" w:sz="0" w:space="0" w:color="auto"/>
                <w:right w:val="none" w:sz="0" w:space="0" w:color="auto"/>
              </w:divBdr>
            </w:div>
          </w:divsChild>
        </w:div>
        <w:div w:id="880090341">
          <w:marLeft w:val="0"/>
          <w:marRight w:val="0"/>
          <w:marTop w:val="300"/>
          <w:marBottom w:val="300"/>
          <w:divBdr>
            <w:top w:val="none" w:sz="0" w:space="0" w:color="auto"/>
            <w:left w:val="none" w:sz="0" w:space="0" w:color="auto"/>
            <w:bottom w:val="none" w:sz="0" w:space="0" w:color="auto"/>
            <w:right w:val="none" w:sz="0" w:space="0" w:color="auto"/>
          </w:divBdr>
        </w:div>
        <w:div w:id="2077706947">
          <w:marLeft w:val="0"/>
          <w:marRight w:val="0"/>
          <w:marTop w:val="0"/>
          <w:marBottom w:val="0"/>
          <w:divBdr>
            <w:top w:val="none" w:sz="0" w:space="0" w:color="auto"/>
            <w:left w:val="none" w:sz="0" w:space="0" w:color="auto"/>
            <w:bottom w:val="none" w:sz="0" w:space="0" w:color="auto"/>
            <w:right w:val="none" w:sz="0" w:space="0" w:color="auto"/>
          </w:divBdr>
          <w:divsChild>
            <w:div w:id="217202712">
              <w:marLeft w:val="0"/>
              <w:marRight w:val="0"/>
              <w:marTop w:val="0"/>
              <w:marBottom w:val="0"/>
              <w:divBdr>
                <w:top w:val="none" w:sz="0" w:space="0" w:color="auto"/>
                <w:left w:val="none" w:sz="0" w:space="0" w:color="auto"/>
                <w:bottom w:val="none" w:sz="0" w:space="0" w:color="auto"/>
                <w:right w:val="none" w:sz="0" w:space="0" w:color="auto"/>
              </w:divBdr>
            </w:div>
          </w:divsChild>
        </w:div>
        <w:div w:id="1187215299">
          <w:marLeft w:val="0"/>
          <w:marRight w:val="0"/>
          <w:marTop w:val="300"/>
          <w:marBottom w:val="300"/>
          <w:divBdr>
            <w:top w:val="none" w:sz="0" w:space="0" w:color="auto"/>
            <w:left w:val="none" w:sz="0" w:space="0" w:color="auto"/>
            <w:bottom w:val="none" w:sz="0" w:space="0" w:color="auto"/>
            <w:right w:val="none" w:sz="0" w:space="0" w:color="auto"/>
          </w:divBdr>
        </w:div>
        <w:div w:id="1132401041">
          <w:marLeft w:val="0"/>
          <w:marRight w:val="0"/>
          <w:marTop w:val="0"/>
          <w:marBottom w:val="0"/>
          <w:divBdr>
            <w:top w:val="none" w:sz="0" w:space="0" w:color="auto"/>
            <w:left w:val="none" w:sz="0" w:space="0" w:color="auto"/>
            <w:bottom w:val="none" w:sz="0" w:space="0" w:color="auto"/>
            <w:right w:val="none" w:sz="0" w:space="0" w:color="auto"/>
          </w:divBdr>
          <w:divsChild>
            <w:div w:id="324088427">
              <w:marLeft w:val="0"/>
              <w:marRight w:val="0"/>
              <w:marTop w:val="0"/>
              <w:marBottom w:val="0"/>
              <w:divBdr>
                <w:top w:val="none" w:sz="0" w:space="0" w:color="auto"/>
                <w:left w:val="none" w:sz="0" w:space="0" w:color="auto"/>
                <w:bottom w:val="none" w:sz="0" w:space="0" w:color="auto"/>
                <w:right w:val="none" w:sz="0" w:space="0" w:color="auto"/>
              </w:divBdr>
            </w:div>
          </w:divsChild>
        </w:div>
        <w:div w:id="660229918">
          <w:marLeft w:val="0"/>
          <w:marRight w:val="0"/>
          <w:marTop w:val="0"/>
          <w:marBottom w:val="0"/>
          <w:divBdr>
            <w:top w:val="none" w:sz="0" w:space="0" w:color="auto"/>
            <w:left w:val="none" w:sz="0" w:space="0" w:color="auto"/>
            <w:bottom w:val="none" w:sz="0" w:space="0" w:color="auto"/>
            <w:right w:val="none" w:sz="0" w:space="0" w:color="auto"/>
          </w:divBdr>
          <w:divsChild>
            <w:div w:id="1947038372">
              <w:marLeft w:val="0"/>
              <w:marRight w:val="0"/>
              <w:marTop w:val="0"/>
              <w:marBottom w:val="0"/>
              <w:divBdr>
                <w:top w:val="none" w:sz="0" w:space="0" w:color="auto"/>
                <w:left w:val="none" w:sz="0" w:space="0" w:color="auto"/>
                <w:bottom w:val="none" w:sz="0" w:space="0" w:color="auto"/>
                <w:right w:val="none" w:sz="0" w:space="0" w:color="auto"/>
              </w:divBdr>
            </w:div>
          </w:divsChild>
        </w:div>
        <w:div w:id="1632134199">
          <w:marLeft w:val="0"/>
          <w:marRight w:val="0"/>
          <w:marTop w:val="300"/>
          <w:marBottom w:val="300"/>
          <w:divBdr>
            <w:top w:val="none" w:sz="0" w:space="0" w:color="auto"/>
            <w:left w:val="none" w:sz="0" w:space="0" w:color="auto"/>
            <w:bottom w:val="none" w:sz="0" w:space="0" w:color="auto"/>
            <w:right w:val="none" w:sz="0" w:space="0" w:color="auto"/>
          </w:divBdr>
        </w:div>
        <w:div w:id="927812542">
          <w:marLeft w:val="0"/>
          <w:marRight w:val="0"/>
          <w:marTop w:val="0"/>
          <w:marBottom w:val="0"/>
          <w:divBdr>
            <w:top w:val="none" w:sz="0" w:space="0" w:color="auto"/>
            <w:left w:val="none" w:sz="0" w:space="0" w:color="auto"/>
            <w:bottom w:val="none" w:sz="0" w:space="0" w:color="auto"/>
            <w:right w:val="none" w:sz="0" w:space="0" w:color="auto"/>
          </w:divBdr>
          <w:divsChild>
            <w:div w:id="1213931574">
              <w:marLeft w:val="0"/>
              <w:marRight w:val="0"/>
              <w:marTop w:val="0"/>
              <w:marBottom w:val="0"/>
              <w:divBdr>
                <w:top w:val="none" w:sz="0" w:space="0" w:color="auto"/>
                <w:left w:val="none" w:sz="0" w:space="0" w:color="auto"/>
                <w:bottom w:val="none" w:sz="0" w:space="0" w:color="auto"/>
                <w:right w:val="none" w:sz="0" w:space="0" w:color="auto"/>
              </w:divBdr>
            </w:div>
          </w:divsChild>
        </w:div>
        <w:div w:id="955602560">
          <w:marLeft w:val="0"/>
          <w:marRight w:val="0"/>
          <w:marTop w:val="0"/>
          <w:marBottom w:val="0"/>
          <w:divBdr>
            <w:top w:val="none" w:sz="0" w:space="0" w:color="auto"/>
            <w:left w:val="none" w:sz="0" w:space="0" w:color="auto"/>
            <w:bottom w:val="none" w:sz="0" w:space="0" w:color="auto"/>
            <w:right w:val="none" w:sz="0" w:space="0" w:color="auto"/>
          </w:divBdr>
          <w:divsChild>
            <w:div w:id="1615167325">
              <w:marLeft w:val="0"/>
              <w:marRight w:val="0"/>
              <w:marTop w:val="0"/>
              <w:marBottom w:val="0"/>
              <w:divBdr>
                <w:top w:val="none" w:sz="0" w:space="0" w:color="auto"/>
                <w:left w:val="none" w:sz="0" w:space="0" w:color="auto"/>
                <w:bottom w:val="none" w:sz="0" w:space="0" w:color="auto"/>
                <w:right w:val="none" w:sz="0" w:space="0" w:color="auto"/>
              </w:divBdr>
            </w:div>
          </w:divsChild>
        </w:div>
        <w:div w:id="620721295">
          <w:marLeft w:val="0"/>
          <w:marRight w:val="0"/>
          <w:marTop w:val="0"/>
          <w:marBottom w:val="0"/>
          <w:divBdr>
            <w:top w:val="none" w:sz="0" w:space="0" w:color="auto"/>
            <w:left w:val="none" w:sz="0" w:space="0" w:color="auto"/>
            <w:bottom w:val="none" w:sz="0" w:space="0" w:color="auto"/>
            <w:right w:val="none" w:sz="0" w:space="0" w:color="auto"/>
          </w:divBdr>
          <w:divsChild>
            <w:div w:id="499656150">
              <w:marLeft w:val="0"/>
              <w:marRight w:val="0"/>
              <w:marTop w:val="0"/>
              <w:marBottom w:val="0"/>
              <w:divBdr>
                <w:top w:val="none" w:sz="0" w:space="0" w:color="auto"/>
                <w:left w:val="none" w:sz="0" w:space="0" w:color="auto"/>
                <w:bottom w:val="none" w:sz="0" w:space="0" w:color="auto"/>
                <w:right w:val="none" w:sz="0" w:space="0" w:color="auto"/>
              </w:divBdr>
            </w:div>
          </w:divsChild>
        </w:div>
        <w:div w:id="1297298099">
          <w:marLeft w:val="0"/>
          <w:marRight w:val="0"/>
          <w:marTop w:val="0"/>
          <w:marBottom w:val="0"/>
          <w:divBdr>
            <w:top w:val="none" w:sz="0" w:space="0" w:color="auto"/>
            <w:left w:val="none" w:sz="0" w:space="0" w:color="auto"/>
            <w:bottom w:val="none" w:sz="0" w:space="0" w:color="auto"/>
            <w:right w:val="none" w:sz="0" w:space="0" w:color="auto"/>
          </w:divBdr>
          <w:divsChild>
            <w:div w:id="1130366098">
              <w:marLeft w:val="0"/>
              <w:marRight w:val="0"/>
              <w:marTop w:val="0"/>
              <w:marBottom w:val="0"/>
              <w:divBdr>
                <w:top w:val="none" w:sz="0" w:space="0" w:color="auto"/>
                <w:left w:val="none" w:sz="0" w:space="0" w:color="auto"/>
                <w:bottom w:val="none" w:sz="0" w:space="0" w:color="auto"/>
                <w:right w:val="none" w:sz="0" w:space="0" w:color="auto"/>
              </w:divBdr>
            </w:div>
          </w:divsChild>
        </w:div>
        <w:div w:id="84962449">
          <w:marLeft w:val="0"/>
          <w:marRight w:val="0"/>
          <w:marTop w:val="300"/>
          <w:marBottom w:val="300"/>
          <w:divBdr>
            <w:top w:val="none" w:sz="0" w:space="0" w:color="auto"/>
            <w:left w:val="none" w:sz="0" w:space="0" w:color="auto"/>
            <w:bottom w:val="none" w:sz="0" w:space="0" w:color="auto"/>
            <w:right w:val="none" w:sz="0" w:space="0" w:color="auto"/>
          </w:divBdr>
        </w:div>
        <w:div w:id="401216600">
          <w:marLeft w:val="0"/>
          <w:marRight w:val="0"/>
          <w:marTop w:val="0"/>
          <w:marBottom w:val="0"/>
          <w:divBdr>
            <w:top w:val="none" w:sz="0" w:space="0" w:color="auto"/>
            <w:left w:val="none" w:sz="0" w:space="0" w:color="auto"/>
            <w:bottom w:val="none" w:sz="0" w:space="0" w:color="auto"/>
            <w:right w:val="none" w:sz="0" w:space="0" w:color="auto"/>
          </w:divBdr>
          <w:divsChild>
            <w:div w:id="253437542">
              <w:marLeft w:val="0"/>
              <w:marRight w:val="0"/>
              <w:marTop w:val="0"/>
              <w:marBottom w:val="0"/>
              <w:divBdr>
                <w:top w:val="none" w:sz="0" w:space="0" w:color="auto"/>
                <w:left w:val="none" w:sz="0" w:space="0" w:color="auto"/>
                <w:bottom w:val="none" w:sz="0" w:space="0" w:color="auto"/>
                <w:right w:val="none" w:sz="0" w:space="0" w:color="auto"/>
              </w:divBdr>
            </w:div>
          </w:divsChild>
        </w:div>
        <w:div w:id="2144540698">
          <w:marLeft w:val="0"/>
          <w:marRight w:val="0"/>
          <w:marTop w:val="0"/>
          <w:marBottom w:val="0"/>
          <w:divBdr>
            <w:top w:val="none" w:sz="0" w:space="0" w:color="auto"/>
            <w:left w:val="none" w:sz="0" w:space="0" w:color="auto"/>
            <w:bottom w:val="none" w:sz="0" w:space="0" w:color="auto"/>
            <w:right w:val="none" w:sz="0" w:space="0" w:color="auto"/>
          </w:divBdr>
          <w:divsChild>
            <w:div w:id="2038266448">
              <w:marLeft w:val="0"/>
              <w:marRight w:val="0"/>
              <w:marTop w:val="0"/>
              <w:marBottom w:val="0"/>
              <w:divBdr>
                <w:top w:val="none" w:sz="0" w:space="0" w:color="auto"/>
                <w:left w:val="none" w:sz="0" w:space="0" w:color="auto"/>
                <w:bottom w:val="none" w:sz="0" w:space="0" w:color="auto"/>
                <w:right w:val="none" w:sz="0" w:space="0" w:color="auto"/>
              </w:divBdr>
            </w:div>
          </w:divsChild>
        </w:div>
        <w:div w:id="856965829">
          <w:marLeft w:val="0"/>
          <w:marRight w:val="0"/>
          <w:marTop w:val="300"/>
          <w:marBottom w:val="300"/>
          <w:divBdr>
            <w:top w:val="none" w:sz="0" w:space="0" w:color="auto"/>
            <w:left w:val="none" w:sz="0" w:space="0" w:color="auto"/>
            <w:bottom w:val="none" w:sz="0" w:space="0" w:color="auto"/>
            <w:right w:val="none" w:sz="0" w:space="0" w:color="auto"/>
          </w:divBdr>
        </w:div>
        <w:div w:id="2102413340">
          <w:marLeft w:val="0"/>
          <w:marRight w:val="0"/>
          <w:marTop w:val="0"/>
          <w:marBottom w:val="0"/>
          <w:divBdr>
            <w:top w:val="none" w:sz="0" w:space="0" w:color="auto"/>
            <w:left w:val="none" w:sz="0" w:space="0" w:color="auto"/>
            <w:bottom w:val="none" w:sz="0" w:space="0" w:color="auto"/>
            <w:right w:val="none" w:sz="0" w:space="0" w:color="auto"/>
          </w:divBdr>
          <w:divsChild>
            <w:div w:id="487286037">
              <w:marLeft w:val="0"/>
              <w:marRight w:val="0"/>
              <w:marTop w:val="0"/>
              <w:marBottom w:val="0"/>
              <w:divBdr>
                <w:top w:val="none" w:sz="0" w:space="0" w:color="auto"/>
                <w:left w:val="none" w:sz="0" w:space="0" w:color="auto"/>
                <w:bottom w:val="none" w:sz="0" w:space="0" w:color="auto"/>
                <w:right w:val="none" w:sz="0" w:space="0" w:color="auto"/>
              </w:divBdr>
            </w:div>
          </w:divsChild>
        </w:div>
        <w:div w:id="23287313">
          <w:marLeft w:val="0"/>
          <w:marRight w:val="0"/>
          <w:marTop w:val="0"/>
          <w:marBottom w:val="0"/>
          <w:divBdr>
            <w:top w:val="none" w:sz="0" w:space="0" w:color="auto"/>
            <w:left w:val="none" w:sz="0" w:space="0" w:color="auto"/>
            <w:bottom w:val="none" w:sz="0" w:space="0" w:color="auto"/>
            <w:right w:val="none" w:sz="0" w:space="0" w:color="auto"/>
          </w:divBdr>
          <w:divsChild>
            <w:div w:id="1905287258">
              <w:marLeft w:val="0"/>
              <w:marRight w:val="0"/>
              <w:marTop w:val="0"/>
              <w:marBottom w:val="0"/>
              <w:divBdr>
                <w:top w:val="none" w:sz="0" w:space="0" w:color="auto"/>
                <w:left w:val="none" w:sz="0" w:space="0" w:color="auto"/>
                <w:bottom w:val="none" w:sz="0" w:space="0" w:color="auto"/>
                <w:right w:val="none" w:sz="0" w:space="0" w:color="auto"/>
              </w:divBdr>
            </w:div>
          </w:divsChild>
        </w:div>
        <w:div w:id="1338730292">
          <w:marLeft w:val="0"/>
          <w:marRight w:val="0"/>
          <w:marTop w:val="0"/>
          <w:marBottom w:val="0"/>
          <w:divBdr>
            <w:top w:val="none" w:sz="0" w:space="0" w:color="auto"/>
            <w:left w:val="none" w:sz="0" w:space="0" w:color="auto"/>
            <w:bottom w:val="none" w:sz="0" w:space="0" w:color="auto"/>
            <w:right w:val="none" w:sz="0" w:space="0" w:color="auto"/>
          </w:divBdr>
          <w:divsChild>
            <w:div w:id="1694499969">
              <w:marLeft w:val="0"/>
              <w:marRight w:val="0"/>
              <w:marTop w:val="0"/>
              <w:marBottom w:val="0"/>
              <w:divBdr>
                <w:top w:val="none" w:sz="0" w:space="0" w:color="auto"/>
                <w:left w:val="none" w:sz="0" w:space="0" w:color="auto"/>
                <w:bottom w:val="none" w:sz="0" w:space="0" w:color="auto"/>
                <w:right w:val="none" w:sz="0" w:space="0" w:color="auto"/>
              </w:divBdr>
            </w:div>
          </w:divsChild>
        </w:div>
        <w:div w:id="1709837076">
          <w:marLeft w:val="0"/>
          <w:marRight w:val="0"/>
          <w:marTop w:val="300"/>
          <w:marBottom w:val="300"/>
          <w:divBdr>
            <w:top w:val="none" w:sz="0" w:space="0" w:color="auto"/>
            <w:left w:val="none" w:sz="0" w:space="0" w:color="auto"/>
            <w:bottom w:val="none" w:sz="0" w:space="0" w:color="auto"/>
            <w:right w:val="none" w:sz="0" w:space="0" w:color="auto"/>
          </w:divBdr>
        </w:div>
        <w:div w:id="1274019890">
          <w:marLeft w:val="0"/>
          <w:marRight w:val="0"/>
          <w:marTop w:val="0"/>
          <w:marBottom w:val="0"/>
          <w:divBdr>
            <w:top w:val="none" w:sz="0" w:space="0" w:color="auto"/>
            <w:left w:val="none" w:sz="0" w:space="0" w:color="auto"/>
            <w:bottom w:val="none" w:sz="0" w:space="0" w:color="auto"/>
            <w:right w:val="none" w:sz="0" w:space="0" w:color="auto"/>
          </w:divBdr>
          <w:divsChild>
            <w:div w:id="295138014">
              <w:marLeft w:val="0"/>
              <w:marRight w:val="0"/>
              <w:marTop w:val="0"/>
              <w:marBottom w:val="0"/>
              <w:divBdr>
                <w:top w:val="none" w:sz="0" w:space="0" w:color="auto"/>
                <w:left w:val="none" w:sz="0" w:space="0" w:color="auto"/>
                <w:bottom w:val="none" w:sz="0" w:space="0" w:color="auto"/>
                <w:right w:val="none" w:sz="0" w:space="0" w:color="auto"/>
              </w:divBdr>
            </w:div>
          </w:divsChild>
        </w:div>
        <w:div w:id="517085403">
          <w:marLeft w:val="0"/>
          <w:marRight w:val="0"/>
          <w:marTop w:val="0"/>
          <w:marBottom w:val="0"/>
          <w:divBdr>
            <w:top w:val="none" w:sz="0" w:space="0" w:color="auto"/>
            <w:left w:val="none" w:sz="0" w:space="0" w:color="auto"/>
            <w:bottom w:val="none" w:sz="0" w:space="0" w:color="auto"/>
            <w:right w:val="none" w:sz="0" w:space="0" w:color="auto"/>
          </w:divBdr>
          <w:divsChild>
            <w:div w:id="2010907799">
              <w:marLeft w:val="0"/>
              <w:marRight w:val="0"/>
              <w:marTop w:val="0"/>
              <w:marBottom w:val="0"/>
              <w:divBdr>
                <w:top w:val="none" w:sz="0" w:space="0" w:color="auto"/>
                <w:left w:val="none" w:sz="0" w:space="0" w:color="auto"/>
                <w:bottom w:val="none" w:sz="0" w:space="0" w:color="auto"/>
                <w:right w:val="none" w:sz="0" w:space="0" w:color="auto"/>
              </w:divBdr>
            </w:div>
          </w:divsChild>
        </w:div>
        <w:div w:id="152184917">
          <w:marLeft w:val="0"/>
          <w:marRight w:val="0"/>
          <w:marTop w:val="0"/>
          <w:marBottom w:val="0"/>
          <w:divBdr>
            <w:top w:val="none" w:sz="0" w:space="0" w:color="auto"/>
            <w:left w:val="none" w:sz="0" w:space="0" w:color="auto"/>
            <w:bottom w:val="none" w:sz="0" w:space="0" w:color="auto"/>
            <w:right w:val="none" w:sz="0" w:space="0" w:color="auto"/>
          </w:divBdr>
          <w:divsChild>
            <w:div w:id="259262354">
              <w:marLeft w:val="0"/>
              <w:marRight w:val="0"/>
              <w:marTop w:val="0"/>
              <w:marBottom w:val="0"/>
              <w:divBdr>
                <w:top w:val="none" w:sz="0" w:space="0" w:color="auto"/>
                <w:left w:val="none" w:sz="0" w:space="0" w:color="auto"/>
                <w:bottom w:val="none" w:sz="0" w:space="0" w:color="auto"/>
                <w:right w:val="none" w:sz="0" w:space="0" w:color="auto"/>
              </w:divBdr>
            </w:div>
          </w:divsChild>
        </w:div>
        <w:div w:id="1483961004">
          <w:marLeft w:val="0"/>
          <w:marRight w:val="0"/>
          <w:marTop w:val="300"/>
          <w:marBottom w:val="300"/>
          <w:divBdr>
            <w:top w:val="none" w:sz="0" w:space="0" w:color="auto"/>
            <w:left w:val="none" w:sz="0" w:space="0" w:color="auto"/>
            <w:bottom w:val="none" w:sz="0" w:space="0" w:color="auto"/>
            <w:right w:val="none" w:sz="0" w:space="0" w:color="auto"/>
          </w:divBdr>
        </w:div>
        <w:div w:id="257257532">
          <w:marLeft w:val="0"/>
          <w:marRight w:val="0"/>
          <w:marTop w:val="0"/>
          <w:marBottom w:val="0"/>
          <w:divBdr>
            <w:top w:val="none" w:sz="0" w:space="0" w:color="auto"/>
            <w:left w:val="none" w:sz="0" w:space="0" w:color="auto"/>
            <w:bottom w:val="none" w:sz="0" w:space="0" w:color="auto"/>
            <w:right w:val="none" w:sz="0" w:space="0" w:color="auto"/>
          </w:divBdr>
          <w:divsChild>
            <w:div w:id="1448233459">
              <w:marLeft w:val="0"/>
              <w:marRight w:val="0"/>
              <w:marTop w:val="0"/>
              <w:marBottom w:val="0"/>
              <w:divBdr>
                <w:top w:val="none" w:sz="0" w:space="0" w:color="auto"/>
                <w:left w:val="none" w:sz="0" w:space="0" w:color="auto"/>
                <w:bottom w:val="none" w:sz="0" w:space="0" w:color="auto"/>
                <w:right w:val="none" w:sz="0" w:space="0" w:color="auto"/>
              </w:divBdr>
            </w:div>
          </w:divsChild>
        </w:div>
        <w:div w:id="1307709189">
          <w:marLeft w:val="0"/>
          <w:marRight w:val="0"/>
          <w:marTop w:val="0"/>
          <w:marBottom w:val="0"/>
          <w:divBdr>
            <w:top w:val="none" w:sz="0" w:space="0" w:color="auto"/>
            <w:left w:val="none" w:sz="0" w:space="0" w:color="auto"/>
            <w:bottom w:val="none" w:sz="0" w:space="0" w:color="auto"/>
            <w:right w:val="none" w:sz="0" w:space="0" w:color="auto"/>
          </w:divBdr>
          <w:divsChild>
            <w:div w:id="1743092760">
              <w:marLeft w:val="0"/>
              <w:marRight w:val="0"/>
              <w:marTop w:val="0"/>
              <w:marBottom w:val="0"/>
              <w:divBdr>
                <w:top w:val="none" w:sz="0" w:space="0" w:color="auto"/>
                <w:left w:val="none" w:sz="0" w:space="0" w:color="auto"/>
                <w:bottom w:val="none" w:sz="0" w:space="0" w:color="auto"/>
                <w:right w:val="none" w:sz="0" w:space="0" w:color="auto"/>
              </w:divBdr>
            </w:div>
          </w:divsChild>
        </w:div>
        <w:div w:id="29575926">
          <w:marLeft w:val="0"/>
          <w:marRight w:val="0"/>
          <w:marTop w:val="0"/>
          <w:marBottom w:val="0"/>
          <w:divBdr>
            <w:top w:val="none" w:sz="0" w:space="0" w:color="auto"/>
            <w:left w:val="none" w:sz="0" w:space="0" w:color="auto"/>
            <w:bottom w:val="none" w:sz="0" w:space="0" w:color="auto"/>
            <w:right w:val="none" w:sz="0" w:space="0" w:color="auto"/>
          </w:divBdr>
          <w:divsChild>
            <w:div w:id="1064719990">
              <w:marLeft w:val="0"/>
              <w:marRight w:val="0"/>
              <w:marTop w:val="0"/>
              <w:marBottom w:val="0"/>
              <w:divBdr>
                <w:top w:val="none" w:sz="0" w:space="0" w:color="auto"/>
                <w:left w:val="none" w:sz="0" w:space="0" w:color="auto"/>
                <w:bottom w:val="none" w:sz="0" w:space="0" w:color="auto"/>
                <w:right w:val="none" w:sz="0" w:space="0" w:color="auto"/>
              </w:divBdr>
            </w:div>
          </w:divsChild>
        </w:div>
        <w:div w:id="13968798">
          <w:marLeft w:val="0"/>
          <w:marRight w:val="0"/>
          <w:marTop w:val="0"/>
          <w:marBottom w:val="0"/>
          <w:divBdr>
            <w:top w:val="none" w:sz="0" w:space="0" w:color="auto"/>
            <w:left w:val="none" w:sz="0" w:space="0" w:color="auto"/>
            <w:bottom w:val="none" w:sz="0" w:space="0" w:color="auto"/>
            <w:right w:val="none" w:sz="0" w:space="0" w:color="auto"/>
          </w:divBdr>
          <w:divsChild>
            <w:div w:id="1506357151">
              <w:marLeft w:val="0"/>
              <w:marRight w:val="0"/>
              <w:marTop w:val="0"/>
              <w:marBottom w:val="0"/>
              <w:divBdr>
                <w:top w:val="none" w:sz="0" w:space="0" w:color="auto"/>
                <w:left w:val="none" w:sz="0" w:space="0" w:color="auto"/>
                <w:bottom w:val="none" w:sz="0" w:space="0" w:color="auto"/>
                <w:right w:val="none" w:sz="0" w:space="0" w:color="auto"/>
              </w:divBdr>
            </w:div>
          </w:divsChild>
        </w:div>
        <w:div w:id="1063138248">
          <w:marLeft w:val="0"/>
          <w:marRight w:val="0"/>
          <w:marTop w:val="0"/>
          <w:marBottom w:val="0"/>
          <w:divBdr>
            <w:top w:val="none" w:sz="0" w:space="0" w:color="auto"/>
            <w:left w:val="none" w:sz="0" w:space="0" w:color="auto"/>
            <w:bottom w:val="none" w:sz="0" w:space="0" w:color="auto"/>
            <w:right w:val="none" w:sz="0" w:space="0" w:color="auto"/>
          </w:divBdr>
          <w:divsChild>
            <w:div w:id="599918027">
              <w:marLeft w:val="0"/>
              <w:marRight w:val="0"/>
              <w:marTop w:val="0"/>
              <w:marBottom w:val="0"/>
              <w:divBdr>
                <w:top w:val="none" w:sz="0" w:space="0" w:color="auto"/>
                <w:left w:val="none" w:sz="0" w:space="0" w:color="auto"/>
                <w:bottom w:val="none" w:sz="0" w:space="0" w:color="auto"/>
                <w:right w:val="none" w:sz="0" w:space="0" w:color="auto"/>
              </w:divBdr>
            </w:div>
          </w:divsChild>
        </w:div>
        <w:div w:id="531188372">
          <w:marLeft w:val="0"/>
          <w:marRight w:val="0"/>
          <w:marTop w:val="300"/>
          <w:marBottom w:val="300"/>
          <w:divBdr>
            <w:top w:val="none" w:sz="0" w:space="0" w:color="auto"/>
            <w:left w:val="none" w:sz="0" w:space="0" w:color="auto"/>
            <w:bottom w:val="none" w:sz="0" w:space="0" w:color="auto"/>
            <w:right w:val="none" w:sz="0" w:space="0" w:color="auto"/>
          </w:divBdr>
        </w:div>
        <w:div w:id="555170025">
          <w:marLeft w:val="0"/>
          <w:marRight w:val="0"/>
          <w:marTop w:val="0"/>
          <w:marBottom w:val="0"/>
          <w:divBdr>
            <w:top w:val="none" w:sz="0" w:space="0" w:color="auto"/>
            <w:left w:val="none" w:sz="0" w:space="0" w:color="auto"/>
            <w:bottom w:val="none" w:sz="0" w:space="0" w:color="auto"/>
            <w:right w:val="none" w:sz="0" w:space="0" w:color="auto"/>
          </w:divBdr>
          <w:divsChild>
            <w:div w:id="908224126">
              <w:marLeft w:val="0"/>
              <w:marRight w:val="0"/>
              <w:marTop w:val="0"/>
              <w:marBottom w:val="0"/>
              <w:divBdr>
                <w:top w:val="none" w:sz="0" w:space="0" w:color="auto"/>
                <w:left w:val="none" w:sz="0" w:space="0" w:color="auto"/>
                <w:bottom w:val="none" w:sz="0" w:space="0" w:color="auto"/>
                <w:right w:val="none" w:sz="0" w:space="0" w:color="auto"/>
              </w:divBdr>
            </w:div>
          </w:divsChild>
        </w:div>
        <w:div w:id="1883443486">
          <w:marLeft w:val="0"/>
          <w:marRight w:val="0"/>
          <w:marTop w:val="0"/>
          <w:marBottom w:val="0"/>
          <w:divBdr>
            <w:top w:val="none" w:sz="0" w:space="0" w:color="auto"/>
            <w:left w:val="none" w:sz="0" w:space="0" w:color="auto"/>
            <w:bottom w:val="none" w:sz="0" w:space="0" w:color="auto"/>
            <w:right w:val="none" w:sz="0" w:space="0" w:color="auto"/>
          </w:divBdr>
          <w:divsChild>
            <w:div w:id="1714961802">
              <w:marLeft w:val="0"/>
              <w:marRight w:val="0"/>
              <w:marTop w:val="0"/>
              <w:marBottom w:val="0"/>
              <w:divBdr>
                <w:top w:val="none" w:sz="0" w:space="0" w:color="auto"/>
                <w:left w:val="none" w:sz="0" w:space="0" w:color="auto"/>
                <w:bottom w:val="none" w:sz="0" w:space="0" w:color="auto"/>
                <w:right w:val="none" w:sz="0" w:space="0" w:color="auto"/>
              </w:divBdr>
            </w:div>
          </w:divsChild>
        </w:div>
        <w:div w:id="705327302">
          <w:marLeft w:val="0"/>
          <w:marRight w:val="0"/>
          <w:marTop w:val="0"/>
          <w:marBottom w:val="0"/>
          <w:divBdr>
            <w:top w:val="none" w:sz="0" w:space="0" w:color="auto"/>
            <w:left w:val="none" w:sz="0" w:space="0" w:color="auto"/>
            <w:bottom w:val="none" w:sz="0" w:space="0" w:color="auto"/>
            <w:right w:val="none" w:sz="0" w:space="0" w:color="auto"/>
          </w:divBdr>
          <w:divsChild>
            <w:div w:id="862397844">
              <w:marLeft w:val="0"/>
              <w:marRight w:val="0"/>
              <w:marTop w:val="0"/>
              <w:marBottom w:val="0"/>
              <w:divBdr>
                <w:top w:val="none" w:sz="0" w:space="0" w:color="auto"/>
                <w:left w:val="none" w:sz="0" w:space="0" w:color="auto"/>
                <w:bottom w:val="none" w:sz="0" w:space="0" w:color="auto"/>
                <w:right w:val="none" w:sz="0" w:space="0" w:color="auto"/>
              </w:divBdr>
            </w:div>
          </w:divsChild>
        </w:div>
        <w:div w:id="333922870">
          <w:marLeft w:val="0"/>
          <w:marRight w:val="0"/>
          <w:marTop w:val="300"/>
          <w:marBottom w:val="300"/>
          <w:divBdr>
            <w:top w:val="none" w:sz="0" w:space="0" w:color="auto"/>
            <w:left w:val="none" w:sz="0" w:space="0" w:color="auto"/>
            <w:bottom w:val="none" w:sz="0" w:space="0" w:color="auto"/>
            <w:right w:val="none" w:sz="0" w:space="0" w:color="auto"/>
          </w:divBdr>
        </w:div>
        <w:div w:id="1607229004">
          <w:marLeft w:val="0"/>
          <w:marRight w:val="0"/>
          <w:marTop w:val="0"/>
          <w:marBottom w:val="0"/>
          <w:divBdr>
            <w:top w:val="none" w:sz="0" w:space="0" w:color="auto"/>
            <w:left w:val="none" w:sz="0" w:space="0" w:color="auto"/>
            <w:bottom w:val="none" w:sz="0" w:space="0" w:color="auto"/>
            <w:right w:val="none" w:sz="0" w:space="0" w:color="auto"/>
          </w:divBdr>
          <w:divsChild>
            <w:div w:id="944536981">
              <w:marLeft w:val="0"/>
              <w:marRight w:val="0"/>
              <w:marTop w:val="0"/>
              <w:marBottom w:val="0"/>
              <w:divBdr>
                <w:top w:val="none" w:sz="0" w:space="0" w:color="auto"/>
                <w:left w:val="none" w:sz="0" w:space="0" w:color="auto"/>
                <w:bottom w:val="none" w:sz="0" w:space="0" w:color="auto"/>
                <w:right w:val="none" w:sz="0" w:space="0" w:color="auto"/>
              </w:divBdr>
            </w:div>
          </w:divsChild>
        </w:div>
        <w:div w:id="1450052544">
          <w:marLeft w:val="0"/>
          <w:marRight w:val="0"/>
          <w:marTop w:val="0"/>
          <w:marBottom w:val="0"/>
          <w:divBdr>
            <w:top w:val="none" w:sz="0" w:space="0" w:color="auto"/>
            <w:left w:val="none" w:sz="0" w:space="0" w:color="auto"/>
            <w:bottom w:val="none" w:sz="0" w:space="0" w:color="auto"/>
            <w:right w:val="none" w:sz="0" w:space="0" w:color="auto"/>
          </w:divBdr>
          <w:divsChild>
            <w:div w:id="757409246">
              <w:marLeft w:val="0"/>
              <w:marRight w:val="0"/>
              <w:marTop w:val="0"/>
              <w:marBottom w:val="0"/>
              <w:divBdr>
                <w:top w:val="none" w:sz="0" w:space="0" w:color="auto"/>
                <w:left w:val="none" w:sz="0" w:space="0" w:color="auto"/>
                <w:bottom w:val="none" w:sz="0" w:space="0" w:color="auto"/>
                <w:right w:val="none" w:sz="0" w:space="0" w:color="auto"/>
              </w:divBdr>
            </w:div>
          </w:divsChild>
        </w:div>
        <w:div w:id="234365800">
          <w:marLeft w:val="0"/>
          <w:marRight w:val="0"/>
          <w:marTop w:val="0"/>
          <w:marBottom w:val="0"/>
          <w:divBdr>
            <w:top w:val="none" w:sz="0" w:space="0" w:color="auto"/>
            <w:left w:val="none" w:sz="0" w:space="0" w:color="auto"/>
            <w:bottom w:val="none" w:sz="0" w:space="0" w:color="auto"/>
            <w:right w:val="none" w:sz="0" w:space="0" w:color="auto"/>
          </w:divBdr>
          <w:divsChild>
            <w:div w:id="1600794831">
              <w:marLeft w:val="0"/>
              <w:marRight w:val="0"/>
              <w:marTop w:val="0"/>
              <w:marBottom w:val="0"/>
              <w:divBdr>
                <w:top w:val="none" w:sz="0" w:space="0" w:color="auto"/>
                <w:left w:val="none" w:sz="0" w:space="0" w:color="auto"/>
                <w:bottom w:val="none" w:sz="0" w:space="0" w:color="auto"/>
                <w:right w:val="none" w:sz="0" w:space="0" w:color="auto"/>
              </w:divBdr>
            </w:div>
          </w:divsChild>
        </w:div>
        <w:div w:id="1286812391">
          <w:marLeft w:val="0"/>
          <w:marRight w:val="0"/>
          <w:marTop w:val="300"/>
          <w:marBottom w:val="300"/>
          <w:divBdr>
            <w:top w:val="none" w:sz="0" w:space="0" w:color="auto"/>
            <w:left w:val="none" w:sz="0" w:space="0" w:color="auto"/>
            <w:bottom w:val="none" w:sz="0" w:space="0" w:color="auto"/>
            <w:right w:val="none" w:sz="0" w:space="0" w:color="auto"/>
          </w:divBdr>
        </w:div>
        <w:div w:id="1817333427">
          <w:marLeft w:val="0"/>
          <w:marRight w:val="0"/>
          <w:marTop w:val="0"/>
          <w:marBottom w:val="0"/>
          <w:divBdr>
            <w:top w:val="none" w:sz="0" w:space="0" w:color="auto"/>
            <w:left w:val="none" w:sz="0" w:space="0" w:color="auto"/>
            <w:bottom w:val="none" w:sz="0" w:space="0" w:color="auto"/>
            <w:right w:val="none" w:sz="0" w:space="0" w:color="auto"/>
          </w:divBdr>
          <w:divsChild>
            <w:div w:id="1444570966">
              <w:marLeft w:val="0"/>
              <w:marRight w:val="0"/>
              <w:marTop w:val="0"/>
              <w:marBottom w:val="0"/>
              <w:divBdr>
                <w:top w:val="none" w:sz="0" w:space="0" w:color="auto"/>
                <w:left w:val="none" w:sz="0" w:space="0" w:color="auto"/>
                <w:bottom w:val="none" w:sz="0" w:space="0" w:color="auto"/>
                <w:right w:val="none" w:sz="0" w:space="0" w:color="auto"/>
              </w:divBdr>
            </w:div>
          </w:divsChild>
        </w:div>
        <w:div w:id="978152734">
          <w:marLeft w:val="0"/>
          <w:marRight w:val="0"/>
          <w:marTop w:val="0"/>
          <w:marBottom w:val="0"/>
          <w:divBdr>
            <w:top w:val="none" w:sz="0" w:space="0" w:color="auto"/>
            <w:left w:val="none" w:sz="0" w:space="0" w:color="auto"/>
            <w:bottom w:val="none" w:sz="0" w:space="0" w:color="auto"/>
            <w:right w:val="none" w:sz="0" w:space="0" w:color="auto"/>
          </w:divBdr>
          <w:divsChild>
            <w:div w:id="1482041058">
              <w:marLeft w:val="0"/>
              <w:marRight w:val="0"/>
              <w:marTop w:val="0"/>
              <w:marBottom w:val="0"/>
              <w:divBdr>
                <w:top w:val="none" w:sz="0" w:space="0" w:color="auto"/>
                <w:left w:val="none" w:sz="0" w:space="0" w:color="auto"/>
                <w:bottom w:val="none" w:sz="0" w:space="0" w:color="auto"/>
                <w:right w:val="none" w:sz="0" w:space="0" w:color="auto"/>
              </w:divBdr>
            </w:div>
          </w:divsChild>
        </w:div>
        <w:div w:id="1977760619">
          <w:marLeft w:val="0"/>
          <w:marRight w:val="0"/>
          <w:marTop w:val="0"/>
          <w:marBottom w:val="0"/>
          <w:divBdr>
            <w:top w:val="none" w:sz="0" w:space="0" w:color="auto"/>
            <w:left w:val="none" w:sz="0" w:space="0" w:color="auto"/>
            <w:bottom w:val="none" w:sz="0" w:space="0" w:color="auto"/>
            <w:right w:val="none" w:sz="0" w:space="0" w:color="auto"/>
          </w:divBdr>
          <w:divsChild>
            <w:div w:id="1307591294">
              <w:marLeft w:val="0"/>
              <w:marRight w:val="0"/>
              <w:marTop w:val="0"/>
              <w:marBottom w:val="0"/>
              <w:divBdr>
                <w:top w:val="none" w:sz="0" w:space="0" w:color="auto"/>
                <w:left w:val="none" w:sz="0" w:space="0" w:color="auto"/>
                <w:bottom w:val="none" w:sz="0" w:space="0" w:color="auto"/>
                <w:right w:val="none" w:sz="0" w:space="0" w:color="auto"/>
              </w:divBdr>
            </w:div>
          </w:divsChild>
        </w:div>
        <w:div w:id="457143267">
          <w:marLeft w:val="0"/>
          <w:marRight w:val="0"/>
          <w:marTop w:val="0"/>
          <w:marBottom w:val="0"/>
          <w:divBdr>
            <w:top w:val="none" w:sz="0" w:space="0" w:color="auto"/>
            <w:left w:val="none" w:sz="0" w:space="0" w:color="auto"/>
            <w:bottom w:val="none" w:sz="0" w:space="0" w:color="auto"/>
            <w:right w:val="none" w:sz="0" w:space="0" w:color="auto"/>
          </w:divBdr>
          <w:divsChild>
            <w:div w:id="6253423">
              <w:marLeft w:val="0"/>
              <w:marRight w:val="0"/>
              <w:marTop w:val="0"/>
              <w:marBottom w:val="0"/>
              <w:divBdr>
                <w:top w:val="none" w:sz="0" w:space="0" w:color="auto"/>
                <w:left w:val="none" w:sz="0" w:space="0" w:color="auto"/>
                <w:bottom w:val="none" w:sz="0" w:space="0" w:color="auto"/>
                <w:right w:val="none" w:sz="0" w:space="0" w:color="auto"/>
              </w:divBdr>
            </w:div>
          </w:divsChild>
        </w:div>
        <w:div w:id="1845585756">
          <w:marLeft w:val="0"/>
          <w:marRight w:val="0"/>
          <w:marTop w:val="0"/>
          <w:marBottom w:val="0"/>
          <w:divBdr>
            <w:top w:val="none" w:sz="0" w:space="0" w:color="auto"/>
            <w:left w:val="none" w:sz="0" w:space="0" w:color="auto"/>
            <w:bottom w:val="none" w:sz="0" w:space="0" w:color="auto"/>
            <w:right w:val="none" w:sz="0" w:space="0" w:color="auto"/>
          </w:divBdr>
          <w:divsChild>
            <w:div w:id="2112119751">
              <w:marLeft w:val="0"/>
              <w:marRight w:val="0"/>
              <w:marTop w:val="0"/>
              <w:marBottom w:val="0"/>
              <w:divBdr>
                <w:top w:val="none" w:sz="0" w:space="0" w:color="auto"/>
                <w:left w:val="none" w:sz="0" w:space="0" w:color="auto"/>
                <w:bottom w:val="none" w:sz="0" w:space="0" w:color="auto"/>
                <w:right w:val="none" w:sz="0" w:space="0" w:color="auto"/>
              </w:divBdr>
            </w:div>
          </w:divsChild>
        </w:div>
        <w:div w:id="802848406">
          <w:marLeft w:val="0"/>
          <w:marRight w:val="0"/>
          <w:marTop w:val="0"/>
          <w:marBottom w:val="0"/>
          <w:divBdr>
            <w:top w:val="none" w:sz="0" w:space="0" w:color="auto"/>
            <w:left w:val="none" w:sz="0" w:space="0" w:color="auto"/>
            <w:bottom w:val="none" w:sz="0" w:space="0" w:color="auto"/>
            <w:right w:val="none" w:sz="0" w:space="0" w:color="auto"/>
          </w:divBdr>
          <w:divsChild>
            <w:div w:id="1377896213">
              <w:marLeft w:val="0"/>
              <w:marRight w:val="0"/>
              <w:marTop w:val="0"/>
              <w:marBottom w:val="0"/>
              <w:divBdr>
                <w:top w:val="none" w:sz="0" w:space="0" w:color="auto"/>
                <w:left w:val="none" w:sz="0" w:space="0" w:color="auto"/>
                <w:bottom w:val="none" w:sz="0" w:space="0" w:color="auto"/>
                <w:right w:val="none" w:sz="0" w:space="0" w:color="auto"/>
              </w:divBdr>
            </w:div>
          </w:divsChild>
        </w:div>
        <w:div w:id="122310760">
          <w:marLeft w:val="0"/>
          <w:marRight w:val="0"/>
          <w:marTop w:val="0"/>
          <w:marBottom w:val="0"/>
          <w:divBdr>
            <w:top w:val="none" w:sz="0" w:space="0" w:color="auto"/>
            <w:left w:val="none" w:sz="0" w:space="0" w:color="auto"/>
            <w:bottom w:val="none" w:sz="0" w:space="0" w:color="auto"/>
            <w:right w:val="none" w:sz="0" w:space="0" w:color="auto"/>
          </w:divBdr>
          <w:divsChild>
            <w:div w:id="1647470820">
              <w:marLeft w:val="0"/>
              <w:marRight w:val="0"/>
              <w:marTop w:val="0"/>
              <w:marBottom w:val="0"/>
              <w:divBdr>
                <w:top w:val="none" w:sz="0" w:space="0" w:color="auto"/>
                <w:left w:val="none" w:sz="0" w:space="0" w:color="auto"/>
                <w:bottom w:val="none" w:sz="0" w:space="0" w:color="auto"/>
                <w:right w:val="none" w:sz="0" w:space="0" w:color="auto"/>
              </w:divBdr>
            </w:div>
          </w:divsChild>
        </w:div>
        <w:div w:id="1597978017">
          <w:marLeft w:val="0"/>
          <w:marRight w:val="0"/>
          <w:marTop w:val="0"/>
          <w:marBottom w:val="0"/>
          <w:divBdr>
            <w:top w:val="none" w:sz="0" w:space="0" w:color="auto"/>
            <w:left w:val="none" w:sz="0" w:space="0" w:color="auto"/>
            <w:bottom w:val="none" w:sz="0" w:space="0" w:color="auto"/>
            <w:right w:val="none" w:sz="0" w:space="0" w:color="auto"/>
          </w:divBdr>
          <w:divsChild>
            <w:div w:id="1484001424">
              <w:marLeft w:val="0"/>
              <w:marRight w:val="0"/>
              <w:marTop w:val="0"/>
              <w:marBottom w:val="0"/>
              <w:divBdr>
                <w:top w:val="none" w:sz="0" w:space="0" w:color="auto"/>
                <w:left w:val="none" w:sz="0" w:space="0" w:color="auto"/>
                <w:bottom w:val="none" w:sz="0" w:space="0" w:color="auto"/>
                <w:right w:val="none" w:sz="0" w:space="0" w:color="auto"/>
              </w:divBdr>
            </w:div>
          </w:divsChild>
        </w:div>
        <w:div w:id="1098329094">
          <w:marLeft w:val="0"/>
          <w:marRight w:val="0"/>
          <w:marTop w:val="0"/>
          <w:marBottom w:val="0"/>
          <w:divBdr>
            <w:top w:val="none" w:sz="0" w:space="0" w:color="auto"/>
            <w:left w:val="none" w:sz="0" w:space="0" w:color="auto"/>
            <w:bottom w:val="none" w:sz="0" w:space="0" w:color="auto"/>
            <w:right w:val="none" w:sz="0" w:space="0" w:color="auto"/>
          </w:divBdr>
          <w:divsChild>
            <w:div w:id="1851674164">
              <w:marLeft w:val="0"/>
              <w:marRight w:val="0"/>
              <w:marTop w:val="0"/>
              <w:marBottom w:val="0"/>
              <w:divBdr>
                <w:top w:val="none" w:sz="0" w:space="0" w:color="auto"/>
                <w:left w:val="none" w:sz="0" w:space="0" w:color="auto"/>
                <w:bottom w:val="none" w:sz="0" w:space="0" w:color="auto"/>
                <w:right w:val="none" w:sz="0" w:space="0" w:color="auto"/>
              </w:divBdr>
            </w:div>
          </w:divsChild>
        </w:div>
        <w:div w:id="1890143552">
          <w:marLeft w:val="0"/>
          <w:marRight w:val="0"/>
          <w:marTop w:val="300"/>
          <w:marBottom w:val="300"/>
          <w:divBdr>
            <w:top w:val="none" w:sz="0" w:space="0" w:color="auto"/>
            <w:left w:val="none" w:sz="0" w:space="0" w:color="auto"/>
            <w:bottom w:val="none" w:sz="0" w:space="0" w:color="auto"/>
            <w:right w:val="none" w:sz="0" w:space="0" w:color="auto"/>
          </w:divBdr>
        </w:div>
        <w:div w:id="398095150">
          <w:marLeft w:val="0"/>
          <w:marRight w:val="0"/>
          <w:marTop w:val="0"/>
          <w:marBottom w:val="0"/>
          <w:divBdr>
            <w:top w:val="none" w:sz="0" w:space="0" w:color="auto"/>
            <w:left w:val="none" w:sz="0" w:space="0" w:color="auto"/>
            <w:bottom w:val="none" w:sz="0" w:space="0" w:color="auto"/>
            <w:right w:val="none" w:sz="0" w:space="0" w:color="auto"/>
          </w:divBdr>
          <w:divsChild>
            <w:div w:id="1054623803">
              <w:marLeft w:val="0"/>
              <w:marRight w:val="0"/>
              <w:marTop w:val="0"/>
              <w:marBottom w:val="0"/>
              <w:divBdr>
                <w:top w:val="none" w:sz="0" w:space="0" w:color="auto"/>
                <w:left w:val="none" w:sz="0" w:space="0" w:color="auto"/>
                <w:bottom w:val="none" w:sz="0" w:space="0" w:color="auto"/>
                <w:right w:val="none" w:sz="0" w:space="0" w:color="auto"/>
              </w:divBdr>
            </w:div>
          </w:divsChild>
        </w:div>
        <w:div w:id="1051421920">
          <w:marLeft w:val="0"/>
          <w:marRight w:val="0"/>
          <w:marTop w:val="0"/>
          <w:marBottom w:val="0"/>
          <w:divBdr>
            <w:top w:val="none" w:sz="0" w:space="0" w:color="auto"/>
            <w:left w:val="none" w:sz="0" w:space="0" w:color="auto"/>
            <w:bottom w:val="none" w:sz="0" w:space="0" w:color="auto"/>
            <w:right w:val="none" w:sz="0" w:space="0" w:color="auto"/>
          </w:divBdr>
          <w:divsChild>
            <w:div w:id="1242326411">
              <w:marLeft w:val="0"/>
              <w:marRight w:val="0"/>
              <w:marTop w:val="0"/>
              <w:marBottom w:val="0"/>
              <w:divBdr>
                <w:top w:val="none" w:sz="0" w:space="0" w:color="auto"/>
                <w:left w:val="none" w:sz="0" w:space="0" w:color="auto"/>
                <w:bottom w:val="none" w:sz="0" w:space="0" w:color="auto"/>
                <w:right w:val="none" w:sz="0" w:space="0" w:color="auto"/>
              </w:divBdr>
            </w:div>
          </w:divsChild>
        </w:div>
        <w:div w:id="4597267">
          <w:marLeft w:val="0"/>
          <w:marRight w:val="0"/>
          <w:marTop w:val="300"/>
          <w:marBottom w:val="300"/>
          <w:divBdr>
            <w:top w:val="none" w:sz="0" w:space="0" w:color="auto"/>
            <w:left w:val="none" w:sz="0" w:space="0" w:color="auto"/>
            <w:bottom w:val="none" w:sz="0" w:space="0" w:color="auto"/>
            <w:right w:val="none" w:sz="0" w:space="0" w:color="auto"/>
          </w:divBdr>
        </w:div>
        <w:div w:id="1875727993">
          <w:marLeft w:val="0"/>
          <w:marRight w:val="0"/>
          <w:marTop w:val="0"/>
          <w:marBottom w:val="0"/>
          <w:divBdr>
            <w:top w:val="none" w:sz="0" w:space="0" w:color="auto"/>
            <w:left w:val="none" w:sz="0" w:space="0" w:color="auto"/>
            <w:bottom w:val="none" w:sz="0" w:space="0" w:color="auto"/>
            <w:right w:val="none" w:sz="0" w:space="0" w:color="auto"/>
          </w:divBdr>
          <w:divsChild>
            <w:div w:id="897279483">
              <w:marLeft w:val="0"/>
              <w:marRight w:val="0"/>
              <w:marTop w:val="0"/>
              <w:marBottom w:val="0"/>
              <w:divBdr>
                <w:top w:val="none" w:sz="0" w:space="0" w:color="auto"/>
                <w:left w:val="none" w:sz="0" w:space="0" w:color="auto"/>
                <w:bottom w:val="none" w:sz="0" w:space="0" w:color="auto"/>
                <w:right w:val="none" w:sz="0" w:space="0" w:color="auto"/>
              </w:divBdr>
            </w:div>
          </w:divsChild>
        </w:div>
        <w:div w:id="1281231124">
          <w:marLeft w:val="0"/>
          <w:marRight w:val="0"/>
          <w:marTop w:val="0"/>
          <w:marBottom w:val="0"/>
          <w:divBdr>
            <w:top w:val="none" w:sz="0" w:space="0" w:color="auto"/>
            <w:left w:val="none" w:sz="0" w:space="0" w:color="auto"/>
            <w:bottom w:val="none" w:sz="0" w:space="0" w:color="auto"/>
            <w:right w:val="none" w:sz="0" w:space="0" w:color="auto"/>
          </w:divBdr>
          <w:divsChild>
            <w:div w:id="194543353">
              <w:marLeft w:val="0"/>
              <w:marRight w:val="0"/>
              <w:marTop w:val="0"/>
              <w:marBottom w:val="0"/>
              <w:divBdr>
                <w:top w:val="none" w:sz="0" w:space="0" w:color="auto"/>
                <w:left w:val="none" w:sz="0" w:space="0" w:color="auto"/>
                <w:bottom w:val="none" w:sz="0" w:space="0" w:color="auto"/>
                <w:right w:val="none" w:sz="0" w:space="0" w:color="auto"/>
              </w:divBdr>
            </w:div>
          </w:divsChild>
        </w:div>
        <w:div w:id="1223905344">
          <w:marLeft w:val="0"/>
          <w:marRight w:val="0"/>
          <w:marTop w:val="0"/>
          <w:marBottom w:val="0"/>
          <w:divBdr>
            <w:top w:val="none" w:sz="0" w:space="0" w:color="auto"/>
            <w:left w:val="none" w:sz="0" w:space="0" w:color="auto"/>
            <w:bottom w:val="none" w:sz="0" w:space="0" w:color="auto"/>
            <w:right w:val="none" w:sz="0" w:space="0" w:color="auto"/>
          </w:divBdr>
          <w:divsChild>
            <w:div w:id="1422339324">
              <w:marLeft w:val="0"/>
              <w:marRight w:val="0"/>
              <w:marTop w:val="0"/>
              <w:marBottom w:val="0"/>
              <w:divBdr>
                <w:top w:val="none" w:sz="0" w:space="0" w:color="auto"/>
                <w:left w:val="none" w:sz="0" w:space="0" w:color="auto"/>
                <w:bottom w:val="none" w:sz="0" w:space="0" w:color="auto"/>
                <w:right w:val="none" w:sz="0" w:space="0" w:color="auto"/>
              </w:divBdr>
            </w:div>
          </w:divsChild>
        </w:div>
        <w:div w:id="2019654063">
          <w:marLeft w:val="0"/>
          <w:marRight w:val="0"/>
          <w:marTop w:val="0"/>
          <w:marBottom w:val="0"/>
          <w:divBdr>
            <w:top w:val="none" w:sz="0" w:space="0" w:color="auto"/>
            <w:left w:val="none" w:sz="0" w:space="0" w:color="auto"/>
            <w:bottom w:val="none" w:sz="0" w:space="0" w:color="auto"/>
            <w:right w:val="none" w:sz="0" w:space="0" w:color="auto"/>
          </w:divBdr>
          <w:divsChild>
            <w:div w:id="927999162">
              <w:marLeft w:val="0"/>
              <w:marRight w:val="0"/>
              <w:marTop w:val="0"/>
              <w:marBottom w:val="0"/>
              <w:divBdr>
                <w:top w:val="none" w:sz="0" w:space="0" w:color="auto"/>
                <w:left w:val="none" w:sz="0" w:space="0" w:color="auto"/>
                <w:bottom w:val="none" w:sz="0" w:space="0" w:color="auto"/>
                <w:right w:val="none" w:sz="0" w:space="0" w:color="auto"/>
              </w:divBdr>
            </w:div>
          </w:divsChild>
        </w:div>
        <w:div w:id="1745488398">
          <w:marLeft w:val="0"/>
          <w:marRight w:val="0"/>
          <w:marTop w:val="300"/>
          <w:marBottom w:val="300"/>
          <w:divBdr>
            <w:top w:val="none" w:sz="0" w:space="0" w:color="auto"/>
            <w:left w:val="none" w:sz="0" w:space="0" w:color="auto"/>
            <w:bottom w:val="none" w:sz="0" w:space="0" w:color="auto"/>
            <w:right w:val="none" w:sz="0" w:space="0" w:color="auto"/>
          </w:divBdr>
        </w:div>
        <w:div w:id="1892497704">
          <w:marLeft w:val="0"/>
          <w:marRight w:val="0"/>
          <w:marTop w:val="0"/>
          <w:marBottom w:val="0"/>
          <w:divBdr>
            <w:top w:val="none" w:sz="0" w:space="0" w:color="auto"/>
            <w:left w:val="none" w:sz="0" w:space="0" w:color="auto"/>
            <w:bottom w:val="none" w:sz="0" w:space="0" w:color="auto"/>
            <w:right w:val="none" w:sz="0" w:space="0" w:color="auto"/>
          </w:divBdr>
          <w:divsChild>
            <w:div w:id="1440107008">
              <w:marLeft w:val="0"/>
              <w:marRight w:val="0"/>
              <w:marTop w:val="0"/>
              <w:marBottom w:val="0"/>
              <w:divBdr>
                <w:top w:val="none" w:sz="0" w:space="0" w:color="auto"/>
                <w:left w:val="none" w:sz="0" w:space="0" w:color="auto"/>
                <w:bottom w:val="none" w:sz="0" w:space="0" w:color="auto"/>
                <w:right w:val="none" w:sz="0" w:space="0" w:color="auto"/>
              </w:divBdr>
            </w:div>
          </w:divsChild>
        </w:div>
        <w:div w:id="2009163630">
          <w:marLeft w:val="0"/>
          <w:marRight w:val="0"/>
          <w:marTop w:val="0"/>
          <w:marBottom w:val="0"/>
          <w:divBdr>
            <w:top w:val="none" w:sz="0" w:space="0" w:color="auto"/>
            <w:left w:val="none" w:sz="0" w:space="0" w:color="auto"/>
            <w:bottom w:val="none" w:sz="0" w:space="0" w:color="auto"/>
            <w:right w:val="none" w:sz="0" w:space="0" w:color="auto"/>
          </w:divBdr>
          <w:divsChild>
            <w:div w:id="1026296639">
              <w:marLeft w:val="0"/>
              <w:marRight w:val="0"/>
              <w:marTop w:val="0"/>
              <w:marBottom w:val="0"/>
              <w:divBdr>
                <w:top w:val="none" w:sz="0" w:space="0" w:color="auto"/>
                <w:left w:val="none" w:sz="0" w:space="0" w:color="auto"/>
                <w:bottom w:val="none" w:sz="0" w:space="0" w:color="auto"/>
                <w:right w:val="none" w:sz="0" w:space="0" w:color="auto"/>
              </w:divBdr>
            </w:div>
          </w:divsChild>
        </w:div>
        <w:div w:id="1060664810">
          <w:marLeft w:val="0"/>
          <w:marRight w:val="0"/>
          <w:marTop w:val="0"/>
          <w:marBottom w:val="0"/>
          <w:divBdr>
            <w:top w:val="none" w:sz="0" w:space="0" w:color="auto"/>
            <w:left w:val="none" w:sz="0" w:space="0" w:color="auto"/>
            <w:bottom w:val="none" w:sz="0" w:space="0" w:color="auto"/>
            <w:right w:val="none" w:sz="0" w:space="0" w:color="auto"/>
          </w:divBdr>
          <w:divsChild>
            <w:div w:id="226306903">
              <w:marLeft w:val="0"/>
              <w:marRight w:val="0"/>
              <w:marTop w:val="0"/>
              <w:marBottom w:val="0"/>
              <w:divBdr>
                <w:top w:val="none" w:sz="0" w:space="0" w:color="auto"/>
                <w:left w:val="none" w:sz="0" w:space="0" w:color="auto"/>
                <w:bottom w:val="none" w:sz="0" w:space="0" w:color="auto"/>
                <w:right w:val="none" w:sz="0" w:space="0" w:color="auto"/>
              </w:divBdr>
            </w:div>
          </w:divsChild>
        </w:div>
        <w:div w:id="1588267511">
          <w:marLeft w:val="0"/>
          <w:marRight w:val="0"/>
          <w:marTop w:val="0"/>
          <w:marBottom w:val="0"/>
          <w:divBdr>
            <w:top w:val="none" w:sz="0" w:space="0" w:color="auto"/>
            <w:left w:val="none" w:sz="0" w:space="0" w:color="auto"/>
            <w:bottom w:val="none" w:sz="0" w:space="0" w:color="auto"/>
            <w:right w:val="none" w:sz="0" w:space="0" w:color="auto"/>
          </w:divBdr>
          <w:divsChild>
            <w:div w:id="1216240802">
              <w:marLeft w:val="0"/>
              <w:marRight w:val="0"/>
              <w:marTop w:val="0"/>
              <w:marBottom w:val="0"/>
              <w:divBdr>
                <w:top w:val="none" w:sz="0" w:space="0" w:color="auto"/>
                <w:left w:val="none" w:sz="0" w:space="0" w:color="auto"/>
                <w:bottom w:val="none" w:sz="0" w:space="0" w:color="auto"/>
                <w:right w:val="none" w:sz="0" w:space="0" w:color="auto"/>
              </w:divBdr>
            </w:div>
          </w:divsChild>
        </w:div>
        <w:div w:id="1926457205">
          <w:marLeft w:val="0"/>
          <w:marRight w:val="0"/>
          <w:marTop w:val="0"/>
          <w:marBottom w:val="0"/>
          <w:divBdr>
            <w:top w:val="none" w:sz="0" w:space="0" w:color="auto"/>
            <w:left w:val="none" w:sz="0" w:space="0" w:color="auto"/>
            <w:bottom w:val="none" w:sz="0" w:space="0" w:color="auto"/>
            <w:right w:val="none" w:sz="0" w:space="0" w:color="auto"/>
          </w:divBdr>
          <w:divsChild>
            <w:div w:id="1629359405">
              <w:marLeft w:val="0"/>
              <w:marRight w:val="0"/>
              <w:marTop w:val="0"/>
              <w:marBottom w:val="0"/>
              <w:divBdr>
                <w:top w:val="none" w:sz="0" w:space="0" w:color="auto"/>
                <w:left w:val="none" w:sz="0" w:space="0" w:color="auto"/>
                <w:bottom w:val="none" w:sz="0" w:space="0" w:color="auto"/>
                <w:right w:val="none" w:sz="0" w:space="0" w:color="auto"/>
              </w:divBdr>
            </w:div>
          </w:divsChild>
        </w:div>
        <w:div w:id="507863647">
          <w:marLeft w:val="0"/>
          <w:marRight w:val="0"/>
          <w:marTop w:val="300"/>
          <w:marBottom w:val="300"/>
          <w:divBdr>
            <w:top w:val="none" w:sz="0" w:space="0" w:color="auto"/>
            <w:left w:val="none" w:sz="0" w:space="0" w:color="auto"/>
            <w:bottom w:val="none" w:sz="0" w:space="0" w:color="auto"/>
            <w:right w:val="none" w:sz="0" w:space="0" w:color="auto"/>
          </w:divBdr>
        </w:div>
        <w:div w:id="1297024843">
          <w:marLeft w:val="0"/>
          <w:marRight w:val="0"/>
          <w:marTop w:val="0"/>
          <w:marBottom w:val="0"/>
          <w:divBdr>
            <w:top w:val="none" w:sz="0" w:space="0" w:color="auto"/>
            <w:left w:val="none" w:sz="0" w:space="0" w:color="auto"/>
            <w:bottom w:val="none" w:sz="0" w:space="0" w:color="auto"/>
            <w:right w:val="none" w:sz="0" w:space="0" w:color="auto"/>
          </w:divBdr>
          <w:divsChild>
            <w:div w:id="222641775">
              <w:marLeft w:val="0"/>
              <w:marRight w:val="0"/>
              <w:marTop w:val="0"/>
              <w:marBottom w:val="0"/>
              <w:divBdr>
                <w:top w:val="none" w:sz="0" w:space="0" w:color="auto"/>
                <w:left w:val="none" w:sz="0" w:space="0" w:color="auto"/>
                <w:bottom w:val="none" w:sz="0" w:space="0" w:color="auto"/>
                <w:right w:val="none" w:sz="0" w:space="0" w:color="auto"/>
              </w:divBdr>
            </w:div>
          </w:divsChild>
        </w:div>
        <w:div w:id="1583876865">
          <w:marLeft w:val="0"/>
          <w:marRight w:val="0"/>
          <w:marTop w:val="300"/>
          <w:marBottom w:val="300"/>
          <w:divBdr>
            <w:top w:val="none" w:sz="0" w:space="0" w:color="auto"/>
            <w:left w:val="none" w:sz="0" w:space="0" w:color="auto"/>
            <w:bottom w:val="none" w:sz="0" w:space="0" w:color="auto"/>
            <w:right w:val="none" w:sz="0" w:space="0" w:color="auto"/>
          </w:divBdr>
        </w:div>
        <w:div w:id="1751852132">
          <w:marLeft w:val="0"/>
          <w:marRight w:val="0"/>
          <w:marTop w:val="0"/>
          <w:marBottom w:val="0"/>
          <w:divBdr>
            <w:top w:val="none" w:sz="0" w:space="0" w:color="auto"/>
            <w:left w:val="none" w:sz="0" w:space="0" w:color="auto"/>
            <w:bottom w:val="none" w:sz="0" w:space="0" w:color="auto"/>
            <w:right w:val="none" w:sz="0" w:space="0" w:color="auto"/>
          </w:divBdr>
          <w:divsChild>
            <w:div w:id="895164264">
              <w:marLeft w:val="0"/>
              <w:marRight w:val="0"/>
              <w:marTop w:val="0"/>
              <w:marBottom w:val="0"/>
              <w:divBdr>
                <w:top w:val="none" w:sz="0" w:space="0" w:color="auto"/>
                <w:left w:val="none" w:sz="0" w:space="0" w:color="auto"/>
                <w:bottom w:val="none" w:sz="0" w:space="0" w:color="auto"/>
                <w:right w:val="none" w:sz="0" w:space="0" w:color="auto"/>
              </w:divBdr>
            </w:div>
          </w:divsChild>
        </w:div>
        <w:div w:id="1417357611">
          <w:marLeft w:val="0"/>
          <w:marRight w:val="0"/>
          <w:marTop w:val="0"/>
          <w:marBottom w:val="0"/>
          <w:divBdr>
            <w:top w:val="none" w:sz="0" w:space="0" w:color="auto"/>
            <w:left w:val="none" w:sz="0" w:space="0" w:color="auto"/>
            <w:bottom w:val="none" w:sz="0" w:space="0" w:color="auto"/>
            <w:right w:val="none" w:sz="0" w:space="0" w:color="auto"/>
          </w:divBdr>
          <w:divsChild>
            <w:div w:id="361394967">
              <w:marLeft w:val="0"/>
              <w:marRight w:val="0"/>
              <w:marTop w:val="0"/>
              <w:marBottom w:val="0"/>
              <w:divBdr>
                <w:top w:val="none" w:sz="0" w:space="0" w:color="auto"/>
                <w:left w:val="none" w:sz="0" w:space="0" w:color="auto"/>
                <w:bottom w:val="none" w:sz="0" w:space="0" w:color="auto"/>
                <w:right w:val="none" w:sz="0" w:space="0" w:color="auto"/>
              </w:divBdr>
            </w:div>
          </w:divsChild>
        </w:div>
        <w:div w:id="1542863282">
          <w:marLeft w:val="0"/>
          <w:marRight w:val="0"/>
          <w:marTop w:val="0"/>
          <w:marBottom w:val="0"/>
          <w:divBdr>
            <w:top w:val="none" w:sz="0" w:space="0" w:color="auto"/>
            <w:left w:val="none" w:sz="0" w:space="0" w:color="auto"/>
            <w:bottom w:val="none" w:sz="0" w:space="0" w:color="auto"/>
            <w:right w:val="none" w:sz="0" w:space="0" w:color="auto"/>
          </w:divBdr>
          <w:divsChild>
            <w:div w:id="1961691199">
              <w:marLeft w:val="0"/>
              <w:marRight w:val="0"/>
              <w:marTop w:val="0"/>
              <w:marBottom w:val="0"/>
              <w:divBdr>
                <w:top w:val="none" w:sz="0" w:space="0" w:color="auto"/>
                <w:left w:val="none" w:sz="0" w:space="0" w:color="auto"/>
                <w:bottom w:val="none" w:sz="0" w:space="0" w:color="auto"/>
                <w:right w:val="none" w:sz="0" w:space="0" w:color="auto"/>
              </w:divBdr>
            </w:div>
          </w:divsChild>
        </w:div>
        <w:div w:id="228687397">
          <w:marLeft w:val="0"/>
          <w:marRight w:val="0"/>
          <w:marTop w:val="0"/>
          <w:marBottom w:val="0"/>
          <w:divBdr>
            <w:top w:val="none" w:sz="0" w:space="0" w:color="auto"/>
            <w:left w:val="none" w:sz="0" w:space="0" w:color="auto"/>
            <w:bottom w:val="none" w:sz="0" w:space="0" w:color="auto"/>
            <w:right w:val="none" w:sz="0" w:space="0" w:color="auto"/>
          </w:divBdr>
          <w:divsChild>
            <w:div w:id="1937906503">
              <w:marLeft w:val="0"/>
              <w:marRight w:val="0"/>
              <w:marTop w:val="0"/>
              <w:marBottom w:val="0"/>
              <w:divBdr>
                <w:top w:val="none" w:sz="0" w:space="0" w:color="auto"/>
                <w:left w:val="none" w:sz="0" w:space="0" w:color="auto"/>
                <w:bottom w:val="none" w:sz="0" w:space="0" w:color="auto"/>
                <w:right w:val="none" w:sz="0" w:space="0" w:color="auto"/>
              </w:divBdr>
            </w:div>
          </w:divsChild>
        </w:div>
        <w:div w:id="118034792">
          <w:marLeft w:val="0"/>
          <w:marRight w:val="0"/>
          <w:marTop w:val="0"/>
          <w:marBottom w:val="0"/>
          <w:divBdr>
            <w:top w:val="none" w:sz="0" w:space="0" w:color="auto"/>
            <w:left w:val="none" w:sz="0" w:space="0" w:color="auto"/>
            <w:bottom w:val="none" w:sz="0" w:space="0" w:color="auto"/>
            <w:right w:val="none" w:sz="0" w:space="0" w:color="auto"/>
          </w:divBdr>
          <w:divsChild>
            <w:div w:id="65538062">
              <w:marLeft w:val="0"/>
              <w:marRight w:val="0"/>
              <w:marTop w:val="0"/>
              <w:marBottom w:val="0"/>
              <w:divBdr>
                <w:top w:val="none" w:sz="0" w:space="0" w:color="auto"/>
                <w:left w:val="none" w:sz="0" w:space="0" w:color="auto"/>
                <w:bottom w:val="none" w:sz="0" w:space="0" w:color="auto"/>
                <w:right w:val="none" w:sz="0" w:space="0" w:color="auto"/>
              </w:divBdr>
            </w:div>
          </w:divsChild>
        </w:div>
        <w:div w:id="15691111">
          <w:marLeft w:val="0"/>
          <w:marRight w:val="0"/>
          <w:marTop w:val="0"/>
          <w:marBottom w:val="0"/>
          <w:divBdr>
            <w:top w:val="none" w:sz="0" w:space="0" w:color="auto"/>
            <w:left w:val="none" w:sz="0" w:space="0" w:color="auto"/>
            <w:bottom w:val="none" w:sz="0" w:space="0" w:color="auto"/>
            <w:right w:val="none" w:sz="0" w:space="0" w:color="auto"/>
          </w:divBdr>
          <w:divsChild>
            <w:div w:id="1574772538">
              <w:marLeft w:val="0"/>
              <w:marRight w:val="0"/>
              <w:marTop w:val="0"/>
              <w:marBottom w:val="0"/>
              <w:divBdr>
                <w:top w:val="none" w:sz="0" w:space="0" w:color="auto"/>
                <w:left w:val="none" w:sz="0" w:space="0" w:color="auto"/>
                <w:bottom w:val="none" w:sz="0" w:space="0" w:color="auto"/>
                <w:right w:val="none" w:sz="0" w:space="0" w:color="auto"/>
              </w:divBdr>
            </w:div>
          </w:divsChild>
        </w:div>
        <w:div w:id="1600215005">
          <w:marLeft w:val="0"/>
          <w:marRight w:val="0"/>
          <w:marTop w:val="0"/>
          <w:marBottom w:val="0"/>
          <w:divBdr>
            <w:top w:val="none" w:sz="0" w:space="0" w:color="auto"/>
            <w:left w:val="none" w:sz="0" w:space="0" w:color="auto"/>
            <w:bottom w:val="none" w:sz="0" w:space="0" w:color="auto"/>
            <w:right w:val="none" w:sz="0" w:space="0" w:color="auto"/>
          </w:divBdr>
          <w:divsChild>
            <w:div w:id="745693196">
              <w:marLeft w:val="0"/>
              <w:marRight w:val="0"/>
              <w:marTop w:val="0"/>
              <w:marBottom w:val="0"/>
              <w:divBdr>
                <w:top w:val="none" w:sz="0" w:space="0" w:color="auto"/>
                <w:left w:val="none" w:sz="0" w:space="0" w:color="auto"/>
                <w:bottom w:val="none" w:sz="0" w:space="0" w:color="auto"/>
                <w:right w:val="none" w:sz="0" w:space="0" w:color="auto"/>
              </w:divBdr>
            </w:div>
          </w:divsChild>
        </w:div>
        <w:div w:id="1466855913">
          <w:marLeft w:val="0"/>
          <w:marRight w:val="0"/>
          <w:marTop w:val="0"/>
          <w:marBottom w:val="0"/>
          <w:divBdr>
            <w:top w:val="none" w:sz="0" w:space="0" w:color="auto"/>
            <w:left w:val="none" w:sz="0" w:space="0" w:color="auto"/>
            <w:bottom w:val="none" w:sz="0" w:space="0" w:color="auto"/>
            <w:right w:val="none" w:sz="0" w:space="0" w:color="auto"/>
          </w:divBdr>
          <w:divsChild>
            <w:div w:id="1315260573">
              <w:marLeft w:val="0"/>
              <w:marRight w:val="0"/>
              <w:marTop w:val="0"/>
              <w:marBottom w:val="0"/>
              <w:divBdr>
                <w:top w:val="none" w:sz="0" w:space="0" w:color="auto"/>
                <w:left w:val="none" w:sz="0" w:space="0" w:color="auto"/>
                <w:bottom w:val="none" w:sz="0" w:space="0" w:color="auto"/>
                <w:right w:val="none" w:sz="0" w:space="0" w:color="auto"/>
              </w:divBdr>
            </w:div>
          </w:divsChild>
        </w:div>
        <w:div w:id="182015283">
          <w:marLeft w:val="0"/>
          <w:marRight w:val="0"/>
          <w:marTop w:val="0"/>
          <w:marBottom w:val="0"/>
          <w:divBdr>
            <w:top w:val="none" w:sz="0" w:space="0" w:color="auto"/>
            <w:left w:val="none" w:sz="0" w:space="0" w:color="auto"/>
            <w:bottom w:val="none" w:sz="0" w:space="0" w:color="auto"/>
            <w:right w:val="none" w:sz="0" w:space="0" w:color="auto"/>
          </w:divBdr>
          <w:divsChild>
            <w:div w:id="547228459">
              <w:marLeft w:val="0"/>
              <w:marRight w:val="0"/>
              <w:marTop w:val="0"/>
              <w:marBottom w:val="0"/>
              <w:divBdr>
                <w:top w:val="none" w:sz="0" w:space="0" w:color="auto"/>
                <w:left w:val="none" w:sz="0" w:space="0" w:color="auto"/>
                <w:bottom w:val="none" w:sz="0" w:space="0" w:color="auto"/>
                <w:right w:val="none" w:sz="0" w:space="0" w:color="auto"/>
              </w:divBdr>
            </w:div>
          </w:divsChild>
        </w:div>
        <w:div w:id="1749309079">
          <w:marLeft w:val="0"/>
          <w:marRight w:val="0"/>
          <w:marTop w:val="0"/>
          <w:marBottom w:val="0"/>
          <w:divBdr>
            <w:top w:val="none" w:sz="0" w:space="0" w:color="auto"/>
            <w:left w:val="none" w:sz="0" w:space="0" w:color="auto"/>
            <w:bottom w:val="none" w:sz="0" w:space="0" w:color="auto"/>
            <w:right w:val="none" w:sz="0" w:space="0" w:color="auto"/>
          </w:divBdr>
          <w:divsChild>
            <w:div w:id="581182559">
              <w:marLeft w:val="0"/>
              <w:marRight w:val="0"/>
              <w:marTop w:val="0"/>
              <w:marBottom w:val="0"/>
              <w:divBdr>
                <w:top w:val="none" w:sz="0" w:space="0" w:color="auto"/>
                <w:left w:val="none" w:sz="0" w:space="0" w:color="auto"/>
                <w:bottom w:val="none" w:sz="0" w:space="0" w:color="auto"/>
                <w:right w:val="none" w:sz="0" w:space="0" w:color="auto"/>
              </w:divBdr>
            </w:div>
          </w:divsChild>
        </w:div>
        <w:div w:id="2026442938">
          <w:marLeft w:val="0"/>
          <w:marRight w:val="0"/>
          <w:marTop w:val="300"/>
          <w:marBottom w:val="300"/>
          <w:divBdr>
            <w:top w:val="none" w:sz="0" w:space="0" w:color="auto"/>
            <w:left w:val="none" w:sz="0" w:space="0" w:color="auto"/>
            <w:bottom w:val="none" w:sz="0" w:space="0" w:color="auto"/>
            <w:right w:val="none" w:sz="0" w:space="0" w:color="auto"/>
          </w:divBdr>
        </w:div>
        <w:div w:id="1352991021">
          <w:marLeft w:val="0"/>
          <w:marRight w:val="0"/>
          <w:marTop w:val="0"/>
          <w:marBottom w:val="0"/>
          <w:divBdr>
            <w:top w:val="none" w:sz="0" w:space="0" w:color="auto"/>
            <w:left w:val="none" w:sz="0" w:space="0" w:color="auto"/>
            <w:bottom w:val="none" w:sz="0" w:space="0" w:color="auto"/>
            <w:right w:val="none" w:sz="0" w:space="0" w:color="auto"/>
          </w:divBdr>
          <w:divsChild>
            <w:div w:id="949165897">
              <w:marLeft w:val="0"/>
              <w:marRight w:val="0"/>
              <w:marTop w:val="0"/>
              <w:marBottom w:val="0"/>
              <w:divBdr>
                <w:top w:val="none" w:sz="0" w:space="0" w:color="auto"/>
                <w:left w:val="none" w:sz="0" w:space="0" w:color="auto"/>
                <w:bottom w:val="none" w:sz="0" w:space="0" w:color="auto"/>
                <w:right w:val="none" w:sz="0" w:space="0" w:color="auto"/>
              </w:divBdr>
            </w:div>
          </w:divsChild>
        </w:div>
        <w:div w:id="496501920">
          <w:marLeft w:val="0"/>
          <w:marRight w:val="0"/>
          <w:marTop w:val="0"/>
          <w:marBottom w:val="0"/>
          <w:divBdr>
            <w:top w:val="none" w:sz="0" w:space="0" w:color="auto"/>
            <w:left w:val="none" w:sz="0" w:space="0" w:color="auto"/>
            <w:bottom w:val="none" w:sz="0" w:space="0" w:color="auto"/>
            <w:right w:val="none" w:sz="0" w:space="0" w:color="auto"/>
          </w:divBdr>
          <w:divsChild>
            <w:div w:id="649673392">
              <w:marLeft w:val="0"/>
              <w:marRight w:val="0"/>
              <w:marTop w:val="0"/>
              <w:marBottom w:val="0"/>
              <w:divBdr>
                <w:top w:val="none" w:sz="0" w:space="0" w:color="auto"/>
                <w:left w:val="none" w:sz="0" w:space="0" w:color="auto"/>
                <w:bottom w:val="none" w:sz="0" w:space="0" w:color="auto"/>
                <w:right w:val="none" w:sz="0" w:space="0" w:color="auto"/>
              </w:divBdr>
            </w:div>
          </w:divsChild>
        </w:div>
        <w:div w:id="132408461">
          <w:marLeft w:val="0"/>
          <w:marRight w:val="0"/>
          <w:marTop w:val="0"/>
          <w:marBottom w:val="0"/>
          <w:divBdr>
            <w:top w:val="none" w:sz="0" w:space="0" w:color="auto"/>
            <w:left w:val="none" w:sz="0" w:space="0" w:color="auto"/>
            <w:bottom w:val="none" w:sz="0" w:space="0" w:color="auto"/>
            <w:right w:val="none" w:sz="0" w:space="0" w:color="auto"/>
          </w:divBdr>
          <w:divsChild>
            <w:div w:id="43649415">
              <w:marLeft w:val="0"/>
              <w:marRight w:val="0"/>
              <w:marTop w:val="0"/>
              <w:marBottom w:val="0"/>
              <w:divBdr>
                <w:top w:val="none" w:sz="0" w:space="0" w:color="auto"/>
                <w:left w:val="none" w:sz="0" w:space="0" w:color="auto"/>
                <w:bottom w:val="none" w:sz="0" w:space="0" w:color="auto"/>
                <w:right w:val="none" w:sz="0" w:space="0" w:color="auto"/>
              </w:divBdr>
            </w:div>
          </w:divsChild>
        </w:div>
        <w:div w:id="1843624522">
          <w:marLeft w:val="0"/>
          <w:marRight w:val="0"/>
          <w:marTop w:val="0"/>
          <w:marBottom w:val="0"/>
          <w:divBdr>
            <w:top w:val="none" w:sz="0" w:space="0" w:color="auto"/>
            <w:left w:val="none" w:sz="0" w:space="0" w:color="auto"/>
            <w:bottom w:val="none" w:sz="0" w:space="0" w:color="auto"/>
            <w:right w:val="none" w:sz="0" w:space="0" w:color="auto"/>
          </w:divBdr>
          <w:divsChild>
            <w:div w:id="312026935">
              <w:marLeft w:val="0"/>
              <w:marRight w:val="0"/>
              <w:marTop w:val="0"/>
              <w:marBottom w:val="0"/>
              <w:divBdr>
                <w:top w:val="none" w:sz="0" w:space="0" w:color="auto"/>
                <w:left w:val="none" w:sz="0" w:space="0" w:color="auto"/>
                <w:bottom w:val="none" w:sz="0" w:space="0" w:color="auto"/>
                <w:right w:val="none" w:sz="0" w:space="0" w:color="auto"/>
              </w:divBdr>
            </w:div>
          </w:divsChild>
        </w:div>
        <w:div w:id="594366076">
          <w:marLeft w:val="0"/>
          <w:marRight w:val="0"/>
          <w:marTop w:val="300"/>
          <w:marBottom w:val="300"/>
          <w:divBdr>
            <w:top w:val="none" w:sz="0" w:space="0" w:color="auto"/>
            <w:left w:val="none" w:sz="0" w:space="0" w:color="auto"/>
            <w:bottom w:val="none" w:sz="0" w:space="0" w:color="auto"/>
            <w:right w:val="none" w:sz="0" w:space="0" w:color="auto"/>
          </w:divBdr>
        </w:div>
        <w:div w:id="147406646">
          <w:marLeft w:val="0"/>
          <w:marRight w:val="0"/>
          <w:marTop w:val="0"/>
          <w:marBottom w:val="0"/>
          <w:divBdr>
            <w:top w:val="none" w:sz="0" w:space="0" w:color="auto"/>
            <w:left w:val="none" w:sz="0" w:space="0" w:color="auto"/>
            <w:bottom w:val="none" w:sz="0" w:space="0" w:color="auto"/>
            <w:right w:val="none" w:sz="0" w:space="0" w:color="auto"/>
          </w:divBdr>
          <w:divsChild>
            <w:div w:id="32581385">
              <w:marLeft w:val="0"/>
              <w:marRight w:val="0"/>
              <w:marTop w:val="0"/>
              <w:marBottom w:val="0"/>
              <w:divBdr>
                <w:top w:val="none" w:sz="0" w:space="0" w:color="auto"/>
                <w:left w:val="none" w:sz="0" w:space="0" w:color="auto"/>
                <w:bottom w:val="none" w:sz="0" w:space="0" w:color="auto"/>
                <w:right w:val="none" w:sz="0" w:space="0" w:color="auto"/>
              </w:divBdr>
            </w:div>
          </w:divsChild>
        </w:div>
        <w:div w:id="2129424936">
          <w:marLeft w:val="0"/>
          <w:marRight w:val="0"/>
          <w:marTop w:val="0"/>
          <w:marBottom w:val="0"/>
          <w:divBdr>
            <w:top w:val="none" w:sz="0" w:space="0" w:color="auto"/>
            <w:left w:val="none" w:sz="0" w:space="0" w:color="auto"/>
            <w:bottom w:val="none" w:sz="0" w:space="0" w:color="auto"/>
            <w:right w:val="none" w:sz="0" w:space="0" w:color="auto"/>
          </w:divBdr>
          <w:divsChild>
            <w:div w:id="63450936">
              <w:marLeft w:val="0"/>
              <w:marRight w:val="0"/>
              <w:marTop w:val="0"/>
              <w:marBottom w:val="0"/>
              <w:divBdr>
                <w:top w:val="none" w:sz="0" w:space="0" w:color="auto"/>
                <w:left w:val="none" w:sz="0" w:space="0" w:color="auto"/>
                <w:bottom w:val="none" w:sz="0" w:space="0" w:color="auto"/>
                <w:right w:val="none" w:sz="0" w:space="0" w:color="auto"/>
              </w:divBdr>
            </w:div>
          </w:divsChild>
        </w:div>
        <w:div w:id="631712593">
          <w:marLeft w:val="0"/>
          <w:marRight w:val="0"/>
          <w:marTop w:val="300"/>
          <w:marBottom w:val="300"/>
          <w:divBdr>
            <w:top w:val="none" w:sz="0" w:space="0" w:color="auto"/>
            <w:left w:val="none" w:sz="0" w:space="0" w:color="auto"/>
            <w:bottom w:val="none" w:sz="0" w:space="0" w:color="auto"/>
            <w:right w:val="none" w:sz="0" w:space="0" w:color="auto"/>
          </w:divBdr>
        </w:div>
        <w:div w:id="1921593988">
          <w:marLeft w:val="0"/>
          <w:marRight w:val="0"/>
          <w:marTop w:val="0"/>
          <w:marBottom w:val="0"/>
          <w:divBdr>
            <w:top w:val="none" w:sz="0" w:space="0" w:color="auto"/>
            <w:left w:val="none" w:sz="0" w:space="0" w:color="auto"/>
            <w:bottom w:val="none" w:sz="0" w:space="0" w:color="auto"/>
            <w:right w:val="none" w:sz="0" w:space="0" w:color="auto"/>
          </w:divBdr>
          <w:divsChild>
            <w:div w:id="1166281461">
              <w:marLeft w:val="0"/>
              <w:marRight w:val="0"/>
              <w:marTop w:val="0"/>
              <w:marBottom w:val="0"/>
              <w:divBdr>
                <w:top w:val="none" w:sz="0" w:space="0" w:color="auto"/>
                <w:left w:val="none" w:sz="0" w:space="0" w:color="auto"/>
                <w:bottom w:val="none" w:sz="0" w:space="0" w:color="auto"/>
                <w:right w:val="none" w:sz="0" w:space="0" w:color="auto"/>
              </w:divBdr>
            </w:div>
          </w:divsChild>
        </w:div>
        <w:div w:id="765418982">
          <w:marLeft w:val="0"/>
          <w:marRight w:val="0"/>
          <w:marTop w:val="0"/>
          <w:marBottom w:val="0"/>
          <w:divBdr>
            <w:top w:val="none" w:sz="0" w:space="0" w:color="auto"/>
            <w:left w:val="none" w:sz="0" w:space="0" w:color="auto"/>
            <w:bottom w:val="none" w:sz="0" w:space="0" w:color="auto"/>
            <w:right w:val="none" w:sz="0" w:space="0" w:color="auto"/>
          </w:divBdr>
          <w:divsChild>
            <w:div w:id="349526530">
              <w:marLeft w:val="0"/>
              <w:marRight w:val="0"/>
              <w:marTop w:val="0"/>
              <w:marBottom w:val="0"/>
              <w:divBdr>
                <w:top w:val="none" w:sz="0" w:space="0" w:color="auto"/>
                <w:left w:val="none" w:sz="0" w:space="0" w:color="auto"/>
                <w:bottom w:val="none" w:sz="0" w:space="0" w:color="auto"/>
                <w:right w:val="none" w:sz="0" w:space="0" w:color="auto"/>
              </w:divBdr>
            </w:div>
          </w:divsChild>
        </w:div>
        <w:div w:id="992608929">
          <w:marLeft w:val="0"/>
          <w:marRight w:val="0"/>
          <w:marTop w:val="0"/>
          <w:marBottom w:val="0"/>
          <w:divBdr>
            <w:top w:val="none" w:sz="0" w:space="0" w:color="auto"/>
            <w:left w:val="none" w:sz="0" w:space="0" w:color="auto"/>
            <w:bottom w:val="none" w:sz="0" w:space="0" w:color="auto"/>
            <w:right w:val="none" w:sz="0" w:space="0" w:color="auto"/>
          </w:divBdr>
          <w:divsChild>
            <w:div w:id="1416512164">
              <w:marLeft w:val="0"/>
              <w:marRight w:val="0"/>
              <w:marTop w:val="0"/>
              <w:marBottom w:val="0"/>
              <w:divBdr>
                <w:top w:val="none" w:sz="0" w:space="0" w:color="auto"/>
                <w:left w:val="none" w:sz="0" w:space="0" w:color="auto"/>
                <w:bottom w:val="none" w:sz="0" w:space="0" w:color="auto"/>
                <w:right w:val="none" w:sz="0" w:space="0" w:color="auto"/>
              </w:divBdr>
            </w:div>
          </w:divsChild>
        </w:div>
        <w:div w:id="1964655579">
          <w:marLeft w:val="0"/>
          <w:marRight w:val="0"/>
          <w:marTop w:val="0"/>
          <w:marBottom w:val="0"/>
          <w:divBdr>
            <w:top w:val="none" w:sz="0" w:space="0" w:color="auto"/>
            <w:left w:val="none" w:sz="0" w:space="0" w:color="auto"/>
            <w:bottom w:val="none" w:sz="0" w:space="0" w:color="auto"/>
            <w:right w:val="none" w:sz="0" w:space="0" w:color="auto"/>
          </w:divBdr>
          <w:divsChild>
            <w:div w:id="1634822504">
              <w:marLeft w:val="0"/>
              <w:marRight w:val="0"/>
              <w:marTop w:val="0"/>
              <w:marBottom w:val="0"/>
              <w:divBdr>
                <w:top w:val="none" w:sz="0" w:space="0" w:color="auto"/>
                <w:left w:val="none" w:sz="0" w:space="0" w:color="auto"/>
                <w:bottom w:val="none" w:sz="0" w:space="0" w:color="auto"/>
                <w:right w:val="none" w:sz="0" w:space="0" w:color="auto"/>
              </w:divBdr>
            </w:div>
          </w:divsChild>
        </w:div>
        <w:div w:id="3829748">
          <w:marLeft w:val="0"/>
          <w:marRight w:val="0"/>
          <w:marTop w:val="0"/>
          <w:marBottom w:val="0"/>
          <w:divBdr>
            <w:top w:val="none" w:sz="0" w:space="0" w:color="auto"/>
            <w:left w:val="none" w:sz="0" w:space="0" w:color="auto"/>
            <w:bottom w:val="none" w:sz="0" w:space="0" w:color="auto"/>
            <w:right w:val="none" w:sz="0" w:space="0" w:color="auto"/>
          </w:divBdr>
          <w:divsChild>
            <w:div w:id="1076240987">
              <w:marLeft w:val="0"/>
              <w:marRight w:val="0"/>
              <w:marTop w:val="0"/>
              <w:marBottom w:val="0"/>
              <w:divBdr>
                <w:top w:val="none" w:sz="0" w:space="0" w:color="auto"/>
                <w:left w:val="none" w:sz="0" w:space="0" w:color="auto"/>
                <w:bottom w:val="none" w:sz="0" w:space="0" w:color="auto"/>
                <w:right w:val="none" w:sz="0" w:space="0" w:color="auto"/>
              </w:divBdr>
            </w:div>
          </w:divsChild>
        </w:div>
        <w:div w:id="2116486218">
          <w:marLeft w:val="0"/>
          <w:marRight w:val="0"/>
          <w:marTop w:val="300"/>
          <w:marBottom w:val="300"/>
          <w:divBdr>
            <w:top w:val="none" w:sz="0" w:space="0" w:color="auto"/>
            <w:left w:val="none" w:sz="0" w:space="0" w:color="auto"/>
            <w:bottom w:val="none" w:sz="0" w:space="0" w:color="auto"/>
            <w:right w:val="none" w:sz="0" w:space="0" w:color="auto"/>
          </w:divBdr>
        </w:div>
        <w:div w:id="12416462">
          <w:marLeft w:val="0"/>
          <w:marRight w:val="0"/>
          <w:marTop w:val="0"/>
          <w:marBottom w:val="0"/>
          <w:divBdr>
            <w:top w:val="none" w:sz="0" w:space="0" w:color="auto"/>
            <w:left w:val="none" w:sz="0" w:space="0" w:color="auto"/>
            <w:bottom w:val="none" w:sz="0" w:space="0" w:color="auto"/>
            <w:right w:val="none" w:sz="0" w:space="0" w:color="auto"/>
          </w:divBdr>
          <w:divsChild>
            <w:div w:id="301276939">
              <w:marLeft w:val="0"/>
              <w:marRight w:val="0"/>
              <w:marTop w:val="0"/>
              <w:marBottom w:val="0"/>
              <w:divBdr>
                <w:top w:val="none" w:sz="0" w:space="0" w:color="auto"/>
                <w:left w:val="none" w:sz="0" w:space="0" w:color="auto"/>
                <w:bottom w:val="none" w:sz="0" w:space="0" w:color="auto"/>
                <w:right w:val="none" w:sz="0" w:space="0" w:color="auto"/>
              </w:divBdr>
            </w:div>
          </w:divsChild>
        </w:div>
        <w:div w:id="504133959">
          <w:marLeft w:val="0"/>
          <w:marRight w:val="0"/>
          <w:marTop w:val="300"/>
          <w:marBottom w:val="300"/>
          <w:divBdr>
            <w:top w:val="none" w:sz="0" w:space="0" w:color="auto"/>
            <w:left w:val="none" w:sz="0" w:space="0" w:color="auto"/>
            <w:bottom w:val="none" w:sz="0" w:space="0" w:color="auto"/>
            <w:right w:val="none" w:sz="0" w:space="0" w:color="auto"/>
          </w:divBdr>
        </w:div>
        <w:div w:id="2077630591">
          <w:marLeft w:val="0"/>
          <w:marRight w:val="0"/>
          <w:marTop w:val="0"/>
          <w:marBottom w:val="0"/>
          <w:divBdr>
            <w:top w:val="none" w:sz="0" w:space="0" w:color="auto"/>
            <w:left w:val="none" w:sz="0" w:space="0" w:color="auto"/>
            <w:bottom w:val="none" w:sz="0" w:space="0" w:color="auto"/>
            <w:right w:val="none" w:sz="0" w:space="0" w:color="auto"/>
          </w:divBdr>
          <w:divsChild>
            <w:div w:id="1192062640">
              <w:marLeft w:val="0"/>
              <w:marRight w:val="0"/>
              <w:marTop w:val="0"/>
              <w:marBottom w:val="0"/>
              <w:divBdr>
                <w:top w:val="none" w:sz="0" w:space="0" w:color="auto"/>
                <w:left w:val="none" w:sz="0" w:space="0" w:color="auto"/>
                <w:bottom w:val="none" w:sz="0" w:space="0" w:color="auto"/>
                <w:right w:val="none" w:sz="0" w:space="0" w:color="auto"/>
              </w:divBdr>
            </w:div>
          </w:divsChild>
        </w:div>
        <w:div w:id="949629895">
          <w:marLeft w:val="0"/>
          <w:marRight w:val="0"/>
          <w:marTop w:val="0"/>
          <w:marBottom w:val="0"/>
          <w:divBdr>
            <w:top w:val="none" w:sz="0" w:space="0" w:color="auto"/>
            <w:left w:val="none" w:sz="0" w:space="0" w:color="auto"/>
            <w:bottom w:val="none" w:sz="0" w:space="0" w:color="auto"/>
            <w:right w:val="none" w:sz="0" w:space="0" w:color="auto"/>
          </w:divBdr>
          <w:divsChild>
            <w:div w:id="843084326">
              <w:marLeft w:val="0"/>
              <w:marRight w:val="0"/>
              <w:marTop w:val="0"/>
              <w:marBottom w:val="0"/>
              <w:divBdr>
                <w:top w:val="none" w:sz="0" w:space="0" w:color="auto"/>
                <w:left w:val="none" w:sz="0" w:space="0" w:color="auto"/>
                <w:bottom w:val="none" w:sz="0" w:space="0" w:color="auto"/>
                <w:right w:val="none" w:sz="0" w:space="0" w:color="auto"/>
              </w:divBdr>
            </w:div>
          </w:divsChild>
        </w:div>
        <w:div w:id="565529944">
          <w:marLeft w:val="0"/>
          <w:marRight w:val="0"/>
          <w:marTop w:val="0"/>
          <w:marBottom w:val="0"/>
          <w:divBdr>
            <w:top w:val="none" w:sz="0" w:space="0" w:color="auto"/>
            <w:left w:val="none" w:sz="0" w:space="0" w:color="auto"/>
            <w:bottom w:val="none" w:sz="0" w:space="0" w:color="auto"/>
            <w:right w:val="none" w:sz="0" w:space="0" w:color="auto"/>
          </w:divBdr>
          <w:divsChild>
            <w:div w:id="15818346">
              <w:marLeft w:val="0"/>
              <w:marRight w:val="0"/>
              <w:marTop w:val="0"/>
              <w:marBottom w:val="0"/>
              <w:divBdr>
                <w:top w:val="none" w:sz="0" w:space="0" w:color="auto"/>
                <w:left w:val="none" w:sz="0" w:space="0" w:color="auto"/>
                <w:bottom w:val="none" w:sz="0" w:space="0" w:color="auto"/>
                <w:right w:val="none" w:sz="0" w:space="0" w:color="auto"/>
              </w:divBdr>
            </w:div>
          </w:divsChild>
        </w:div>
        <w:div w:id="1709986103">
          <w:marLeft w:val="0"/>
          <w:marRight w:val="0"/>
          <w:marTop w:val="0"/>
          <w:marBottom w:val="0"/>
          <w:divBdr>
            <w:top w:val="none" w:sz="0" w:space="0" w:color="auto"/>
            <w:left w:val="none" w:sz="0" w:space="0" w:color="auto"/>
            <w:bottom w:val="none" w:sz="0" w:space="0" w:color="auto"/>
            <w:right w:val="none" w:sz="0" w:space="0" w:color="auto"/>
          </w:divBdr>
          <w:divsChild>
            <w:div w:id="1099563384">
              <w:marLeft w:val="0"/>
              <w:marRight w:val="0"/>
              <w:marTop w:val="0"/>
              <w:marBottom w:val="0"/>
              <w:divBdr>
                <w:top w:val="none" w:sz="0" w:space="0" w:color="auto"/>
                <w:left w:val="none" w:sz="0" w:space="0" w:color="auto"/>
                <w:bottom w:val="none" w:sz="0" w:space="0" w:color="auto"/>
                <w:right w:val="none" w:sz="0" w:space="0" w:color="auto"/>
              </w:divBdr>
            </w:div>
          </w:divsChild>
        </w:div>
        <w:div w:id="431511691">
          <w:marLeft w:val="0"/>
          <w:marRight w:val="0"/>
          <w:marTop w:val="0"/>
          <w:marBottom w:val="0"/>
          <w:divBdr>
            <w:top w:val="none" w:sz="0" w:space="0" w:color="auto"/>
            <w:left w:val="none" w:sz="0" w:space="0" w:color="auto"/>
            <w:bottom w:val="none" w:sz="0" w:space="0" w:color="auto"/>
            <w:right w:val="none" w:sz="0" w:space="0" w:color="auto"/>
          </w:divBdr>
          <w:divsChild>
            <w:div w:id="1342505801">
              <w:marLeft w:val="0"/>
              <w:marRight w:val="0"/>
              <w:marTop w:val="0"/>
              <w:marBottom w:val="0"/>
              <w:divBdr>
                <w:top w:val="none" w:sz="0" w:space="0" w:color="auto"/>
                <w:left w:val="none" w:sz="0" w:space="0" w:color="auto"/>
                <w:bottom w:val="none" w:sz="0" w:space="0" w:color="auto"/>
                <w:right w:val="none" w:sz="0" w:space="0" w:color="auto"/>
              </w:divBdr>
            </w:div>
          </w:divsChild>
        </w:div>
        <w:div w:id="1813909678">
          <w:marLeft w:val="0"/>
          <w:marRight w:val="0"/>
          <w:marTop w:val="300"/>
          <w:marBottom w:val="300"/>
          <w:divBdr>
            <w:top w:val="none" w:sz="0" w:space="0" w:color="auto"/>
            <w:left w:val="none" w:sz="0" w:space="0" w:color="auto"/>
            <w:bottom w:val="none" w:sz="0" w:space="0" w:color="auto"/>
            <w:right w:val="none" w:sz="0" w:space="0" w:color="auto"/>
          </w:divBdr>
        </w:div>
        <w:div w:id="339697068">
          <w:marLeft w:val="0"/>
          <w:marRight w:val="0"/>
          <w:marTop w:val="0"/>
          <w:marBottom w:val="0"/>
          <w:divBdr>
            <w:top w:val="none" w:sz="0" w:space="0" w:color="auto"/>
            <w:left w:val="none" w:sz="0" w:space="0" w:color="auto"/>
            <w:bottom w:val="none" w:sz="0" w:space="0" w:color="auto"/>
            <w:right w:val="none" w:sz="0" w:space="0" w:color="auto"/>
          </w:divBdr>
          <w:divsChild>
            <w:div w:id="1671710228">
              <w:marLeft w:val="0"/>
              <w:marRight w:val="0"/>
              <w:marTop w:val="0"/>
              <w:marBottom w:val="0"/>
              <w:divBdr>
                <w:top w:val="none" w:sz="0" w:space="0" w:color="auto"/>
                <w:left w:val="none" w:sz="0" w:space="0" w:color="auto"/>
                <w:bottom w:val="none" w:sz="0" w:space="0" w:color="auto"/>
                <w:right w:val="none" w:sz="0" w:space="0" w:color="auto"/>
              </w:divBdr>
            </w:div>
          </w:divsChild>
        </w:div>
        <w:div w:id="749157412">
          <w:marLeft w:val="0"/>
          <w:marRight w:val="0"/>
          <w:marTop w:val="300"/>
          <w:marBottom w:val="300"/>
          <w:divBdr>
            <w:top w:val="none" w:sz="0" w:space="0" w:color="auto"/>
            <w:left w:val="none" w:sz="0" w:space="0" w:color="auto"/>
            <w:bottom w:val="none" w:sz="0" w:space="0" w:color="auto"/>
            <w:right w:val="none" w:sz="0" w:space="0" w:color="auto"/>
          </w:divBdr>
        </w:div>
        <w:div w:id="1361587944">
          <w:marLeft w:val="0"/>
          <w:marRight w:val="0"/>
          <w:marTop w:val="0"/>
          <w:marBottom w:val="0"/>
          <w:divBdr>
            <w:top w:val="none" w:sz="0" w:space="0" w:color="auto"/>
            <w:left w:val="none" w:sz="0" w:space="0" w:color="auto"/>
            <w:bottom w:val="none" w:sz="0" w:space="0" w:color="auto"/>
            <w:right w:val="none" w:sz="0" w:space="0" w:color="auto"/>
          </w:divBdr>
          <w:divsChild>
            <w:div w:id="1119371080">
              <w:marLeft w:val="0"/>
              <w:marRight w:val="0"/>
              <w:marTop w:val="0"/>
              <w:marBottom w:val="0"/>
              <w:divBdr>
                <w:top w:val="none" w:sz="0" w:space="0" w:color="auto"/>
                <w:left w:val="none" w:sz="0" w:space="0" w:color="auto"/>
                <w:bottom w:val="none" w:sz="0" w:space="0" w:color="auto"/>
                <w:right w:val="none" w:sz="0" w:space="0" w:color="auto"/>
              </w:divBdr>
            </w:div>
          </w:divsChild>
        </w:div>
        <w:div w:id="696664250">
          <w:marLeft w:val="0"/>
          <w:marRight w:val="0"/>
          <w:marTop w:val="0"/>
          <w:marBottom w:val="0"/>
          <w:divBdr>
            <w:top w:val="none" w:sz="0" w:space="0" w:color="auto"/>
            <w:left w:val="none" w:sz="0" w:space="0" w:color="auto"/>
            <w:bottom w:val="none" w:sz="0" w:space="0" w:color="auto"/>
            <w:right w:val="none" w:sz="0" w:space="0" w:color="auto"/>
          </w:divBdr>
          <w:divsChild>
            <w:div w:id="385832927">
              <w:marLeft w:val="0"/>
              <w:marRight w:val="0"/>
              <w:marTop w:val="0"/>
              <w:marBottom w:val="0"/>
              <w:divBdr>
                <w:top w:val="none" w:sz="0" w:space="0" w:color="auto"/>
                <w:left w:val="none" w:sz="0" w:space="0" w:color="auto"/>
                <w:bottom w:val="none" w:sz="0" w:space="0" w:color="auto"/>
                <w:right w:val="none" w:sz="0" w:space="0" w:color="auto"/>
              </w:divBdr>
            </w:div>
          </w:divsChild>
        </w:div>
        <w:div w:id="292098917">
          <w:marLeft w:val="0"/>
          <w:marRight w:val="0"/>
          <w:marTop w:val="0"/>
          <w:marBottom w:val="0"/>
          <w:divBdr>
            <w:top w:val="none" w:sz="0" w:space="0" w:color="auto"/>
            <w:left w:val="none" w:sz="0" w:space="0" w:color="auto"/>
            <w:bottom w:val="none" w:sz="0" w:space="0" w:color="auto"/>
            <w:right w:val="none" w:sz="0" w:space="0" w:color="auto"/>
          </w:divBdr>
          <w:divsChild>
            <w:div w:id="1065569045">
              <w:marLeft w:val="0"/>
              <w:marRight w:val="0"/>
              <w:marTop w:val="0"/>
              <w:marBottom w:val="0"/>
              <w:divBdr>
                <w:top w:val="none" w:sz="0" w:space="0" w:color="auto"/>
                <w:left w:val="none" w:sz="0" w:space="0" w:color="auto"/>
                <w:bottom w:val="none" w:sz="0" w:space="0" w:color="auto"/>
                <w:right w:val="none" w:sz="0" w:space="0" w:color="auto"/>
              </w:divBdr>
            </w:div>
          </w:divsChild>
        </w:div>
        <w:div w:id="808864071">
          <w:marLeft w:val="0"/>
          <w:marRight w:val="0"/>
          <w:marTop w:val="0"/>
          <w:marBottom w:val="0"/>
          <w:divBdr>
            <w:top w:val="none" w:sz="0" w:space="0" w:color="auto"/>
            <w:left w:val="none" w:sz="0" w:space="0" w:color="auto"/>
            <w:bottom w:val="none" w:sz="0" w:space="0" w:color="auto"/>
            <w:right w:val="none" w:sz="0" w:space="0" w:color="auto"/>
          </w:divBdr>
          <w:divsChild>
            <w:div w:id="704136004">
              <w:marLeft w:val="0"/>
              <w:marRight w:val="0"/>
              <w:marTop w:val="0"/>
              <w:marBottom w:val="0"/>
              <w:divBdr>
                <w:top w:val="none" w:sz="0" w:space="0" w:color="auto"/>
                <w:left w:val="none" w:sz="0" w:space="0" w:color="auto"/>
                <w:bottom w:val="none" w:sz="0" w:space="0" w:color="auto"/>
                <w:right w:val="none" w:sz="0" w:space="0" w:color="auto"/>
              </w:divBdr>
            </w:div>
          </w:divsChild>
        </w:div>
        <w:div w:id="1304968875">
          <w:marLeft w:val="0"/>
          <w:marRight w:val="0"/>
          <w:marTop w:val="0"/>
          <w:marBottom w:val="0"/>
          <w:divBdr>
            <w:top w:val="none" w:sz="0" w:space="0" w:color="auto"/>
            <w:left w:val="none" w:sz="0" w:space="0" w:color="auto"/>
            <w:bottom w:val="none" w:sz="0" w:space="0" w:color="auto"/>
            <w:right w:val="none" w:sz="0" w:space="0" w:color="auto"/>
          </w:divBdr>
          <w:divsChild>
            <w:div w:id="1023628830">
              <w:marLeft w:val="0"/>
              <w:marRight w:val="0"/>
              <w:marTop w:val="0"/>
              <w:marBottom w:val="0"/>
              <w:divBdr>
                <w:top w:val="none" w:sz="0" w:space="0" w:color="auto"/>
                <w:left w:val="none" w:sz="0" w:space="0" w:color="auto"/>
                <w:bottom w:val="none" w:sz="0" w:space="0" w:color="auto"/>
                <w:right w:val="none" w:sz="0" w:space="0" w:color="auto"/>
              </w:divBdr>
            </w:div>
          </w:divsChild>
        </w:div>
        <w:div w:id="1833058657">
          <w:marLeft w:val="0"/>
          <w:marRight w:val="0"/>
          <w:marTop w:val="0"/>
          <w:marBottom w:val="0"/>
          <w:divBdr>
            <w:top w:val="none" w:sz="0" w:space="0" w:color="auto"/>
            <w:left w:val="none" w:sz="0" w:space="0" w:color="auto"/>
            <w:bottom w:val="none" w:sz="0" w:space="0" w:color="auto"/>
            <w:right w:val="none" w:sz="0" w:space="0" w:color="auto"/>
          </w:divBdr>
          <w:divsChild>
            <w:div w:id="855848823">
              <w:marLeft w:val="0"/>
              <w:marRight w:val="0"/>
              <w:marTop w:val="0"/>
              <w:marBottom w:val="0"/>
              <w:divBdr>
                <w:top w:val="none" w:sz="0" w:space="0" w:color="auto"/>
                <w:left w:val="none" w:sz="0" w:space="0" w:color="auto"/>
                <w:bottom w:val="none" w:sz="0" w:space="0" w:color="auto"/>
                <w:right w:val="none" w:sz="0" w:space="0" w:color="auto"/>
              </w:divBdr>
            </w:div>
          </w:divsChild>
        </w:div>
        <w:div w:id="2023899856">
          <w:marLeft w:val="0"/>
          <w:marRight w:val="0"/>
          <w:marTop w:val="0"/>
          <w:marBottom w:val="0"/>
          <w:divBdr>
            <w:top w:val="none" w:sz="0" w:space="0" w:color="auto"/>
            <w:left w:val="none" w:sz="0" w:space="0" w:color="auto"/>
            <w:bottom w:val="none" w:sz="0" w:space="0" w:color="auto"/>
            <w:right w:val="none" w:sz="0" w:space="0" w:color="auto"/>
          </w:divBdr>
          <w:divsChild>
            <w:div w:id="1351953364">
              <w:marLeft w:val="0"/>
              <w:marRight w:val="0"/>
              <w:marTop w:val="0"/>
              <w:marBottom w:val="0"/>
              <w:divBdr>
                <w:top w:val="none" w:sz="0" w:space="0" w:color="auto"/>
                <w:left w:val="none" w:sz="0" w:space="0" w:color="auto"/>
                <w:bottom w:val="none" w:sz="0" w:space="0" w:color="auto"/>
                <w:right w:val="none" w:sz="0" w:space="0" w:color="auto"/>
              </w:divBdr>
            </w:div>
          </w:divsChild>
        </w:div>
        <w:div w:id="1275019654">
          <w:marLeft w:val="0"/>
          <w:marRight w:val="0"/>
          <w:marTop w:val="300"/>
          <w:marBottom w:val="300"/>
          <w:divBdr>
            <w:top w:val="none" w:sz="0" w:space="0" w:color="auto"/>
            <w:left w:val="none" w:sz="0" w:space="0" w:color="auto"/>
            <w:bottom w:val="none" w:sz="0" w:space="0" w:color="auto"/>
            <w:right w:val="none" w:sz="0" w:space="0" w:color="auto"/>
          </w:divBdr>
        </w:div>
        <w:div w:id="409157582">
          <w:marLeft w:val="0"/>
          <w:marRight w:val="0"/>
          <w:marTop w:val="0"/>
          <w:marBottom w:val="0"/>
          <w:divBdr>
            <w:top w:val="none" w:sz="0" w:space="0" w:color="auto"/>
            <w:left w:val="none" w:sz="0" w:space="0" w:color="auto"/>
            <w:bottom w:val="none" w:sz="0" w:space="0" w:color="auto"/>
            <w:right w:val="none" w:sz="0" w:space="0" w:color="auto"/>
          </w:divBdr>
          <w:divsChild>
            <w:div w:id="1200628652">
              <w:marLeft w:val="0"/>
              <w:marRight w:val="0"/>
              <w:marTop w:val="0"/>
              <w:marBottom w:val="0"/>
              <w:divBdr>
                <w:top w:val="none" w:sz="0" w:space="0" w:color="auto"/>
                <w:left w:val="none" w:sz="0" w:space="0" w:color="auto"/>
                <w:bottom w:val="none" w:sz="0" w:space="0" w:color="auto"/>
                <w:right w:val="none" w:sz="0" w:space="0" w:color="auto"/>
              </w:divBdr>
            </w:div>
          </w:divsChild>
        </w:div>
        <w:div w:id="910310221">
          <w:marLeft w:val="0"/>
          <w:marRight w:val="0"/>
          <w:marTop w:val="0"/>
          <w:marBottom w:val="0"/>
          <w:divBdr>
            <w:top w:val="none" w:sz="0" w:space="0" w:color="auto"/>
            <w:left w:val="none" w:sz="0" w:space="0" w:color="auto"/>
            <w:bottom w:val="none" w:sz="0" w:space="0" w:color="auto"/>
            <w:right w:val="none" w:sz="0" w:space="0" w:color="auto"/>
          </w:divBdr>
          <w:divsChild>
            <w:div w:id="1349479847">
              <w:marLeft w:val="0"/>
              <w:marRight w:val="0"/>
              <w:marTop w:val="0"/>
              <w:marBottom w:val="0"/>
              <w:divBdr>
                <w:top w:val="none" w:sz="0" w:space="0" w:color="auto"/>
                <w:left w:val="none" w:sz="0" w:space="0" w:color="auto"/>
                <w:bottom w:val="none" w:sz="0" w:space="0" w:color="auto"/>
                <w:right w:val="none" w:sz="0" w:space="0" w:color="auto"/>
              </w:divBdr>
            </w:div>
          </w:divsChild>
        </w:div>
        <w:div w:id="202206698">
          <w:marLeft w:val="0"/>
          <w:marRight w:val="0"/>
          <w:marTop w:val="0"/>
          <w:marBottom w:val="0"/>
          <w:divBdr>
            <w:top w:val="none" w:sz="0" w:space="0" w:color="auto"/>
            <w:left w:val="none" w:sz="0" w:space="0" w:color="auto"/>
            <w:bottom w:val="none" w:sz="0" w:space="0" w:color="auto"/>
            <w:right w:val="none" w:sz="0" w:space="0" w:color="auto"/>
          </w:divBdr>
          <w:divsChild>
            <w:div w:id="553278150">
              <w:marLeft w:val="0"/>
              <w:marRight w:val="0"/>
              <w:marTop w:val="0"/>
              <w:marBottom w:val="0"/>
              <w:divBdr>
                <w:top w:val="none" w:sz="0" w:space="0" w:color="auto"/>
                <w:left w:val="none" w:sz="0" w:space="0" w:color="auto"/>
                <w:bottom w:val="none" w:sz="0" w:space="0" w:color="auto"/>
                <w:right w:val="none" w:sz="0" w:space="0" w:color="auto"/>
              </w:divBdr>
            </w:div>
          </w:divsChild>
        </w:div>
        <w:div w:id="321206160">
          <w:marLeft w:val="0"/>
          <w:marRight w:val="0"/>
          <w:marTop w:val="0"/>
          <w:marBottom w:val="0"/>
          <w:divBdr>
            <w:top w:val="none" w:sz="0" w:space="0" w:color="auto"/>
            <w:left w:val="none" w:sz="0" w:space="0" w:color="auto"/>
            <w:bottom w:val="none" w:sz="0" w:space="0" w:color="auto"/>
            <w:right w:val="none" w:sz="0" w:space="0" w:color="auto"/>
          </w:divBdr>
          <w:divsChild>
            <w:div w:id="1153718102">
              <w:marLeft w:val="0"/>
              <w:marRight w:val="0"/>
              <w:marTop w:val="0"/>
              <w:marBottom w:val="0"/>
              <w:divBdr>
                <w:top w:val="none" w:sz="0" w:space="0" w:color="auto"/>
                <w:left w:val="none" w:sz="0" w:space="0" w:color="auto"/>
                <w:bottom w:val="none" w:sz="0" w:space="0" w:color="auto"/>
                <w:right w:val="none" w:sz="0" w:space="0" w:color="auto"/>
              </w:divBdr>
            </w:div>
          </w:divsChild>
        </w:div>
        <w:div w:id="489058246">
          <w:marLeft w:val="0"/>
          <w:marRight w:val="0"/>
          <w:marTop w:val="0"/>
          <w:marBottom w:val="0"/>
          <w:divBdr>
            <w:top w:val="none" w:sz="0" w:space="0" w:color="auto"/>
            <w:left w:val="none" w:sz="0" w:space="0" w:color="auto"/>
            <w:bottom w:val="none" w:sz="0" w:space="0" w:color="auto"/>
            <w:right w:val="none" w:sz="0" w:space="0" w:color="auto"/>
          </w:divBdr>
          <w:divsChild>
            <w:div w:id="428698162">
              <w:marLeft w:val="0"/>
              <w:marRight w:val="0"/>
              <w:marTop w:val="0"/>
              <w:marBottom w:val="0"/>
              <w:divBdr>
                <w:top w:val="none" w:sz="0" w:space="0" w:color="auto"/>
                <w:left w:val="none" w:sz="0" w:space="0" w:color="auto"/>
                <w:bottom w:val="none" w:sz="0" w:space="0" w:color="auto"/>
                <w:right w:val="none" w:sz="0" w:space="0" w:color="auto"/>
              </w:divBdr>
            </w:div>
          </w:divsChild>
        </w:div>
        <w:div w:id="1024405191">
          <w:marLeft w:val="0"/>
          <w:marRight w:val="0"/>
          <w:marTop w:val="0"/>
          <w:marBottom w:val="0"/>
          <w:divBdr>
            <w:top w:val="none" w:sz="0" w:space="0" w:color="auto"/>
            <w:left w:val="none" w:sz="0" w:space="0" w:color="auto"/>
            <w:bottom w:val="none" w:sz="0" w:space="0" w:color="auto"/>
            <w:right w:val="none" w:sz="0" w:space="0" w:color="auto"/>
          </w:divBdr>
          <w:divsChild>
            <w:div w:id="888958832">
              <w:marLeft w:val="0"/>
              <w:marRight w:val="0"/>
              <w:marTop w:val="0"/>
              <w:marBottom w:val="0"/>
              <w:divBdr>
                <w:top w:val="none" w:sz="0" w:space="0" w:color="auto"/>
                <w:left w:val="none" w:sz="0" w:space="0" w:color="auto"/>
                <w:bottom w:val="none" w:sz="0" w:space="0" w:color="auto"/>
                <w:right w:val="none" w:sz="0" w:space="0" w:color="auto"/>
              </w:divBdr>
            </w:div>
          </w:divsChild>
        </w:div>
        <w:div w:id="881400694">
          <w:marLeft w:val="0"/>
          <w:marRight w:val="0"/>
          <w:marTop w:val="0"/>
          <w:marBottom w:val="0"/>
          <w:divBdr>
            <w:top w:val="none" w:sz="0" w:space="0" w:color="auto"/>
            <w:left w:val="none" w:sz="0" w:space="0" w:color="auto"/>
            <w:bottom w:val="none" w:sz="0" w:space="0" w:color="auto"/>
            <w:right w:val="none" w:sz="0" w:space="0" w:color="auto"/>
          </w:divBdr>
          <w:divsChild>
            <w:div w:id="677198963">
              <w:marLeft w:val="0"/>
              <w:marRight w:val="0"/>
              <w:marTop w:val="0"/>
              <w:marBottom w:val="0"/>
              <w:divBdr>
                <w:top w:val="none" w:sz="0" w:space="0" w:color="auto"/>
                <w:left w:val="none" w:sz="0" w:space="0" w:color="auto"/>
                <w:bottom w:val="none" w:sz="0" w:space="0" w:color="auto"/>
                <w:right w:val="none" w:sz="0" w:space="0" w:color="auto"/>
              </w:divBdr>
            </w:div>
          </w:divsChild>
        </w:div>
        <w:div w:id="1930774604">
          <w:marLeft w:val="0"/>
          <w:marRight w:val="0"/>
          <w:marTop w:val="0"/>
          <w:marBottom w:val="0"/>
          <w:divBdr>
            <w:top w:val="none" w:sz="0" w:space="0" w:color="auto"/>
            <w:left w:val="none" w:sz="0" w:space="0" w:color="auto"/>
            <w:bottom w:val="none" w:sz="0" w:space="0" w:color="auto"/>
            <w:right w:val="none" w:sz="0" w:space="0" w:color="auto"/>
          </w:divBdr>
          <w:divsChild>
            <w:div w:id="496846736">
              <w:marLeft w:val="0"/>
              <w:marRight w:val="0"/>
              <w:marTop w:val="0"/>
              <w:marBottom w:val="0"/>
              <w:divBdr>
                <w:top w:val="none" w:sz="0" w:space="0" w:color="auto"/>
                <w:left w:val="none" w:sz="0" w:space="0" w:color="auto"/>
                <w:bottom w:val="none" w:sz="0" w:space="0" w:color="auto"/>
                <w:right w:val="none" w:sz="0" w:space="0" w:color="auto"/>
              </w:divBdr>
            </w:div>
          </w:divsChild>
        </w:div>
        <w:div w:id="534998493">
          <w:marLeft w:val="0"/>
          <w:marRight w:val="0"/>
          <w:marTop w:val="0"/>
          <w:marBottom w:val="0"/>
          <w:divBdr>
            <w:top w:val="none" w:sz="0" w:space="0" w:color="auto"/>
            <w:left w:val="none" w:sz="0" w:space="0" w:color="auto"/>
            <w:bottom w:val="none" w:sz="0" w:space="0" w:color="auto"/>
            <w:right w:val="none" w:sz="0" w:space="0" w:color="auto"/>
          </w:divBdr>
          <w:divsChild>
            <w:div w:id="543056814">
              <w:marLeft w:val="0"/>
              <w:marRight w:val="0"/>
              <w:marTop w:val="0"/>
              <w:marBottom w:val="0"/>
              <w:divBdr>
                <w:top w:val="none" w:sz="0" w:space="0" w:color="auto"/>
                <w:left w:val="none" w:sz="0" w:space="0" w:color="auto"/>
                <w:bottom w:val="none" w:sz="0" w:space="0" w:color="auto"/>
                <w:right w:val="none" w:sz="0" w:space="0" w:color="auto"/>
              </w:divBdr>
            </w:div>
          </w:divsChild>
        </w:div>
        <w:div w:id="1092704806">
          <w:marLeft w:val="0"/>
          <w:marRight w:val="0"/>
          <w:marTop w:val="0"/>
          <w:marBottom w:val="0"/>
          <w:divBdr>
            <w:top w:val="none" w:sz="0" w:space="0" w:color="auto"/>
            <w:left w:val="none" w:sz="0" w:space="0" w:color="auto"/>
            <w:bottom w:val="none" w:sz="0" w:space="0" w:color="auto"/>
            <w:right w:val="none" w:sz="0" w:space="0" w:color="auto"/>
          </w:divBdr>
          <w:divsChild>
            <w:div w:id="1588492134">
              <w:marLeft w:val="0"/>
              <w:marRight w:val="0"/>
              <w:marTop w:val="0"/>
              <w:marBottom w:val="0"/>
              <w:divBdr>
                <w:top w:val="none" w:sz="0" w:space="0" w:color="auto"/>
                <w:left w:val="none" w:sz="0" w:space="0" w:color="auto"/>
                <w:bottom w:val="none" w:sz="0" w:space="0" w:color="auto"/>
                <w:right w:val="none" w:sz="0" w:space="0" w:color="auto"/>
              </w:divBdr>
            </w:div>
          </w:divsChild>
        </w:div>
        <w:div w:id="113401669">
          <w:marLeft w:val="0"/>
          <w:marRight w:val="0"/>
          <w:marTop w:val="0"/>
          <w:marBottom w:val="0"/>
          <w:divBdr>
            <w:top w:val="none" w:sz="0" w:space="0" w:color="auto"/>
            <w:left w:val="none" w:sz="0" w:space="0" w:color="auto"/>
            <w:bottom w:val="none" w:sz="0" w:space="0" w:color="auto"/>
            <w:right w:val="none" w:sz="0" w:space="0" w:color="auto"/>
          </w:divBdr>
          <w:divsChild>
            <w:div w:id="80378448">
              <w:marLeft w:val="0"/>
              <w:marRight w:val="0"/>
              <w:marTop w:val="0"/>
              <w:marBottom w:val="0"/>
              <w:divBdr>
                <w:top w:val="none" w:sz="0" w:space="0" w:color="auto"/>
                <w:left w:val="none" w:sz="0" w:space="0" w:color="auto"/>
                <w:bottom w:val="none" w:sz="0" w:space="0" w:color="auto"/>
                <w:right w:val="none" w:sz="0" w:space="0" w:color="auto"/>
              </w:divBdr>
            </w:div>
          </w:divsChild>
        </w:div>
        <w:div w:id="1808231681">
          <w:marLeft w:val="0"/>
          <w:marRight w:val="0"/>
          <w:marTop w:val="0"/>
          <w:marBottom w:val="0"/>
          <w:divBdr>
            <w:top w:val="none" w:sz="0" w:space="0" w:color="auto"/>
            <w:left w:val="none" w:sz="0" w:space="0" w:color="auto"/>
            <w:bottom w:val="none" w:sz="0" w:space="0" w:color="auto"/>
            <w:right w:val="none" w:sz="0" w:space="0" w:color="auto"/>
          </w:divBdr>
          <w:divsChild>
            <w:div w:id="2026516436">
              <w:marLeft w:val="0"/>
              <w:marRight w:val="0"/>
              <w:marTop w:val="0"/>
              <w:marBottom w:val="0"/>
              <w:divBdr>
                <w:top w:val="none" w:sz="0" w:space="0" w:color="auto"/>
                <w:left w:val="none" w:sz="0" w:space="0" w:color="auto"/>
                <w:bottom w:val="none" w:sz="0" w:space="0" w:color="auto"/>
                <w:right w:val="none" w:sz="0" w:space="0" w:color="auto"/>
              </w:divBdr>
            </w:div>
          </w:divsChild>
        </w:div>
        <w:div w:id="1903439075">
          <w:marLeft w:val="0"/>
          <w:marRight w:val="0"/>
          <w:marTop w:val="300"/>
          <w:marBottom w:val="300"/>
          <w:divBdr>
            <w:top w:val="none" w:sz="0" w:space="0" w:color="auto"/>
            <w:left w:val="none" w:sz="0" w:space="0" w:color="auto"/>
            <w:bottom w:val="none" w:sz="0" w:space="0" w:color="auto"/>
            <w:right w:val="none" w:sz="0" w:space="0" w:color="auto"/>
          </w:divBdr>
        </w:div>
        <w:div w:id="1302803975">
          <w:marLeft w:val="0"/>
          <w:marRight w:val="0"/>
          <w:marTop w:val="0"/>
          <w:marBottom w:val="0"/>
          <w:divBdr>
            <w:top w:val="none" w:sz="0" w:space="0" w:color="auto"/>
            <w:left w:val="none" w:sz="0" w:space="0" w:color="auto"/>
            <w:bottom w:val="none" w:sz="0" w:space="0" w:color="auto"/>
            <w:right w:val="none" w:sz="0" w:space="0" w:color="auto"/>
          </w:divBdr>
          <w:divsChild>
            <w:div w:id="224687394">
              <w:marLeft w:val="0"/>
              <w:marRight w:val="0"/>
              <w:marTop w:val="0"/>
              <w:marBottom w:val="0"/>
              <w:divBdr>
                <w:top w:val="none" w:sz="0" w:space="0" w:color="auto"/>
                <w:left w:val="none" w:sz="0" w:space="0" w:color="auto"/>
                <w:bottom w:val="none" w:sz="0" w:space="0" w:color="auto"/>
                <w:right w:val="none" w:sz="0" w:space="0" w:color="auto"/>
              </w:divBdr>
            </w:div>
          </w:divsChild>
        </w:div>
        <w:div w:id="1912426031">
          <w:marLeft w:val="0"/>
          <w:marRight w:val="0"/>
          <w:marTop w:val="0"/>
          <w:marBottom w:val="0"/>
          <w:divBdr>
            <w:top w:val="none" w:sz="0" w:space="0" w:color="auto"/>
            <w:left w:val="none" w:sz="0" w:space="0" w:color="auto"/>
            <w:bottom w:val="none" w:sz="0" w:space="0" w:color="auto"/>
            <w:right w:val="none" w:sz="0" w:space="0" w:color="auto"/>
          </w:divBdr>
          <w:divsChild>
            <w:div w:id="1039359789">
              <w:marLeft w:val="0"/>
              <w:marRight w:val="0"/>
              <w:marTop w:val="0"/>
              <w:marBottom w:val="0"/>
              <w:divBdr>
                <w:top w:val="none" w:sz="0" w:space="0" w:color="auto"/>
                <w:left w:val="none" w:sz="0" w:space="0" w:color="auto"/>
                <w:bottom w:val="none" w:sz="0" w:space="0" w:color="auto"/>
                <w:right w:val="none" w:sz="0" w:space="0" w:color="auto"/>
              </w:divBdr>
            </w:div>
          </w:divsChild>
        </w:div>
        <w:div w:id="1575311605">
          <w:marLeft w:val="0"/>
          <w:marRight w:val="0"/>
          <w:marTop w:val="0"/>
          <w:marBottom w:val="0"/>
          <w:divBdr>
            <w:top w:val="none" w:sz="0" w:space="0" w:color="auto"/>
            <w:left w:val="none" w:sz="0" w:space="0" w:color="auto"/>
            <w:bottom w:val="none" w:sz="0" w:space="0" w:color="auto"/>
            <w:right w:val="none" w:sz="0" w:space="0" w:color="auto"/>
          </w:divBdr>
          <w:divsChild>
            <w:div w:id="226035161">
              <w:marLeft w:val="0"/>
              <w:marRight w:val="0"/>
              <w:marTop w:val="0"/>
              <w:marBottom w:val="0"/>
              <w:divBdr>
                <w:top w:val="none" w:sz="0" w:space="0" w:color="auto"/>
                <w:left w:val="none" w:sz="0" w:space="0" w:color="auto"/>
                <w:bottom w:val="none" w:sz="0" w:space="0" w:color="auto"/>
                <w:right w:val="none" w:sz="0" w:space="0" w:color="auto"/>
              </w:divBdr>
            </w:div>
          </w:divsChild>
        </w:div>
        <w:div w:id="2125267127">
          <w:marLeft w:val="0"/>
          <w:marRight w:val="0"/>
          <w:marTop w:val="0"/>
          <w:marBottom w:val="0"/>
          <w:divBdr>
            <w:top w:val="none" w:sz="0" w:space="0" w:color="auto"/>
            <w:left w:val="none" w:sz="0" w:space="0" w:color="auto"/>
            <w:bottom w:val="none" w:sz="0" w:space="0" w:color="auto"/>
            <w:right w:val="none" w:sz="0" w:space="0" w:color="auto"/>
          </w:divBdr>
          <w:divsChild>
            <w:div w:id="1608730656">
              <w:marLeft w:val="0"/>
              <w:marRight w:val="0"/>
              <w:marTop w:val="0"/>
              <w:marBottom w:val="0"/>
              <w:divBdr>
                <w:top w:val="none" w:sz="0" w:space="0" w:color="auto"/>
                <w:left w:val="none" w:sz="0" w:space="0" w:color="auto"/>
                <w:bottom w:val="none" w:sz="0" w:space="0" w:color="auto"/>
                <w:right w:val="none" w:sz="0" w:space="0" w:color="auto"/>
              </w:divBdr>
            </w:div>
          </w:divsChild>
        </w:div>
        <w:div w:id="1731414858">
          <w:marLeft w:val="0"/>
          <w:marRight w:val="0"/>
          <w:marTop w:val="0"/>
          <w:marBottom w:val="0"/>
          <w:divBdr>
            <w:top w:val="none" w:sz="0" w:space="0" w:color="auto"/>
            <w:left w:val="none" w:sz="0" w:space="0" w:color="auto"/>
            <w:bottom w:val="none" w:sz="0" w:space="0" w:color="auto"/>
            <w:right w:val="none" w:sz="0" w:space="0" w:color="auto"/>
          </w:divBdr>
          <w:divsChild>
            <w:div w:id="128521877">
              <w:marLeft w:val="0"/>
              <w:marRight w:val="0"/>
              <w:marTop w:val="0"/>
              <w:marBottom w:val="0"/>
              <w:divBdr>
                <w:top w:val="none" w:sz="0" w:space="0" w:color="auto"/>
                <w:left w:val="none" w:sz="0" w:space="0" w:color="auto"/>
                <w:bottom w:val="none" w:sz="0" w:space="0" w:color="auto"/>
                <w:right w:val="none" w:sz="0" w:space="0" w:color="auto"/>
              </w:divBdr>
            </w:div>
          </w:divsChild>
        </w:div>
        <w:div w:id="2125733984">
          <w:marLeft w:val="0"/>
          <w:marRight w:val="0"/>
          <w:marTop w:val="0"/>
          <w:marBottom w:val="0"/>
          <w:divBdr>
            <w:top w:val="none" w:sz="0" w:space="0" w:color="auto"/>
            <w:left w:val="none" w:sz="0" w:space="0" w:color="auto"/>
            <w:bottom w:val="none" w:sz="0" w:space="0" w:color="auto"/>
            <w:right w:val="none" w:sz="0" w:space="0" w:color="auto"/>
          </w:divBdr>
          <w:divsChild>
            <w:div w:id="2024939916">
              <w:marLeft w:val="0"/>
              <w:marRight w:val="0"/>
              <w:marTop w:val="0"/>
              <w:marBottom w:val="0"/>
              <w:divBdr>
                <w:top w:val="none" w:sz="0" w:space="0" w:color="auto"/>
                <w:left w:val="none" w:sz="0" w:space="0" w:color="auto"/>
                <w:bottom w:val="none" w:sz="0" w:space="0" w:color="auto"/>
                <w:right w:val="none" w:sz="0" w:space="0" w:color="auto"/>
              </w:divBdr>
            </w:div>
          </w:divsChild>
        </w:div>
        <w:div w:id="1247573673">
          <w:marLeft w:val="0"/>
          <w:marRight w:val="0"/>
          <w:marTop w:val="0"/>
          <w:marBottom w:val="0"/>
          <w:divBdr>
            <w:top w:val="none" w:sz="0" w:space="0" w:color="auto"/>
            <w:left w:val="none" w:sz="0" w:space="0" w:color="auto"/>
            <w:bottom w:val="none" w:sz="0" w:space="0" w:color="auto"/>
            <w:right w:val="none" w:sz="0" w:space="0" w:color="auto"/>
          </w:divBdr>
          <w:divsChild>
            <w:div w:id="527987592">
              <w:marLeft w:val="0"/>
              <w:marRight w:val="0"/>
              <w:marTop w:val="0"/>
              <w:marBottom w:val="0"/>
              <w:divBdr>
                <w:top w:val="none" w:sz="0" w:space="0" w:color="auto"/>
                <w:left w:val="none" w:sz="0" w:space="0" w:color="auto"/>
                <w:bottom w:val="none" w:sz="0" w:space="0" w:color="auto"/>
                <w:right w:val="none" w:sz="0" w:space="0" w:color="auto"/>
              </w:divBdr>
            </w:div>
          </w:divsChild>
        </w:div>
        <w:div w:id="1010334628">
          <w:marLeft w:val="0"/>
          <w:marRight w:val="0"/>
          <w:marTop w:val="0"/>
          <w:marBottom w:val="0"/>
          <w:divBdr>
            <w:top w:val="none" w:sz="0" w:space="0" w:color="auto"/>
            <w:left w:val="none" w:sz="0" w:space="0" w:color="auto"/>
            <w:bottom w:val="none" w:sz="0" w:space="0" w:color="auto"/>
            <w:right w:val="none" w:sz="0" w:space="0" w:color="auto"/>
          </w:divBdr>
          <w:divsChild>
            <w:div w:id="1836871522">
              <w:marLeft w:val="0"/>
              <w:marRight w:val="0"/>
              <w:marTop w:val="0"/>
              <w:marBottom w:val="0"/>
              <w:divBdr>
                <w:top w:val="none" w:sz="0" w:space="0" w:color="auto"/>
                <w:left w:val="none" w:sz="0" w:space="0" w:color="auto"/>
                <w:bottom w:val="none" w:sz="0" w:space="0" w:color="auto"/>
                <w:right w:val="none" w:sz="0" w:space="0" w:color="auto"/>
              </w:divBdr>
            </w:div>
          </w:divsChild>
        </w:div>
        <w:div w:id="1911307444">
          <w:marLeft w:val="0"/>
          <w:marRight w:val="0"/>
          <w:marTop w:val="300"/>
          <w:marBottom w:val="300"/>
          <w:divBdr>
            <w:top w:val="none" w:sz="0" w:space="0" w:color="auto"/>
            <w:left w:val="none" w:sz="0" w:space="0" w:color="auto"/>
            <w:bottom w:val="none" w:sz="0" w:space="0" w:color="auto"/>
            <w:right w:val="none" w:sz="0" w:space="0" w:color="auto"/>
          </w:divBdr>
        </w:div>
        <w:div w:id="427043539">
          <w:marLeft w:val="0"/>
          <w:marRight w:val="0"/>
          <w:marTop w:val="0"/>
          <w:marBottom w:val="0"/>
          <w:divBdr>
            <w:top w:val="none" w:sz="0" w:space="0" w:color="auto"/>
            <w:left w:val="none" w:sz="0" w:space="0" w:color="auto"/>
            <w:bottom w:val="none" w:sz="0" w:space="0" w:color="auto"/>
            <w:right w:val="none" w:sz="0" w:space="0" w:color="auto"/>
          </w:divBdr>
          <w:divsChild>
            <w:div w:id="1439062733">
              <w:marLeft w:val="0"/>
              <w:marRight w:val="0"/>
              <w:marTop w:val="0"/>
              <w:marBottom w:val="0"/>
              <w:divBdr>
                <w:top w:val="none" w:sz="0" w:space="0" w:color="auto"/>
                <w:left w:val="none" w:sz="0" w:space="0" w:color="auto"/>
                <w:bottom w:val="none" w:sz="0" w:space="0" w:color="auto"/>
                <w:right w:val="none" w:sz="0" w:space="0" w:color="auto"/>
              </w:divBdr>
            </w:div>
          </w:divsChild>
        </w:div>
        <w:div w:id="316418673">
          <w:marLeft w:val="0"/>
          <w:marRight w:val="0"/>
          <w:marTop w:val="0"/>
          <w:marBottom w:val="0"/>
          <w:divBdr>
            <w:top w:val="none" w:sz="0" w:space="0" w:color="auto"/>
            <w:left w:val="none" w:sz="0" w:space="0" w:color="auto"/>
            <w:bottom w:val="none" w:sz="0" w:space="0" w:color="auto"/>
            <w:right w:val="none" w:sz="0" w:space="0" w:color="auto"/>
          </w:divBdr>
          <w:divsChild>
            <w:div w:id="1899323299">
              <w:marLeft w:val="0"/>
              <w:marRight w:val="0"/>
              <w:marTop w:val="0"/>
              <w:marBottom w:val="0"/>
              <w:divBdr>
                <w:top w:val="none" w:sz="0" w:space="0" w:color="auto"/>
                <w:left w:val="none" w:sz="0" w:space="0" w:color="auto"/>
                <w:bottom w:val="none" w:sz="0" w:space="0" w:color="auto"/>
                <w:right w:val="none" w:sz="0" w:space="0" w:color="auto"/>
              </w:divBdr>
            </w:div>
          </w:divsChild>
        </w:div>
        <w:div w:id="1387413530">
          <w:marLeft w:val="0"/>
          <w:marRight w:val="0"/>
          <w:marTop w:val="300"/>
          <w:marBottom w:val="300"/>
          <w:divBdr>
            <w:top w:val="none" w:sz="0" w:space="0" w:color="auto"/>
            <w:left w:val="none" w:sz="0" w:space="0" w:color="auto"/>
            <w:bottom w:val="none" w:sz="0" w:space="0" w:color="auto"/>
            <w:right w:val="none" w:sz="0" w:space="0" w:color="auto"/>
          </w:divBdr>
        </w:div>
        <w:div w:id="135952185">
          <w:marLeft w:val="0"/>
          <w:marRight w:val="0"/>
          <w:marTop w:val="0"/>
          <w:marBottom w:val="0"/>
          <w:divBdr>
            <w:top w:val="none" w:sz="0" w:space="0" w:color="auto"/>
            <w:left w:val="none" w:sz="0" w:space="0" w:color="auto"/>
            <w:bottom w:val="none" w:sz="0" w:space="0" w:color="auto"/>
            <w:right w:val="none" w:sz="0" w:space="0" w:color="auto"/>
          </w:divBdr>
          <w:divsChild>
            <w:div w:id="1272393778">
              <w:marLeft w:val="0"/>
              <w:marRight w:val="0"/>
              <w:marTop w:val="0"/>
              <w:marBottom w:val="0"/>
              <w:divBdr>
                <w:top w:val="none" w:sz="0" w:space="0" w:color="auto"/>
                <w:left w:val="none" w:sz="0" w:space="0" w:color="auto"/>
                <w:bottom w:val="none" w:sz="0" w:space="0" w:color="auto"/>
                <w:right w:val="none" w:sz="0" w:space="0" w:color="auto"/>
              </w:divBdr>
            </w:div>
          </w:divsChild>
        </w:div>
        <w:div w:id="342754537">
          <w:marLeft w:val="0"/>
          <w:marRight w:val="0"/>
          <w:marTop w:val="0"/>
          <w:marBottom w:val="0"/>
          <w:divBdr>
            <w:top w:val="none" w:sz="0" w:space="0" w:color="auto"/>
            <w:left w:val="none" w:sz="0" w:space="0" w:color="auto"/>
            <w:bottom w:val="none" w:sz="0" w:space="0" w:color="auto"/>
            <w:right w:val="none" w:sz="0" w:space="0" w:color="auto"/>
          </w:divBdr>
          <w:divsChild>
            <w:div w:id="2015113073">
              <w:marLeft w:val="0"/>
              <w:marRight w:val="0"/>
              <w:marTop w:val="0"/>
              <w:marBottom w:val="0"/>
              <w:divBdr>
                <w:top w:val="none" w:sz="0" w:space="0" w:color="auto"/>
                <w:left w:val="none" w:sz="0" w:space="0" w:color="auto"/>
                <w:bottom w:val="none" w:sz="0" w:space="0" w:color="auto"/>
                <w:right w:val="none" w:sz="0" w:space="0" w:color="auto"/>
              </w:divBdr>
            </w:div>
          </w:divsChild>
        </w:div>
        <w:div w:id="2001351362">
          <w:marLeft w:val="0"/>
          <w:marRight w:val="0"/>
          <w:marTop w:val="300"/>
          <w:marBottom w:val="300"/>
          <w:divBdr>
            <w:top w:val="none" w:sz="0" w:space="0" w:color="auto"/>
            <w:left w:val="none" w:sz="0" w:space="0" w:color="auto"/>
            <w:bottom w:val="none" w:sz="0" w:space="0" w:color="auto"/>
            <w:right w:val="none" w:sz="0" w:space="0" w:color="auto"/>
          </w:divBdr>
        </w:div>
        <w:div w:id="453669662">
          <w:marLeft w:val="0"/>
          <w:marRight w:val="0"/>
          <w:marTop w:val="0"/>
          <w:marBottom w:val="0"/>
          <w:divBdr>
            <w:top w:val="none" w:sz="0" w:space="0" w:color="auto"/>
            <w:left w:val="none" w:sz="0" w:space="0" w:color="auto"/>
            <w:bottom w:val="none" w:sz="0" w:space="0" w:color="auto"/>
            <w:right w:val="none" w:sz="0" w:space="0" w:color="auto"/>
          </w:divBdr>
          <w:divsChild>
            <w:div w:id="1426269741">
              <w:marLeft w:val="0"/>
              <w:marRight w:val="0"/>
              <w:marTop w:val="0"/>
              <w:marBottom w:val="0"/>
              <w:divBdr>
                <w:top w:val="none" w:sz="0" w:space="0" w:color="auto"/>
                <w:left w:val="none" w:sz="0" w:space="0" w:color="auto"/>
                <w:bottom w:val="none" w:sz="0" w:space="0" w:color="auto"/>
                <w:right w:val="none" w:sz="0" w:space="0" w:color="auto"/>
              </w:divBdr>
            </w:div>
          </w:divsChild>
        </w:div>
        <w:div w:id="322318424">
          <w:marLeft w:val="0"/>
          <w:marRight w:val="0"/>
          <w:marTop w:val="0"/>
          <w:marBottom w:val="0"/>
          <w:divBdr>
            <w:top w:val="none" w:sz="0" w:space="0" w:color="auto"/>
            <w:left w:val="none" w:sz="0" w:space="0" w:color="auto"/>
            <w:bottom w:val="none" w:sz="0" w:space="0" w:color="auto"/>
            <w:right w:val="none" w:sz="0" w:space="0" w:color="auto"/>
          </w:divBdr>
          <w:divsChild>
            <w:div w:id="1618491656">
              <w:marLeft w:val="0"/>
              <w:marRight w:val="0"/>
              <w:marTop w:val="0"/>
              <w:marBottom w:val="0"/>
              <w:divBdr>
                <w:top w:val="none" w:sz="0" w:space="0" w:color="auto"/>
                <w:left w:val="none" w:sz="0" w:space="0" w:color="auto"/>
                <w:bottom w:val="none" w:sz="0" w:space="0" w:color="auto"/>
                <w:right w:val="none" w:sz="0" w:space="0" w:color="auto"/>
              </w:divBdr>
            </w:div>
          </w:divsChild>
        </w:div>
        <w:div w:id="1216089100">
          <w:marLeft w:val="0"/>
          <w:marRight w:val="0"/>
          <w:marTop w:val="300"/>
          <w:marBottom w:val="300"/>
          <w:divBdr>
            <w:top w:val="none" w:sz="0" w:space="0" w:color="auto"/>
            <w:left w:val="none" w:sz="0" w:space="0" w:color="auto"/>
            <w:bottom w:val="none" w:sz="0" w:space="0" w:color="auto"/>
            <w:right w:val="none" w:sz="0" w:space="0" w:color="auto"/>
          </w:divBdr>
        </w:div>
        <w:div w:id="650645933">
          <w:marLeft w:val="0"/>
          <w:marRight w:val="0"/>
          <w:marTop w:val="0"/>
          <w:marBottom w:val="0"/>
          <w:divBdr>
            <w:top w:val="none" w:sz="0" w:space="0" w:color="auto"/>
            <w:left w:val="none" w:sz="0" w:space="0" w:color="auto"/>
            <w:bottom w:val="none" w:sz="0" w:space="0" w:color="auto"/>
            <w:right w:val="none" w:sz="0" w:space="0" w:color="auto"/>
          </w:divBdr>
          <w:divsChild>
            <w:div w:id="580601215">
              <w:marLeft w:val="0"/>
              <w:marRight w:val="0"/>
              <w:marTop w:val="0"/>
              <w:marBottom w:val="0"/>
              <w:divBdr>
                <w:top w:val="none" w:sz="0" w:space="0" w:color="auto"/>
                <w:left w:val="none" w:sz="0" w:space="0" w:color="auto"/>
                <w:bottom w:val="none" w:sz="0" w:space="0" w:color="auto"/>
                <w:right w:val="none" w:sz="0" w:space="0" w:color="auto"/>
              </w:divBdr>
            </w:div>
          </w:divsChild>
        </w:div>
        <w:div w:id="852493105">
          <w:marLeft w:val="0"/>
          <w:marRight w:val="0"/>
          <w:marTop w:val="300"/>
          <w:marBottom w:val="300"/>
          <w:divBdr>
            <w:top w:val="none" w:sz="0" w:space="0" w:color="auto"/>
            <w:left w:val="none" w:sz="0" w:space="0" w:color="auto"/>
            <w:bottom w:val="none" w:sz="0" w:space="0" w:color="auto"/>
            <w:right w:val="none" w:sz="0" w:space="0" w:color="auto"/>
          </w:divBdr>
        </w:div>
        <w:div w:id="206382911">
          <w:marLeft w:val="0"/>
          <w:marRight w:val="0"/>
          <w:marTop w:val="0"/>
          <w:marBottom w:val="0"/>
          <w:divBdr>
            <w:top w:val="none" w:sz="0" w:space="0" w:color="auto"/>
            <w:left w:val="none" w:sz="0" w:space="0" w:color="auto"/>
            <w:bottom w:val="none" w:sz="0" w:space="0" w:color="auto"/>
            <w:right w:val="none" w:sz="0" w:space="0" w:color="auto"/>
          </w:divBdr>
          <w:divsChild>
            <w:div w:id="1722941524">
              <w:marLeft w:val="0"/>
              <w:marRight w:val="0"/>
              <w:marTop w:val="0"/>
              <w:marBottom w:val="0"/>
              <w:divBdr>
                <w:top w:val="none" w:sz="0" w:space="0" w:color="auto"/>
                <w:left w:val="none" w:sz="0" w:space="0" w:color="auto"/>
                <w:bottom w:val="none" w:sz="0" w:space="0" w:color="auto"/>
                <w:right w:val="none" w:sz="0" w:space="0" w:color="auto"/>
              </w:divBdr>
            </w:div>
          </w:divsChild>
        </w:div>
        <w:div w:id="702098227">
          <w:marLeft w:val="0"/>
          <w:marRight w:val="0"/>
          <w:marTop w:val="0"/>
          <w:marBottom w:val="0"/>
          <w:divBdr>
            <w:top w:val="none" w:sz="0" w:space="0" w:color="auto"/>
            <w:left w:val="none" w:sz="0" w:space="0" w:color="auto"/>
            <w:bottom w:val="none" w:sz="0" w:space="0" w:color="auto"/>
            <w:right w:val="none" w:sz="0" w:space="0" w:color="auto"/>
          </w:divBdr>
          <w:divsChild>
            <w:div w:id="689066348">
              <w:marLeft w:val="0"/>
              <w:marRight w:val="0"/>
              <w:marTop w:val="0"/>
              <w:marBottom w:val="0"/>
              <w:divBdr>
                <w:top w:val="none" w:sz="0" w:space="0" w:color="auto"/>
                <w:left w:val="none" w:sz="0" w:space="0" w:color="auto"/>
                <w:bottom w:val="none" w:sz="0" w:space="0" w:color="auto"/>
                <w:right w:val="none" w:sz="0" w:space="0" w:color="auto"/>
              </w:divBdr>
            </w:div>
          </w:divsChild>
        </w:div>
        <w:div w:id="1199510893">
          <w:marLeft w:val="0"/>
          <w:marRight w:val="0"/>
          <w:marTop w:val="0"/>
          <w:marBottom w:val="0"/>
          <w:divBdr>
            <w:top w:val="none" w:sz="0" w:space="0" w:color="auto"/>
            <w:left w:val="none" w:sz="0" w:space="0" w:color="auto"/>
            <w:bottom w:val="none" w:sz="0" w:space="0" w:color="auto"/>
            <w:right w:val="none" w:sz="0" w:space="0" w:color="auto"/>
          </w:divBdr>
          <w:divsChild>
            <w:div w:id="1425960419">
              <w:marLeft w:val="0"/>
              <w:marRight w:val="0"/>
              <w:marTop w:val="0"/>
              <w:marBottom w:val="0"/>
              <w:divBdr>
                <w:top w:val="none" w:sz="0" w:space="0" w:color="auto"/>
                <w:left w:val="none" w:sz="0" w:space="0" w:color="auto"/>
                <w:bottom w:val="none" w:sz="0" w:space="0" w:color="auto"/>
                <w:right w:val="none" w:sz="0" w:space="0" w:color="auto"/>
              </w:divBdr>
            </w:div>
          </w:divsChild>
        </w:div>
        <w:div w:id="2061125834">
          <w:marLeft w:val="0"/>
          <w:marRight w:val="0"/>
          <w:marTop w:val="300"/>
          <w:marBottom w:val="300"/>
          <w:divBdr>
            <w:top w:val="none" w:sz="0" w:space="0" w:color="auto"/>
            <w:left w:val="none" w:sz="0" w:space="0" w:color="auto"/>
            <w:bottom w:val="none" w:sz="0" w:space="0" w:color="auto"/>
            <w:right w:val="none" w:sz="0" w:space="0" w:color="auto"/>
          </w:divBdr>
        </w:div>
        <w:div w:id="1789660104">
          <w:marLeft w:val="0"/>
          <w:marRight w:val="0"/>
          <w:marTop w:val="0"/>
          <w:marBottom w:val="0"/>
          <w:divBdr>
            <w:top w:val="none" w:sz="0" w:space="0" w:color="auto"/>
            <w:left w:val="none" w:sz="0" w:space="0" w:color="auto"/>
            <w:bottom w:val="none" w:sz="0" w:space="0" w:color="auto"/>
            <w:right w:val="none" w:sz="0" w:space="0" w:color="auto"/>
          </w:divBdr>
          <w:divsChild>
            <w:div w:id="278294822">
              <w:marLeft w:val="0"/>
              <w:marRight w:val="0"/>
              <w:marTop w:val="0"/>
              <w:marBottom w:val="0"/>
              <w:divBdr>
                <w:top w:val="none" w:sz="0" w:space="0" w:color="auto"/>
                <w:left w:val="none" w:sz="0" w:space="0" w:color="auto"/>
                <w:bottom w:val="none" w:sz="0" w:space="0" w:color="auto"/>
                <w:right w:val="none" w:sz="0" w:space="0" w:color="auto"/>
              </w:divBdr>
            </w:div>
          </w:divsChild>
        </w:div>
        <w:div w:id="562176448">
          <w:marLeft w:val="0"/>
          <w:marRight w:val="0"/>
          <w:marTop w:val="0"/>
          <w:marBottom w:val="0"/>
          <w:divBdr>
            <w:top w:val="none" w:sz="0" w:space="0" w:color="auto"/>
            <w:left w:val="none" w:sz="0" w:space="0" w:color="auto"/>
            <w:bottom w:val="none" w:sz="0" w:space="0" w:color="auto"/>
            <w:right w:val="none" w:sz="0" w:space="0" w:color="auto"/>
          </w:divBdr>
          <w:divsChild>
            <w:div w:id="83914230">
              <w:marLeft w:val="0"/>
              <w:marRight w:val="0"/>
              <w:marTop w:val="0"/>
              <w:marBottom w:val="0"/>
              <w:divBdr>
                <w:top w:val="none" w:sz="0" w:space="0" w:color="auto"/>
                <w:left w:val="none" w:sz="0" w:space="0" w:color="auto"/>
                <w:bottom w:val="none" w:sz="0" w:space="0" w:color="auto"/>
                <w:right w:val="none" w:sz="0" w:space="0" w:color="auto"/>
              </w:divBdr>
            </w:div>
          </w:divsChild>
        </w:div>
        <w:div w:id="1388724916">
          <w:marLeft w:val="0"/>
          <w:marRight w:val="0"/>
          <w:marTop w:val="300"/>
          <w:marBottom w:val="300"/>
          <w:divBdr>
            <w:top w:val="none" w:sz="0" w:space="0" w:color="auto"/>
            <w:left w:val="none" w:sz="0" w:space="0" w:color="auto"/>
            <w:bottom w:val="none" w:sz="0" w:space="0" w:color="auto"/>
            <w:right w:val="none" w:sz="0" w:space="0" w:color="auto"/>
          </w:divBdr>
        </w:div>
        <w:div w:id="1248417305">
          <w:marLeft w:val="0"/>
          <w:marRight w:val="0"/>
          <w:marTop w:val="0"/>
          <w:marBottom w:val="0"/>
          <w:divBdr>
            <w:top w:val="none" w:sz="0" w:space="0" w:color="auto"/>
            <w:left w:val="none" w:sz="0" w:space="0" w:color="auto"/>
            <w:bottom w:val="none" w:sz="0" w:space="0" w:color="auto"/>
            <w:right w:val="none" w:sz="0" w:space="0" w:color="auto"/>
          </w:divBdr>
          <w:divsChild>
            <w:div w:id="554774760">
              <w:marLeft w:val="0"/>
              <w:marRight w:val="0"/>
              <w:marTop w:val="0"/>
              <w:marBottom w:val="0"/>
              <w:divBdr>
                <w:top w:val="none" w:sz="0" w:space="0" w:color="auto"/>
                <w:left w:val="none" w:sz="0" w:space="0" w:color="auto"/>
                <w:bottom w:val="none" w:sz="0" w:space="0" w:color="auto"/>
                <w:right w:val="none" w:sz="0" w:space="0" w:color="auto"/>
              </w:divBdr>
            </w:div>
          </w:divsChild>
        </w:div>
        <w:div w:id="1644313253">
          <w:marLeft w:val="0"/>
          <w:marRight w:val="0"/>
          <w:marTop w:val="0"/>
          <w:marBottom w:val="0"/>
          <w:divBdr>
            <w:top w:val="none" w:sz="0" w:space="0" w:color="auto"/>
            <w:left w:val="none" w:sz="0" w:space="0" w:color="auto"/>
            <w:bottom w:val="none" w:sz="0" w:space="0" w:color="auto"/>
            <w:right w:val="none" w:sz="0" w:space="0" w:color="auto"/>
          </w:divBdr>
          <w:divsChild>
            <w:div w:id="528183036">
              <w:marLeft w:val="0"/>
              <w:marRight w:val="0"/>
              <w:marTop w:val="0"/>
              <w:marBottom w:val="0"/>
              <w:divBdr>
                <w:top w:val="none" w:sz="0" w:space="0" w:color="auto"/>
                <w:left w:val="none" w:sz="0" w:space="0" w:color="auto"/>
                <w:bottom w:val="none" w:sz="0" w:space="0" w:color="auto"/>
                <w:right w:val="none" w:sz="0" w:space="0" w:color="auto"/>
              </w:divBdr>
            </w:div>
          </w:divsChild>
        </w:div>
        <w:div w:id="2117433606">
          <w:marLeft w:val="0"/>
          <w:marRight w:val="0"/>
          <w:marTop w:val="0"/>
          <w:marBottom w:val="0"/>
          <w:divBdr>
            <w:top w:val="none" w:sz="0" w:space="0" w:color="auto"/>
            <w:left w:val="none" w:sz="0" w:space="0" w:color="auto"/>
            <w:bottom w:val="none" w:sz="0" w:space="0" w:color="auto"/>
            <w:right w:val="none" w:sz="0" w:space="0" w:color="auto"/>
          </w:divBdr>
          <w:divsChild>
            <w:div w:id="1945381847">
              <w:marLeft w:val="0"/>
              <w:marRight w:val="0"/>
              <w:marTop w:val="0"/>
              <w:marBottom w:val="0"/>
              <w:divBdr>
                <w:top w:val="none" w:sz="0" w:space="0" w:color="auto"/>
                <w:left w:val="none" w:sz="0" w:space="0" w:color="auto"/>
                <w:bottom w:val="none" w:sz="0" w:space="0" w:color="auto"/>
                <w:right w:val="none" w:sz="0" w:space="0" w:color="auto"/>
              </w:divBdr>
            </w:div>
          </w:divsChild>
        </w:div>
        <w:div w:id="455224073">
          <w:marLeft w:val="0"/>
          <w:marRight w:val="0"/>
          <w:marTop w:val="0"/>
          <w:marBottom w:val="0"/>
          <w:divBdr>
            <w:top w:val="none" w:sz="0" w:space="0" w:color="auto"/>
            <w:left w:val="none" w:sz="0" w:space="0" w:color="auto"/>
            <w:bottom w:val="none" w:sz="0" w:space="0" w:color="auto"/>
            <w:right w:val="none" w:sz="0" w:space="0" w:color="auto"/>
          </w:divBdr>
          <w:divsChild>
            <w:div w:id="431584702">
              <w:marLeft w:val="0"/>
              <w:marRight w:val="0"/>
              <w:marTop w:val="0"/>
              <w:marBottom w:val="0"/>
              <w:divBdr>
                <w:top w:val="none" w:sz="0" w:space="0" w:color="auto"/>
                <w:left w:val="none" w:sz="0" w:space="0" w:color="auto"/>
                <w:bottom w:val="none" w:sz="0" w:space="0" w:color="auto"/>
                <w:right w:val="none" w:sz="0" w:space="0" w:color="auto"/>
              </w:divBdr>
            </w:div>
          </w:divsChild>
        </w:div>
        <w:div w:id="2080054115">
          <w:marLeft w:val="0"/>
          <w:marRight w:val="0"/>
          <w:marTop w:val="300"/>
          <w:marBottom w:val="300"/>
          <w:divBdr>
            <w:top w:val="none" w:sz="0" w:space="0" w:color="auto"/>
            <w:left w:val="none" w:sz="0" w:space="0" w:color="auto"/>
            <w:bottom w:val="none" w:sz="0" w:space="0" w:color="auto"/>
            <w:right w:val="none" w:sz="0" w:space="0" w:color="auto"/>
          </w:divBdr>
        </w:div>
        <w:div w:id="540675749">
          <w:marLeft w:val="0"/>
          <w:marRight w:val="0"/>
          <w:marTop w:val="0"/>
          <w:marBottom w:val="0"/>
          <w:divBdr>
            <w:top w:val="none" w:sz="0" w:space="0" w:color="auto"/>
            <w:left w:val="none" w:sz="0" w:space="0" w:color="auto"/>
            <w:bottom w:val="none" w:sz="0" w:space="0" w:color="auto"/>
            <w:right w:val="none" w:sz="0" w:space="0" w:color="auto"/>
          </w:divBdr>
          <w:divsChild>
            <w:div w:id="1211378175">
              <w:marLeft w:val="0"/>
              <w:marRight w:val="0"/>
              <w:marTop w:val="0"/>
              <w:marBottom w:val="0"/>
              <w:divBdr>
                <w:top w:val="none" w:sz="0" w:space="0" w:color="auto"/>
                <w:left w:val="none" w:sz="0" w:space="0" w:color="auto"/>
                <w:bottom w:val="none" w:sz="0" w:space="0" w:color="auto"/>
                <w:right w:val="none" w:sz="0" w:space="0" w:color="auto"/>
              </w:divBdr>
            </w:div>
          </w:divsChild>
        </w:div>
        <w:div w:id="552471522">
          <w:marLeft w:val="0"/>
          <w:marRight w:val="0"/>
          <w:marTop w:val="0"/>
          <w:marBottom w:val="0"/>
          <w:divBdr>
            <w:top w:val="none" w:sz="0" w:space="0" w:color="auto"/>
            <w:left w:val="none" w:sz="0" w:space="0" w:color="auto"/>
            <w:bottom w:val="none" w:sz="0" w:space="0" w:color="auto"/>
            <w:right w:val="none" w:sz="0" w:space="0" w:color="auto"/>
          </w:divBdr>
          <w:divsChild>
            <w:div w:id="1816024264">
              <w:marLeft w:val="0"/>
              <w:marRight w:val="0"/>
              <w:marTop w:val="0"/>
              <w:marBottom w:val="0"/>
              <w:divBdr>
                <w:top w:val="none" w:sz="0" w:space="0" w:color="auto"/>
                <w:left w:val="none" w:sz="0" w:space="0" w:color="auto"/>
                <w:bottom w:val="none" w:sz="0" w:space="0" w:color="auto"/>
                <w:right w:val="none" w:sz="0" w:space="0" w:color="auto"/>
              </w:divBdr>
            </w:div>
          </w:divsChild>
        </w:div>
        <w:div w:id="1642537983">
          <w:marLeft w:val="0"/>
          <w:marRight w:val="0"/>
          <w:marTop w:val="0"/>
          <w:marBottom w:val="0"/>
          <w:divBdr>
            <w:top w:val="none" w:sz="0" w:space="0" w:color="auto"/>
            <w:left w:val="none" w:sz="0" w:space="0" w:color="auto"/>
            <w:bottom w:val="none" w:sz="0" w:space="0" w:color="auto"/>
            <w:right w:val="none" w:sz="0" w:space="0" w:color="auto"/>
          </w:divBdr>
          <w:divsChild>
            <w:div w:id="1894536040">
              <w:marLeft w:val="0"/>
              <w:marRight w:val="0"/>
              <w:marTop w:val="0"/>
              <w:marBottom w:val="0"/>
              <w:divBdr>
                <w:top w:val="none" w:sz="0" w:space="0" w:color="auto"/>
                <w:left w:val="none" w:sz="0" w:space="0" w:color="auto"/>
                <w:bottom w:val="none" w:sz="0" w:space="0" w:color="auto"/>
                <w:right w:val="none" w:sz="0" w:space="0" w:color="auto"/>
              </w:divBdr>
            </w:div>
          </w:divsChild>
        </w:div>
        <w:div w:id="1966543185">
          <w:marLeft w:val="0"/>
          <w:marRight w:val="0"/>
          <w:marTop w:val="0"/>
          <w:marBottom w:val="0"/>
          <w:divBdr>
            <w:top w:val="none" w:sz="0" w:space="0" w:color="auto"/>
            <w:left w:val="none" w:sz="0" w:space="0" w:color="auto"/>
            <w:bottom w:val="none" w:sz="0" w:space="0" w:color="auto"/>
            <w:right w:val="none" w:sz="0" w:space="0" w:color="auto"/>
          </w:divBdr>
          <w:divsChild>
            <w:div w:id="1923907169">
              <w:marLeft w:val="0"/>
              <w:marRight w:val="0"/>
              <w:marTop w:val="0"/>
              <w:marBottom w:val="0"/>
              <w:divBdr>
                <w:top w:val="none" w:sz="0" w:space="0" w:color="auto"/>
                <w:left w:val="none" w:sz="0" w:space="0" w:color="auto"/>
                <w:bottom w:val="none" w:sz="0" w:space="0" w:color="auto"/>
                <w:right w:val="none" w:sz="0" w:space="0" w:color="auto"/>
              </w:divBdr>
            </w:div>
          </w:divsChild>
        </w:div>
        <w:div w:id="57479136">
          <w:marLeft w:val="0"/>
          <w:marRight w:val="0"/>
          <w:marTop w:val="0"/>
          <w:marBottom w:val="0"/>
          <w:divBdr>
            <w:top w:val="none" w:sz="0" w:space="0" w:color="auto"/>
            <w:left w:val="none" w:sz="0" w:space="0" w:color="auto"/>
            <w:bottom w:val="none" w:sz="0" w:space="0" w:color="auto"/>
            <w:right w:val="none" w:sz="0" w:space="0" w:color="auto"/>
          </w:divBdr>
          <w:divsChild>
            <w:div w:id="1492286166">
              <w:marLeft w:val="0"/>
              <w:marRight w:val="0"/>
              <w:marTop w:val="0"/>
              <w:marBottom w:val="0"/>
              <w:divBdr>
                <w:top w:val="none" w:sz="0" w:space="0" w:color="auto"/>
                <w:left w:val="none" w:sz="0" w:space="0" w:color="auto"/>
                <w:bottom w:val="none" w:sz="0" w:space="0" w:color="auto"/>
                <w:right w:val="none" w:sz="0" w:space="0" w:color="auto"/>
              </w:divBdr>
            </w:div>
          </w:divsChild>
        </w:div>
        <w:div w:id="1524053416">
          <w:marLeft w:val="0"/>
          <w:marRight w:val="0"/>
          <w:marTop w:val="0"/>
          <w:marBottom w:val="0"/>
          <w:divBdr>
            <w:top w:val="none" w:sz="0" w:space="0" w:color="auto"/>
            <w:left w:val="none" w:sz="0" w:space="0" w:color="auto"/>
            <w:bottom w:val="none" w:sz="0" w:space="0" w:color="auto"/>
            <w:right w:val="none" w:sz="0" w:space="0" w:color="auto"/>
          </w:divBdr>
          <w:divsChild>
            <w:div w:id="503133083">
              <w:marLeft w:val="0"/>
              <w:marRight w:val="0"/>
              <w:marTop w:val="0"/>
              <w:marBottom w:val="0"/>
              <w:divBdr>
                <w:top w:val="none" w:sz="0" w:space="0" w:color="auto"/>
                <w:left w:val="none" w:sz="0" w:space="0" w:color="auto"/>
                <w:bottom w:val="none" w:sz="0" w:space="0" w:color="auto"/>
                <w:right w:val="none" w:sz="0" w:space="0" w:color="auto"/>
              </w:divBdr>
            </w:div>
          </w:divsChild>
        </w:div>
        <w:div w:id="829440794">
          <w:marLeft w:val="0"/>
          <w:marRight w:val="0"/>
          <w:marTop w:val="0"/>
          <w:marBottom w:val="0"/>
          <w:divBdr>
            <w:top w:val="none" w:sz="0" w:space="0" w:color="auto"/>
            <w:left w:val="none" w:sz="0" w:space="0" w:color="auto"/>
            <w:bottom w:val="none" w:sz="0" w:space="0" w:color="auto"/>
            <w:right w:val="none" w:sz="0" w:space="0" w:color="auto"/>
          </w:divBdr>
          <w:divsChild>
            <w:div w:id="1957443659">
              <w:marLeft w:val="0"/>
              <w:marRight w:val="0"/>
              <w:marTop w:val="0"/>
              <w:marBottom w:val="0"/>
              <w:divBdr>
                <w:top w:val="none" w:sz="0" w:space="0" w:color="auto"/>
                <w:left w:val="none" w:sz="0" w:space="0" w:color="auto"/>
                <w:bottom w:val="none" w:sz="0" w:space="0" w:color="auto"/>
                <w:right w:val="none" w:sz="0" w:space="0" w:color="auto"/>
              </w:divBdr>
            </w:div>
          </w:divsChild>
        </w:div>
        <w:div w:id="1021083139">
          <w:marLeft w:val="0"/>
          <w:marRight w:val="0"/>
          <w:marTop w:val="0"/>
          <w:marBottom w:val="0"/>
          <w:divBdr>
            <w:top w:val="none" w:sz="0" w:space="0" w:color="auto"/>
            <w:left w:val="none" w:sz="0" w:space="0" w:color="auto"/>
            <w:bottom w:val="none" w:sz="0" w:space="0" w:color="auto"/>
            <w:right w:val="none" w:sz="0" w:space="0" w:color="auto"/>
          </w:divBdr>
          <w:divsChild>
            <w:div w:id="1336684248">
              <w:marLeft w:val="0"/>
              <w:marRight w:val="0"/>
              <w:marTop w:val="0"/>
              <w:marBottom w:val="0"/>
              <w:divBdr>
                <w:top w:val="none" w:sz="0" w:space="0" w:color="auto"/>
                <w:left w:val="none" w:sz="0" w:space="0" w:color="auto"/>
                <w:bottom w:val="none" w:sz="0" w:space="0" w:color="auto"/>
                <w:right w:val="none" w:sz="0" w:space="0" w:color="auto"/>
              </w:divBdr>
            </w:div>
          </w:divsChild>
        </w:div>
        <w:div w:id="1696269951">
          <w:marLeft w:val="0"/>
          <w:marRight w:val="0"/>
          <w:marTop w:val="300"/>
          <w:marBottom w:val="300"/>
          <w:divBdr>
            <w:top w:val="none" w:sz="0" w:space="0" w:color="auto"/>
            <w:left w:val="none" w:sz="0" w:space="0" w:color="auto"/>
            <w:bottom w:val="none" w:sz="0" w:space="0" w:color="auto"/>
            <w:right w:val="none" w:sz="0" w:space="0" w:color="auto"/>
          </w:divBdr>
        </w:div>
        <w:div w:id="513961141">
          <w:marLeft w:val="0"/>
          <w:marRight w:val="0"/>
          <w:marTop w:val="0"/>
          <w:marBottom w:val="0"/>
          <w:divBdr>
            <w:top w:val="none" w:sz="0" w:space="0" w:color="auto"/>
            <w:left w:val="none" w:sz="0" w:space="0" w:color="auto"/>
            <w:bottom w:val="none" w:sz="0" w:space="0" w:color="auto"/>
            <w:right w:val="none" w:sz="0" w:space="0" w:color="auto"/>
          </w:divBdr>
          <w:divsChild>
            <w:div w:id="1212305785">
              <w:marLeft w:val="0"/>
              <w:marRight w:val="0"/>
              <w:marTop w:val="0"/>
              <w:marBottom w:val="0"/>
              <w:divBdr>
                <w:top w:val="none" w:sz="0" w:space="0" w:color="auto"/>
                <w:left w:val="none" w:sz="0" w:space="0" w:color="auto"/>
                <w:bottom w:val="none" w:sz="0" w:space="0" w:color="auto"/>
                <w:right w:val="none" w:sz="0" w:space="0" w:color="auto"/>
              </w:divBdr>
            </w:div>
          </w:divsChild>
        </w:div>
        <w:div w:id="1914579273">
          <w:marLeft w:val="0"/>
          <w:marRight w:val="0"/>
          <w:marTop w:val="0"/>
          <w:marBottom w:val="0"/>
          <w:divBdr>
            <w:top w:val="none" w:sz="0" w:space="0" w:color="auto"/>
            <w:left w:val="none" w:sz="0" w:space="0" w:color="auto"/>
            <w:bottom w:val="none" w:sz="0" w:space="0" w:color="auto"/>
            <w:right w:val="none" w:sz="0" w:space="0" w:color="auto"/>
          </w:divBdr>
          <w:divsChild>
            <w:div w:id="2109228503">
              <w:marLeft w:val="0"/>
              <w:marRight w:val="0"/>
              <w:marTop w:val="0"/>
              <w:marBottom w:val="0"/>
              <w:divBdr>
                <w:top w:val="none" w:sz="0" w:space="0" w:color="auto"/>
                <w:left w:val="none" w:sz="0" w:space="0" w:color="auto"/>
                <w:bottom w:val="none" w:sz="0" w:space="0" w:color="auto"/>
                <w:right w:val="none" w:sz="0" w:space="0" w:color="auto"/>
              </w:divBdr>
            </w:div>
          </w:divsChild>
        </w:div>
        <w:div w:id="552739374">
          <w:marLeft w:val="0"/>
          <w:marRight w:val="0"/>
          <w:marTop w:val="0"/>
          <w:marBottom w:val="0"/>
          <w:divBdr>
            <w:top w:val="none" w:sz="0" w:space="0" w:color="auto"/>
            <w:left w:val="none" w:sz="0" w:space="0" w:color="auto"/>
            <w:bottom w:val="none" w:sz="0" w:space="0" w:color="auto"/>
            <w:right w:val="none" w:sz="0" w:space="0" w:color="auto"/>
          </w:divBdr>
          <w:divsChild>
            <w:div w:id="1712146388">
              <w:marLeft w:val="0"/>
              <w:marRight w:val="0"/>
              <w:marTop w:val="0"/>
              <w:marBottom w:val="0"/>
              <w:divBdr>
                <w:top w:val="none" w:sz="0" w:space="0" w:color="auto"/>
                <w:left w:val="none" w:sz="0" w:space="0" w:color="auto"/>
                <w:bottom w:val="none" w:sz="0" w:space="0" w:color="auto"/>
                <w:right w:val="none" w:sz="0" w:space="0" w:color="auto"/>
              </w:divBdr>
            </w:div>
          </w:divsChild>
        </w:div>
        <w:div w:id="1693145359">
          <w:marLeft w:val="0"/>
          <w:marRight w:val="0"/>
          <w:marTop w:val="0"/>
          <w:marBottom w:val="0"/>
          <w:divBdr>
            <w:top w:val="none" w:sz="0" w:space="0" w:color="auto"/>
            <w:left w:val="none" w:sz="0" w:space="0" w:color="auto"/>
            <w:bottom w:val="none" w:sz="0" w:space="0" w:color="auto"/>
            <w:right w:val="none" w:sz="0" w:space="0" w:color="auto"/>
          </w:divBdr>
          <w:divsChild>
            <w:div w:id="1398017895">
              <w:marLeft w:val="0"/>
              <w:marRight w:val="0"/>
              <w:marTop w:val="0"/>
              <w:marBottom w:val="0"/>
              <w:divBdr>
                <w:top w:val="none" w:sz="0" w:space="0" w:color="auto"/>
                <w:left w:val="none" w:sz="0" w:space="0" w:color="auto"/>
                <w:bottom w:val="none" w:sz="0" w:space="0" w:color="auto"/>
                <w:right w:val="none" w:sz="0" w:space="0" w:color="auto"/>
              </w:divBdr>
            </w:div>
          </w:divsChild>
        </w:div>
        <w:div w:id="1096318805">
          <w:marLeft w:val="0"/>
          <w:marRight w:val="0"/>
          <w:marTop w:val="300"/>
          <w:marBottom w:val="300"/>
          <w:divBdr>
            <w:top w:val="none" w:sz="0" w:space="0" w:color="auto"/>
            <w:left w:val="none" w:sz="0" w:space="0" w:color="auto"/>
            <w:bottom w:val="none" w:sz="0" w:space="0" w:color="auto"/>
            <w:right w:val="none" w:sz="0" w:space="0" w:color="auto"/>
          </w:divBdr>
        </w:div>
        <w:div w:id="1378242691">
          <w:marLeft w:val="0"/>
          <w:marRight w:val="0"/>
          <w:marTop w:val="0"/>
          <w:marBottom w:val="0"/>
          <w:divBdr>
            <w:top w:val="none" w:sz="0" w:space="0" w:color="auto"/>
            <w:left w:val="none" w:sz="0" w:space="0" w:color="auto"/>
            <w:bottom w:val="none" w:sz="0" w:space="0" w:color="auto"/>
            <w:right w:val="none" w:sz="0" w:space="0" w:color="auto"/>
          </w:divBdr>
          <w:divsChild>
            <w:div w:id="54857171">
              <w:marLeft w:val="0"/>
              <w:marRight w:val="0"/>
              <w:marTop w:val="0"/>
              <w:marBottom w:val="0"/>
              <w:divBdr>
                <w:top w:val="none" w:sz="0" w:space="0" w:color="auto"/>
                <w:left w:val="none" w:sz="0" w:space="0" w:color="auto"/>
                <w:bottom w:val="none" w:sz="0" w:space="0" w:color="auto"/>
                <w:right w:val="none" w:sz="0" w:space="0" w:color="auto"/>
              </w:divBdr>
            </w:div>
          </w:divsChild>
        </w:div>
        <w:div w:id="1724449989">
          <w:marLeft w:val="0"/>
          <w:marRight w:val="0"/>
          <w:marTop w:val="0"/>
          <w:marBottom w:val="0"/>
          <w:divBdr>
            <w:top w:val="none" w:sz="0" w:space="0" w:color="auto"/>
            <w:left w:val="none" w:sz="0" w:space="0" w:color="auto"/>
            <w:bottom w:val="none" w:sz="0" w:space="0" w:color="auto"/>
            <w:right w:val="none" w:sz="0" w:space="0" w:color="auto"/>
          </w:divBdr>
          <w:divsChild>
            <w:div w:id="1561667749">
              <w:marLeft w:val="0"/>
              <w:marRight w:val="0"/>
              <w:marTop w:val="0"/>
              <w:marBottom w:val="0"/>
              <w:divBdr>
                <w:top w:val="none" w:sz="0" w:space="0" w:color="auto"/>
                <w:left w:val="none" w:sz="0" w:space="0" w:color="auto"/>
                <w:bottom w:val="none" w:sz="0" w:space="0" w:color="auto"/>
                <w:right w:val="none" w:sz="0" w:space="0" w:color="auto"/>
              </w:divBdr>
            </w:div>
          </w:divsChild>
        </w:div>
        <w:div w:id="919484964">
          <w:marLeft w:val="0"/>
          <w:marRight w:val="0"/>
          <w:marTop w:val="0"/>
          <w:marBottom w:val="0"/>
          <w:divBdr>
            <w:top w:val="none" w:sz="0" w:space="0" w:color="auto"/>
            <w:left w:val="none" w:sz="0" w:space="0" w:color="auto"/>
            <w:bottom w:val="none" w:sz="0" w:space="0" w:color="auto"/>
            <w:right w:val="none" w:sz="0" w:space="0" w:color="auto"/>
          </w:divBdr>
          <w:divsChild>
            <w:div w:id="2050377034">
              <w:marLeft w:val="0"/>
              <w:marRight w:val="0"/>
              <w:marTop w:val="0"/>
              <w:marBottom w:val="0"/>
              <w:divBdr>
                <w:top w:val="none" w:sz="0" w:space="0" w:color="auto"/>
                <w:left w:val="none" w:sz="0" w:space="0" w:color="auto"/>
                <w:bottom w:val="none" w:sz="0" w:space="0" w:color="auto"/>
                <w:right w:val="none" w:sz="0" w:space="0" w:color="auto"/>
              </w:divBdr>
            </w:div>
          </w:divsChild>
        </w:div>
        <w:div w:id="662784392">
          <w:marLeft w:val="0"/>
          <w:marRight w:val="0"/>
          <w:marTop w:val="0"/>
          <w:marBottom w:val="0"/>
          <w:divBdr>
            <w:top w:val="none" w:sz="0" w:space="0" w:color="auto"/>
            <w:left w:val="none" w:sz="0" w:space="0" w:color="auto"/>
            <w:bottom w:val="none" w:sz="0" w:space="0" w:color="auto"/>
            <w:right w:val="none" w:sz="0" w:space="0" w:color="auto"/>
          </w:divBdr>
          <w:divsChild>
            <w:div w:id="488981059">
              <w:marLeft w:val="0"/>
              <w:marRight w:val="0"/>
              <w:marTop w:val="0"/>
              <w:marBottom w:val="0"/>
              <w:divBdr>
                <w:top w:val="none" w:sz="0" w:space="0" w:color="auto"/>
                <w:left w:val="none" w:sz="0" w:space="0" w:color="auto"/>
                <w:bottom w:val="none" w:sz="0" w:space="0" w:color="auto"/>
                <w:right w:val="none" w:sz="0" w:space="0" w:color="auto"/>
              </w:divBdr>
            </w:div>
          </w:divsChild>
        </w:div>
        <w:div w:id="1928952350">
          <w:marLeft w:val="0"/>
          <w:marRight w:val="0"/>
          <w:marTop w:val="0"/>
          <w:marBottom w:val="0"/>
          <w:divBdr>
            <w:top w:val="none" w:sz="0" w:space="0" w:color="auto"/>
            <w:left w:val="none" w:sz="0" w:space="0" w:color="auto"/>
            <w:bottom w:val="none" w:sz="0" w:space="0" w:color="auto"/>
            <w:right w:val="none" w:sz="0" w:space="0" w:color="auto"/>
          </w:divBdr>
          <w:divsChild>
            <w:div w:id="103769905">
              <w:marLeft w:val="0"/>
              <w:marRight w:val="0"/>
              <w:marTop w:val="0"/>
              <w:marBottom w:val="0"/>
              <w:divBdr>
                <w:top w:val="none" w:sz="0" w:space="0" w:color="auto"/>
                <w:left w:val="none" w:sz="0" w:space="0" w:color="auto"/>
                <w:bottom w:val="none" w:sz="0" w:space="0" w:color="auto"/>
                <w:right w:val="none" w:sz="0" w:space="0" w:color="auto"/>
              </w:divBdr>
            </w:div>
          </w:divsChild>
        </w:div>
        <w:div w:id="1279333407">
          <w:marLeft w:val="0"/>
          <w:marRight w:val="0"/>
          <w:marTop w:val="0"/>
          <w:marBottom w:val="0"/>
          <w:divBdr>
            <w:top w:val="none" w:sz="0" w:space="0" w:color="auto"/>
            <w:left w:val="none" w:sz="0" w:space="0" w:color="auto"/>
            <w:bottom w:val="none" w:sz="0" w:space="0" w:color="auto"/>
            <w:right w:val="none" w:sz="0" w:space="0" w:color="auto"/>
          </w:divBdr>
          <w:divsChild>
            <w:div w:id="2138641178">
              <w:marLeft w:val="0"/>
              <w:marRight w:val="0"/>
              <w:marTop w:val="0"/>
              <w:marBottom w:val="0"/>
              <w:divBdr>
                <w:top w:val="none" w:sz="0" w:space="0" w:color="auto"/>
                <w:left w:val="none" w:sz="0" w:space="0" w:color="auto"/>
                <w:bottom w:val="none" w:sz="0" w:space="0" w:color="auto"/>
                <w:right w:val="none" w:sz="0" w:space="0" w:color="auto"/>
              </w:divBdr>
            </w:div>
          </w:divsChild>
        </w:div>
        <w:div w:id="85814207">
          <w:marLeft w:val="0"/>
          <w:marRight w:val="0"/>
          <w:marTop w:val="0"/>
          <w:marBottom w:val="0"/>
          <w:divBdr>
            <w:top w:val="none" w:sz="0" w:space="0" w:color="auto"/>
            <w:left w:val="none" w:sz="0" w:space="0" w:color="auto"/>
            <w:bottom w:val="none" w:sz="0" w:space="0" w:color="auto"/>
            <w:right w:val="none" w:sz="0" w:space="0" w:color="auto"/>
          </w:divBdr>
          <w:divsChild>
            <w:div w:id="2083946091">
              <w:marLeft w:val="0"/>
              <w:marRight w:val="0"/>
              <w:marTop w:val="0"/>
              <w:marBottom w:val="0"/>
              <w:divBdr>
                <w:top w:val="none" w:sz="0" w:space="0" w:color="auto"/>
                <w:left w:val="none" w:sz="0" w:space="0" w:color="auto"/>
                <w:bottom w:val="none" w:sz="0" w:space="0" w:color="auto"/>
                <w:right w:val="none" w:sz="0" w:space="0" w:color="auto"/>
              </w:divBdr>
            </w:div>
          </w:divsChild>
        </w:div>
        <w:div w:id="2006005004">
          <w:marLeft w:val="0"/>
          <w:marRight w:val="0"/>
          <w:marTop w:val="0"/>
          <w:marBottom w:val="0"/>
          <w:divBdr>
            <w:top w:val="none" w:sz="0" w:space="0" w:color="auto"/>
            <w:left w:val="none" w:sz="0" w:space="0" w:color="auto"/>
            <w:bottom w:val="none" w:sz="0" w:space="0" w:color="auto"/>
            <w:right w:val="none" w:sz="0" w:space="0" w:color="auto"/>
          </w:divBdr>
          <w:divsChild>
            <w:div w:id="554122811">
              <w:marLeft w:val="0"/>
              <w:marRight w:val="0"/>
              <w:marTop w:val="0"/>
              <w:marBottom w:val="0"/>
              <w:divBdr>
                <w:top w:val="none" w:sz="0" w:space="0" w:color="auto"/>
                <w:left w:val="none" w:sz="0" w:space="0" w:color="auto"/>
                <w:bottom w:val="none" w:sz="0" w:space="0" w:color="auto"/>
                <w:right w:val="none" w:sz="0" w:space="0" w:color="auto"/>
              </w:divBdr>
            </w:div>
          </w:divsChild>
        </w:div>
        <w:div w:id="2103255153">
          <w:marLeft w:val="0"/>
          <w:marRight w:val="0"/>
          <w:marTop w:val="0"/>
          <w:marBottom w:val="0"/>
          <w:divBdr>
            <w:top w:val="none" w:sz="0" w:space="0" w:color="auto"/>
            <w:left w:val="none" w:sz="0" w:space="0" w:color="auto"/>
            <w:bottom w:val="none" w:sz="0" w:space="0" w:color="auto"/>
            <w:right w:val="none" w:sz="0" w:space="0" w:color="auto"/>
          </w:divBdr>
          <w:divsChild>
            <w:div w:id="814833731">
              <w:marLeft w:val="0"/>
              <w:marRight w:val="0"/>
              <w:marTop w:val="0"/>
              <w:marBottom w:val="0"/>
              <w:divBdr>
                <w:top w:val="none" w:sz="0" w:space="0" w:color="auto"/>
                <w:left w:val="none" w:sz="0" w:space="0" w:color="auto"/>
                <w:bottom w:val="none" w:sz="0" w:space="0" w:color="auto"/>
                <w:right w:val="none" w:sz="0" w:space="0" w:color="auto"/>
              </w:divBdr>
            </w:div>
          </w:divsChild>
        </w:div>
        <w:div w:id="148862933">
          <w:marLeft w:val="0"/>
          <w:marRight w:val="0"/>
          <w:marTop w:val="0"/>
          <w:marBottom w:val="0"/>
          <w:divBdr>
            <w:top w:val="none" w:sz="0" w:space="0" w:color="auto"/>
            <w:left w:val="none" w:sz="0" w:space="0" w:color="auto"/>
            <w:bottom w:val="none" w:sz="0" w:space="0" w:color="auto"/>
            <w:right w:val="none" w:sz="0" w:space="0" w:color="auto"/>
          </w:divBdr>
          <w:divsChild>
            <w:div w:id="401566204">
              <w:marLeft w:val="0"/>
              <w:marRight w:val="0"/>
              <w:marTop w:val="0"/>
              <w:marBottom w:val="0"/>
              <w:divBdr>
                <w:top w:val="none" w:sz="0" w:space="0" w:color="auto"/>
                <w:left w:val="none" w:sz="0" w:space="0" w:color="auto"/>
                <w:bottom w:val="none" w:sz="0" w:space="0" w:color="auto"/>
                <w:right w:val="none" w:sz="0" w:space="0" w:color="auto"/>
              </w:divBdr>
            </w:div>
          </w:divsChild>
        </w:div>
        <w:div w:id="1863204985">
          <w:marLeft w:val="0"/>
          <w:marRight w:val="0"/>
          <w:marTop w:val="0"/>
          <w:marBottom w:val="0"/>
          <w:divBdr>
            <w:top w:val="none" w:sz="0" w:space="0" w:color="auto"/>
            <w:left w:val="none" w:sz="0" w:space="0" w:color="auto"/>
            <w:bottom w:val="none" w:sz="0" w:space="0" w:color="auto"/>
            <w:right w:val="none" w:sz="0" w:space="0" w:color="auto"/>
          </w:divBdr>
          <w:divsChild>
            <w:div w:id="1309823438">
              <w:marLeft w:val="0"/>
              <w:marRight w:val="0"/>
              <w:marTop w:val="0"/>
              <w:marBottom w:val="0"/>
              <w:divBdr>
                <w:top w:val="none" w:sz="0" w:space="0" w:color="auto"/>
                <w:left w:val="none" w:sz="0" w:space="0" w:color="auto"/>
                <w:bottom w:val="none" w:sz="0" w:space="0" w:color="auto"/>
                <w:right w:val="none" w:sz="0" w:space="0" w:color="auto"/>
              </w:divBdr>
            </w:div>
          </w:divsChild>
        </w:div>
        <w:div w:id="119761502">
          <w:marLeft w:val="0"/>
          <w:marRight w:val="0"/>
          <w:marTop w:val="0"/>
          <w:marBottom w:val="0"/>
          <w:divBdr>
            <w:top w:val="none" w:sz="0" w:space="0" w:color="auto"/>
            <w:left w:val="none" w:sz="0" w:space="0" w:color="auto"/>
            <w:bottom w:val="none" w:sz="0" w:space="0" w:color="auto"/>
            <w:right w:val="none" w:sz="0" w:space="0" w:color="auto"/>
          </w:divBdr>
          <w:divsChild>
            <w:div w:id="15469832">
              <w:marLeft w:val="0"/>
              <w:marRight w:val="0"/>
              <w:marTop w:val="0"/>
              <w:marBottom w:val="0"/>
              <w:divBdr>
                <w:top w:val="none" w:sz="0" w:space="0" w:color="auto"/>
                <w:left w:val="none" w:sz="0" w:space="0" w:color="auto"/>
                <w:bottom w:val="none" w:sz="0" w:space="0" w:color="auto"/>
                <w:right w:val="none" w:sz="0" w:space="0" w:color="auto"/>
              </w:divBdr>
            </w:div>
          </w:divsChild>
        </w:div>
        <w:div w:id="869147869">
          <w:marLeft w:val="0"/>
          <w:marRight w:val="0"/>
          <w:marTop w:val="0"/>
          <w:marBottom w:val="0"/>
          <w:divBdr>
            <w:top w:val="none" w:sz="0" w:space="0" w:color="auto"/>
            <w:left w:val="none" w:sz="0" w:space="0" w:color="auto"/>
            <w:bottom w:val="none" w:sz="0" w:space="0" w:color="auto"/>
            <w:right w:val="none" w:sz="0" w:space="0" w:color="auto"/>
          </w:divBdr>
          <w:divsChild>
            <w:div w:id="1187136885">
              <w:marLeft w:val="0"/>
              <w:marRight w:val="0"/>
              <w:marTop w:val="0"/>
              <w:marBottom w:val="0"/>
              <w:divBdr>
                <w:top w:val="none" w:sz="0" w:space="0" w:color="auto"/>
                <w:left w:val="none" w:sz="0" w:space="0" w:color="auto"/>
                <w:bottom w:val="none" w:sz="0" w:space="0" w:color="auto"/>
                <w:right w:val="none" w:sz="0" w:space="0" w:color="auto"/>
              </w:divBdr>
            </w:div>
          </w:divsChild>
        </w:div>
        <w:div w:id="1717271412">
          <w:marLeft w:val="0"/>
          <w:marRight w:val="0"/>
          <w:marTop w:val="0"/>
          <w:marBottom w:val="0"/>
          <w:divBdr>
            <w:top w:val="none" w:sz="0" w:space="0" w:color="auto"/>
            <w:left w:val="none" w:sz="0" w:space="0" w:color="auto"/>
            <w:bottom w:val="none" w:sz="0" w:space="0" w:color="auto"/>
            <w:right w:val="none" w:sz="0" w:space="0" w:color="auto"/>
          </w:divBdr>
          <w:divsChild>
            <w:div w:id="1062825791">
              <w:marLeft w:val="0"/>
              <w:marRight w:val="0"/>
              <w:marTop w:val="0"/>
              <w:marBottom w:val="0"/>
              <w:divBdr>
                <w:top w:val="none" w:sz="0" w:space="0" w:color="auto"/>
                <w:left w:val="none" w:sz="0" w:space="0" w:color="auto"/>
                <w:bottom w:val="none" w:sz="0" w:space="0" w:color="auto"/>
                <w:right w:val="none" w:sz="0" w:space="0" w:color="auto"/>
              </w:divBdr>
            </w:div>
          </w:divsChild>
        </w:div>
        <w:div w:id="687372977">
          <w:marLeft w:val="0"/>
          <w:marRight w:val="0"/>
          <w:marTop w:val="0"/>
          <w:marBottom w:val="0"/>
          <w:divBdr>
            <w:top w:val="none" w:sz="0" w:space="0" w:color="auto"/>
            <w:left w:val="none" w:sz="0" w:space="0" w:color="auto"/>
            <w:bottom w:val="none" w:sz="0" w:space="0" w:color="auto"/>
            <w:right w:val="none" w:sz="0" w:space="0" w:color="auto"/>
          </w:divBdr>
          <w:divsChild>
            <w:div w:id="1106923086">
              <w:marLeft w:val="0"/>
              <w:marRight w:val="0"/>
              <w:marTop w:val="0"/>
              <w:marBottom w:val="0"/>
              <w:divBdr>
                <w:top w:val="none" w:sz="0" w:space="0" w:color="auto"/>
                <w:left w:val="none" w:sz="0" w:space="0" w:color="auto"/>
                <w:bottom w:val="none" w:sz="0" w:space="0" w:color="auto"/>
                <w:right w:val="none" w:sz="0" w:space="0" w:color="auto"/>
              </w:divBdr>
            </w:div>
          </w:divsChild>
        </w:div>
        <w:div w:id="1765416374">
          <w:marLeft w:val="0"/>
          <w:marRight w:val="0"/>
          <w:marTop w:val="0"/>
          <w:marBottom w:val="0"/>
          <w:divBdr>
            <w:top w:val="none" w:sz="0" w:space="0" w:color="auto"/>
            <w:left w:val="none" w:sz="0" w:space="0" w:color="auto"/>
            <w:bottom w:val="none" w:sz="0" w:space="0" w:color="auto"/>
            <w:right w:val="none" w:sz="0" w:space="0" w:color="auto"/>
          </w:divBdr>
          <w:divsChild>
            <w:div w:id="1955669981">
              <w:marLeft w:val="0"/>
              <w:marRight w:val="0"/>
              <w:marTop w:val="0"/>
              <w:marBottom w:val="0"/>
              <w:divBdr>
                <w:top w:val="none" w:sz="0" w:space="0" w:color="auto"/>
                <w:left w:val="none" w:sz="0" w:space="0" w:color="auto"/>
                <w:bottom w:val="none" w:sz="0" w:space="0" w:color="auto"/>
                <w:right w:val="none" w:sz="0" w:space="0" w:color="auto"/>
              </w:divBdr>
            </w:div>
          </w:divsChild>
        </w:div>
        <w:div w:id="2104761966">
          <w:marLeft w:val="0"/>
          <w:marRight w:val="0"/>
          <w:marTop w:val="0"/>
          <w:marBottom w:val="0"/>
          <w:divBdr>
            <w:top w:val="none" w:sz="0" w:space="0" w:color="auto"/>
            <w:left w:val="none" w:sz="0" w:space="0" w:color="auto"/>
            <w:bottom w:val="none" w:sz="0" w:space="0" w:color="auto"/>
            <w:right w:val="none" w:sz="0" w:space="0" w:color="auto"/>
          </w:divBdr>
          <w:divsChild>
            <w:div w:id="1562717280">
              <w:marLeft w:val="0"/>
              <w:marRight w:val="0"/>
              <w:marTop w:val="0"/>
              <w:marBottom w:val="0"/>
              <w:divBdr>
                <w:top w:val="none" w:sz="0" w:space="0" w:color="auto"/>
                <w:left w:val="none" w:sz="0" w:space="0" w:color="auto"/>
                <w:bottom w:val="none" w:sz="0" w:space="0" w:color="auto"/>
                <w:right w:val="none" w:sz="0" w:space="0" w:color="auto"/>
              </w:divBdr>
            </w:div>
          </w:divsChild>
        </w:div>
        <w:div w:id="1923755179">
          <w:marLeft w:val="0"/>
          <w:marRight w:val="0"/>
          <w:marTop w:val="0"/>
          <w:marBottom w:val="0"/>
          <w:divBdr>
            <w:top w:val="none" w:sz="0" w:space="0" w:color="auto"/>
            <w:left w:val="none" w:sz="0" w:space="0" w:color="auto"/>
            <w:bottom w:val="none" w:sz="0" w:space="0" w:color="auto"/>
            <w:right w:val="none" w:sz="0" w:space="0" w:color="auto"/>
          </w:divBdr>
          <w:divsChild>
            <w:div w:id="2102990479">
              <w:marLeft w:val="0"/>
              <w:marRight w:val="0"/>
              <w:marTop w:val="0"/>
              <w:marBottom w:val="0"/>
              <w:divBdr>
                <w:top w:val="none" w:sz="0" w:space="0" w:color="auto"/>
                <w:left w:val="none" w:sz="0" w:space="0" w:color="auto"/>
                <w:bottom w:val="none" w:sz="0" w:space="0" w:color="auto"/>
                <w:right w:val="none" w:sz="0" w:space="0" w:color="auto"/>
              </w:divBdr>
            </w:div>
          </w:divsChild>
        </w:div>
        <w:div w:id="656081617">
          <w:marLeft w:val="0"/>
          <w:marRight w:val="0"/>
          <w:marTop w:val="300"/>
          <w:marBottom w:val="300"/>
          <w:divBdr>
            <w:top w:val="none" w:sz="0" w:space="0" w:color="auto"/>
            <w:left w:val="none" w:sz="0" w:space="0" w:color="auto"/>
            <w:bottom w:val="none" w:sz="0" w:space="0" w:color="auto"/>
            <w:right w:val="none" w:sz="0" w:space="0" w:color="auto"/>
          </w:divBdr>
        </w:div>
        <w:div w:id="250242134">
          <w:marLeft w:val="0"/>
          <w:marRight w:val="0"/>
          <w:marTop w:val="0"/>
          <w:marBottom w:val="0"/>
          <w:divBdr>
            <w:top w:val="none" w:sz="0" w:space="0" w:color="auto"/>
            <w:left w:val="none" w:sz="0" w:space="0" w:color="auto"/>
            <w:bottom w:val="none" w:sz="0" w:space="0" w:color="auto"/>
            <w:right w:val="none" w:sz="0" w:space="0" w:color="auto"/>
          </w:divBdr>
          <w:divsChild>
            <w:div w:id="286469474">
              <w:marLeft w:val="0"/>
              <w:marRight w:val="0"/>
              <w:marTop w:val="0"/>
              <w:marBottom w:val="0"/>
              <w:divBdr>
                <w:top w:val="none" w:sz="0" w:space="0" w:color="auto"/>
                <w:left w:val="none" w:sz="0" w:space="0" w:color="auto"/>
                <w:bottom w:val="none" w:sz="0" w:space="0" w:color="auto"/>
                <w:right w:val="none" w:sz="0" w:space="0" w:color="auto"/>
              </w:divBdr>
            </w:div>
          </w:divsChild>
        </w:div>
        <w:div w:id="1705445317">
          <w:marLeft w:val="0"/>
          <w:marRight w:val="0"/>
          <w:marTop w:val="300"/>
          <w:marBottom w:val="300"/>
          <w:divBdr>
            <w:top w:val="none" w:sz="0" w:space="0" w:color="auto"/>
            <w:left w:val="none" w:sz="0" w:space="0" w:color="auto"/>
            <w:bottom w:val="none" w:sz="0" w:space="0" w:color="auto"/>
            <w:right w:val="none" w:sz="0" w:space="0" w:color="auto"/>
          </w:divBdr>
        </w:div>
        <w:div w:id="513611875">
          <w:marLeft w:val="0"/>
          <w:marRight w:val="0"/>
          <w:marTop w:val="0"/>
          <w:marBottom w:val="0"/>
          <w:divBdr>
            <w:top w:val="none" w:sz="0" w:space="0" w:color="auto"/>
            <w:left w:val="none" w:sz="0" w:space="0" w:color="auto"/>
            <w:bottom w:val="none" w:sz="0" w:space="0" w:color="auto"/>
            <w:right w:val="none" w:sz="0" w:space="0" w:color="auto"/>
          </w:divBdr>
          <w:divsChild>
            <w:div w:id="132214819">
              <w:marLeft w:val="0"/>
              <w:marRight w:val="0"/>
              <w:marTop w:val="0"/>
              <w:marBottom w:val="0"/>
              <w:divBdr>
                <w:top w:val="none" w:sz="0" w:space="0" w:color="auto"/>
                <w:left w:val="none" w:sz="0" w:space="0" w:color="auto"/>
                <w:bottom w:val="none" w:sz="0" w:space="0" w:color="auto"/>
                <w:right w:val="none" w:sz="0" w:space="0" w:color="auto"/>
              </w:divBdr>
            </w:div>
          </w:divsChild>
        </w:div>
        <w:div w:id="1190528251">
          <w:marLeft w:val="0"/>
          <w:marRight w:val="0"/>
          <w:marTop w:val="0"/>
          <w:marBottom w:val="0"/>
          <w:divBdr>
            <w:top w:val="none" w:sz="0" w:space="0" w:color="auto"/>
            <w:left w:val="none" w:sz="0" w:space="0" w:color="auto"/>
            <w:bottom w:val="none" w:sz="0" w:space="0" w:color="auto"/>
            <w:right w:val="none" w:sz="0" w:space="0" w:color="auto"/>
          </w:divBdr>
          <w:divsChild>
            <w:div w:id="441926779">
              <w:marLeft w:val="0"/>
              <w:marRight w:val="0"/>
              <w:marTop w:val="0"/>
              <w:marBottom w:val="0"/>
              <w:divBdr>
                <w:top w:val="none" w:sz="0" w:space="0" w:color="auto"/>
                <w:left w:val="none" w:sz="0" w:space="0" w:color="auto"/>
                <w:bottom w:val="none" w:sz="0" w:space="0" w:color="auto"/>
                <w:right w:val="none" w:sz="0" w:space="0" w:color="auto"/>
              </w:divBdr>
            </w:div>
          </w:divsChild>
        </w:div>
        <w:div w:id="841941863">
          <w:marLeft w:val="0"/>
          <w:marRight w:val="0"/>
          <w:marTop w:val="0"/>
          <w:marBottom w:val="0"/>
          <w:divBdr>
            <w:top w:val="none" w:sz="0" w:space="0" w:color="auto"/>
            <w:left w:val="none" w:sz="0" w:space="0" w:color="auto"/>
            <w:bottom w:val="none" w:sz="0" w:space="0" w:color="auto"/>
            <w:right w:val="none" w:sz="0" w:space="0" w:color="auto"/>
          </w:divBdr>
          <w:divsChild>
            <w:div w:id="299308972">
              <w:marLeft w:val="0"/>
              <w:marRight w:val="0"/>
              <w:marTop w:val="0"/>
              <w:marBottom w:val="0"/>
              <w:divBdr>
                <w:top w:val="none" w:sz="0" w:space="0" w:color="auto"/>
                <w:left w:val="none" w:sz="0" w:space="0" w:color="auto"/>
                <w:bottom w:val="none" w:sz="0" w:space="0" w:color="auto"/>
                <w:right w:val="none" w:sz="0" w:space="0" w:color="auto"/>
              </w:divBdr>
            </w:div>
          </w:divsChild>
        </w:div>
        <w:div w:id="990211572">
          <w:marLeft w:val="0"/>
          <w:marRight w:val="0"/>
          <w:marTop w:val="0"/>
          <w:marBottom w:val="0"/>
          <w:divBdr>
            <w:top w:val="none" w:sz="0" w:space="0" w:color="auto"/>
            <w:left w:val="none" w:sz="0" w:space="0" w:color="auto"/>
            <w:bottom w:val="none" w:sz="0" w:space="0" w:color="auto"/>
            <w:right w:val="none" w:sz="0" w:space="0" w:color="auto"/>
          </w:divBdr>
          <w:divsChild>
            <w:div w:id="283776914">
              <w:marLeft w:val="0"/>
              <w:marRight w:val="0"/>
              <w:marTop w:val="0"/>
              <w:marBottom w:val="0"/>
              <w:divBdr>
                <w:top w:val="none" w:sz="0" w:space="0" w:color="auto"/>
                <w:left w:val="none" w:sz="0" w:space="0" w:color="auto"/>
                <w:bottom w:val="none" w:sz="0" w:space="0" w:color="auto"/>
                <w:right w:val="none" w:sz="0" w:space="0" w:color="auto"/>
              </w:divBdr>
            </w:div>
          </w:divsChild>
        </w:div>
        <w:div w:id="291982662">
          <w:marLeft w:val="0"/>
          <w:marRight w:val="0"/>
          <w:marTop w:val="0"/>
          <w:marBottom w:val="0"/>
          <w:divBdr>
            <w:top w:val="none" w:sz="0" w:space="0" w:color="auto"/>
            <w:left w:val="none" w:sz="0" w:space="0" w:color="auto"/>
            <w:bottom w:val="none" w:sz="0" w:space="0" w:color="auto"/>
            <w:right w:val="none" w:sz="0" w:space="0" w:color="auto"/>
          </w:divBdr>
          <w:divsChild>
            <w:div w:id="1066610582">
              <w:marLeft w:val="0"/>
              <w:marRight w:val="0"/>
              <w:marTop w:val="0"/>
              <w:marBottom w:val="0"/>
              <w:divBdr>
                <w:top w:val="none" w:sz="0" w:space="0" w:color="auto"/>
                <w:left w:val="none" w:sz="0" w:space="0" w:color="auto"/>
                <w:bottom w:val="none" w:sz="0" w:space="0" w:color="auto"/>
                <w:right w:val="none" w:sz="0" w:space="0" w:color="auto"/>
              </w:divBdr>
            </w:div>
          </w:divsChild>
        </w:div>
        <w:div w:id="121272783">
          <w:marLeft w:val="0"/>
          <w:marRight w:val="0"/>
          <w:marTop w:val="0"/>
          <w:marBottom w:val="0"/>
          <w:divBdr>
            <w:top w:val="none" w:sz="0" w:space="0" w:color="auto"/>
            <w:left w:val="none" w:sz="0" w:space="0" w:color="auto"/>
            <w:bottom w:val="none" w:sz="0" w:space="0" w:color="auto"/>
            <w:right w:val="none" w:sz="0" w:space="0" w:color="auto"/>
          </w:divBdr>
          <w:divsChild>
            <w:div w:id="649209128">
              <w:marLeft w:val="0"/>
              <w:marRight w:val="0"/>
              <w:marTop w:val="0"/>
              <w:marBottom w:val="0"/>
              <w:divBdr>
                <w:top w:val="none" w:sz="0" w:space="0" w:color="auto"/>
                <w:left w:val="none" w:sz="0" w:space="0" w:color="auto"/>
                <w:bottom w:val="none" w:sz="0" w:space="0" w:color="auto"/>
                <w:right w:val="none" w:sz="0" w:space="0" w:color="auto"/>
              </w:divBdr>
            </w:div>
          </w:divsChild>
        </w:div>
        <w:div w:id="13964137">
          <w:marLeft w:val="0"/>
          <w:marRight w:val="0"/>
          <w:marTop w:val="0"/>
          <w:marBottom w:val="0"/>
          <w:divBdr>
            <w:top w:val="none" w:sz="0" w:space="0" w:color="auto"/>
            <w:left w:val="none" w:sz="0" w:space="0" w:color="auto"/>
            <w:bottom w:val="none" w:sz="0" w:space="0" w:color="auto"/>
            <w:right w:val="none" w:sz="0" w:space="0" w:color="auto"/>
          </w:divBdr>
          <w:divsChild>
            <w:div w:id="554201369">
              <w:marLeft w:val="0"/>
              <w:marRight w:val="0"/>
              <w:marTop w:val="0"/>
              <w:marBottom w:val="0"/>
              <w:divBdr>
                <w:top w:val="none" w:sz="0" w:space="0" w:color="auto"/>
                <w:left w:val="none" w:sz="0" w:space="0" w:color="auto"/>
                <w:bottom w:val="none" w:sz="0" w:space="0" w:color="auto"/>
                <w:right w:val="none" w:sz="0" w:space="0" w:color="auto"/>
              </w:divBdr>
            </w:div>
          </w:divsChild>
        </w:div>
        <w:div w:id="777068610">
          <w:marLeft w:val="0"/>
          <w:marRight w:val="0"/>
          <w:marTop w:val="0"/>
          <w:marBottom w:val="0"/>
          <w:divBdr>
            <w:top w:val="none" w:sz="0" w:space="0" w:color="auto"/>
            <w:left w:val="none" w:sz="0" w:space="0" w:color="auto"/>
            <w:bottom w:val="none" w:sz="0" w:space="0" w:color="auto"/>
            <w:right w:val="none" w:sz="0" w:space="0" w:color="auto"/>
          </w:divBdr>
          <w:divsChild>
            <w:div w:id="934829934">
              <w:marLeft w:val="0"/>
              <w:marRight w:val="0"/>
              <w:marTop w:val="0"/>
              <w:marBottom w:val="0"/>
              <w:divBdr>
                <w:top w:val="none" w:sz="0" w:space="0" w:color="auto"/>
                <w:left w:val="none" w:sz="0" w:space="0" w:color="auto"/>
                <w:bottom w:val="none" w:sz="0" w:space="0" w:color="auto"/>
                <w:right w:val="none" w:sz="0" w:space="0" w:color="auto"/>
              </w:divBdr>
            </w:div>
          </w:divsChild>
        </w:div>
        <w:div w:id="388235765">
          <w:marLeft w:val="0"/>
          <w:marRight w:val="0"/>
          <w:marTop w:val="300"/>
          <w:marBottom w:val="300"/>
          <w:divBdr>
            <w:top w:val="none" w:sz="0" w:space="0" w:color="auto"/>
            <w:left w:val="none" w:sz="0" w:space="0" w:color="auto"/>
            <w:bottom w:val="none" w:sz="0" w:space="0" w:color="auto"/>
            <w:right w:val="none" w:sz="0" w:space="0" w:color="auto"/>
          </w:divBdr>
        </w:div>
        <w:div w:id="2076662643">
          <w:marLeft w:val="0"/>
          <w:marRight w:val="0"/>
          <w:marTop w:val="0"/>
          <w:marBottom w:val="0"/>
          <w:divBdr>
            <w:top w:val="none" w:sz="0" w:space="0" w:color="auto"/>
            <w:left w:val="none" w:sz="0" w:space="0" w:color="auto"/>
            <w:bottom w:val="none" w:sz="0" w:space="0" w:color="auto"/>
            <w:right w:val="none" w:sz="0" w:space="0" w:color="auto"/>
          </w:divBdr>
          <w:divsChild>
            <w:div w:id="323238702">
              <w:marLeft w:val="0"/>
              <w:marRight w:val="0"/>
              <w:marTop w:val="0"/>
              <w:marBottom w:val="0"/>
              <w:divBdr>
                <w:top w:val="none" w:sz="0" w:space="0" w:color="auto"/>
                <w:left w:val="none" w:sz="0" w:space="0" w:color="auto"/>
                <w:bottom w:val="none" w:sz="0" w:space="0" w:color="auto"/>
                <w:right w:val="none" w:sz="0" w:space="0" w:color="auto"/>
              </w:divBdr>
            </w:div>
          </w:divsChild>
        </w:div>
        <w:div w:id="2048286426">
          <w:marLeft w:val="0"/>
          <w:marRight w:val="0"/>
          <w:marTop w:val="0"/>
          <w:marBottom w:val="0"/>
          <w:divBdr>
            <w:top w:val="none" w:sz="0" w:space="0" w:color="auto"/>
            <w:left w:val="none" w:sz="0" w:space="0" w:color="auto"/>
            <w:bottom w:val="none" w:sz="0" w:space="0" w:color="auto"/>
            <w:right w:val="none" w:sz="0" w:space="0" w:color="auto"/>
          </w:divBdr>
          <w:divsChild>
            <w:div w:id="2034768337">
              <w:marLeft w:val="0"/>
              <w:marRight w:val="0"/>
              <w:marTop w:val="0"/>
              <w:marBottom w:val="0"/>
              <w:divBdr>
                <w:top w:val="none" w:sz="0" w:space="0" w:color="auto"/>
                <w:left w:val="none" w:sz="0" w:space="0" w:color="auto"/>
                <w:bottom w:val="none" w:sz="0" w:space="0" w:color="auto"/>
                <w:right w:val="none" w:sz="0" w:space="0" w:color="auto"/>
              </w:divBdr>
            </w:div>
          </w:divsChild>
        </w:div>
        <w:div w:id="407968944">
          <w:marLeft w:val="0"/>
          <w:marRight w:val="0"/>
          <w:marTop w:val="0"/>
          <w:marBottom w:val="0"/>
          <w:divBdr>
            <w:top w:val="none" w:sz="0" w:space="0" w:color="auto"/>
            <w:left w:val="none" w:sz="0" w:space="0" w:color="auto"/>
            <w:bottom w:val="none" w:sz="0" w:space="0" w:color="auto"/>
            <w:right w:val="none" w:sz="0" w:space="0" w:color="auto"/>
          </w:divBdr>
          <w:divsChild>
            <w:div w:id="2087801732">
              <w:marLeft w:val="0"/>
              <w:marRight w:val="0"/>
              <w:marTop w:val="0"/>
              <w:marBottom w:val="0"/>
              <w:divBdr>
                <w:top w:val="none" w:sz="0" w:space="0" w:color="auto"/>
                <w:left w:val="none" w:sz="0" w:space="0" w:color="auto"/>
                <w:bottom w:val="none" w:sz="0" w:space="0" w:color="auto"/>
                <w:right w:val="none" w:sz="0" w:space="0" w:color="auto"/>
              </w:divBdr>
            </w:div>
          </w:divsChild>
        </w:div>
        <w:div w:id="215093172">
          <w:marLeft w:val="0"/>
          <w:marRight w:val="0"/>
          <w:marTop w:val="0"/>
          <w:marBottom w:val="0"/>
          <w:divBdr>
            <w:top w:val="none" w:sz="0" w:space="0" w:color="auto"/>
            <w:left w:val="none" w:sz="0" w:space="0" w:color="auto"/>
            <w:bottom w:val="none" w:sz="0" w:space="0" w:color="auto"/>
            <w:right w:val="none" w:sz="0" w:space="0" w:color="auto"/>
          </w:divBdr>
          <w:divsChild>
            <w:div w:id="555552739">
              <w:marLeft w:val="0"/>
              <w:marRight w:val="0"/>
              <w:marTop w:val="0"/>
              <w:marBottom w:val="0"/>
              <w:divBdr>
                <w:top w:val="none" w:sz="0" w:space="0" w:color="auto"/>
                <w:left w:val="none" w:sz="0" w:space="0" w:color="auto"/>
                <w:bottom w:val="none" w:sz="0" w:space="0" w:color="auto"/>
                <w:right w:val="none" w:sz="0" w:space="0" w:color="auto"/>
              </w:divBdr>
            </w:div>
          </w:divsChild>
        </w:div>
        <w:div w:id="812023748">
          <w:marLeft w:val="0"/>
          <w:marRight w:val="0"/>
          <w:marTop w:val="0"/>
          <w:marBottom w:val="0"/>
          <w:divBdr>
            <w:top w:val="none" w:sz="0" w:space="0" w:color="auto"/>
            <w:left w:val="none" w:sz="0" w:space="0" w:color="auto"/>
            <w:bottom w:val="none" w:sz="0" w:space="0" w:color="auto"/>
            <w:right w:val="none" w:sz="0" w:space="0" w:color="auto"/>
          </w:divBdr>
          <w:divsChild>
            <w:div w:id="1730420162">
              <w:marLeft w:val="0"/>
              <w:marRight w:val="0"/>
              <w:marTop w:val="0"/>
              <w:marBottom w:val="0"/>
              <w:divBdr>
                <w:top w:val="none" w:sz="0" w:space="0" w:color="auto"/>
                <w:left w:val="none" w:sz="0" w:space="0" w:color="auto"/>
                <w:bottom w:val="none" w:sz="0" w:space="0" w:color="auto"/>
                <w:right w:val="none" w:sz="0" w:space="0" w:color="auto"/>
              </w:divBdr>
            </w:div>
          </w:divsChild>
        </w:div>
        <w:div w:id="963921438">
          <w:marLeft w:val="0"/>
          <w:marRight w:val="0"/>
          <w:marTop w:val="300"/>
          <w:marBottom w:val="300"/>
          <w:divBdr>
            <w:top w:val="none" w:sz="0" w:space="0" w:color="auto"/>
            <w:left w:val="none" w:sz="0" w:space="0" w:color="auto"/>
            <w:bottom w:val="none" w:sz="0" w:space="0" w:color="auto"/>
            <w:right w:val="none" w:sz="0" w:space="0" w:color="auto"/>
          </w:divBdr>
        </w:div>
        <w:div w:id="1515807159">
          <w:marLeft w:val="0"/>
          <w:marRight w:val="0"/>
          <w:marTop w:val="0"/>
          <w:marBottom w:val="0"/>
          <w:divBdr>
            <w:top w:val="none" w:sz="0" w:space="0" w:color="auto"/>
            <w:left w:val="none" w:sz="0" w:space="0" w:color="auto"/>
            <w:bottom w:val="none" w:sz="0" w:space="0" w:color="auto"/>
            <w:right w:val="none" w:sz="0" w:space="0" w:color="auto"/>
          </w:divBdr>
          <w:divsChild>
            <w:div w:id="459302725">
              <w:marLeft w:val="0"/>
              <w:marRight w:val="0"/>
              <w:marTop w:val="0"/>
              <w:marBottom w:val="0"/>
              <w:divBdr>
                <w:top w:val="none" w:sz="0" w:space="0" w:color="auto"/>
                <w:left w:val="none" w:sz="0" w:space="0" w:color="auto"/>
                <w:bottom w:val="none" w:sz="0" w:space="0" w:color="auto"/>
                <w:right w:val="none" w:sz="0" w:space="0" w:color="auto"/>
              </w:divBdr>
            </w:div>
          </w:divsChild>
        </w:div>
        <w:div w:id="49503782">
          <w:marLeft w:val="0"/>
          <w:marRight w:val="0"/>
          <w:marTop w:val="0"/>
          <w:marBottom w:val="0"/>
          <w:divBdr>
            <w:top w:val="none" w:sz="0" w:space="0" w:color="auto"/>
            <w:left w:val="none" w:sz="0" w:space="0" w:color="auto"/>
            <w:bottom w:val="none" w:sz="0" w:space="0" w:color="auto"/>
            <w:right w:val="none" w:sz="0" w:space="0" w:color="auto"/>
          </w:divBdr>
          <w:divsChild>
            <w:div w:id="1255362649">
              <w:marLeft w:val="0"/>
              <w:marRight w:val="0"/>
              <w:marTop w:val="0"/>
              <w:marBottom w:val="0"/>
              <w:divBdr>
                <w:top w:val="none" w:sz="0" w:space="0" w:color="auto"/>
                <w:left w:val="none" w:sz="0" w:space="0" w:color="auto"/>
                <w:bottom w:val="none" w:sz="0" w:space="0" w:color="auto"/>
                <w:right w:val="none" w:sz="0" w:space="0" w:color="auto"/>
              </w:divBdr>
            </w:div>
          </w:divsChild>
        </w:div>
        <w:div w:id="1545601831">
          <w:marLeft w:val="0"/>
          <w:marRight w:val="0"/>
          <w:marTop w:val="0"/>
          <w:marBottom w:val="0"/>
          <w:divBdr>
            <w:top w:val="none" w:sz="0" w:space="0" w:color="auto"/>
            <w:left w:val="none" w:sz="0" w:space="0" w:color="auto"/>
            <w:bottom w:val="none" w:sz="0" w:space="0" w:color="auto"/>
            <w:right w:val="none" w:sz="0" w:space="0" w:color="auto"/>
          </w:divBdr>
          <w:divsChild>
            <w:div w:id="2073039575">
              <w:marLeft w:val="0"/>
              <w:marRight w:val="0"/>
              <w:marTop w:val="0"/>
              <w:marBottom w:val="0"/>
              <w:divBdr>
                <w:top w:val="none" w:sz="0" w:space="0" w:color="auto"/>
                <w:left w:val="none" w:sz="0" w:space="0" w:color="auto"/>
                <w:bottom w:val="none" w:sz="0" w:space="0" w:color="auto"/>
                <w:right w:val="none" w:sz="0" w:space="0" w:color="auto"/>
              </w:divBdr>
            </w:div>
          </w:divsChild>
        </w:div>
        <w:div w:id="370540880">
          <w:marLeft w:val="0"/>
          <w:marRight w:val="0"/>
          <w:marTop w:val="0"/>
          <w:marBottom w:val="0"/>
          <w:divBdr>
            <w:top w:val="none" w:sz="0" w:space="0" w:color="auto"/>
            <w:left w:val="none" w:sz="0" w:space="0" w:color="auto"/>
            <w:bottom w:val="none" w:sz="0" w:space="0" w:color="auto"/>
            <w:right w:val="none" w:sz="0" w:space="0" w:color="auto"/>
          </w:divBdr>
          <w:divsChild>
            <w:div w:id="2057973050">
              <w:marLeft w:val="0"/>
              <w:marRight w:val="0"/>
              <w:marTop w:val="0"/>
              <w:marBottom w:val="0"/>
              <w:divBdr>
                <w:top w:val="none" w:sz="0" w:space="0" w:color="auto"/>
                <w:left w:val="none" w:sz="0" w:space="0" w:color="auto"/>
                <w:bottom w:val="none" w:sz="0" w:space="0" w:color="auto"/>
                <w:right w:val="none" w:sz="0" w:space="0" w:color="auto"/>
              </w:divBdr>
            </w:div>
          </w:divsChild>
        </w:div>
        <w:div w:id="1223102738">
          <w:marLeft w:val="0"/>
          <w:marRight w:val="0"/>
          <w:marTop w:val="0"/>
          <w:marBottom w:val="0"/>
          <w:divBdr>
            <w:top w:val="none" w:sz="0" w:space="0" w:color="auto"/>
            <w:left w:val="none" w:sz="0" w:space="0" w:color="auto"/>
            <w:bottom w:val="none" w:sz="0" w:space="0" w:color="auto"/>
            <w:right w:val="none" w:sz="0" w:space="0" w:color="auto"/>
          </w:divBdr>
          <w:divsChild>
            <w:div w:id="1448040903">
              <w:marLeft w:val="0"/>
              <w:marRight w:val="0"/>
              <w:marTop w:val="0"/>
              <w:marBottom w:val="0"/>
              <w:divBdr>
                <w:top w:val="none" w:sz="0" w:space="0" w:color="auto"/>
                <w:left w:val="none" w:sz="0" w:space="0" w:color="auto"/>
                <w:bottom w:val="none" w:sz="0" w:space="0" w:color="auto"/>
                <w:right w:val="none" w:sz="0" w:space="0" w:color="auto"/>
              </w:divBdr>
            </w:div>
          </w:divsChild>
        </w:div>
        <w:div w:id="1292521573">
          <w:marLeft w:val="0"/>
          <w:marRight w:val="0"/>
          <w:marTop w:val="0"/>
          <w:marBottom w:val="0"/>
          <w:divBdr>
            <w:top w:val="none" w:sz="0" w:space="0" w:color="auto"/>
            <w:left w:val="none" w:sz="0" w:space="0" w:color="auto"/>
            <w:bottom w:val="none" w:sz="0" w:space="0" w:color="auto"/>
            <w:right w:val="none" w:sz="0" w:space="0" w:color="auto"/>
          </w:divBdr>
          <w:divsChild>
            <w:div w:id="1656176506">
              <w:marLeft w:val="0"/>
              <w:marRight w:val="0"/>
              <w:marTop w:val="0"/>
              <w:marBottom w:val="0"/>
              <w:divBdr>
                <w:top w:val="none" w:sz="0" w:space="0" w:color="auto"/>
                <w:left w:val="none" w:sz="0" w:space="0" w:color="auto"/>
                <w:bottom w:val="none" w:sz="0" w:space="0" w:color="auto"/>
                <w:right w:val="none" w:sz="0" w:space="0" w:color="auto"/>
              </w:divBdr>
            </w:div>
          </w:divsChild>
        </w:div>
        <w:div w:id="1783911848">
          <w:marLeft w:val="0"/>
          <w:marRight w:val="0"/>
          <w:marTop w:val="0"/>
          <w:marBottom w:val="0"/>
          <w:divBdr>
            <w:top w:val="none" w:sz="0" w:space="0" w:color="auto"/>
            <w:left w:val="none" w:sz="0" w:space="0" w:color="auto"/>
            <w:bottom w:val="none" w:sz="0" w:space="0" w:color="auto"/>
            <w:right w:val="none" w:sz="0" w:space="0" w:color="auto"/>
          </w:divBdr>
          <w:divsChild>
            <w:div w:id="1292975104">
              <w:marLeft w:val="0"/>
              <w:marRight w:val="0"/>
              <w:marTop w:val="0"/>
              <w:marBottom w:val="0"/>
              <w:divBdr>
                <w:top w:val="none" w:sz="0" w:space="0" w:color="auto"/>
                <w:left w:val="none" w:sz="0" w:space="0" w:color="auto"/>
                <w:bottom w:val="none" w:sz="0" w:space="0" w:color="auto"/>
                <w:right w:val="none" w:sz="0" w:space="0" w:color="auto"/>
              </w:divBdr>
            </w:div>
          </w:divsChild>
        </w:div>
        <w:div w:id="1833717290">
          <w:marLeft w:val="0"/>
          <w:marRight w:val="0"/>
          <w:marTop w:val="0"/>
          <w:marBottom w:val="0"/>
          <w:divBdr>
            <w:top w:val="none" w:sz="0" w:space="0" w:color="auto"/>
            <w:left w:val="none" w:sz="0" w:space="0" w:color="auto"/>
            <w:bottom w:val="none" w:sz="0" w:space="0" w:color="auto"/>
            <w:right w:val="none" w:sz="0" w:space="0" w:color="auto"/>
          </w:divBdr>
          <w:divsChild>
            <w:div w:id="588856354">
              <w:marLeft w:val="0"/>
              <w:marRight w:val="0"/>
              <w:marTop w:val="0"/>
              <w:marBottom w:val="0"/>
              <w:divBdr>
                <w:top w:val="none" w:sz="0" w:space="0" w:color="auto"/>
                <w:left w:val="none" w:sz="0" w:space="0" w:color="auto"/>
                <w:bottom w:val="none" w:sz="0" w:space="0" w:color="auto"/>
                <w:right w:val="none" w:sz="0" w:space="0" w:color="auto"/>
              </w:divBdr>
            </w:div>
          </w:divsChild>
        </w:div>
        <w:div w:id="2015911948">
          <w:marLeft w:val="0"/>
          <w:marRight w:val="0"/>
          <w:marTop w:val="0"/>
          <w:marBottom w:val="0"/>
          <w:divBdr>
            <w:top w:val="none" w:sz="0" w:space="0" w:color="auto"/>
            <w:left w:val="none" w:sz="0" w:space="0" w:color="auto"/>
            <w:bottom w:val="none" w:sz="0" w:space="0" w:color="auto"/>
            <w:right w:val="none" w:sz="0" w:space="0" w:color="auto"/>
          </w:divBdr>
          <w:divsChild>
            <w:div w:id="1348947977">
              <w:marLeft w:val="0"/>
              <w:marRight w:val="0"/>
              <w:marTop w:val="0"/>
              <w:marBottom w:val="0"/>
              <w:divBdr>
                <w:top w:val="none" w:sz="0" w:space="0" w:color="auto"/>
                <w:left w:val="none" w:sz="0" w:space="0" w:color="auto"/>
                <w:bottom w:val="none" w:sz="0" w:space="0" w:color="auto"/>
                <w:right w:val="none" w:sz="0" w:space="0" w:color="auto"/>
              </w:divBdr>
            </w:div>
          </w:divsChild>
        </w:div>
        <w:div w:id="1578782067">
          <w:marLeft w:val="0"/>
          <w:marRight w:val="0"/>
          <w:marTop w:val="0"/>
          <w:marBottom w:val="0"/>
          <w:divBdr>
            <w:top w:val="none" w:sz="0" w:space="0" w:color="auto"/>
            <w:left w:val="none" w:sz="0" w:space="0" w:color="auto"/>
            <w:bottom w:val="none" w:sz="0" w:space="0" w:color="auto"/>
            <w:right w:val="none" w:sz="0" w:space="0" w:color="auto"/>
          </w:divBdr>
          <w:divsChild>
            <w:div w:id="1212038397">
              <w:marLeft w:val="0"/>
              <w:marRight w:val="0"/>
              <w:marTop w:val="0"/>
              <w:marBottom w:val="0"/>
              <w:divBdr>
                <w:top w:val="none" w:sz="0" w:space="0" w:color="auto"/>
                <w:left w:val="none" w:sz="0" w:space="0" w:color="auto"/>
                <w:bottom w:val="none" w:sz="0" w:space="0" w:color="auto"/>
                <w:right w:val="none" w:sz="0" w:space="0" w:color="auto"/>
              </w:divBdr>
            </w:div>
          </w:divsChild>
        </w:div>
        <w:div w:id="1047681535">
          <w:marLeft w:val="0"/>
          <w:marRight w:val="0"/>
          <w:marTop w:val="0"/>
          <w:marBottom w:val="0"/>
          <w:divBdr>
            <w:top w:val="none" w:sz="0" w:space="0" w:color="auto"/>
            <w:left w:val="none" w:sz="0" w:space="0" w:color="auto"/>
            <w:bottom w:val="none" w:sz="0" w:space="0" w:color="auto"/>
            <w:right w:val="none" w:sz="0" w:space="0" w:color="auto"/>
          </w:divBdr>
          <w:divsChild>
            <w:div w:id="1250504459">
              <w:marLeft w:val="0"/>
              <w:marRight w:val="0"/>
              <w:marTop w:val="0"/>
              <w:marBottom w:val="0"/>
              <w:divBdr>
                <w:top w:val="none" w:sz="0" w:space="0" w:color="auto"/>
                <w:left w:val="none" w:sz="0" w:space="0" w:color="auto"/>
                <w:bottom w:val="none" w:sz="0" w:space="0" w:color="auto"/>
                <w:right w:val="none" w:sz="0" w:space="0" w:color="auto"/>
              </w:divBdr>
            </w:div>
          </w:divsChild>
        </w:div>
        <w:div w:id="104348600">
          <w:marLeft w:val="0"/>
          <w:marRight w:val="0"/>
          <w:marTop w:val="0"/>
          <w:marBottom w:val="0"/>
          <w:divBdr>
            <w:top w:val="none" w:sz="0" w:space="0" w:color="auto"/>
            <w:left w:val="none" w:sz="0" w:space="0" w:color="auto"/>
            <w:bottom w:val="none" w:sz="0" w:space="0" w:color="auto"/>
            <w:right w:val="none" w:sz="0" w:space="0" w:color="auto"/>
          </w:divBdr>
          <w:divsChild>
            <w:div w:id="982589175">
              <w:marLeft w:val="0"/>
              <w:marRight w:val="0"/>
              <w:marTop w:val="0"/>
              <w:marBottom w:val="0"/>
              <w:divBdr>
                <w:top w:val="none" w:sz="0" w:space="0" w:color="auto"/>
                <w:left w:val="none" w:sz="0" w:space="0" w:color="auto"/>
                <w:bottom w:val="none" w:sz="0" w:space="0" w:color="auto"/>
                <w:right w:val="none" w:sz="0" w:space="0" w:color="auto"/>
              </w:divBdr>
            </w:div>
          </w:divsChild>
        </w:div>
        <w:div w:id="518281441">
          <w:marLeft w:val="0"/>
          <w:marRight w:val="0"/>
          <w:marTop w:val="300"/>
          <w:marBottom w:val="300"/>
          <w:divBdr>
            <w:top w:val="none" w:sz="0" w:space="0" w:color="auto"/>
            <w:left w:val="none" w:sz="0" w:space="0" w:color="auto"/>
            <w:bottom w:val="none" w:sz="0" w:space="0" w:color="auto"/>
            <w:right w:val="none" w:sz="0" w:space="0" w:color="auto"/>
          </w:divBdr>
        </w:div>
        <w:div w:id="24715351">
          <w:marLeft w:val="0"/>
          <w:marRight w:val="0"/>
          <w:marTop w:val="0"/>
          <w:marBottom w:val="0"/>
          <w:divBdr>
            <w:top w:val="none" w:sz="0" w:space="0" w:color="auto"/>
            <w:left w:val="none" w:sz="0" w:space="0" w:color="auto"/>
            <w:bottom w:val="none" w:sz="0" w:space="0" w:color="auto"/>
            <w:right w:val="none" w:sz="0" w:space="0" w:color="auto"/>
          </w:divBdr>
          <w:divsChild>
            <w:div w:id="1643778349">
              <w:marLeft w:val="0"/>
              <w:marRight w:val="0"/>
              <w:marTop w:val="0"/>
              <w:marBottom w:val="0"/>
              <w:divBdr>
                <w:top w:val="none" w:sz="0" w:space="0" w:color="auto"/>
                <w:left w:val="none" w:sz="0" w:space="0" w:color="auto"/>
                <w:bottom w:val="none" w:sz="0" w:space="0" w:color="auto"/>
                <w:right w:val="none" w:sz="0" w:space="0" w:color="auto"/>
              </w:divBdr>
            </w:div>
          </w:divsChild>
        </w:div>
        <w:div w:id="736559295">
          <w:marLeft w:val="0"/>
          <w:marRight w:val="0"/>
          <w:marTop w:val="0"/>
          <w:marBottom w:val="0"/>
          <w:divBdr>
            <w:top w:val="none" w:sz="0" w:space="0" w:color="auto"/>
            <w:left w:val="none" w:sz="0" w:space="0" w:color="auto"/>
            <w:bottom w:val="none" w:sz="0" w:space="0" w:color="auto"/>
            <w:right w:val="none" w:sz="0" w:space="0" w:color="auto"/>
          </w:divBdr>
          <w:divsChild>
            <w:div w:id="706568073">
              <w:marLeft w:val="0"/>
              <w:marRight w:val="0"/>
              <w:marTop w:val="0"/>
              <w:marBottom w:val="0"/>
              <w:divBdr>
                <w:top w:val="none" w:sz="0" w:space="0" w:color="auto"/>
                <w:left w:val="none" w:sz="0" w:space="0" w:color="auto"/>
                <w:bottom w:val="none" w:sz="0" w:space="0" w:color="auto"/>
                <w:right w:val="none" w:sz="0" w:space="0" w:color="auto"/>
              </w:divBdr>
            </w:div>
          </w:divsChild>
        </w:div>
        <w:div w:id="585698427">
          <w:marLeft w:val="0"/>
          <w:marRight w:val="0"/>
          <w:marTop w:val="0"/>
          <w:marBottom w:val="0"/>
          <w:divBdr>
            <w:top w:val="none" w:sz="0" w:space="0" w:color="auto"/>
            <w:left w:val="none" w:sz="0" w:space="0" w:color="auto"/>
            <w:bottom w:val="none" w:sz="0" w:space="0" w:color="auto"/>
            <w:right w:val="none" w:sz="0" w:space="0" w:color="auto"/>
          </w:divBdr>
          <w:divsChild>
            <w:div w:id="636880373">
              <w:marLeft w:val="0"/>
              <w:marRight w:val="0"/>
              <w:marTop w:val="0"/>
              <w:marBottom w:val="0"/>
              <w:divBdr>
                <w:top w:val="none" w:sz="0" w:space="0" w:color="auto"/>
                <w:left w:val="none" w:sz="0" w:space="0" w:color="auto"/>
                <w:bottom w:val="none" w:sz="0" w:space="0" w:color="auto"/>
                <w:right w:val="none" w:sz="0" w:space="0" w:color="auto"/>
              </w:divBdr>
            </w:div>
          </w:divsChild>
        </w:div>
        <w:div w:id="2117166007">
          <w:marLeft w:val="0"/>
          <w:marRight w:val="0"/>
          <w:marTop w:val="0"/>
          <w:marBottom w:val="0"/>
          <w:divBdr>
            <w:top w:val="none" w:sz="0" w:space="0" w:color="auto"/>
            <w:left w:val="none" w:sz="0" w:space="0" w:color="auto"/>
            <w:bottom w:val="none" w:sz="0" w:space="0" w:color="auto"/>
            <w:right w:val="none" w:sz="0" w:space="0" w:color="auto"/>
          </w:divBdr>
          <w:divsChild>
            <w:div w:id="1399327534">
              <w:marLeft w:val="0"/>
              <w:marRight w:val="0"/>
              <w:marTop w:val="0"/>
              <w:marBottom w:val="0"/>
              <w:divBdr>
                <w:top w:val="none" w:sz="0" w:space="0" w:color="auto"/>
                <w:left w:val="none" w:sz="0" w:space="0" w:color="auto"/>
                <w:bottom w:val="none" w:sz="0" w:space="0" w:color="auto"/>
                <w:right w:val="none" w:sz="0" w:space="0" w:color="auto"/>
              </w:divBdr>
            </w:div>
          </w:divsChild>
        </w:div>
        <w:div w:id="1997108845">
          <w:marLeft w:val="0"/>
          <w:marRight w:val="0"/>
          <w:marTop w:val="300"/>
          <w:marBottom w:val="300"/>
          <w:divBdr>
            <w:top w:val="none" w:sz="0" w:space="0" w:color="auto"/>
            <w:left w:val="none" w:sz="0" w:space="0" w:color="auto"/>
            <w:bottom w:val="none" w:sz="0" w:space="0" w:color="auto"/>
            <w:right w:val="none" w:sz="0" w:space="0" w:color="auto"/>
          </w:divBdr>
        </w:div>
        <w:div w:id="2008481820">
          <w:marLeft w:val="0"/>
          <w:marRight w:val="0"/>
          <w:marTop w:val="0"/>
          <w:marBottom w:val="0"/>
          <w:divBdr>
            <w:top w:val="none" w:sz="0" w:space="0" w:color="auto"/>
            <w:left w:val="none" w:sz="0" w:space="0" w:color="auto"/>
            <w:bottom w:val="none" w:sz="0" w:space="0" w:color="auto"/>
            <w:right w:val="none" w:sz="0" w:space="0" w:color="auto"/>
          </w:divBdr>
          <w:divsChild>
            <w:div w:id="1543903020">
              <w:marLeft w:val="0"/>
              <w:marRight w:val="0"/>
              <w:marTop w:val="0"/>
              <w:marBottom w:val="0"/>
              <w:divBdr>
                <w:top w:val="none" w:sz="0" w:space="0" w:color="auto"/>
                <w:left w:val="none" w:sz="0" w:space="0" w:color="auto"/>
                <w:bottom w:val="none" w:sz="0" w:space="0" w:color="auto"/>
                <w:right w:val="none" w:sz="0" w:space="0" w:color="auto"/>
              </w:divBdr>
            </w:div>
          </w:divsChild>
        </w:div>
        <w:div w:id="794636701">
          <w:marLeft w:val="0"/>
          <w:marRight w:val="0"/>
          <w:marTop w:val="0"/>
          <w:marBottom w:val="0"/>
          <w:divBdr>
            <w:top w:val="none" w:sz="0" w:space="0" w:color="auto"/>
            <w:left w:val="none" w:sz="0" w:space="0" w:color="auto"/>
            <w:bottom w:val="none" w:sz="0" w:space="0" w:color="auto"/>
            <w:right w:val="none" w:sz="0" w:space="0" w:color="auto"/>
          </w:divBdr>
          <w:divsChild>
            <w:div w:id="1169831477">
              <w:marLeft w:val="0"/>
              <w:marRight w:val="0"/>
              <w:marTop w:val="0"/>
              <w:marBottom w:val="0"/>
              <w:divBdr>
                <w:top w:val="none" w:sz="0" w:space="0" w:color="auto"/>
                <w:left w:val="none" w:sz="0" w:space="0" w:color="auto"/>
                <w:bottom w:val="none" w:sz="0" w:space="0" w:color="auto"/>
                <w:right w:val="none" w:sz="0" w:space="0" w:color="auto"/>
              </w:divBdr>
            </w:div>
          </w:divsChild>
        </w:div>
        <w:div w:id="141971521">
          <w:marLeft w:val="0"/>
          <w:marRight w:val="0"/>
          <w:marTop w:val="0"/>
          <w:marBottom w:val="0"/>
          <w:divBdr>
            <w:top w:val="none" w:sz="0" w:space="0" w:color="auto"/>
            <w:left w:val="none" w:sz="0" w:space="0" w:color="auto"/>
            <w:bottom w:val="none" w:sz="0" w:space="0" w:color="auto"/>
            <w:right w:val="none" w:sz="0" w:space="0" w:color="auto"/>
          </w:divBdr>
          <w:divsChild>
            <w:div w:id="1579944527">
              <w:marLeft w:val="0"/>
              <w:marRight w:val="0"/>
              <w:marTop w:val="0"/>
              <w:marBottom w:val="0"/>
              <w:divBdr>
                <w:top w:val="none" w:sz="0" w:space="0" w:color="auto"/>
                <w:left w:val="none" w:sz="0" w:space="0" w:color="auto"/>
                <w:bottom w:val="none" w:sz="0" w:space="0" w:color="auto"/>
                <w:right w:val="none" w:sz="0" w:space="0" w:color="auto"/>
              </w:divBdr>
            </w:div>
          </w:divsChild>
        </w:div>
        <w:div w:id="1970938208">
          <w:marLeft w:val="0"/>
          <w:marRight w:val="0"/>
          <w:marTop w:val="0"/>
          <w:marBottom w:val="0"/>
          <w:divBdr>
            <w:top w:val="none" w:sz="0" w:space="0" w:color="auto"/>
            <w:left w:val="none" w:sz="0" w:space="0" w:color="auto"/>
            <w:bottom w:val="none" w:sz="0" w:space="0" w:color="auto"/>
            <w:right w:val="none" w:sz="0" w:space="0" w:color="auto"/>
          </w:divBdr>
          <w:divsChild>
            <w:div w:id="1675180146">
              <w:marLeft w:val="0"/>
              <w:marRight w:val="0"/>
              <w:marTop w:val="0"/>
              <w:marBottom w:val="0"/>
              <w:divBdr>
                <w:top w:val="none" w:sz="0" w:space="0" w:color="auto"/>
                <w:left w:val="none" w:sz="0" w:space="0" w:color="auto"/>
                <w:bottom w:val="none" w:sz="0" w:space="0" w:color="auto"/>
                <w:right w:val="none" w:sz="0" w:space="0" w:color="auto"/>
              </w:divBdr>
            </w:div>
          </w:divsChild>
        </w:div>
        <w:div w:id="1573202907">
          <w:marLeft w:val="0"/>
          <w:marRight w:val="0"/>
          <w:marTop w:val="0"/>
          <w:marBottom w:val="0"/>
          <w:divBdr>
            <w:top w:val="none" w:sz="0" w:space="0" w:color="auto"/>
            <w:left w:val="none" w:sz="0" w:space="0" w:color="auto"/>
            <w:bottom w:val="none" w:sz="0" w:space="0" w:color="auto"/>
            <w:right w:val="none" w:sz="0" w:space="0" w:color="auto"/>
          </w:divBdr>
          <w:divsChild>
            <w:div w:id="2018191712">
              <w:marLeft w:val="0"/>
              <w:marRight w:val="0"/>
              <w:marTop w:val="0"/>
              <w:marBottom w:val="0"/>
              <w:divBdr>
                <w:top w:val="none" w:sz="0" w:space="0" w:color="auto"/>
                <w:left w:val="none" w:sz="0" w:space="0" w:color="auto"/>
                <w:bottom w:val="none" w:sz="0" w:space="0" w:color="auto"/>
                <w:right w:val="none" w:sz="0" w:space="0" w:color="auto"/>
              </w:divBdr>
            </w:div>
          </w:divsChild>
        </w:div>
        <w:div w:id="1811633968">
          <w:marLeft w:val="0"/>
          <w:marRight w:val="0"/>
          <w:marTop w:val="0"/>
          <w:marBottom w:val="0"/>
          <w:divBdr>
            <w:top w:val="none" w:sz="0" w:space="0" w:color="auto"/>
            <w:left w:val="none" w:sz="0" w:space="0" w:color="auto"/>
            <w:bottom w:val="none" w:sz="0" w:space="0" w:color="auto"/>
            <w:right w:val="none" w:sz="0" w:space="0" w:color="auto"/>
          </w:divBdr>
          <w:divsChild>
            <w:div w:id="160392722">
              <w:marLeft w:val="0"/>
              <w:marRight w:val="0"/>
              <w:marTop w:val="0"/>
              <w:marBottom w:val="0"/>
              <w:divBdr>
                <w:top w:val="none" w:sz="0" w:space="0" w:color="auto"/>
                <w:left w:val="none" w:sz="0" w:space="0" w:color="auto"/>
                <w:bottom w:val="none" w:sz="0" w:space="0" w:color="auto"/>
                <w:right w:val="none" w:sz="0" w:space="0" w:color="auto"/>
              </w:divBdr>
            </w:div>
          </w:divsChild>
        </w:div>
        <w:div w:id="1612131869">
          <w:marLeft w:val="0"/>
          <w:marRight w:val="0"/>
          <w:marTop w:val="0"/>
          <w:marBottom w:val="0"/>
          <w:divBdr>
            <w:top w:val="none" w:sz="0" w:space="0" w:color="auto"/>
            <w:left w:val="none" w:sz="0" w:space="0" w:color="auto"/>
            <w:bottom w:val="none" w:sz="0" w:space="0" w:color="auto"/>
            <w:right w:val="none" w:sz="0" w:space="0" w:color="auto"/>
          </w:divBdr>
          <w:divsChild>
            <w:div w:id="1709983998">
              <w:marLeft w:val="0"/>
              <w:marRight w:val="0"/>
              <w:marTop w:val="0"/>
              <w:marBottom w:val="0"/>
              <w:divBdr>
                <w:top w:val="none" w:sz="0" w:space="0" w:color="auto"/>
                <w:left w:val="none" w:sz="0" w:space="0" w:color="auto"/>
                <w:bottom w:val="none" w:sz="0" w:space="0" w:color="auto"/>
                <w:right w:val="none" w:sz="0" w:space="0" w:color="auto"/>
              </w:divBdr>
            </w:div>
          </w:divsChild>
        </w:div>
        <w:div w:id="632640532">
          <w:marLeft w:val="0"/>
          <w:marRight w:val="0"/>
          <w:marTop w:val="300"/>
          <w:marBottom w:val="300"/>
          <w:divBdr>
            <w:top w:val="none" w:sz="0" w:space="0" w:color="auto"/>
            <w:left w:val="none" w:sz="0" w:space="0" w:color="auto"/>
            <w:bottom w:val="none" w:sz="0" w:space="0" w:color="auto"/>
            <w:right w:val="none" w:sz="0" w:space="0" w:color="auto"/>
          </w:divBdr>
        </w:div>
        <w:div w:id="962539576">
          <w:marLeft w:val="0"/>
          <w:marRight w:val="0"/>
          <w:marTop w:val="0"/>
          <w:marBottom w:val="0"/>
          <w:divBdr>
            <w:top w:val="none" w:sz="0" w:space="0" w:color="auto"/>
            <w:left w:val="none" w:sz="0" w:space="0" w:color="auto"/>
            <w:bottom w:val="none" w:sz="0" w:space="0" w:color="auto"/>
            <w:right w:val="none" w:sz="0" w:space="0" w:color="auto"/>
          </w:divBdr>
          <w:divsChild>
            <w:div w:id="646545021">
              <w:marLeft w:val="0"/>
              <w:marRight w:val="0"/>
              <w:marTop w:val="0"/>
              <w:marBottom w:val="0"/>
              <w:divBdr>
                <w:top w:val="none" w:sz="0" w:space="0" w:color="auto"/>
                <w:left w:val="none" w:sz="0" w:space="0" w:color="auto"/>
                <w:bottom w:val="none" w:sz="0" w:space="0" w:color="auto"/>
                <w:right w:val="none" w:sz="0" w:space="0" w:color="auto"/>
              </w:divBdr>
            </w:div>
          </w:divsChild>
        </w:div>
        <w:div w:id="1433549072">
          <w:marLeft w:val="0"/>
          <w:marRight w:val="0"/>
          <w:marTop w:val="0"/>
          <w:marBottom w:val="0"/>
          <w:divBdr>
            <w:top w:val="none" w:sz="0" w:space="0" w:color="auto"/>
            <w:left w:val="none" w:sz="0" w:space="0" w:color="auto"/>
            <w:bottom w:val="none" w:sz="0" w:space="0" w:color="auto"/>
            <w:right w:val="none" w:sz="0" w:space="0" w:color="auto"/>
          </w:divBdr>
          <w:divsChild>
            <w:div w:id="1815831304">
              <w:marLeft w:val="0"/>
              <w:marRight w:val="0"/>
              <w:marTop w:val="0"/>
              <w:marBottom w:val="0"/>
              <w:divBdr>
                <w:top w:val="none" w:sz="0" w:space="0" w:color="auto"/>
                <w:left w:val="none" w:sz="0" w:space="0" w:color="auto"/>
                <w:bottom w:val="none" w:sz="0" w:space="0" w:color="auto"/>
                <w:right w:val="none" w:sz="0" w:space="0" w:color="auto"/>
              </w:divBdr>
            </w:div>
          </w:divsChild>
        </w:div>
        <w:div w:id="1033572571">
          <w:marLeft w:val="0"/>
          <w:marRight w:val="0"/>
          <w:marTop w:val="0"/>
          <w:marBottom w:val="0"/>
          <w:divBdr>
            <w:top w:val="none" w:sz="0" w:space="0" w:color="auto"/>
            <w:left w:val="none" w:sz="0" w:space="0" w:color="auto"/>
            <w:bottom w:val="none" w:sz="0" w:space="0" w:color="auto"/>
            <w:right w:val="none" w:sz="0" w:space="0" w:color="auto"/>
          </w:divBdr>
          <w:divsChild>
            <w:div w:id="1003438423">
              <w:marLeft w:val="0"/>
              <w:marRight w:val="0"/>
              <w:marTop w:val="0"/>
              <w:marBottom w:val="0"/>
              <w:divBdr>
                <w:top w:val="none" w:sz="0" w:space="0" w:color="auto"/>
                <w:left w:val="none" w:sz="0" w:space="0" w:color="auto"/>
                <w:bottom w:val="none" w:sz="0" w:space="0" w:color="auto"/>
                <w:right w:val="none" w:sz="0" w:space="0" w:color="auto"/>
              </w:divBdr>
            </w:div>
          </w:divsChild>
        </w:div>
        <w:div w:id="350955354">
          <w:marLeft w:val="0"/>
          <w:marRight w:val="0"/>
          <w:marTop w:val="0"/>
          <w:marBottom w:val="0"/>
          <w:divBdr>
            <w:top w:val="none" w:sz="0" w:space="0" w:color="auto"/>
            <w:left w:val="none" w:sz="0" w:space="0" w:color="auto"/>
            <w:bottom w:val="none" w:sz="0" w:space="0" w:color="auto"/>
            <w:right w:val="none" w:sz="0" w:space="0" w:color="auto"/>
          </w:divBdr>
          <w:divsChild>
            <w:div w:id="944655703">
              <w:marLeft w:val="0"/>
              <w:marRight w:val="0"/>
              <w:marTop w:val="0"/>
              <w:marBottom w:val="0"/>
              <w:divBdr>
                <w:top w:val="none" w:sz="0" w:space="0" w:color="auto"/>
                <w:left w:val="none" w:sz="0" w:space="0" w:color="auto"/>
                <w:bottom w:val="none" w:sz="0" w:space="0" w:color="auto"/>
                <w:right w:val="none" w:sz="0" w:space="0" w:color="auto"/>
              </w:divBdr>
            </w:div>
          </w:divsChild>
        </w:div>
        <w:div w:id="2105690085">
          <w:marLeft w:val="0"/>
          <w:marRight w:val="0"/>
          <w:marTop w:val="0"/>
          <w:marBottom w:val="0"/>
          <w:divBdr>
            <w:top w:val="none" w:sz="0" w:space="0" w:color="auto"/>
            <w:left w:val="none" w:sz="0" w:space="0" w:color="auto"/>
            <w:bottom w:val="none" w:sz="0" w:space="0" w:color="auto"/>
            <w:right w:val="none" w:sz="0" w:space="0" w:color="auto"/>
          </w:divBdr>
          <w:divsChild>
            <w:div w:id="896284259">
              <w:marLeft w:val="0"/>
              <w:marRight w:val="0"/>
              <w:marTop w:val="0"/>
              <w:marBottom w:val="0"/>
              <w:divBdr>
                <w:top w:val="none" w:sz="0" w:space="0" w:color="auto"/>
                <w:left w:val="none" w:sz="0" w:space="0" w:color="auto"/>
                <w:bottom w:val="none" w:sz="0" w:space="0" w:color="auto"/>
                <w:right w:val="none" w:sz="0" w:space="0" w:color="auto"/>
              </w:divBdr>
            </w:div>
          </w:divsChild>
        </w:div>
        <w:div w:id="1574508112">
          <w:marLeft w:val="0"/>
          <w:marRight w:val="0"/>
          <w:marTop w:val="0"/>
          <w:marBottom w:val="0"/>
          <w:divBdr>
            <w:top w:val="none" w:sz="0" w:space="0" w:color="auto"/>
            <w:left w:val="none" w:sz="0" w:space="0" w:color="auto"/>
            <w:bottom w:val="none" w:sz="0" w:space="0" w:color="auto"/>
            <w:right w:val="none" w:sz="0" w:space="0" w:color="auto"/>
          </w:divBdr>
          <w:divsChild>
            <w:div w:id="1252859415">
              <w:marLeft w:val="0"/>
              <w:marRight w:val="0"/>
              <w:marTop w:val="0"/>
              <w:marBottom w:val="0"/>
              <w:divBdr>
                <w:top w:val="none" w:sz="0" w:space="0" w:color="auto"/>
                <w:left w:val="none" w:sz="0" w:space="0" w:color="auto"/>
                <w:bottom w:val="none" w:sz="0" w:space="0" w:color="auto"/>
                <w:right w:val="none" w:sz="0" w:space="0" w:color="auto"/>
              </w:divBdr>
            </w:div>
          </w:divsChild>
        </w:div>
        <w:div w:id="180050089">
          <w:marLeft w:val="0"/>
          <w:marRight w:val="0"/>
          <w:marTop w:val="0"/>
          <w:marBottom w:val="0"/>
          <w:divBdr>
            <w:top w:val="none" w:sz="0" w:space="0" w:color="auto"/>
            <w:left w:val="none" w:sz="0" w:space="0" w:color="auto"/>
            <w:bottom w:val="none" w:sz="0" w:space="0" w:color="auto"/>
            <w:right w:val="none" w:sz="0" w:space="0" w:color="auto"/>
          </w:divBdr>
          <w:divsChild>
            <w:div w:id="427042262">
              <w:marLeft w:val="0"/>
              <w:marRight w:val="0"/>
              <w:marTop w:val="0"/>
              <w:marBottom w:val="0"/>
              <w:divBdr>
                <w:top w:val="none" w:sz="0" w:space="0" w:color="auto"/>
                <w:left w:val="none" w:sz="0" w:space="0" w:color="auto"/>
                <w:bottom w:val="none" w:sz="0" w:space="0" w:color="auto"/>
                <w:right w:val="none" w:sz="0" w:space="0" w:color="auto"/>
              </w:divBdr>
            </w:div>
          </w:divsChild>
        </w:div>
        <w:div w:id="1085686235">
          <w:marLeft w:val="0"/>
          <w:marRight w:val="0"/>
          <w:marTop w:val="0"/>
          <w:marBottom w:val="0"/>
          <w:divBdr>
            <w:top w:val="none" w:sz="0" w:space="0" w:color="auto"/>
            <w:left w:val="none" w:sz="0" w:space="0" w:color="auto"/>
            <w:bottom w:val="none" w:sz="0" w:space="0" w:color="auto"/>
            <w:right w:val="none" w:sz="0" w:space="0" w:color="auto"/>
          </w:divBdr>
          <w:divsChild>
            <w:div w:id="1554465451">
              <w:marLeft w:val="0"/>
              <w:marRight w:val="0"/>
              <w:marTop w:val="0"/>
              <w:marBottom w:val="0"/>
              <w:divBdr>
                <w:top w:val="none" w:sz="0" w:space="0" w:color="auto"/>
                <w:left w:val="none" w:sz="0" w:space="0" w:color="auto"/>
                <w:bottom w:val="none" w:sz="0" w:space="0" w:color="auto"/>
                <w:right w:val="none" w:sz="0" w:space="0" w:color="auto"/>
              </w:divBdr>
            </w:div>
          </w:divsChild>
        </w:div>
        <w:div w:id="355616556">
          <w:marLeft w:val="0"/>
          <w:marRight w:val="0"/>
          <w:marTop w:val="300"/>
          <w:marBottom w:val="300"/>
          <w:divBdr>
            <w:top w:val="none" w:sz="0" w:space="0" w:color="auto"/>
            <w:left w:val="none" w:sz="0" w:space="0" w:color="auto"/>
            <w:bottom w:val="none" w:sz="0" w:space="0" w:color="auto"/>
            <w:right w:val="none" w:sz="0" w:space="0" w:color="auto"/>
          </w:divBdr>
        </w:div>
        <w:div w:id="292254870">
          <w:marLeft w:val="0"/>
          <w:marRight w:val="0"/>
          <w:marTop w:val="0"/>
          <w:marBottom w:val="0"/>
          <w:divBdr>
            <w:top w:val="none" w:sz="0" w:space="0" w:color="auto"/>
            <w:left w:val="none" w:sz="0" w:space="0" w:color="auto"/>
            <w:bottom w:val="none" w:sz="0" w:space="0" w:color="auto"/>
            <w:right w:val="none" w:sz="0" w:space="0" w:color="auto"/>
          </w:divBdr>
          <w:divsChild>
            <w:div w:id="113671514">
              <w:marLeft w:val="0"/>
              <w:marRight w:val="0"/>
              <w:marTop w:val="0"/>
              <w:marBottom w:val="0"/>
              <w:divBdr>
                <w:top w:val="none" w:sz="0" w:space="0" w:color="auto"/>
                <w:left w:val="none" w:sz="0" w:space="0" w:color="auto"/>
                <w:bottom w:val="none" w:sz="0" w:space="0" w:color="auto"/>
                <w:right w:val="none" w:sz="0" w:space="0" w:color="auto"/>
              </w:divBdr>
            </w:div>
          </w:divsChild>
        </w:div>
        <w:div w:id="2032491331">
          <w:marLeft w:val="0"/>
          <w:marRight w:val="0"/>
          <w:marTop w:val="0"/>
          <w:marBottom w:val="0"/>
          <w:divBdr>
            <w:top w:val="none" w:sz="0" w:space="0" w:color="auto"/>
            <w:left w:val="none" w:sz="0" w:space="0" w:color="auto"/>
            <w:bottom w:val="none" w:sz="0" w:space="0" w:color="auto"/>
            <w:right w:val="none" w:sz="0" w:space="0" w:color="auto"/>
          </w:divBdr>
          <w:divsChild>
            <w:div w:id="1261793518">
              <w:marLeft w:val="0"/>
              <w:marRight w:val="0"/>
              <w:marTop w:val="0"/>
              <w:marBottom w:val="0"/>
              <w:divBdr>
                <w:top w:val="none" w:sz="0" w:space="0" w:color="auto"/>
                <w:left w:val="none" w:sz="0" w:space="0" w:color="auto"/>
                <w:bottom w:val="none" w:sz="0" w:space="0" w:color="auto"/>
                <w:right w:val="none" w:sz="0" w:space="0" w:color="auto"/>
              </w:divBdr>
            </w:div>
          </w:divsChild>
        </w:div>
        <w:div w:id="539901375">
          <w:marLeft w:val="0"/>
          <w:marRight w:val="0"/>
          <w:marTop w:val="0"/>
          <w:marBottom w:val="0"/>
          <w:divBdr>
            <w:top w:val="none" w:sz="0" w:space="0" w:color="auto"/>
            <w:left w:val="none" w:sz="0" w:space="0" w:color="auto"/>
            <w:bottom w:val="none" w:sz="0" w:space="0" w:color="auto"/>
            <w:right w:val="none" w:sz="0" w:space="0" w:color="auto"/>
          </w:divBdr>
          <w:divsChild>
            <w:div w:id="1003627793">
              <w:marLeft w:val="0"/>
              <w:marRight w:val="0"/>
              <w:marTop w:val="0"/>
              <w:marBottom w:val="0"/>
              <w:divBdr>
                <w:top w:val="none" w:sz="0" w:space="0" w:color="auto"/>
                <w:left w:val="none" w:sz="0" w:space="0" w:color="auto"/>
                <w:bottom w:val="none" w:sz="0" w:space="0" w:color="auto"/>
                <w:right w:val="none" w:sz="0" w:space="0" w:color="auto"/>
              </w:divBdr>
            </w:div>
          </w:divsChild>
        </w:div>
        <w:div w:id="1595747817">
          <w:marLeft w:val="0"/>
          <w:marRight w:val="0"/>
          <w:marTop w:val="300"/>
          <w:marBottom w:val="300"/>
          <w:divBdr>
            <w:top w:val="none" w:sz="0" w:space="0" w:color="auto"/>
            <w:left w:val="none" w:sz="0" w:space="0" w:color="auto"/>
            <w:bottom w:val="none" w:sz="0" w:space="0" w:color="auto"/>
            <w:right w:val="none" w:sz="0" w:space="0" w:color="auto"/>
          </w:divBdr>
        </w:div>
        <w:div w:id="1002859637">
          <w:marLeft w:val="0"/>
          <w:marRight w:val="0"/>
          <w:marTop w:val="0"/>
          <w:marBottom w:val="0"/>
          <w:divBdr>
            <w:top w:val="none" w:sz="0" w:space="0" w:color="auto"/>
            <w:left w:val="none" w:sz="0" w:space="0" w:color="auto"/>
            <w:bottom w:val="none" w:sz="0" w:space="0" w:color="auto"/>
            <w:right w:val="none" w:sz="0" w:space="0" w:color="auto"/>
          </w:divBdr>
          <w:divsChild>
            <w:div w:id="1782139931">
              <w:marLeft w:val="0"/>
              <w:marRight w:val="0"/>
              <w:marTop w:val="0"/>
              <w:marBottom w:val="0"/>
              <w:divBdr>
                <w:top w:val="none" w:sz="0" w:space="0" w:color="auto"/>
                <w:left w:val="none" w:sz="0" w:space="0" w:color="auto"/>
                <w:bottom w:val="none" w:sz="0" w:space="0" w:color="auto"/>
                <w:right w:val="none" w:sz="0" w:space="0" w:color="auto"/>
              </w:divBdr>
            </w:div>
          </w:divsChild>
        </w:div>
        <w:div w:id="790321455">
          <w:marLeft w:val="0"/>
          <w:marRight w:val="0"/>
          <w:marTop w:val="0"/>
          <w:marBottom w:val="0"/>
          <w:divBdr>
            <w:top w:val="none" w:sz="0" w:space="0" w:color="auto"/>
            <w:left w:val="none" w:sz="0" w:space="0" w:color="auto"/>
            <w:bottom w:val="none" w:sz="0" w:space="0" w:color="auto"/>
            <w:right w:val="none" w:sz="0" w:space="0" w:color="auto"/>
          </w:divBdr>
          <w:divsChild>
            <w:div w:id="1678653999">
              <w:marLeft w:val="0"/>
              <w:marRight w:val="0"/>
              <w:marTop w:val="0"/>
              <w:marBottom w:val="0"/>
              <w:divBdr>
                <w:top w:val="none" w:sz="0" w:space="0" w:color="auto"/>
                <w:left w:val="none" w:sz="0" w:space="0" w:color="auto"/>
                <w:bottom w:val="none" w:sz="0" w:space="0" w:color="auto"/>
                <w:right w:val="none" w:sz="0" w:space="0" w:color="auto"/>
              </w:divBdr>
            </w:div>
          </w:divsChild>
        </w:div>
        <w:div w:id="1437141075">
          <w:marLeft w:val="0"/>
          <w:marRight w:val="0"/>
          <w:marTop w:val="0"/>
          <w:marBottom w:val="0"/>
          <w:divBdr>
            <w:top w:val="none" w:sz="0" w:space="0" w:color="auto"/>
            <w:left w:val="none" w:sz="0" w:space="0" w:color="auto"/>
            <w:bottom w:val="none" w:sz="0" w:space="0" w:color="auto"/>
            <w:right w:val="none" w:sz="0" w:space="0" w:color="auto"/>
          </w:divBdr>
          <w:divsChild>
            <w:div w:id="176769812">
              <w:marLeft w:val="0"/>
              <w:marRight w:val="0"/>
              <w:marTop w:val="0"/>
              <w:marBottom w:val="0"/>
              <w:divBdr>
                <w:top w:val="none" w:sz="0" w:space="0" w:color="auto"/>
                <w:left w:val="none" w:sz="0" w:space="0" w:color="auto"/>
                <w:bottom w:val="none" w:sz="0" w:space="0" w:color="auto"/>
                <w:right w:val="none" w:sz="0" w:space="0" w:color="auto"/>
              </w:divBdr>
            </w:div>
          </w:divsChild>
        </w:div>
        <w:div w:id="159656980">
          <w:marLeft w:val="0"/>
          <w:marRight w:val="0"/>
          <w:marTop w:val="0"/>
          <w:marBottom w:val="0"/>
          <w:divBdr>
            <w:top w:val="none" w:sz="0" w:space="0" w:color="auto"/>
            <w:left w:val="none" w:sz="0" w:space="0" w:color="auto"/>
            <w:bottom w:val="none" w:sz="0" w:space="0" w:color="auto"/>
            <w:right w:val="none" w:sz="0" w:space="0" w:color="auto"/>
          </w:divBdr>
          <w:divsChild>
            <w:div w:id="1907295893">
              <w:marLeft w:val="0"/>
              <w:marRight w:val="0"/>
              <w:marTop w:val="0"/>
              <w:marBottom w:val="0"/>
              <w:divBdr>
                <w:top w:val="none" w:sz="0" w:space="0" w:color="auto"/>
                <w:left w:val="none" w:sz="0" w:space="0" w:color="auto"/>
                <w:bottom w:val="none" w:sz="0" w:space="0" w:color="auto"/>
                <w:right w:val="none" w:sz="0" w:space="0" w:color="auto"/>
              </w:divBdr>
            </w:div>
          </w:divsChild>
        </w:div>
        <w:div w:id="1674186936">
          <w:marLeft w:val="0"/>
          <w:marRight w:val="0"/>
          <w:marTop w:val="0"/>
          <w:marBottom w:val="0"/>
          <w:divBdr>
            <w:top w:val="none" w:sz="0" w:space="0" w:color="auto"/>
            <w:left w:val="none" w:sz="0" w:space="0" w:color="auto"/>
            <w:bottom w:val="none" w:sz="0" w:space="0" w:color="auto"/>
            <w:right w:val="none" w:sz="0" w:space="0" w:color="auto"/>
          </w:divBdr>
          <w:divsChild>
            <w:div w:id="271405494">
              <w:marLeft w:val="0"/>
              <w:marRight w:val="0"/>
              <w:marTop w:val="0"/>
              <w:marBottom w:val="0"/>
              <w:divBdr>
                <w:top w:val="none" w:sz="0" w:space="0" w:color="auto"/>
                <w:left w:val="none" w:sz="0" w:space="0" w:color="auto"/>
                <w:bottom w:val="none" w:sz="0" w:space="0" w:color="auto"/>
                <w:right w:val="none" w:sz="0" w:space="0" w:color="auto"/>
              </w:divBdr>
            </w:div>
          </w:divsChild>
        </w:div>
        <w:div w:id="2127121101">
          <w:marLeft w:val="0"/>
          <w:marRight w:val="0"/>
          <w:marTop w:val="0"/>
          <w:marBottom w:val="0"/>
          <w:divBdr>
            <w:top w:val="none" w:sz="0" w:space="0" w:color="auto"/>
            <w:left w:val="none" w:sz="0" w:space="0" w:color="auto"/>
            <w:bottom w:val="none" w:sz="0" w:space="0" w:color="auto"/>
            <w:right w:val="none" w:sz="0" w:space="0" w:color="auto"/>
          </w:divBdr>
          <w:divsChild>
            <w:div w:id="2048682371">
              <w:marLeft w:val="0"/>
              <w:marRight w:val="0"/>
              <w:marTop w:val="0"/>
              <w:marBottom w:val="0"/>
              <w:divBdr>
                <w:top w:val="none" w:sz="0" w:space="0" w:color="auto"/>
                <w:left w:val="none" w:sz="0" w:space="0" w:color="auto"/>
                <w:bottom w:val="none" w:sz="0" w:space="0" w:color="auto"/>
                <w:right w:val="none" w:sz="0" w:space="0" w:color="auto"/>
              </w:divBdr>
            </w:div>
          </w:divsChild>
        </w:div>
        <w:div w:id="2044475929">
          <w:marLeft w:val="0"/>
          <w:marRight w:val="0"/>
          <w:marTop w:val="0"/>
          <w:marBottom w:val="0"/>
          <w:divBdr>
            <w:top w:val="none" w:sz="0" w:space="0" w:color="auto"/>
            <w:left w:val="none" w:sz="0" w:space="0" w:color="auto"/>
            <w:bottom w:val="none" w:sz="0" w:space="0" w:color="auto"/>
            <w:right w:val="none" w:sz="0" w:space="0" w:color="auto"/>
          </w:divBdr>
          <w:divsChild>
            <w:div w:id="962073888">
              <w:marLeft w:val="0"/>
              <w:marRight w:val="0"/>
              <w:marTop w:val="0"/>
              <w:marBottom w:val="0"/>
              <w:divBdr>
                <w:top w:val="none" w:sz="0" w:space="0" w:color="auto"/>
                <w:left w:val="none" w:sz="0" w:space="0" w:color="auto"/>
                <w:bottom w:val="none" w:sz="0" w:space="0" w:color="auto"/>
                <w:right w:val="none" w:sz="0" w:space="0" w:color="auto"/>
              </w:divBdr>
            </w:div>
          </w:divsChild>
        </w:div>
        <w:div w:id="1477649622">
          <w:marLeft w:val="0"/>
          <w:marRight w:val="0"/>
          <w:marTop w:val="0"/>
          <w:marBottom w:val="0"/>
          <w:divBdr>
            <w:top w:val="none" w:sz="0" w:space="0" w:color="auto"/>
            <w:left w:val="none" w:sz="0" w:space="0" w:color="auto"/>
            <w:bottom w:val="none" w:sz="0" w:space="0" w:color="auto"/>
            <w:right w:val="none" w:sz="0" w:space="0" w:color="auto"/>
          </w:divBdr>
          <w:divsChild>
            <w:div w:id="1783956482">
              <w:marLeft w:val="0"/>
              <w:marRight w:val="0"/>
              <w:marTop w:val="0"/>
              <w:marBottom w:val="0"/>
              <w:divBdr>
                <w:top w:val="none" w:sz="0" w:space="0" w:color="auto"/>
                <w:left w:val="none" w:sz="0" w:space="0" w:color="auto"/>
                <w:bottom w:val="none" w:sz="0" w:space="0" w:color="auto"/>
                <w:right w:val="none" w:sz="0" w:space="0" w:color="auto"/>
              </w:divBdr>
            </w:div>
          </w:divsChild>
        </w:div>
        <w:div w:id="2092771818">
          <w:marLeft w:val="0"/>
          <w:marRight w:val="0"/>
          <w:marTop w:val="0"/>
          <w:marBottom w:val="0"/>
          <w:divBdr>
            <w:top w:val="none" w:sz="0" w:space="0" w:color="auto"/>
            <w:left w:val="none" w:sz="0" w:space="0" w:color="auto"/>
            <w:bottom w:val="none" w:sz="0" w:space="0" w:color="auto"/>
            <w:right w:val="none" w:sz="0" w:space="0" w:color="auto"/>
          </w:divBdr>
          <w:divsChild>
            <w:div w:id="795611170">
              <w:marLeft w:val="0"/>
              <w:marRight w:val="0"/>
              <w:marTop w:val="0"/>
              <w:marBottom w:val="0"/>
              <w:divBdr>
                <w:top w:val="none" w:sz="0" w:space="0" w:color="auto"/>
                <w:left w:val="none" w:sz="0" w:space="0" w:color="auto"/>
                <w:bottom w:val="none" w:sz="0" w:space="0" w:color="auto"/>
                <w:right w:val="none" w:sz="0" w:space="0" w:color="auto"/>
              </w:divBdr>
            </w:div>
          </w:divsChild>
        </w:div>
        <w:div w:id="865678760">
          <w:marLeft w:val="0"/>
          <w:marRight w:val="0"/>
          <w:marTop w:val="0"/>
          <w:marBottom w:val="0"/>
          <w:divBdr>
            <w:top w:val="none" w:sz="0" w:space="0" w:color="auto"/>
            <w:left w:val="none" w:sz="0" w:space="0" w:color="auto"/>
            <w:bottom w:val="none" w:sz="0" w:space="0" w:color="auto"/>
            <w:right w:val="none" w:sz="0" w:space="0" w:color="auto"/>
          </w:divBdr>
          <w:divsChild>
            <w:div w:id="120271009">
              <w:marLeft w:val="0"/>
              <w:marRight w:val="0"/>
              <w:marTop w:val="0"/>
              <w:marBottom w:val="0"/>
              <w:divBdr>
                <w:top w:val="none" w:sz="0" w:space="0" w:color="auto"/>
                <w:left w:val="none" w:sz="0" w:space="0" w:color="auto"/>
                <w:bottom w:val="none" w:sz="0" w:space="0" w:color="auto"/>
                <w:right w:val="none" w:sz="0" w:space="0" w:color="auto"/>
              </w:divBdr>
            </w:div>
          </w:divsChild>
        </w:div>
        <w:div w:id="1929001710">
          <w:marLeft w:val="0"/>
          <w:marRight w:val="0"/>
          <w:marTop w:val="300"/>
          <w:marBottom w:val="300"/>
          <w:divBdr>
            <w:top w:val="none" w:sz="0" w:space="0" w:color="auto"/>
            <w:left w:val="none" w:sz="0" w:space="0" w:color="auto"/>
            <w:bottom w:val="none" w:sz="0" w:space="0" w:color="auto"/>
            <w:right w:val="none" w:sz="0" w:space="0" w:color="auto"/>
          </w:divBdr>
        </w:div>
        <w:div w:id="914751750">
          <w:marLeft w:val="0"/>
          <w:marRight w:val="0"/>
          <w:marTop w:val="0"/>
          <w:marBottom w:val="0"/>
          <w:divBdr>
            <w:top w:val="none" w:sz="0" w:space="0" w:color="auto"/>
            <w:left w:val="none" w:sz="0" w:space="0" w:color="auto"/>
            <w:bottom w:val="none" w:sz="0" w:space="0" w:color="auto"/>
            <w:right w:val="none" w:sz="0" w:space="0" w:color="auto"/>
          </w:divBdr>
          <w:divsChild>
            <w:div w:id="1586109553">
              <w:marLeft w:val="0"/>
              <w:marRight w:val="0"/>
              <w:marTop w:val="0"/>
              <w:marBottom w:val="0"/>
              <w:divBdr>
                <w:top w:val="none" w:sz="0" w:space="0" w:color="auto"/>
                <w:left w:val="none" w:sz="0" w:space="0" w:color="auto"/>
                <w:bottom w:val="none" w:sz="0" w:space="0" w:color="auto"/>
                <w:right w:val="none" w:sz="0" w:space="0" w:color="auto"/>
              </w:divBdr>
            </w:div>
          </w:divsChild>
        </w:div>
        <w:div w:id="1400863110">
          <w:marLeft w:val="0"/>
          <w:marRight w:val="0"/>
          <w:marTop w:val="0"/>
          <w:marBottom w:val="0"/>
          <w:divBdr>
            <w:top w:val="none" w:sz="0" w:space="0" w:color="auto"/>
            <w:left w:val="none" w:sz="0" w:space="0" w:color="auto"/>
            <w:bottom w:val="none" w:sz="0" w:space="0" w:color="auto"/>
            <w:right w:val="none" w:sz="0" w:space="0" w:color="auto"/>
          </w:divBdr>
          <w:divsChild>
            <w:div w:id="1032416996">
              <w:marLeft w:val="0"/>
              <w:marRight w:val="0"/>
              <w:marTop w:val="0"/>
              <w:marBottom w:val="0"/>
              <w:divBdr>
                <w:top w:val="none" w:sz="0" w:space="0" w:color="auto"/>
                <w:left w:val="none" w:sz="0" w:space="0" w:color="auto"/>
                <w:bottom w:val="none" w:sz="0" w:space="0" w:color="auto"/>
                <w:right w:val="none" w:sz="0" w:space="0" w:color="auto"/>
              </w:divBdr>
            </w:div>
          </w:divsChild>
        </w:div>
        <w:div w:id="1420178383">
          <w:marLeft w:val="0"/>
          <w:marRight w:val="0"/>
          <w:marTop w:val="0"/>
          <w:marBottom w:val="0"/>
          <w:divBdr>
            <w:top w:val="none" w:sz="0" w:space="0" w:color="auto"/>
            <w:left w:val="none" w:sz="0" w:space="0" w:color="auto"/>
            <w:bottom w:val="none" w:sz="0" w:space="0" w:color="auto"/>
            <w:right w:val="none" w:sz="0" w:space="0" w:color="auto"/>
          </w:divBdr>
          <w:divsChild>
            <w:div w:id="1093091104">
              <w:marLeft w:val="0"/>
              <w:marRight w:val="0"/>
              <w:marTop w:val="0"/>
              <w:marBottom w:val="0"/>
              <w:divBdr>
                <w:top w:val="none" w:sz="0" w:space="0" w:color="auto"/>
                <w:left w:val="none" w:sz="0" w:space="0" w:color="auto"/>
                <w:bottom w:val="none" w:sz="0" w:space="0" w:color="auto"/>
                <w:right w:val="none" w:sz="0" w:space="0" w:color="auto"/>
              </w:divBdr>
            </w:div>
          </w:divsChild>
        </w:div>
        <w:div w:id="373503262">
          <w:marLeft w:val="0"/>
          <w:marRight w:val="0"/>
          <w:marTop w:val="300"/>
          <w:marBottom w:val="300"/>
          <w:divBdr>
            <w:top w:val="none" w:sz="0" w:space="0" w:color="auto"/>
            <w:left w:val="none" w:sz="0" w:space="0" w:color="auto"/>
            <w:bottom w:val="none" w:sz="0" w:space="0" w:color="auto"/>
            <w:right w:val="none" w:sz="0" w:space="0" w:color="auto"/>
          </w:divBdr>
        </w:div>
        <w:div w:id="527645185">
          <w:marLeft w:val="0"/>
          <w:marRight w:val="0"/>
          <w:marTop w:val="0"/>
          <w:marBottom w:val="0"/>
          <w:divBdr>
            <w:top w:val="none" w:sz="0" w:space="0" w:color="auto"/>
            <w:left w:val="none" w:sz="0" w:space="0" w:color="auto"/>
            <w:bottom w:val="none" w:sz="0" w:space="0" w:color="auto"/>
            <w:right w:val="none" w:sz="0" w:space="0" w:color="auto"/>
          </w:divBdr>
          <w:divsChild>
            <w:div w:id="1232352597">
              <w:marLeft w:val="0"/>
              <w:marRight w:val="0"/>
              <w:marTop w:val="0"/>
              <w:marBottom w:val="0"/>
              <w:divBdr>
                <w:top w:val="none" w:sz="0" w:space="0" w:color="auto"/>
                <w:left w:val="none" w:sz="0" w:space="0" w:color="auto"/>
                <w:bottom w:val="none" w:sz="0" w:space="0" w:color="auto"/>
                <w:right w:val="none" w:sz="0" w:space="0" w:color="auto"/>
              </w:divBdr>
            </w:div>
          </w:divsChild>
        </w:div>
        <w:div w:id="43064047">
          <w:marLeft w:val="0"/>
          <w:marRight w:val="0"/>
          <w:marTop w:val="0"/>
          <w:marBottom w:val="0"/>
          <w:divBdr>
            <w:top w:val="none" w:sz="0" w:space="0" w:color="auto"/>
            <w:left w:val="none" w:sz="0" w:space="0" w:color="auto"/>
            <w:bottom w:val="none" w:sz="0" w:space="0" w:color="auto"/>
            <w:right w:val="none" w:sz="0" w:space="0" w:color="auto"/>
          </w:divBdr>
          <w:divsChild>
            <w:div w:id="1627271388">
              <w:marLeft w:val="0"/>
              <w:marRight w:val="0"/>
              <w:marTop w:val="0"/>
              <w:marBottom w:val="0"/>
              <w:divBdr>
                <w:top w:val="none" w:sz="0" w:space="0" w:color="auto"/>
                <w:left w:val="none" w:sz="0" w:space="0" w:color="auto"/>
                <w:bottom w:val="none" w:sz="0" w:space="0" w:color="auto"/>
                <w:right w:val="none" w:sz="0" w:space="0" w:color="auto"/>
              </w:divBdr>
            </w:div>
          </w:divsChild>
        </w:div>
        <w:div w:id="22483793">
          <w:marLeft w:val="0"/>
          <w:marRight w:val="0"/>
          <w:marTop w:val="0"/>
          <w:marBottom w:val="0"/>
          <w:divBdr>
            <w:top w:val="none" w:sz="0" w:space="0" w:color="auto"/>
            <w:left w:val="none" w:sz="0" w:space="0" w:color="auto"/>
            <w:bottom w:val="none" w:sz="0" w:space="0" w:color="auto"/>
            <w:right w:val="none" w:sz="0" w:space="0" w:color="auto"/>
          </w:divBdr>
          <w:divsChild>
            <w:div w:id="1566645610">
              <w:marLeft w:val="0"/>
              <w:marRight w:val="0"/>
              <w:marTop w:val="0"/>
              <w:marBottom w:val="0"/>
              <w:divBdr>
                <w:top w:val="none" w:sz="0" w:space="0" w:color="auto"/>
                <w:left w:val="none" w:sz="0" w:space="0" w:color="auto"/>
                <w:bottom w:val="none" w:sz="0" w:space="0" w:color="auto"/>
                <w:right w:val="none" w:sz="0" w:space="0" w:color="auto"/>
              </w:divBdr>
            </w:div>
          </w:divsChild>
        </w:div>
        <w:div w:id="1260019336">
          <w:marLeft w:val="0"/>
          <w:marRight w:val="0"/>
          <w:marTop w:val="0"/>
          <w:marBottom w:val="0"/>
          <w:divBdr>
            <w:top w:val="none" w:sz="0" w:space="0" w:color="auto"/>
            <w:left w:val="none" w:sz="0" w:space="0" w:color="auto"/>
            <w:bottom w:val="none" w:sz="0" w:space="0" w:color="auto"/>
            <w:right w:val="none" w:sz="0" w:space="0" w:color="auto"/>
          </w:divBdr>
          <w:divsChild>
            <w:div w:id="466626251">
              <w:marLeft w:val="0"/>
              <w:marRight w:val="0"/>
              <w:marTop w:val="0"/>
              <w:marBottom w:val="0"/>
              <w:divBdr>
                <w:top w:val="none" w:sz="0" w:space="0" w:color="auto"/>
                <w:left w:val="none" w:sz="0" w:space="0" w:color="auto"/>
                <w:bottom w:val="none" w:sz="0" w:space="0" w:color="auto"/>
                <w:right w:val="none" w:sz="0" w:space="0" w:color="auto"/>
              </w:divBdr>
            </w:div>
          </w:divsChild>
        </w:div>
        <w:div w:id="796991243">
          <w:marLeft w:val="0"/>
          <w:marRight w:val="0"/>
          <w:marTop w:val="0"/>
          <w:marBottom w:val="0"/>
          <w:divBdr>
            <w:top w:val="none" w:sz="0" w:space="0" w:color="auto"/>
            <w:left w:val="none" w:sz="0" w:space="0" w:color="auto"/>
            <w:bottom w:val="none" w:sz="0" w:space="0" w:color="auto"/>
            <w:right w:val="none" w:sz="0" w:space="0" w:color="auto"/>
          </w:divBdr>
          <w:divsChild>
            <w:div w:id="1028145274">
              <w:marLeft w:val="0"/>
              <w:marRight w:val="0"/>
              <w:marTop w:val="0"/>
              <w:marBottom w:val="0"/>
              <w:divBdr>
                <w:top w:val="none" w:sz="0" w:space="0" w:color="auto"/>
                <w:left w:val="none" w:sz="0" w:space="0" w:color="auto"/>
                <w:bottom w:val="none" w:sz="0" w:space="0" w:color="auto"/>
                <w:right w:val="none" w:sz="0" w:space="0" w:color="auto"/>
              </w:divBdr>
            </w:div>
          </w:divsChild>
        </w:div>
        <w:div w:id="769004631">
          <w:marLeft w:val="0"/>
          <w:marRight w:val="0"/>
          <w:marTop w:val="0"/>
          <w:marBottom w:val="0"/>
          <w:divBdr>
            <w:top w:val="none" w:sz="0" w:space="0" w:color="auto"/>
            <w:left w:val="none" w:sz="0" w:space="0" w:color="auto"/>
            <w:bottom w:val="none" w:sz="0" w:space="0" w:color="auto"/>
            <w:right w:val="none" w:sz="0" w:space="0" w:color="auto"/>
          </w:divBdr>
          <w:divsChild>
            <w:div w:id="1913394612">
              <w:marLeft w:val="0"/>
              <w:marRight w:val="0"/>
              <w:marTop w:val="0"/>
              <w:marBottom w:val="0"/>
              <w:divBdr>
                <w:top w:val="none" w:sz="0" w:space="0" w:color="auto"/>
                <w:left w:val="none" w:sz="0" w:space="0" w:color="auto"/>
                <w:bottom w:val="none" w:sz="0" w:space="0" w:color="auto"/>
                <w:right w:val="none" w:sz="0" w:space="0" w:color="auto"/>
              </w:divBdr>
            </w:div>
          </w:divsChild>
        </w:div>
        <w:div w:id="1737315475">
          <w:marLeft w:val="0"/>
          <w:marRight w:val="0"/>
          <w:marTop w:val="300"/>
          <w:marBottom w:val="300"/>
          <w:divBdr>
            <w:top w:val="none" w:sz="0" w:space="0" w:color="auto"/>
            <w:left w:val="none" w:sz="0" w:space="0" w:color="auto"/>
            <w:bottom w:val="none" w:sz="0" w:space="0" w:color="auto"/>
            <w:right w:val="none" w:sz="0" w:space="0" w:color="auto"/>
          </w:divBdr>
        </w:div>
        <w:div w:id="1653831542">
          <w:marLeft w:val="0"/>
          <w:marRight w:val="0"/>
          <w:marTop w:val="0"/>
          <w:marBottom w:val="0"/>
          <w:divBdr>
            <w:top w:val="none" w:sz="0" w:space="0" w:color="auto"/>
            <w:left w:val="none" w:sz="0" w:space="0" w:color="auto"/>
            <w:bottom w:val="none" w:sz="0" w:space="0" w:color="auto"/>
            <w:right w:val="none" w:sz="0" w:space="0" w:color="auto"/>
          </w:divBdr>
          <w:divsChild>
            <w:div w:id="826241351">
              <w:marLeft w:val="0"/>
              <w:marRight w:val="0"/>
              <w:marTop w:val="0"/>
              <w:marBottom w:val="0"/>
              <w:divBdr>
                <w:top w:val="none" w:sz="0" w:space="0" w:color="auto"/>
                <w:left w:val="none" w:sz="0" w:space="0" w:color="auto"/>
                <w:bottom w:val="none" w:sz="0" w:space="0" w:color="auto"/>
                <w:right w:val="none" w:sz="0" w:space="0" w:color="auto"/>
              </w:divBdr>
            </w:div>
          </w:divsChild>
        </w:div>
        <w:div w:id="1393239084">
          <w:marLeft w:val="0"/>
          <w:marRight w:val="0"/>
          <w:marTop w:val="0"/>
          <w:marBottom w:val="0"/>
          <w:divBdr>
            <w:top w:val="none" w:sz="0" w:space="0" w:color="auto"/>
            <w:left w:val="none" w:sz="0" w:space="0" w:color="auto"/>
            <w:bottom w:val="none" w:sz="0" w:space="0" w:color="auto"/>
            <w:right w:val="none" w:sz="0" w:space="0" w:color="auto"/>
          </w:divBdr>
          <w:divsChild>
            <w:div w:id="173617027">
              <w:marLeft w:val="0"/>
              <w:marRight w:val="0"/>
              <w:marTop w:val="0"/>
              <w:marBottom w:val="0"/>
              <w:divBdr>
                <w:top w:val="none" w:sz="0" w:space="0" w:color="auto"/>
                <w:left w:val="none" w:sz="0" w:space="0" w:color="auto"/>
                <w:bottom w:val="none" w:sz="0" w:space="0" w:color="auto"/>
                <w:right w:val="none" w:sz="0" w:space="0" w:color="auto"/>
              </w:divBdr>
            </w:div>
          </w:divsChild>
        </w:div>
        <w:div w:id="1639796094">
          <w:marLeft w:val="0"/>
          <w:marRight w:val="0"/>
          <w:marTop w:val="0"/>
          <w:marBottom w:val="0"/>
          <w:divBdr>
            <w:top w:val="none" w:sz="0" w:space="0" w:color="auto"/>
            <w:left w:val="none" w:sz="0" w:space="0" w:color="auto"/>
            <w:bottom w:val="none" w:sz="0" w:space="0" w:color="auto"/>
            <w:right w:val="none" w:sz="0" w:space="0" w:color="auto"/>
          </w:divBdr>
          <w:divsChild>
            <w:div w:id="1314531280">
              <w:marLeft w:val="0"/>
              <w:marRight w:val="0"/>
              <w:marTop w:val="0"/>
              <w:marBottom w:val="0"/>
              <w:divBdr>
                <w:top w:val="none" w:sz="0" w:space="0" w:color="auto"/>
                <w:left w:val="none" w:sz="0" w:space="0" w:color="auto"/>
                <w:bottom w:val="none" w:sz="0" w:space="0" w:color="auto"/>
                <w:right w:val="none" w:sz="0" w:space="0" w:color="auto"/>
              </w:divBdr>
            </w:div>
          </w:divsChild>
        </w:div>
        <w:div w:id="747581931">
          <w:marLeft w:val="0"/>
          <w:marRight w:val="0"/>
          <w:marTop w:val="0"/>
          <w:marBottom w:val="0"/>
          <w:divBdr>
            <w:top w:val="none" w:sz="0" w:space="0" w:color="auto"/>
            <w:left w:val="none" w:sz="0" w:space="0" w:color="auto"/>
            <w:bottom w:val="none" w:sz="0" w:space="0" w:color="auto"/>
            <w:right w:val="none" w:sz="0" w:space="0" w:color="auto"/>
          </w:divBdr>
          <w:divsChild>
            <w:div w:id="1730881536">
              <w:marLeft w:val="0"/>
              <w:marRight w:val="0"/>
              <w:marTop w:val="0"/>
              <w:marBottom w:val="0"/>
              <w:divBdr>
                <w:top w:val="none" w:sz="0" w:space="0" w:color="auto"/>
                <w:left w:val="none" w:sz="0" w:space="0" w:color="auto"/>
                <w:bottom w:val="none" w:sz="0" w:space="0" w:color="auto"/>
                <w:right w:val="none" w:sz="0" w:space="0" w:color="auto"/>
              </w:divBdr>
            </w:div>
          </w:divsChild>
        </w:div>
        <w:div w:id="1529639697">
          <w:marLeft w:val="0"/>
          <w:marRight w:val="0"/>
          <w:marTop w:val="0"/>
          <w:marBottom w:val="0"/>
          <w:divBdr>
            <w:top w:val="none" w:sz="0" w:space="0" w:color="auto"/>
            <w:left w:val="none" w:sz="0" w:space="0" w:color="auto"/>
            <w:bottom w:val="none" w:sz="0" w:space="0" w:color="auto"/>
            <w:right w:val="none" w:sz="0" w:space="0" w:color="auto"/>
          </w:divBdr>
          <w:divsChild>
            <w:div w:id="620038230">
              <w:marLeft w:val="0"/>
              <w:marRight w:val="0"/>
              <w:marTop w:val="0"/>
              <w:marBottom w:val="0"/>
              <w:divBdr>
                <w:top w:val="none" w:sz="0" w:space="0" w:color="auto"/>
                <w:left w:val="none" w:sz="0" w:space="0" w:color="auto"/>
                <w:bottom w:val="none" w:sz="0" w:space="0" w:color="auto"/>
                <w:right w:val="none" w:sz="0" w:space="0" w:color="auto"/>
              </w:divBdr>
            </w:div>
          </w:divsChild>
        </w:div>
        <w:div w:id="2132744545">
          <w:marLeft w:val="0"/>
          <w:marRight w:val="0"/>
          <w:marTop w:val="300"/>
          <w:marBottom w:val="300"/>
          <w:divBdr>
            <w:top w:val="none" w:sz="0" w:space="0" w:color="auto"/>
            <w:left w:val="none" w:sz="0" w:space="0" w:color="auto"/>
            <w:bottom w:val="none" w:sz="0" w:space="0" w:color="auto"/>
            <w:right w:val="none" w:sz="0" w:space="0" w:color="auto"/>
          </w:divBdr>
        </w:div>
        <w:div w:id="42295780">
          <w:marLeft w:val="0"/>
          <w:marRight w:val="0"/>
          <w:marTop w:val="0"/>
          <w:marBottom w:val="0"/>
          <w:divBdr>
            <w:top w:val="none" w:sz="0" w:space="0" w:color="auto"/>
            <w:left w:val="none" w:sz="0" w:space="0" w:color="auto"/>
            <w:bottom w:val="none" w:sz="0" w:space="0" w:color="auto"/>
            <w:right w:val="none" w:sz="0" w:space="0" w:color="auto"/>
          </w:divBdr>
          <w:divsChild>
            <w:div w:id="1041977139">
              <w:marLeft w:val="0"/>
              <w:marRight w:val="0"/>
              <w:marTop w:val="0"/>
              <w:marBottom w:val="0"/>
              <w:divBdr>
                <w:top w:val="none" w:sz="0" w:space="0" w:color="auto"/>
                <w:left w:val="none" w:sz="0" w:space="0" w:color="auto"/>
                <w:bottom w:val="none" w:sz="0" w:space="0" w:color="auto"/>
                <w:right w:val="none" w:sz="0" w:space="0" w:color="auto"/>
              </w:divBdr>
            </w:div>
          </w:divsChild>
        </w:div>
        <w:div w:id="1758285360">
          <w:marLeft w:val="0"/>
          <w:marRight w:val="0"/>
          <w:marTop w:val="0"/>
          <w:marBottom w:val="0"/>
          <w:divBdr>
            <w:top w:val="none" w:sz="0" w:space="0" w:color="auto"/>
            <w:left w:val="none" w:sz="0" w:space="0" w:color="auto"/>
            <w:bottom w:val="none" w:sz="0" w:space="0" w:color="auto"/>
            <w:right w:val="none" w:sz="0" w:space="0" w:color="auto"/>
          </w:divBdr>
          <w:divsChild>
            <w:div w:id="500505798">
              <w:marLeft w:val="0"/>
              <w:marRight w:val="0"/>
              <w:marTop w:val="0"/>
              <w:marBottom w:val="0"/>
              <w:divBdr>
                <w:top w:val="none" w:sz="0" w:space="0" w:color="auto"/>
                <w:left w:val="none" w:sz="0" w:space="0" w:color="auto"/>
                <w:bottom w:val="none" w:sz="0" w:space="0" w:color="auto"/>
                <w:right w:val="none" w:sz="0" w:space="0" w:color="auto"/>
              </w:divBdr>
            </w:div>
          </w:divsChild>
        </w:div>
        <w:div w:id="1953442433">
          <w:marLeft w:val="0"/>
          <w:marRight w:val="0"/>
          <w:marTop w:val="0"/>
          <w:marBottom w:val="0"/>
          <w:divBdr>
            <w:top w:val="none" w:sz="0" w:space="0" w:color="auto"/>
            <w:left w:val="none" w:sz="0" w:space="0" w:color="auto"/>
            <w:bottom w:val="none" w:sz="0" w:space="0" w:color="auto"/>
            <w:right w:val="none" w:sz="0" w:space="0" w:color="auto"/>
          </w:divBdr>
          <w:divsChild>
            <w:div w:id="676544740">
              <w:marLeft w:val="0"/>
              <w:marRight w:val="0"/>
              <w:marTop w:val="0"/>
              <w:marBottom w:val="0"/>
              <w:divBdr>
                <w:top w:val="none" w:sz="0" w:space="0" w:color="auto"/>
                <w:left w:val="none" w:sz="0" w:space="0" w:color="auto"/>
                <w:bottom w:val="none" w:sz="0" w:space="0" w:color="auto"/>
                <w:right w:val="none" w:sz="0" w:space="0" w:color="auto"/>
              </w:divBdr>
            </w:div>
          </w:divsChild>
        </w:div>
        <w:div w:id="1371031290">
          <w:marLeft w:val="0"/>
          <w:marRight w:val="0"/>
          <w:marTop w:val="0"/>
          <w:marBottom w:val="0"/>
          <w:divBdr>
            <w:top w:val="none" w:sz="0" w:space="0" w:color="auto"/>
            <w:left w:val="none" w:sz="0" w:space="0" w:color="auto"/>
            <w:bottom w:val="none" w:sz="0" w:space="0" w:color="auto"/>
            <w:right w:val="none" w:sz="0" w:space="0" w:color="auto"/>
          </w:divBdr>
          <w:divsChild>
            <w:div w:id="832795314">
              <w:marLeft w:val="0"/>
              <w:marRight w:val="0"/>
              <w:marTop w:val="0"/>
              <w:marBottom w:val="0"/>
              <w:divBdr>
                <w:top w:val="none" w:sz="0" w:space="0" w:color="auto"/>
                <w:left w:val="none" w:sz="0" w:space="0" w:color="auto"/>
                <w:bottom w:val="none" w:sz="0" w:space="0" w:color="auto"/>
                <w:right w:val="none" w:sz="0" w:space="0" w:color="auto"/>
              </w:divBdr>
            </w:div>
          </w:divsChild>
        </w:div>
        <w:div w:id="2008248194">
          <w:marLeft w:val="0"/>
          <w:marRight w:val="0"/>
          <w:marTop w:val="0"/>
          <w:marBottom w:val="0"/>
          <w:divBdr>
            <w:top w:val="none" w:sz="0" w:space="0" w:color="auto"/>
            <w:left w:val="none" w:sz="0" w:space="0" w:color="auto"/>
            <w:bottom w:val="none" w:sz="0" w:space="0" w:color="auto"/>
            <w:right w:val="none" w:sz="0" w:space="0" w:color="auto"/>
          </w:divBdr>
          <w:divsChild>
            <w:div w:id="191038137">
              <w:marLeft w:val="0"/>
              <w:marRight w:val="0"/>
              <w:marTop w:val="0"/>
              <w:marBottom w:val="0"/>
              <w:divBdr>
                <w:top w:val="none" w:sz="0" w:space="0" w:color="auto"/>
                <w:left w:val="none" w:sz="0" w:space="0" w:color="auto"/>
                <w:bottom w:val="none" w:sz="0" w:space="0" w:color="auto"/>
                <w:right w:val="none" w:sz="0" w:space="0" w:color="auto"/>
              </w:divBdr>
            </w:div>
          </w:divsChild>
        </w:div>
        <w:div w:id="1573152400">
          <w:marLeft w:val="0"/>
          <w:marRight w:val="0"/>
          <w:marTop w:val="0"/>
          <w:marBottom w:val="0"/>
          <w:divBdr>
            <w:top w:val="none" w:sz="0" w:space="0" w:color="auto"/>
            <w:left w:val="none" w:sz="0" w:space="0" w:color="auto"/>
            <w:bottom w:val="none" w:sz="0" w:space="0" w:color="auto"/>
            <w:right w:val="none" w:sz="0" w:space="0" w:color="auto"/>
          </w:divBdr>
          <w:divsChild>
            <w:div w:id="64185930">
              <w:marLeft w:val="0"/>
              <w:marRight w:val="0"/>
              <w:marTop w:val="0"/>
              <w:marBottom w:val="0"/>
              <w:divBdr>
                <w:top w:val="none" w:sz="0" w:space="0" w:color="auto"/>
                <w:left w:val="none" w:sz="0" w:space="0" w:color="auto"/>
                <w:bottom w:val="none" w:sz="0" w:space="0" w:color="auto"/>
                <w:right w:val="none" w:sz="0" w:space="0" w:color="auto"/>
              </w:divBdr>
            </w:div>
          </w:divsChild>
        </w:div>
        <w:div w:id="603732881">
          <w:marLeft w:val="0"/>
          <w:marRight w:val="0"/>
          <w:marTop w:val="0"/>
          <w:marBottom w:val="0"/>
          <w:divBdr>
            <w:top w:val="none" w:sz="0" w:space="0" w:color="auto"/>
            <w:left w:val="none" w:sz="0" w:space="0" w:color="auto"/>
            <w:bottom w:val="none" w:sz="0" w:space="0" w:color="auto"/>
            <w:right w:val="none" w:sz="0" w:space="0" w:color="auto"/>
          </w:divBdr>
          <w:divsChild>
            <w:div w:id="1494760526">
              <w:marLeft w:val="0"/>
              <w:marRight w:val="0"/>
              <w:marTop w:val="0"/>
              <w:marBottom w:val="0"/>
              <w:divBdr>
                <w:top w:val="none" w:sz="0" w:space="0" w:color="auto"/>
                <w:left w:val="none" w:sz="0" w:space="0" w:color="auto"/>
                <w:bottom w:val="none" w:sz="0" w:space="0" w:color="auto"/>
                <w:right w:val="none" w:sz="0" w:space="0" w:color="auto"/>
              </w:divBdr>
            </w:div>
          </w:divsChild>
        </w:div>
        <w:div w:id="1278296763">
          <w:marLeft w:val="0"/>
          <w:marRight w:val="0"/>
          <w:marTop w:val="300"/>
          <w:marBottom w:val="300"/>
          <w:divBdr>
            <w:top w:val="none" w:sz="0" w:space="0" w:color="auto"/>
            <w:left w:val="none" w:sz="0" w:space="0" w:color="auto"/>
            <w:bottom w:val="none" w:sz="0" w:space="0" w:color="auto"/>
            <w:right w:val="none" w:sz="0" w:space="0" w:color="auto"/>
          </w:divBdr>
        </w:div>
        <w:div w:id="75905753">
          <w:marLeft w:val="0"/>
          <w:marRight w:val="0"/>
          <w:marTop w:val="0"/>
          <w:marBottom w:val="0"/>
          <w:divBdr>
            <w:top w:val="none" w:sz="0" w:space="0" w:color="auto"/>
            <w:left w:val="none" w:sz="0" w:space="0" w:color="auto"/>
            <w:bottom w:val="none" w:sz="0" w:space="0" w:color="auto"/>
            <w:right w:val="none" w:sz="0" w:space="0" w:color="auto"/>
          </w:divBdr>
          <w:divsChild>
            <w:div w:id="630789161">
              <w:marLeft w:val="0"/>
              <w:marRight w:val="0"/>
              <w:marTop w:val="0"/>
              <w:marBottom w:val="0"/>
              <w:divBdr>
                <w:top w:val="none" w:sz="0" w:space="0" w:color="auto"/>
                <w:left w:val="none" w:sz="0" w:space="0" w:color="auto"/>
                <w:bottom w:val="none" w:sz="0" w:space="0" w:color="auto"/>
                <w:right w:val="none" w:sz="0" w:space="0" w:color="auto"/>
              </w:divBdr>
            </w:div>
          </w:divsChild>
        </w:div>
        <w:div w:id="837160079">
          <w:marLeft w:val="0"/>
          <w:marRight w:val="0"/>
          <w:marTop w:val="300"/>
          <w:marBottom w:val="300"/>
          <w:divBdr>
            <w:top w:val="none" w:sz="0" w:space="0" w:color="auto"/>
            <w:left w:val="none" w:sz="0" w:space="0" w:color="auto"/>
            <w:bottom w:val="none" w:sz="0" w:space="0" w:color="auto"/>
            <w:right w:val="none" w:sz="0" w:space="0" w:color="auto"/>
          </w:divBdr>
        </w:div>
        <w:div w:id="911819856">
          <w:marLeft w:val="0"/>
          <w:marRight w:val="0"/>
          <w:marTop w:val="0"/>
          <w:marBottom w:val="0"/>
          <w:divBdr>
            <w:top w:val="none" w:sz="0" w:space="0" w:color="auto"/>
            <w:left w:val="none" w:sz="0" w:space="0" w:color="auto"/>
            <w:bottom w:val="none" w:sz="0" w:space="0" w:color="auto"/>
            <w:right w:val="none" w:sz="0" w:space="0" w:color="auto"/>
          </w:divBdr>
          <w:divsChild>
            <w:div w:id="1251350047">
              <w:marLeft w:val="0"/>
              <w:marRight w:val="0"/>
              <w:marTop w:val="0"/>
              <w:marBottom w:val="0"/>
              <w:divBdr>
                <w:top w:val="none" w:sz="0" w:space="0" w:color="auto"/>
                <w:left w:val="none" w:sz="0" w:space="0" w:color="auto"/>
                <w:bottom w:val="none" w:sz="0" w:space="0" w:color="auto"/>
                <w:right w:val="none" w:sz="0" w:space="0" w:color="auto"/>
              </w:divBdr>
            </w:div>
          </w:divsChild>
        </w:div>
        <w:div w:id="779296900">
          <w:marLeft w:val="0"/>
          <w:marRight w:val="0"/>
          <w:marTop w:val="0"/>
          <w:marBottom w:val="0"/>
          <w:divBdr>
            <w:top w:val="none" w:sz="0" w:space="0" w:color="auto"/>
            <w:left w:val="none" w:sz="0" w:space="0" w:color="auto"/>
            <w:bottom w:val="none" w:sz="0" w:space="0" w:color="auto"/>
            <w:right w:val="none" w:sz="0" w:space="0" w:color="auto"/>
          </w:divBdr>
          <w:divsChild>
            <w:div w:id="1058748501">
              <w:marLeft w:val="0"/>
              <w:marRight w:val="0"/>
              <w:marTop w:val="0"/>
              <w:marBottom w:val="0"/>
              <w:divBdr>
                <w:top w:val="none" w:sz="0" w:space="0" w:color="auto"/>
                <w:left w:val="none" w:sz="0" w:space="0" w:color="auto"/>
                <w:bottom w:val="none" w:sz="0" w:space="0" w:color="auto"/>
                <w:right w:val="none" w:sz="0" w:space="0" w:color="auto"/>
              </w:divBdr>
            </w:div>
          </w:divsChild>
        </w:div>
        <w:div w:id="1467623463">
          <w:marLeft w:val="0"/>
          <w:marRight w:val="0"/>
          <w:marTop w:val="0"/>
          <w:marBottom w:val="0"/>
          <w:divBdr>
            <w:top w:val="none" w:sz="0" w:space="0" w:color="auto"/>
            <w:left w:val="none" w:sz="0" w:space="0" w:color="auto"/>
            <w:bottom w:val="none" w:sz="0" w:space="0" w:color="auto"/>
            <w:right w:val="none" w:sz="0" w:space="0" w:color="auto"/>
          </w:divBdr>
          <w:divsChild>
            <w:div w:id="1878853138">
              <w:marLeft w:val="0"/>
              <w:marRight w:val="0"/>
              <w:marTop w:val="0"/>
              <w:marBottom w:val="0"/>
              <w:divBdr>
                <w:top w:val="none" w:sz="0" w:space="0" w:color="auto"/>
                <w:left w:val="none" w:sz="0" w:space="0" w:color="auto"/>
                <w:bottom w:val="none" w:sz="0" w:space="0" w:color="auto"/>
                <w:right w:val="none" w:sz="0" w:space="0" w:color="auto"/>
              </w:divBdr>
            </w:div>
          </w:divsChild>
        </w:div>
        <w:div w:id="1186678709">
          <w:marLeft w:val="0"/>
          <w:marRight w:val="0"/>
          <w:marTop w:val="0"/>
          <w:marBottom w:val="0"/>
          <w:divBdr>
            <w:top w:val="none" w:sz="0" w:space="0" w:color="auto"/>
            <w:left w:val="none" w:sz="0" w:space="0" w:color="auto"/>
            <w:bottom w:val="none" w:sz="0" w:space="0" w:color="auto"/>
            <w:right w:val="none" w:sz="0" w:space="0" w:color="auto"/>
          </w:divBdr>
          <w:divsChild>
            <w:div w:id="1783920323">
              <w:marLeft w:val="0"/>
              <w:marRight w:val="0"/>
              <w:marTop w:val="0"/>
              <w:marBottom w:val="0"/>
              <w:divBdr>
                <w:top w:val="none" w:sz="0" w:space="0" w:color="auto"/>
                <w:left w:val="none" w:sz="0" w:space="0" w:color="auto"/>
                <w:bottom w:val="none" w:sz="0" w:space="0" w:color="auto"/>
                <w:right w:val="none" w:sz="0" w:space="0" w:color="auto"/>
              </w:divBdr>
            </w:div>
          </w:divsChild>
        </w:div>
        <w:div w:id="924999112">
          <w:marLeft w:val="0"/>
          <w:marRight w:val="0"/>
          <w:marTop w:val="0"/>
          <w:marBottom w:val="0"/>
          <w:divBdr>
            <w:top w:val="none" w:sz="0" w:space="0" w:color="auto"/>
            <w:left w:val="none" w:sz="0" w:space="0" w:color="auto"/>
            <w:bottom w:val="none" w:sz="0" w:space="0" w:color="auto"/>
            <w:right w:val="none" w:sz="0" w:space="0" w:color="auto"/>
          </w:divBdr>
          <w:divsChild>
            <w:div w:id="339432609">
              <w:marLeft w:val="0"/>
              <w:marRight w:val="0"/>
              <w:marTop w:val="0"/>
              <w:marBottom w:val="0"/>
              <w:divBdr>
                <w:top w:val="none" w:sz="0" w:space="0" w:color="auto"/>
                <w:left w:val="none" w:sz="0" w:space="0" w:color="auto"/>
                <w:bottom w:val="none" w:sz="0" w:space="0" w:color="auto"/>
                <w:right w:val="none" w:sz="0" w:space="0" w:color="auto"/>
              </w:divBdr>
            </w:div>
          </w:divsChild>
        </w:div>
        <w:div w:id="204298386">
          <w:marLeft w:val="0"/>
          <w:marRight w:val="0"/>
          <w:marTop w:val="0"/>
          <w:marBottom w:val="0"/>
          <w:divBdr>
            <w:top w:val="none" w:sz="0" w:space="0" w:color="auto"/>
            <w:left w:val="none" w:sz="0" w:space="0" w:color="auto"/>
            <w:bottom w:val="none" w:sz="0" w:space="0" w:color="auto"/>
            <w:right w:val="none" w:sz="0" w:space="0" w:color="auto"/>
          </w:divBdr>
          <w:divsChild>
            <w:div w:id="1682852970">
              <w:marLeft w:val="0"/>
              <w:marRight w:val="0"/>
              <w:marTop w:val="0"/>
              <w:marBottom w:val="0"/>
              <w:divBdr>
                <w:top w:val="none" w:sz="0" w:space="0" w:color="auto"/>
                <w:left w:val="none" w:sz="0" w:space="0" w:color="auto"/>
                <w:bottom w:val="none" w:sz="0" w:space="0" w:color="auto"/>
                <w:right w:val="none" w:sz="0" w:space="0" w:color="auto"/>
              </w:divBdr>
            </w:div>
          </w:divsChild>
        </w:div>
        <w:div w:id="635523789">
          <w:marLeft w:val="0"/>
          <w:marRight w:val="0"/>
          <w:marTop w:val="0"/>
          <w:marBottom w:val="0"/>
          <w:divBdr>
            <w:top w:val="none" w:sz="0" w:space="0" w:color="auto"/>
            <w:left w:val="none" w:sz="0" w:space="0" w:color="auto"/>
            <w:bottom w:val="none" w:sz="0" w:space="0" w:color="auto"/>
            <w:right w:val="none" w:sz="0" w:space="0" w:color="auto"/>
          </w:divBdr>
          <w:divsChild>
            <w:div w:id="2054037821">
              <w:marLeft w:val="0"/>
              <w:marRight w:val="0"/>
              <w:marTop w:val="0"/>
              <w:marBottom w:val="0"/>
              <w:divBdr>
                <w:top w:val="none" w:sz="0" w:space="0" w:color="auto"/>
                <w:left w:val="none" w:sz="0" w:space="0" w:color="auto"/>
                <w:bottom w:val="none" w:sz="0" w:space="0" w:color="auto"/>
                <w:right w:val="none" w:sz="0" w:space="0" w:color="auto"/>
              </w:divBdr>
            </w:div>
          </w:divsChild>
        </w:div>
        <w:div w:id="1264802000">
          <w:marLeft w:val="0"/>
          <w:marRight w:val="0"/>
          <w:marTop w:val="0"/>
          <w:marBottom w:val="0"/>
          <w:divBdr>
            <w:top w:val="none" w:sz="0" w:space="0" w:color="auto"/>
            <w:left w:val="none" w:sz="0" w:space="0" w:color="auto"/>
            <w:bottom w:val="none" w:sz="0" w:space="0" w:color="auto"/>
            <w:right w:val="none" w:sz="0" w:space="0" w:color="auto"/>
          </w:divBdr>
          <w:divsChild>
            <w:div w:id="303975001">
              <w:marLeft w:val="0"/>
              <w:marRight w:val="0"/>
              <w:marTop w:val="0"/>
              <w:marBottom w:val="0"/>
              <w:divBdr>
                <w:top w:val="none" w:sz="0" w:space="0" w:color="auto"/>
                <w:left w:val="none" w:sz="0" w:space="0" w:color="auto"/>
                <w:bottom w:val="none" w:sz="0" w:space="0" w:color="auto"/>
                <w:right w:val="none" w:sz="0" w:space="0" w:color="auto"/>
              </w:divBdr>
            </w:div>
          </w:divsChild>
        </w:div>
        <w:div w:id="1990548573">
          <w:marLeft w:val="0"/>
          <w:marRight w:val="0"/>
          <w:marTop w:val="0"/>
          <w:marBottom w:val="0"/>
          <w:divBdr>
            <w:top w:val="none" w:sz="0" w:space="0" w:color="auto"/>
            <w:left w:val="none" w:sz="0" w:space="0" w:color="auto"/>
            <w:bottom w:val="none" w:sz="0" w:space="0" w:color="auto"/>
            <w:right w:val="none" w:sz="0" w:space="0" w:color="auto"/>
          </w:divBdr>
          <w:divsChild>
            <w:div w:id="1462117582">
              <w:marLeft w:val="0"/>
              <w:marRight w:val="0"/>
              <w:marTop w:val="0"/>
              <w:marBottom w:val="0"/>
              <w:divBdr>
                <w:top w:val="none" w:sz="0" w:space="0" w:color="auto"/>
                <w:left w:val="none" w:sz="0" w:space="0" w:color="auto"/>
                <w:bottom w:val="none" w:sz="0" w:space="0" w:color="auto"/>
                <w:right w:val="none" w:sz="0" w:space="0" w:color="auto"/>
              </w:divBdr>
            </w:div>
          </w:divsChild>
        </w:div>
        <w:div w:id="1228881880">
          <w:marLeft w:val="0"/>
          <w:marRight w:val="0"/>
          <w:marTop w:val="0"/>
          <w:marBottom w:val="0"/>
          <w:divBdr>
            <w:top w:val="none" w:sz="0" w:space="0" w:color="auto"/>
            <w:left w:val="none" w:sz="0" w:space="0" w:color="auto"/>
            <w:bottom w:val="none" w:sz="0" w:space="0" w:color="auto"/>
            <w:right w:val="none" w:sz="0" w:space="0" w:color="auto"/>
          </w:divBdr>
          <w:divsChild>
            <w:div w:id="279798719">
              <w:marLeft w:val="0"/>
              <w:marRight w:val="0"/>
              <w:marTop w:val="0"/>
              <w:marBottom w:val="0"/>
              <w:divBdr>
                <w:top w:val="none" w:sz="0" w:space="0" w:color="auto"/>
                <w:left w:val="none" w:sz="0" w:space="0" w:color="auto"/>
                <w:bottom w:val="none" w:sz="0" w:space="0" w:color="auto"/>
                <w:right w:val="none" w:sz="0" w:space="0" w:color="auto"/>
              </w:divBdr>
            </w:div>
          </w:divsChild>
        </w:div>
        <w:div w:id="1915815614">
          <w:marLeft w:val="0"/>
          <w:marRight w:val="0"/>
          <w:marTop w:val="0"/>
          <w:marBottom w:val="0"/>
          <w:divBdr>
            <w:top w:val="none" w:sz="0" w:space="0" w:color="auto"/>
            <w:left w:val="none" w:sz="0" w:space="0" w:color="auto"/>
            <w:bottom w:val="none" w:sz="0" w:space="0" w:color="auto"/>
            <w:right w:val="none" w:sz="0" w:space="0" w:color="auto"/>
          </w:divBdr>
          <w:divsChild>
            <w:div w:id="1752316328">
              <w:marLeft w:val="0"/>
              <w:marRight w:val="0"/>
              <w:marTop w:val="0"/>
              <w:marBottom w:val="0"/>
              <w:divBdr>
                <w:top w:val="none" w:sz="0" w:space="0" w:color="auto"/>
                <w:left w:val="none" w:sz="0" w:space="0" w:color="auto"/>
                <w:bottom w:val="none" w:sz="0" w:space="0" w:color="auto"/>
                <w:right w:val="none" w:sz="0" w:space="0" w:color="auto"/>
              </w:divBdr>
            </w:div>
          </w:divsChild>
        </w:div>
        <w:div w:id="1656685714">
          <w:marLeft w:val="0"/>
          <w:marRight w:val="0"/>
          <w:marTop w:val="0"/>
          <w:marBottom w:val="0"/>
          <w:divBdr>
            <w:top w:val="none" w:sz="0" w:space="0" w:color="auto"/>
            <w:left w:val="none" w:sz="0" w:space="0" w:color="auto"/>
            <w:bottom w:val="none" w:sz="0" w:space="0" w:color="auto"/>
            <w:right w:val="none" w:sz="0" w:space="0" w:color="auto"/>
          </w:divBdr>
          <w:divsChild>
            <w:div w:id="499197233">
              <w:marLeft w:val="0"/>
              <w:marRight w:val="0"/>
              <w:marTop w:val="0"/>
              <w:marBottom w:val="0"/>
              <w:divBdr>
                <w:top w:val="none" w:sz="0" w:space="0" w:color="auto"/>
                <w:left w:val="none" w:sz="0" w:space="0" w:color="auto"/>
                <w:bottom w:val="none" w:sz="0" w:space="0" w:color="auto"/>
                <w:right w:val="none" w:sz="0" w:space="0" w:color="auto"/>
              </w:divBdr>
            </w:div>
          </w:divsChild>
        </w:div>
        <w:div w:id="448397674">
          <w:marLeft w:val="0"/>
          <w:marRight w:val="0"/>
          <w:marTop w:val="0"/>
          <w:marBottom w:val="0"/>
          <w:divBdr>
            <w:top w:val="none" w:sz="0" w:space="0" w:color="auto"/>
            <w:left w:val="none" w:sz="0" w:space="0" w:color="auto"/>
            <w:bottom w:val="none" w:sz="0" w:space="0" w:color="auto"/>
            <w:right w:val="none" w:sz="0" w:space="0" w:color="auto"/>
          </w:divBdr>
          <w:divsChild>
            <w:div w:id="1657874529">
              <w:marLeft w:val="0"/>
              <w:marRight w:val="0"/>
              <w:marTop w:val="0"/>
              <w:marBottom w:val="0"/>
              <w:divBdr>
                <w:top w:val="none" w:sz="0" w:space="0" w:color="auto"/>
                <w:left w:val="none" w:sz="0" w:space="0" w:color="auto"/>
                <w:bottom w:val="none" w:sz="0" w:space="0" w:color="auto"/>
                <w:right w:val="none" w:sz="0" w:space="0" w:color="auto"/>
              </w:divBdr>
            </w:div>
          </w:divsChild>
        </w:div>
        <w:div w:id="1973633802">
          <w:marLeft w:val="0"/>
          <w:marRight w:val="0"/>
          <w:marTop w:val="0"/>
          <w:marBottom w:val="0"/>
          <w:divBdr>
            <w:top w:val="none" w:sz="0" w:space="0" w:color="auto"/>
            <w:left w:val="none" w:sz="0" w:space="0" w:color="auto"/>
            <w:bottom w:val="none" w:sz="0" w:space="0" w:color="auto"/>
            <w:right w:val="none" w:sz="0" w:space="0" w:color="auto"/>
          </w:divBdr>
          <w:divsChild>
            <w:div w:id="1520774597">
              <w:marLeft w:val="0"/>
              <w:marRight w:val="0"/>
              <w:marTop w:val="0"/>
              <w:marBottom w:val="0"/>
              <w:divBdr>
                <w:top w:val="none" w:sz="0" w:space="0" w:color="auto"/>
                <w:left w:val="none" w:sz="0" w:space="0" w:color="auto"/>
                <w:bottom w:val="none" w:sz="0" w:space="0" w:color="auto"/>
                <w:right w:val="none" w:sz="0" w:space="0" w:color="auto"/>
              </w:divBdr>
            </w:div>
          </w:divsChild>
        </w:div>
        <w:div w:id="264271101">
          <w:marLeft w:val="0"/>
          <w:marRight w:val="0"/>
          <w:marTop w:val="0"/>
          <w:marBottom w:val="0"/>
          <w:divBdr>
            <w:top w:val="none" w:sz="0" w:space="0" w:color="auto"/>
            <w:left w:val="none" w:sz="0" w:space="0" w:color="auto"/>
            <w:bottom w:val="none" w:sz="0" w:space="0" w:color="auto"/>
            <w:right w:val="none" w:sz="0" w:space="0" w:color="auto"/>
          </w:divBdr>
          <w:divsChild>
            <w:div w:id="35156910">
              <w:marLeft w:val="0"/>
              <w:marRight w:val="0"/>
              <w:marTop w:val="0"/>
              <w:marBottom w:val="0"/>
              <w:divBdr>
                <w:top w:val="none" w:sz="0" w:space="0" w:color="auto"/>
                <w:left w:val="none" w:sz="0" w:space="0" w:color="auto"/>
                <w:bottom w:val="none" w:sz="0" w:space="0" w:color="auto"/>
                <w:right w:val="none" w:sz="0" w:space="0" w:color="auto"/>
              </w:divBdr>
            </w:div>
          </w:divsChild>
        </w:div>
        <w:div w:id="838689107">
          <w:marLeft w:val="0"/>
          <w:marRight w:val="0"/>
          <w:marTop w:val="300"/>
          <w:marBottom w:val="300"/>
          <w:divBdr>
            <w:top w:val="none" w:sz="0" w:space="0" w:color="auto"/>
            <w:left w:val="none" w:sz="0" w:space="0" w:color="auto"/>
            <w:bottom w:val="none" w:sz="0" w:space="0" w:color="auto"/>
            <w:right w:val="none" w:sz="0" w:space="0" w:color="auto"/>
          </w:divBdr>
        </w:div>
        <w:div w:id="2071420723">
          <w:marLeft w:val="0"/>
          <w:marRight w:val="0"/>
          <w:marTop w:val="0"/>
          <w:marBottom w:val="0"/>
          <w:divBdr>
            <w:top w:val="none" w:sz="0" w:space="0" w:color="auto"/>
            <w:left w:val="none" w:sz="0" w:space="0" w:color="auto"/>
            <w:bottom w:val="none" w:sz="0" w:space="0" w:color="auto"/>
            <w:right w:val="none" w:sz="0" w:space="0" w:color="auto"/>
          </w:divBdr>
          <w:divsChild>
            <w:div w:id="1225143720">
              <w:marLeft w:val="0"/>
              <w:marRight w:val="0"/>
              <w:marTop w:val="0"/>
              <w:marBottom w:val="0"/>
              <w:divBdr>
                <w:top w:val="none" w:sz="0" w:space="0" w:color="auto"/>
                <w:left w:val="none" w:sz="0" w:space="0" w:color="auto"/>
                <w:bottom w:val="none" w:sz="0" w:space="0" w:color="auto"/>
                <w:right w:val="none" w:sz="0" w:space="0" w:color="auto"/>
              </w:divBdr>
            </w:div>
          </w:divsChild>
        </w:div>
        <w:div w:id="516652128">
          <w:marLeft w:val="0"/>
          <w:marRight w:val="0"/>
          <w:marTop w:val="0"/>
          <w:marBottom w:val="0"/>
          <w:divBdr>
            <w:top w:val="none" w:sz="0" w:space="0" w:color="auto"/>
            <w:left w:val="none" w:sz="0" w:space="0" w:color="auto"/>
            <w:bottom w:val="none" w:sz="0" w:space="0" w:color="auto"/>
            <w:right w:val="none" w:sz="0" w:space="0" w:color="auto"/>
          </w:divBdr>
          <w:divsChild>
            <w:div w:id="1073117423">
              <w:marLeft w:val="0"/>
              <w:marRight w:val="0"/>
              <w:marTop w:val="0"/>
              <w:marBottom w:val="0"/>
              <w:divBdr>
                <w:top w:val="none" w:sz="0" w:space="0" w:color="auto"/>
                <w:left w:val="none" w:sz="0" w:space="0" w:color="auto"/>
                <w:bottom w:val="none" w:sz="0" w:space="0" w:color="auto"/>
                <w:right w:val="none" w:sz="0" w:space="0" w:color="auto"/>
              </w:divBdr>
            </w:div>
          </w:divsChild>
        </w:div>
        <w:div w:id="572860737">
          <w:marLeft w:val="0"/>
          <w:marRight w:val="0"/>
          <w:marTop w:val="0"/>
          <w:marBottom w:val="0"/>
          <w:divBdr>
            <w:top w:val="none" w:sz="0" w:space="0" w:color="auto"/>
            <w:left w:val="none" w:sz="0" w:space="0" w:color="auto"/>
            <w:bottom w:val="none" w:sz="0" w:space="0" w:color="auto"/>
            <w:right w:val="none" w:sz="0" w:space="0" w:color="auto"/>
          </w:divBdr>
          <w:divsChild>
            <w:div w:id="699672086">
              <w:marLeft w:val="0"/>
              <w:marRight w:val="0"/>
              <w:marTop w:val="0"/>
              <w:marBottom w:val="0"/>
              <w:divBdr>
                <w:top w:val="none" w:sz="0" w:space="0" w:color="auto"/>
                <w:left w:val="none" w:sz="0" w:space="0" w:color="auto"/>
                <w:bottom w:val="none" w:sz="0" w:space="0" w:color="auto"/>
                <w:right w:val="none" w:sz="0" w:space="0" w:color="auto"/>
              </w:divBdr>
            </w:div>
          </w:divsChild>
        </w:div>
        <w:div w:id="886067448">
          <w:marLeft w:val="0"/>
          <w:marRight w:val="0"/>
          <w:marTop w:val="300"/>
          <w:marBottom w:val="300"/>
          <w:divBdr>
            <w:top w:val="none" w:sz="0" w:space="0" w:color="auto"/>
            <w:left w:val="none" w:sz="0" w:space="0" w:color="auto"/>
            <w:bottom w:val="none" w:sz="0" w:space="0" w:color="auto"/>
            <w:right w:val="none" w:sz="0" w:space="0" w:color="auto"/>
          </w:divBdr>
        </w:div>
        <w:div w:id="1924028717">
          <w:marLeft w:val="0"/>
          <w:marRight w:val="0"/>
          <w:marTop w:val="0"/>
          <w:marBottom w:val="0"/>
          <w:divBdr>
            <w:top w:val="none" w:sz="0" w:space="0" w:color="auto"/>
            <w:left w:val="none" w:sz="0" w:space="0" w:color="auto"/>
            <w:bottom w:val="none" w:sz="0" w:space="0" w:color="auto"/>
            <w:right w:val="none" w:sz="0" w:space="0" w:color="auto"/>
          </w:divBdr>
          <w:divsChild>
            <w:div w:id="1665007686">
              <w:marLeft w:val="0"/>
              <w:marRight w:val="0"/>
              <w:marTop w:val="0"/>
              <w:marBottom w:val="0"/>
              <w:divBdr>
                <w:top w:val="none" w:sz="0" w:space="0" w:color="auto"/>
                <w:left w:val="none" w:sz="0" w:space="0" w:color="auto"/>
                <w:bottom w:val="none" w:sz="0" w:space="0" w:color="auto"/>
                <w:right w:val="none" w:sz="0" w:space="0" w:color="auto"/>
              </w:divBdr>
            </w:div>
          </w:divsChild>
        </w:div>
        <w:div w:id="468327725">
          <w:marLeft w:val="0"/>
          <w:marRight w:val="0"/>
          <w:marTop w:val="0"/>
          <w:marBottom w:val="0"/>
          <w:divBdr>
            <w:top w:val="none" w:sz="0" w:space="0" w:color="auto"/>
            <w:left w:val="none" w:sz="0" w:space="0" w:color="auto"/>
            <w:bottom w:val="none" w:sz="0" w:space="0" w:color="auto"/>
            <w:right w:val="none" w:sz="0" w:space="0" w:color="auto"/>
          </w:divBdr>
          <w:divsChild>
            <w:div w:id="793868617">
              <w:marLeft w:val="0"/>
              <w:marRight w:val="0"/>
              <w:marTop w:val="0"/>
              <w:marBottom w:val="0"/>
              <w:divBdr>
                <w:top w:val="none" w:sz="0" w:space="0" w:color="auto"/>
                <w:left w:val="none" w:sz="0" w:space="0" w:color="auto"/>
                <w:bottom w:val="none" w:sz="0" w:space="0" w:color="auto"/>
                <w:right w:val="none" w:sz="0" w:space="0" w:color="auto"/>
              </w:divBdr>
            </w:div>
          </w:divsChild>
        </w:div>
        <w:div w:id="507142004">
          <w:marLeft w:val="0"/>
          <w:marRight w:val="0"/>
          <w:marTop w:val="0"/>
          <w:marBottom w:val="0"/>
          <w:divBdr>
            <w:top w:val="none" w:sz="0" w:space="0" w:color="auto"/>
            <w:left w:val="none" w:sz="0" w:space="0" w:color="auto"/>
            <w:bottom w:val="none" w:sz="0" w:space="0" w:color="auto"/>
            <w:right w:val="none" w:sz="0" w:space="0" w:color="auto"/>
          </w:divBdr>
          <w:divsChild>
            <w:div w:id="1239628902">
              <w:marLeft w:val="0"/>
              <w:marRight w:val="0"/>
              <w:marTop w:val="0"/>
              <w:marBottom w:val="0"/>
              <w:divBdr>
                <w:top w:val="none" w:sz="0" w:space="0" w:color="auto"/>
                <w:left w:val="none" w:sz="0" w:space="0" w:color="auto"/>
                <w:bottom w:val="none" w:sz="0" w:space="0" w:color="auto"/>
                <w:right w:val="none" w:sz="0" w:space="0" w:color="auto"/>
              </w:divBdr>
            </w:div>
          </w:divsChild>
        </w:div>
        <w:div w:id="1520313065">
          <w:marLeft w:val="0"/>
          <w:marRight w:val="0"/>
          <w:marTop w:val="0"/>
          <w:marBottom w:val="0"/>
          <w:divBdr>
            <w:top w:val="none" w:sz="0" w:space="0" w:color="auto"/>
            <w:left w:val="none" w:sz="0" w:space="0" w:color="auto"/>
            <w:bottom w:val="none" w:sz="0" w:space="0" w:color="auto"/>
            <w:right w:val="none" w:sz="0" w:space="0" w:color="auto"/>
          </w:divBdr>
          <w:divsChild>
            <w:div w:id="375739941">
              <w:marLeft w:val="0"/>
              <w:marRight w:val="0"/>
              <w:marTop w:val="0"/>
              <w:marBottom w:val="0"/>
              <w:divBdr>
                <w:top w:val="none" w:sz="0" w:space="0" w:color="auto"/>
                <w:left w:val="none" w:sz="0" w:space="0" w:color="auto"/>
                <w:bottom w:val="none" w:sz="0" w:space="0" w:color="auto"/>
                <w:right w:val="none" w:sz="0" w:space="0" w:color="auto"/>
              </w:divBdr>
            </w:div>
          </w:divsChild>
        </w:div>
        <w:div w:id="1434085712">
          <w:marLeft w:val="0"/>
          <w:marRight w:val="0"/>
          <w:marTop w:val="300"/>
          <w:marBottom w:val="300"/>
          <w:divBdr>
            <w:top w:val="none" w:sz="0" w:space="0" w:color="auto"/>
            <w:left w:val="none" w:sz="0" w:space="0" w:color="auto"/>
            <w:bottom w:val="none" w:sz="0" w:space="0" w:color="auto"/>
            <w:right w:val="none" w:sz="0" w:space="0" w:color="auto"/>
          </w:divBdr>
        </w:div>
        <w:div w:id="353115108">
          <w:marLeft w:val="0"/>
          <w:marRight w:val="0"/>
          <w:marTop w:val="0"/>
          <w:marBottom w:val="0"/>
          <w:divBdr>
            <w:top w:val="none" w:sz="0" w:space="0" w:color="auto"/>
            <w:left w:val="none" w:sz="0" w:space="0" w:color="auto"/>
            <w:bottom w:val="none" w:sz="0" w:space="0" w:color="auto"/>
            <w:right w:val="none" w:sz="0" w:space="0" w:color="auto"/>
          </w:divBdr>
          <w:divsChild>
            <w:div w:id="1366060887">
              <w:marLeft w:val="0"/>
              <w:marRight w:val="0"/>
              <w:marTop w:val="0"/>
              <w:marBottom w:val="0"/>
              <w:divBdr>
                <w:top w:val="none" w:sz="0" w:space="0" w:color="auto"/>
                <w:left w:val="none" w:sz="0" w:space="0" w:color="auto"/>
                <w:bottom w:val="none" w:sz="0" w:space="0" w:color="auto"/>
                <w:right w:val="none" w:sz="0" w:space="0" w:color="auto"/>
              </w:divBdr>
            </w:div>
          </w:divsChild>
        </w:div>
        <w:div w:id="1625496911">
          <w:marLeft w:val="0"/>
          <w:marRight w:val="0"/>
          <w:marTop w:val="0"/>
          <w:marBottom w:val="0"/>
          <w:divBdr>
            <w:top w:val="none" w:sz="0" w:space="0" w:color="auto"/>
            <w:left w:val="none" w:sz="0" w:space="0" w:color="auto"/>
            <w:bottom w:val="none" w:sz="0" w:space="0" w:color="auto"/>
            <w:right w:val="none" w:sz="0" w:space="0" w:color="auto"/>
          </w:divBdr>
          <w:divsChild>
            <w:div w:id="1997491151">
              <w:marLeft w:val="0"/>
              <w:marRight w:val="0"/>
              <w:marTop w:val="0"/>
              <w:marBottom w:val="0"/>
              <w:divBdr>
                <w:top w:val="none" w:sz="0" w:space="0" w:color="auto"/>
                <w:left w:val="none" w:sz="0" w:space="0" w:color="auto"/>
                <w:bottom w:val="none" w:sz="0" w:space="0" w:color="auto"/>
                <w:right w:val="none" w:sz="0" w:space="0" w:color="auto"/>
              </w:divBdr>
            </w:div>
          </w:divsChild>
        </w:div>
        <w:div w:id="1008286913">
          <w:marLeft w:val="0"/>
          <w:marRight w:val="0"/>
          <w:marTop w:val="0"/>
          <w:marBottom w:val="0"/>
          <w:divBdr>
            <w:top w:val="none" w:sz="0" w:space="0" w:color="auto"/>
            <w:left w:val="none" w:sz="0" w:space="0" w:color="auto"/>
            <w:bottom w:val="none" w:sz="0" w:space="0" w:color="auto"/>
            <w:right w:val="none" w:sz="0" w:space="0" w:color="auto"/>
          </w:divBdr>
          <w:divsChild>
            <w:div w:id="1628468871">
              <w:marLeft w:val="0"/>
              <w:marRight w:val="0"/>
              <w:marTop w:val="0"/>
              <w:marBottom w:val="0"/>
              <w:divBdr>
                <w:top w:val="none" w:sz="0" w:space="0" w:color="auto"/>
                <w:left w:val="none" w:sz="0" w:space="0" w:color="auto"/>
                <w:bottom w:val="none" w:sz="0" w:space="0" w:color="auto"/>
                <w:right w:val="none" w:sz="0" w:space="0" w:color="auto"/>
              </w:divBdr>
            </w:div>
          </w:divsChild>
        </w:div>
        <w:div w:id="1254317139">
          <w:marLeft w:val="0"/>
          <w:marRight w:val="0"/>
          <w:marTop w:val="300"/>
          <w:marBottom w:val="300"/>
          <w:divBdr>
            <w:top w:val="none" w:sz="0" w:space="0" w:color="auto"/>
            <w:left w:val="none" w:sz="0" w:space="0" w:color="auto"/>
            <w:bottom w:val="none" w:sz="0" w:space="0" w:color="auto"/>
            <w:right w:val="none" w:sz="0" w:space="0" w:color="auto"/>
          </w:divBdr>
        </w:div>
        <w:div w:id="1206483526">
          <w:marLeft w:val="0"/>
          <w:marRight w:val="0"/>
          <w:marTop w:val="0"/>
          <w:marBottom w:val="0"/>
          <w:divBdr>
            <w:top w:val="none" w:sz="0" w:space="0" w:color="auto"/>
            <w:left w:val="none" w:sz="0" w:space="0" w:color="auto"/>
            <w:bottom w:val="none" w:sz="0" w:space="0" w:color="auto"/>
            <w:right w:val="none" w:sz="0" w:space="0" w:color="auto"/>
          </w:divBdr>
          <w:divsChild>
            <w:div w:id="93482894">
              <w:marLeft w:val="0"/>
              <w:marRight w:val="0"/>
              <w:marTop w:val="0"/>
              <w:marBottom w:val="0"/>
              <w:divBdr>
                <w:top w:val="none" w:sz="0" w:space="0" w:color="auto"/>
                <w:left w:val="none" w:sz="0" w:space="0" w:color="auto"/>
                <w:bottom w:val="none" w:sz="0" w:space="0" w:color="auto"/>
                <w:right w:val="none" w:sz="0" w:space="0" w:color="auto"/>
              </w:divBdr>
            </w:div>
          </w:divsChild>
        </w:div>
        <w:div w:id="1413890551">
          <w:marLeft w:val="0"/>
          <w:marRight w:val="0"/>
          <w:marTop w:val="0"/>
          <w:marBottom w:val="0"/>
          <w:divBdr>
            <w:top w:val="none" w:sz="0" w:space="0" w:color="auto"/>
            <w:left w:val="none" w:sz="0" w:space="0" w:color="auto"/>
            <w:bottom w:val="none" w:sz="0" w:space="0" w:color="auto"/>
            <w:right w:val="none" w:sz="0" w:space="0" w:color="auto"/>
          </w:divBdr>
          <w:divsChild>
            <w:div w:id="225268170">
              <w:marLeft w:val="0"/>
              <w:marRight w:val="0"/>
              <w:marTop w:val="0"/>
              <w:marBottom w:val="0"/>
              <w:divBdr>
                <w:top w:val="none" w:sz="0" w:space="0" w:color="auto"/>
                <w:left w:val="none" w:sz="0" w:space="0" w:color="auto"/>
                <w:bottom w:val="none" w:sz="0" w:space="0" w:color="auto"/>
                <w:right w:val="none" w:sz="0" w:space="0" w:color="auto"/>
              </w:divBdr>
            </w:div>
          </w:divsChild>
        </w:div>
        <w:div w:id="1633560569">
          <w:marLeft w:val="0"/>
          <w:marRight w:val="0"/>
          <w:marTop w:val="0"/>
          <w:marBottom w:val="0"/>
          <w:divBdr>
            <w:top w:val="none" w:sz="0" w:space="0" w:color="auto"/>
            <w:left w:val="none" w:sz="0" w:space="0" w:color="auto"/>
            <w:bottom w:val="none" w:sz="0" w:space="0" w:color="auto"/>
            <w:right w:val="none" w:sz="0" w:space="0" w:color="auto"/>
          </w:divBdr>
          <w:divsChild>
            <w:div w:id="1217623561">
              <w:marLeft w:val="0"/>
              <w:marRight w:val="0"/>
              <w:marTop w:val="0"/>
              <w:marBottom w:val="0"/>
              <w:divBdr>
                <w:top w:val="none" w:sz="0" w:space="0" w:color="auto"/>
                <w:left w:val="none" w:sz="0" w:space="0" w:color="auto"/>
                <w:bottom w:val="none" w:sz="0" w:space="0" w:color="auto"/>
                <w:right w:val="none" w:sz="0" w:space="0" w:color="auto"/>
              </w:divBdr>
            </w:div>
          </w:divsChild>
        </w:div>
        <w:div w:id="123549037">
          <w:marLeft w:val="0"/>
          <w:marRight w:val="0"/>
          <w:marTop w:val="300"/>
          <w:marBottom w:val="300"/>
          <w:divBdr>
            <w:top w:val="none" w:sz="0" w:space="0" w:color="auto"/>
            <w:left w:val="none" w:sz="0" w:space="0" w:color="auto"/>
            <w:bottom w:val="none" w:sz="0" w:space="0" w:color="auto"/>
            <w:right w:val="none" w:sz="0" w:space="0" w:color="auto"/>
          </w:divBdr>
        </w:div>
        <w:div w:id="1790010381">
          <w:marLeft w:val="0"/>
          <w:marRight w:val="0"/>
          <w:marTop w:val="0"/>
          <w:marBottom w:val="0"/>
          <w:divBdr>
            <w:top w:val="none" w:sz="0" w:space="0" w:color="auto"/>
            <w:left w:val="none" w:sz="0" w:space="0" w:color="auto"/>
            <w:bottom w:val="none" w:sz="0" w:space="0" w:color="auto"/>
            <w:right w:val="none" w:sz="0" w:space="0" w:color="auto"/>
          </w:divBdr>
          <w:divsChild>
            <w:div w:id="511459412">
              <w:marLeft w:val="0"/>
              <w:marRight w:val="0"/>
              <w:marTop w:val="0"/>
              <w:marBottom w:val="0"/>
              <w:divBdr>
                <w:top w:val="none" w:sz="0" w:space="0" w:color="auto"/>
                <w:left w:val="none" w:sz="0" w:space="0" w:color="auto"/>
                <w:bottom w:val="none" w:sz="0" w:space="0" w:color="auto"/>
                <w:right w:val="none" w:sz="0" w:space="0" w:color="auto"/>
              </w:divBdr>
            </w:div>
          </w:divsChild>
        </w:div>
        <w:div w:id="646519520">
          <w:marLeft w:val="0"/>
          <w:marRight w:val="0"/>
          <w:marTop w:val="0"/>
          <w:marBottom w:val="0"/>
          <w:divBdr>
            <w:top w:val="none" w:sz="0" w:space="0" w:color="auto"/>
            <w:left w:val="none" w:sz="0" w:space="0" w:color="auto"/>
            <w:bottom w:val="none" w:sz="0" w:space="0" w:color="auto"/>
            <w:right w:val="none" w:sz="0" w:space="0" w:color="auto"/>
          </w:divBdr>
          <w:divsChild>
            <w:div w:id="2012753490">
              <w:marLeft w:val="0"/>
              <w:marRight w:val="0"/>
              <w:marTop w:val="0"/>
              <w:marBottom w:val="0"/>
              <w:divBdr>
                <w:top w:val="none" w:sz="0" w:space="0" w:color="auto"/>
                <w:left w:val="none" w:sz="0" w:space="0" w:color="auto"/>
                <w:bottom w:val="none" w:sz="0" w:space="0" w:color="auto"/>
                <w:right w:val="none" w:sz="0" w:space="0" w:color="auto"/>
              </w:divBdr>
            </w:div>
          </w:divsChild>
        </w:div>
        <w:div w:id="1685785957">
          <w:marLeft w:val="0"/>
          <w:marRight w:val="0"/>
          <w:marTop w:val="0"/>
          <w:marBottom w:val="0"/>
          <w:divBdr>
            <w:top w:val="none" w:sz="0" w:space="0" w:color="auto"/>
            <w:left w:val="none" w:sz="0" w:space="0" w:color="auto"/>
            <w:bottom w:val="none" w:sz="0" w:space="0" w:color="auto"/>
            <w:right w:val="none" w:sz="0" w:space="0" w:color="auto"/>
          </w:divBdr>
          <w:divsChild>
            <w:div w:id="247154048">
              <w:marLeft w:val="0"/>
              <w:marRight w:val="0"/>
              <w:marTop w:val="0"/>
              <w:marBottom w:val="0"/>
              <w:divBdr>
                <w:top w:val="none" w:sz="0" w:space="0" w:color="auto"/>
                <w:left w:val="none" w:sz="0" w:space="0" w:color="auto"/>
                <w:bottom w:val="none" w:sz="0" w:space="0" w:color="auto"/>
                <w:right w:val="none" w:sz="0" w:space="0" w:color="auto"/>
              </w:divBdr>
            </w:div>
          </w:divsChild>
        </w:div>
        <w:div w:id="1530291044">
          <w:marLeft w:val="0"/>
          <w:marRight w:val="0"/>
          <w:marTop w:val="0"/>
          <w:marBottom w:val="0"/>
          <w:divBdr>
            <w:top w:val="none" w:sz="0" w:space="0" w:color="auto"/>
            <w:left w:val="none" w:sz="0" w:space="0" w:color="auto"/>
            <w:bottom w:val="none" w:sz="0" w:space="0" w:color="auto"/>
            <w:right w:val="none" w:sz="0" w:space="0" w:color="auto"/>
          </w:divBdr>
          <w:divsChild>
            <w:div w:id="1984696817">
              <w:marLeft w:val="0"/>
              <w:marRight w:val="0"/>
              <w:marTop w:val="0"/>
              <w:marBottom w:val="0"/>
              <w:divBdr>
                <w:top w:val="none" w:sz="0" w:space="0" w:color="auto"/>
                <w:left w:val="none" w:sz="0" w:space="0" w:color="auto"/>
                <w:bottom w:val="none" w:sz="0" w:space="0" w:color="auto"/>
                <w:right w:val="none" w:sz="0" w:space="0" w:color="auto"/>
              </w:divBdr>
            </w:div>
          </w:divsChild>
        </w:div>
        <w:div w:id="47998577">
          <w:marLeft w:val="0"/>
          <w:marRight w:val="0"/>
          <w:marTop w:val="0"/>
          <w:marBottom w:val="0"/>
          <w:divBdr>
            <w:top w:val="none" w:sz="0" w:space="0" w:color="auto"/>
            <w:left w:val="none" w:sz="0" w:space="0" w:color="auto"/>
            <w:bottom w:val="none" w:sz="0" w:space="0" w:color="auto"/>
            <w:right w:val="none" w:sz="0" w:space="0" w:color="auto"/>
          </w:divBdr>
          <w:divsChild>
            <w:div w:id="719478560">
              <w:marLeft w:val="0"/>
              <w:marRight w:val="0"/>
              <w:marTop w:val="0"/>
              <w:marBottom w:val="0"/>
              <w:divBdr>
                <w:top w:val="none" w:sz="0" w:space="0" w:color="auto"/>
                <w:left w:val="none" w:sz="0" w:space="0" w:color="auto"/>
                <w:bottom w:val="none" w:sz="0" w:space="0" w:color="auto"/>
                <w:right w:val="none" w:sz="0" w:space="0" w:color="auto"/>
              </w:divBdr>
            </w:div>
          </w:divsChild>
        </w:div>
        <w:div w:id="388384309">
          <w:marLeft w:val="0"/>
          <w:marRight w:val="0"/>
          <w:marTop w:val="300"/>
          <w:marBottom w:val="300"/>
          <w:divBdr>
            <w:top w:val="none" w:sz="0" w:space="0" w:color="auto"/>
            <w:left w:val="none" w:sz="0" w:space="0" w:color="auto"/>
            <w:bottom w:val="none" w:sz="0" w:space="0" w:color="auto"/>
            <w:right w:val="none" w:sz="0" w:space="0" w:color="auto"/>
          </w:divBdr>
        </w:div>
        <w:div w:id="2049721815">
          <w:marLeft w:val="0"/>
          <w:marRight w:val="0"/>
          <w:marTop w:val="0"/>
          <w:marBottom w:val="0"/>
          <w:divBdr>
            <w:top w:val="none" w:sz="0" w:space="0" w:color="auto"/>
            <w:left w:val="none" w:sz="0" w:space="0" w:color="auto"/>
            <w:bottom w:val="none" w:sz="0" w:space="0" w:color="auto"/>
            <w:right w:val="none" w:sz="0" w:space="0" w:color="auto"/>
          </w:divBdr>
          <w:divsChild>
            <w:div w:id="52505843">
              <w:marLeft w:val="0"/>
              <w:marRight w:val="0"/>
              <w:marTop w:val="0"/>
              <w:marBottom w:val="0"/>
              <w:divBdr>
                <w:top w:val="none" w:sz="0" w:space="0" w:color="auto"/>
                <w:left w:val="none" w:sz="0" w:space="0" w:color="auto"/>
                <w:bottom w:val="none" w:sz="0" w:space="0" w:color="auto"/>
                <w:right w:val="none" w:sz="0" w:space="0" w:color="auto"/>
              </w:divBdr>
            </w:div>
          </w:divsChild>
        </w:div>
        <w:div w:id="1227717303">
          <w:marLeft w:val="0"/>
          <w:marRight w:val="0"/>
          <w:marTop w:val="0"/>
          <w:marBottom w:val="0"/>
          <w:divBdr>
            <w:top w:val="none" w:sz="0" w:space="0" w:color="auto"/>
            <w:left w:val="none" w:sz="0" w:space="0" w:color="auto"/>
            <w:bottom w:val="none" w:sz="0" w:space="0" w:color="auto"/>
            <w:right w:val="none" w:sz="0" w:space="0" w:color="auto"/>
          </w:divBdr>
          <w:divsChild>
            <w:div w:id="1799716214">
              <w:marLeft w:val="0"/>
              <w:marRight w:val="0"/>
              <w:marTop w:val="0"/>
              <w:marBottom w:val="0"/>
              <w:divBdr>
                <w:top w:val="none" w:sz="0" w:space="0" w:color="auto"/>
                <w:left w:val="none" w:sz="0" w:space="0" w:color="auto"/>
                <w:bottom w:val="none" w:sz="0" w:space="0" w:color="auto"/>
                <w:right w:val="none" w:sz="0" w:space="0" w:color="auto"/>
              </w:divBdr>
            </w:div>
          </w:divsChild>
        </w:div>
        <w:div w:id="2051414500">
          <w:marLeft w:val="0"/>
          <w:marRight w:val="0"/>
          <w:marTop w:val="0"/>
          <w:marBottom w:val="0"/>
          <w:divBdr>
            <w:top w:val="none" w:sz="0" w:space="0" w:color="auto"/>
            <w:left w:val="none" w:sz="0" w:space="0" w:color="auto"/>
            <w:bottom w:val="none" w:sz="0" w:space="0" w:color="auto"/>
            <w:right w:val="none" w:sz="0" w:space="0" w:color="auto"/>
          </w:divBdr>
          <w:divsChild>
            <w:div w:id="1577864564">
              <w:marLeft w:val="0"/>
              <w:marRight w:val="0"/>
              <w:marTop w:val="0"/>
              <w:marBottom w:val="0"/>
              <w:divBdr>
                <w:top w:val="none" w:sz="0" w:space="0" w:color="auto"/>
                <w:left w:val="none" w:sz="0" w:space="0" w:color="auto"/>
                <w:bottom w:val="none" w:sz="0" w:space="0" w:color="auto"/>
                <w:right w:val="none" w:sz="0" w:space="0" w:color="auto"/>
              </w:divBdr>
            </w:div>
          </w:divsChild>
        </w:div>
        <w:div w:id="160320094">
          <w:marLeft w:val="0"/>
          <w:marRight w:val="0"/>
          <w:marTop w:val="0"/>
          <w:marBottom w:val="0"/>
          <w:divBdr>
            <w:top w:val="none" w:sz="0" w:space="0" w:color="auto"/>
            <w:left w:val="none" w:sz="0" w:space="0" w:color="auto"/>
            <w:bottom w:val="none" w:sz="0" w:space="0" w:color="auto"/>
            <w:right w:val="none" w:sz="0" w:space="0" w:color="auto"/>
          </w:divBdr>
          <w:divsChild>
            <w:div w:id="1485857609">
              <w:marLeft w:val="0"/>
              <w:marRight w:val="0"/>
              <w:marTop w:val="0"/>
              <w:marBottom w:val="0"/>
              <w:divBdr>
                <w:top w:val="none" w:sz="0" w:space="0" w:color="auto"/>
                <w:left w:val="none" w:sz="0" w:space="0" w:color="auto"/>
                <w:bottom w:val="none" w:sz="0" w:space="0" w:color="auto"/>
                <w:right w:val="none" w:sz="0" w:space="0" w:color="auto"/>
              </w:divBdr>
            </w:div>
          </w:divsChild>
        </w:div>
        <w:div w:id="624971148">
          <w:marLeft w:val="0"/>
          <w:marRight w:val="0"/>
          <w:marTop w:val="300"/>
          <w:marBottom w:val="300"/>
          <w:divBdr>
            <w:top w:val="none" w:sz="0" w:space="0" w:color="auto"/>
            <w:left w:val="none" w:sz="0" w:space="0" w:color="auto"/>
            <w:bottom w:val="none" w:sz="0" w:space="0" w:color="auto"/>
            <w:right w:val="none" w:sz="0" w:space="0" w:color="auto"/>
          </w:divBdr>
        </w:div>
        <w:div w:id="1571111518">
          <w:marLeft w:val="0"/>
          <w:marRight w:val="0"/>
          <w:marTop w:val="0"/>
          <w:marBottom w:val="0"/>
          <w:divBdr>
            <w:top w:val="none" w:sz="0" w:space="0" w:color="auto"/>
            <w:left w:val="none" w:sz="0" w:space="0" w:color="auto"/>
            <w:bottom w:val="none" w:sz="0" w:space="0" w:color="auto"/>
            <w:right w:val="none" w:sz="0" w:space="0" w:color="auto"/>
          </w:divBdr>
          <w:divsChild>
            <w:div w:id="338850980">
              <w:marLeft w:val="0"/>
              <w:marRight w:val="0"/>
              <w:marTop w:val="0"/>
              <w:marBottom w:val="0"/>
              <w:divBdr>
                <w:top w:val="none" w:sz="0" w:space="0" w:color="auto"/>
                <w:left w:val="none" w:sz="0" w:space="0" w:color="auto"/>
                <w:bottom w:val="none" w:sz="0" w:space="0" w:color="auto"/>
                <w:right w:val="none" w:sz="0" w:space="0" w:color="auto"/>
              </w:divBdr>
            </w:div>
          </w:divsChild>
        </w:div>
        <w:div w:id="1260525229">
          <w:marLeft w:val="0"/>
          <w:marRight w:val="0"/>
          <w:marTop w:val="0"/>
          <w:marBottom w:val="0"/>
          <w:divBdr>
            <w:top w:val="none" w:sz="0" w:space="0" w:color="auto"/>
            <w:left w:val="none" w:sz="0" w:space="0" w:color="auto"/>
            <w:bottom w:val="none" w:sz="0" w:space="0" w:color="auto"/>
            <w:right w:val="none" w:sz="0" w:space="0" w:color="auto"/>
          </w:divBdr>
          <w:divsChild>
            <w:div w:id="994913722">
              <w:marLeft w:val="0"/>
              <w:marRight w:val="0"/>
              <w:marTop w:val="0"/>
              <w:marBottom w:val="0"/>
              <w:divBdr>
                <w:top w:val="none" w:sz="0" w:space="0" w:color="auto"/>
                <w:left w:val="none" w:sz="0" w:space="0" w:color="auto"/>
                <w:bottom w:val="none" w:sz="0" w:space="0" w:color="auto"/>
                <w:right w:val="none" w:sz="0" w:space="0" w:color="auto"/>
              </w:divBdr>
            </w:div>
          </w:divsChild>
        </w:div>
        <w:div w:id="336153653">
          <w:marLeft w:val="0"/>
          <w:marRight w:val="0"/>
          <w:marTop w:val="0"/>
          <w:marBottom w:val="0"/>
          <w:divBdr>
            <w:top w:val="none" w:sz="0" w:space="0" w:color="auto"/>
            <w:left w:val="none" w:sz="0" w:space="0" w:color="auto"/>
            <w:bottom w:val="none" w:sz="0" w:space="0" w:color="auto"/>
            <w:right w:val="none" w:sz="0" w:space="0" w:color="auto"/>
          </w:divBdr>
          <w:divsChild>
            <w:div w:id="1727561654">
              <w:marLeft w:val="0"/>
              <w:marRight w:val="0"/>
              <w:marTop w:val="0"/>
              <w:marBottom w:val="0"/>
              <w:divBdr>
                <w:top w:val="none" w:sz="0" w:space="0" w:color="auto"/>
                <w:left w:val="none" w:sz="0" w:space="0" w:color="auto"/>
                <w:bottom w:val="none" w:sz="0" w:space="0" w:color="auto"/>
                <w:right w:val="none" w:sz="0" w:space="0" w:color="auto"/>
              </w:divBdr>
            </w:div>
          </w:divsChild>
        </w:div>
        <w:div w:id="979962949">
          <w:marLeft w:val="0"/>
          <w:marRight w:val="0"/>
          <w:marTop w:val="0"/>
          <w:marBottom w:val="0"/>
          <w:divBdr>
            <w:top w:val="none" w:sz="0" w:space="0" w:color="auto"/>
            <w:left w:val="none" w:sz="0" w:space="0" w:color="auto"/>
            <w:bottom w:val="none" w:sz="0" w:space="0" w:color="auto"/>
            <w:right w:val="none" w:sz="0" w:space="0" w:color="auto"/>
          </w:divBdr>
          <w:divsChild>
            <w:div w:id="580141719">
              <w:marLeft w:val="0"/>
              <w:marRight w:val="0"/>
              <w:marTop w:val="0"/>
              <w:marBottom w:val="0"/>
              <w:divBdr>
                <w:top w:val="none" w:sz="0" w:space="0" w:color="auto"/>
                <w:left w:val="none" w:sz="0" w:space="0" w:color="auto"/>
                <w:bottom w:val="none" w:sz="0" w:space="0" w:color="auto"/>
                <w:right w:val="none" w:sz="0" w:space="0" w:color="auto"/>
              </w:divBdr>
            </w:div>
          </w:divsChild>
        </w:div>
        <w:div w:id="884097180">
          <w:marLeft w:val="0"/>
          <w:marRight w:val="0"/>
          <w:marTop w:val="300"/>
          <w:marBottom w:val="300"/>
          <w:divBdr>
            <w:top w:val="none" w:sz="0" w:space="0" w:color="auto"/>
            <w:left w:val="none" w:sz="0" w:space="0" w:color="auto"/>
            <w:bottom w:val="none" w:sz="0" w:space="0" w:color="auto"/>
            <w:right w:val="none" w:sz="0" w:space="0" w:color="auto"/>
          </w:divBdr>
        </w:div>
        <w:div w:id="367339820">
          <w:marLeft w:val="0"/>
          <w:marRight w:val="0"/>
          <w:marTop w:val="0"/>
          <w:marBottom w:val="0"/>
          <w:divBdr>
            <w:top w:val="none" w:sz="0" w:space="0" w:color="auto"/>
            <w:left w:val="none" w:sz="0" w:space="0" w:color="auto"/>
            <w:bottom w:val="none" w:sz="0" w:space="0" w:color="auto"/>
            <w:right w:val="none" w:sz="0" w:space="0" w:color="auto"/>
          </w:divBdr>
          <w:divsChild>
            <w:div w:id="728655319">
              <w:marLeft w:val="0"/>
              <w:marRight w:val="0"/>
              <w:marTop w:val="0"/>
              <w:marBottom w:val="0"/>
              <w:divBdr>
                <w:top w:val="none" w:sz="0" w:space="0" w:color="auto"/>
                <w:left w:val="none" w:sz="0" w:space="0" w:color="auto"/>
                <w:bottom w:val="none" w:sz="0" w:space="0" w:color="auto"/>
                <w:right w:val="none" w:sz="0" w:space="0" w:color="auto"/>
              </w:divBdr>
            </w:div>
          </w:divsChild>
        </w:div>
        <w:div w:id="895429813">
          <w:marLeft w:val="0"/>
          <w:marRight w:val="0"/>
          <w:marTop w:val="0"/>
          <w:marBottom w:val="0"/>
          <w:divBdr>
            <w:top w:val="none" w:sz="0" w:space="0" w:color="auto"/>
            <w:left w:val="none" w:sz="0" w:space="0" w:color="auto"/>
            <w:bottom w:val="none" w:sz="0" w:space="0" w:color="auto"/>
            <w:right w:val="none" w:sz="0" w:space="0" w:color="auto"/>
          </w:divBdr>
          <w:divsChild>
            <w:div w:id="555437466">
              <w:marLeft w:val="0"/>
              <w:marRight w:val="0"/>
              <w:marTop w:val="0"/>
              <w:marBottom w:val="0"/>
              <w:divBdr>
                <w:top w:val="none" w:sz="0" w:space="0" w:color="auto"/>
                <w:left w:val="none" w:sz="0" w:space="0" w:color="auto"/>
                <w:bottom w:val="none" w:sz="0" w:space="0" w:color="auto"/>
                <w:right w:val="none" w:sz="0" w:space="0" w:color="auto"/>
              </w:divBdr>
            </w:div>
          </w:divsChild>
        </w:div>
        <w:div w:id="1100370845">
          <w:marLeft w:val="0"/>
          <w:marRight w:val="0"/>
          <w:marTop w:val="0"/>
          <w:marBottom w:val="0"/>
          <w:divBdr>
            <w:top w:val="none" w:sz="0" w:space="0" w:color="auto"/>
            <w:left w:val="none" w:sz="0" w:space="0" w:color="auto"/>
            <w:bottom w:val="none" w:sz="0" w:space="0" w:color="auto"/>
            <w:right w:val="none" w:sz="0" w:space="0" w:color="auto"/>
          </w:divBdr>
          <w:divsChild>
            <w:div w:id="934631158">
              <w:marLeft w:val="0"/>
              <w:marRight w:val="0"/>
              <w:marTop w:val="0"/>
              <w:marBottom w:val="0"/>
              <w:divBdr>
                <w:top w:val="none" w:sz="0" w:space="0" w:color="auto"/>
                <w:left w:val="none" w:sz="0" w:space="0" w:color="auto"/>
                <w:bottom w:val="none" w:sz="0" w:space="0" w:color="auto"/>
                <w:right w:val="none" w:sz="0" w:space="0" w:color="auto"/>
              </w:divBdr>
            </w:div>
          </w:divsChild>
        </w:div>
        <w:div w:id="1749763903">
          <w:marLeft w:val="0"/>
          <w:marRight w:val="0"/>
          <w:marTop w:val="0"/>
          <w:marBottom w:val="0"/>
          <w:divBdr>
            <w:top w:val="none" w:sz="0" w:space="0" w:color="auto"/>
            <w:left w:val="none" w:sz="0" w:space="0" w:color="auto"/>
            <w:bottom w:val="none" w:sz="0" w:space="0" w:color="auto"/>
            <w:right w:val="none" w:sz="0" w:space="0" w:color="auto"/>
          </w:divBdr>
          <w:divsChild>
            <w:div w:id="1309433478">
              <w:marLeft w:val="0"/>
              <w:marRight w:val="0"/>
              <w:marTop w:val="0"/>
              <w:marBottom w:val="0"/>
              <w:divBdr>
                <w:top w:val="none" w:sz="0" w:space="0" w:color="auto"/>
                <w:left w:val="none" w:sz="0" w:space="0" w:color="auto"/>
                <w:bottom w:val="none" w:sz="0" w:space="0" w:color="auto"/>
                <w:right w:val="none" w:sz="0" w:space="0" w:color="auto"/>
              </w:divBdr>
            </w:div>
          </w:divsChild>
        </w:div>
        <w:div w:id="1494444602">
          <w:marLeft w:val="0"/>
          <w:marRight w:val="0"/>
          <w:marTop w:val="300"/>
          <w:marBottom w:val="300"/>
          <w:divBdr>
            <w:top w:val="none" w:sz="0" w:space="0" w:color="auto"/>
            <w:left w:val="none" w:sz="0" w:space="0" w:color="auto"/>
            <w:bottom w:val="none" w:sz="0" w:space="0" w:color="auto"/>
            <w:right w:val="none" w:sz="0" w:space="0" w:color="auto"/>
          </w:divBdr>
        </w:div>
        <w:div w:id="1691878317">
          <w:marLeft w:val="0"/>
          <w:marRight w:val="0"/>
          <w:marTop w:val="0"/>
          <w:marBottom w:val="0"/>
          <w:divBdr>
            <w:top w:val="none" w:sz="0" w:space="0" w:color="auto"/>
            <w:left w:val="none" w:sz="0" w:space="0" w:color="auto"/>
            <w:bottom w:val="none" w:sz="0" w:space="0" w:color="auto"/>
            <w:right w:val="none" w:sz="0" w:space="0" w:color="auto"/>
          </w:divBdr>
          <w:divsChild>
            <w:div w:id="1227911278">
              <w:marLeft w:val="0"/>
              <w:marRight w:val="0"/>
              <w:marTop w:val="0"/>
              <w:marBottom w:val="0"/>
              <w:divBdr>
                <w:top w:val="none" w:sz="0" w:space="0" w:color="auto"/>
                <w:left w:val="none" w:sz="0" w:space="0" w:color="auto"/>
                <w:bottom w:val="none" w:sz="0" w:space="0" w:color="auto"/>
                <w:right w:val="none" w:sz="0" w:space="0" w:color="auto"/>
              </w:divBdr>
            </w:div>
          </w:divsChild>
        </w:div>
        <w:div w:id="2102795752">
          <w:marLeft w:val="0"/>
          <w:marRight w:val="0"/>
          <w:marTop w:val="300"/>
          <w:marBottom w:val="300"/>
          <w:divBdr>
            <w:top w:val="none" w:sz="0" w:space="0" w:color="auto"/>
            <w:left w:val="none" w:sz="0" w:space="0" w:color="auto"/>
            <w:bottom w:val="none" w:sz="0" w:space="0" w:color="auto"/>
            <w:right w:val="none" w:sz="0" w:space="0" w:color="auto"/>
          </w:divBdr>
        </w:div>
        <w:div w:id="1835992939">
          <w:marLeft w:val="0"/>
          <w:marRight w:val="0"/>
          <w:marTop w:val="0"/>
          <w:marBottom w:val="0"/>
          <w:divBdr>
            <w:top w:val="none" w:sz="0" w:space="0" w:color="auto"/>
            <w:left w:val="none" w:sz="0" w:space="0" w:color="auto"/>
            <w:bottom w:val="none" w:sz="0" w:space="0" w:color="auto"/>
            <w:right w:val="none" w:sz="0" w:space="0" w:color="auto"/>
          </w:divBdr>
          <w:divsChild>
            <w:div w:id="1771243363">
              <w:marLeft w:val="0"/>
              <w:marRight w:val="0"/>
              <w:marTop w:val="0"/>
              <w:marBottom w:val="0"/>
              <w:divBdr>
                <w:top w:val="none" w:sz="0" w:space="0" w:color="auto"/>
                <w:left w:val="none" w:sz="0" w:space="0" w:color="auto"/>
                <w:bottom w:val="none" w:sz="0" w:space="0" w:color="auto"/>
                <w:right w:val="none" w:sz="0" w:space="0" w:color="auto"/>
              </w:divBdr>
            </w:div>
          </w:divsChild>
        </w:div>
        <w:div w:id="817380367">
          <w:marLeft w:val="0"/>
          <w:marRight w:val="0"/>
          <w:marTop w:val="300"/>
          <w:marBottom w:val="300"/>
          <w:divBdr>
            <w:top w:val="none" w:sz="0" w:space="0" w:color="auto"/>
            <w:left w:val="none" w:sz="0" w:space="0" w:color="auto"/>
            <w:bottom w:val="none" w:sz="0" w:space="0" w:color="auto"/>
            <w:right w:val="none" w:sz="0" w:space="0" w:color="auto"/>
          </w:divBdr>
        </w:div>
        <w:div w:id="1194852533">
          <w:marLeft w:val="0"/>
          <w:marRight w:val="0"/>
          <w:marTop w:val="0"/>
          <w:marBottom w:val="0"/>
          <w:divBdr>
            <w:top w:val="none" w:sz="0" w:space="0" w:color="auto"/>
            <w:left w:val="none" w:sz="0" w:space="0" w:color="auto"/>
            <w:bottom w:val="none" w:sz="0" w:space="0" w:color="auto"/>
            <w:right w:val="none" w:sz="0" w:space="0" w:color="auto"/>
          </w:divBdr>
          <w:divsChild>
            <w:div w:id="837616308">
              <w:marLeft w:val="0"/>
              <w:marRight w:val="0"/>
              <w:marTop w:val="0"/>
              <w:marBottom w:val="0"/>
              <w:divBdr>
                <w:top w:val="none" w:sz="0" w:space="0" w:color="auto"/>
                <w:left w:val="none" w:sz="0" w:space="0" w:color="auto"/>
                <w:bottom w:val="none" w:sz="0" w:space="0" w:color="auto"/>
                <w:right w:val="none" w:sz="0" w:space="0" w:color="auto"/>
              </w:divBdr>
            </w:div>
          </w:divsChild>
        </w:div>
        <w:div w:id="1218971767">
          <w:marLeft w:val="0"/>
          <w:marRight w:val="0"/>
          <w:marTop w:val="0"/>
          <w:marBottom w:val="0"/>
          <w:divBdr>
            <w:top w:val="none" w:sz="0" w:space="0" w:color="auto"/>
            <w:left w:val="none" w:sz="0" w:space="0" w:color="auto"/>
            <w:bottom w:val="none" w:sz="0" w:space="0" w:color="auto"/>
            <w:right w:val="none" w:sz="0" w:space="0" w:color="auto"/>
          </w:divBdr>
          <w:divsChild>
            <w:div w:id="365369374">
              <w:marLeft w:val="0"/>
              <w:marRight w:val="0"/>
              <w:marTop w:val="0"/>
              <w:marBottom w:val="0"/>
              <w:divBdr>
                <w:top w:val="none" w:sz="0" w:space="0" w:color="auto"/>
                <w:left w:val="none" w:sz="0" w:space="0" w:color="auto"/>
                <w:bottom w:val="none" w:sz="0" w:space="0" w:color="auto"/>
                <w:right w:val="none" w:sz="0" w:space="0" w:color="auto"/>
              </w:divBdr>
            </w:div>
          </w:divsChild>
        </w:div>
        <w:div w:id="826555386">
          <w:marLeft w:val="0"/>
          <w:marRight w:val="0"/>
          <w:marTop w:val="0"/>
          <w:marBottom w:val="0"/>
          <w:divBdr>
            <w:top w:val="none" w:sz="0" w:space="0" w:color="auto"/>
            <w:left w:val="none" w:sz="0" w:space="0" w:color="auto"/>
            <w:bottom w:val="none" w:sz="0" w:space="0" w:color="auto"/>
            <w:right w:val="none" w:sz="0" w:space="0" w:color="auto"/>
          </w:divBdr>
          <w:divsChild>
            <w:div w:id="1221214317">
              <w:marLeft w:val="0"/>
              <w:marRight w:val="0"/>
              <w:marTop w:val="0"/>
              <w:marBottom w:val="0"/>
              <w:divBdr>
                <w:top w:val="none" w:sz="0" w:space="0" w:color="auto"/>
                <w:left w:val="none" w:sz="0" w:space="0" w:color="auto"/>
                <w:bottom w:val="none" w:sz="0" w:space="0" w:color="auto"/>
                <w:right w:val="none" w:sz="0" w:space="0" w:color="auto"/>
              </w:divBdr>
            </w:div>
          </w:divsChild>
        </w:div>
        <w:div w:id="1021052745">
          <w:marLeft w:val="0"/>
          <w:marRight w:val="0"/>
          <w:marTop w:val="0"/>
          <w:marBottom w:val="0"/>
          <w:divBdr>
            <w:top w:val="none" w:sz="0" w:space="0" w:color="auto"/>
            <w:left w:val="none" w:sz="0" w:space="0" w:color="auto"/>
            <w:bottom w:val="none" w:sz="0" w:space="0" w:color="auto"/>
            <w:right w:val="none" w:sz="0" w:space="0" w:color="auto"/>
          </w:divBdr>
          <w:divsChild>
            <w:div w:id="1966348868">
              <w:marLeft w:val="0"/>
              <w:marRight w:val="0"/>
              <w:marTop w:val="0"/>
              <w:marBottom w:val="0"/>
              <w:divBdr>
                <w:top w:val="none" w:sz="0" w:space="0" w:color="auto"/>
                <w:left w:val="none" w:sz="0" w:space="0" w:color="auto"/>
                <w:bottom w:val="none" w:sz="0" w:space="0" w:color="auto"/>
                <w:right w:val="none" w:sz="0" w:space="0" w:color="auto"/>
              </w:divBdr>
            </w:div>
          </w:divsChild>
        </w:div>
        <w:div w:id="251285618">
          <w:marLeft w:val="0"/>
          <w:marRight w:val="0"/>
          <w:marTop w:val="300"/>
          <w:marBottom w:val="300"/>
          <w:divBdr>
            <w:top w:val="none" w:sz="0" w:space="0" w:color="auto"/>
            <w:left w:val="none" w:sz="0" w:space="0" w:color="auto"/>
            <w:bottom w:val="none" w:sz="0" w:space="0" w:color="auto"/>
            <w:right w:val="none" w:sz="0" w:space="0" w:color="auto"/>
          </w:divBdr>
        </w:div>
        <w:div w:id="746419513">
          <w:marLeft w:val="0"/>
          <w:marRight w:val="0"/>
          <w:marTop w:val="0"/>
          <w:marBottom w:val="0"/>
          <w:divBdr>
            <w:top w:val="none" w:sz="0" w:space="0" w:color="auto"/>
            <w:left w:val="none" w:sz="0" w:space="0" w:color="auto"/>
            <w:bottom w:val="none" w:sz="0" w:space="0" w:color="auto"/>
            <w:right w:val="none" w:sz="0" w:space="0" w:color="auto"/>
          </w:divBdr>
          <w:divsChild>
            <w:div w:id="1481993401">
              <w:marLeft w:val="0"/>
              <w:marRight w:val="0"/>
              <w:marTop w:val="0"/>
              <w:marBottom w:val="0"/>
              <w:divBdr>
                <w:top w:val="none" w:sz="0" w:space="0" w:color="auto"/>
                <w:left w:val="none" w:sz="0" w:space="0" w:color="auto"/>
                <w:bottom w:val="none" w:sz="0" w:space="0" w:color="auto"/>
                <w:right w:val="none" w:sz="0" w:space="0" w:color="auto"/>
              </w:divBdr>
            </w:div>
          </w:divsChild>
        </w:div>
        <w:div w:id="831067651">
          <w:marLeft w:val="0"/>
          <w:marRight w:val="0"/>
          <w:marTop w:val="300"/>
          <w:marBottom w:val="300"/>
          <w:divBdr>
            <w:top w:val="none" w:sz="0" w:space="0" w:color="auto"/>
            <w:left w:val="none" w:sz="0" w:space="0" w:color="auto"/>
            <w:bottom w:val="none" w:sz="0" w:space="0" w:color="auto"/>
            <w:right w:val="none" w:sz="0" w:space="0" w:color="auto"/>
          </w:divBdr>
        </w:div>
        <w:div w:id="1226911805">
          <w:marLeft w:val="0"/>
          <w:marRight w:val="0"/>
          <w:marTop w:val="0"/>
          <w:marBottom w:val="0"/>
          <w:divBdr>
            <w:top w:val="none" w:sz="0" w:space="0" w:color="auto"/>
            <w:left w:val="none" w:sz="0" w:space="0" w:color="auto"/>
            <w:bottom w:val="none" w:sz="0" w:space="0" w:color="auto"/>
            <w:right w:val="none" w:sz="0" w:space="0" w:color="auto"/>
          </w:divBdr>
          <w:divsChild>
            <w:div w:id="203102278">
              <w:marLeft w:val="0"/>
              <w:marRight w:val="0"/>
              <w:marTop w:val="0"/>
              <w:marBottom w:val="0"/>
              <w:divBdr>
                <w:top w:val="none" w:sz="0" w:space="0" w:color="auto"/>
                <w:left w:val="none" w:sz="0" w:space="0" w:color="auto"/>
                <w:bottom w:val="none" w:sz="0" w:space="0" w:color="auto"/>
                <w:right w:val="none" w:sz="0" w:space="0" w:color="auto"/>
              </w:divBdr>
            </w:div>
          </w:divsChild>
        </w:div>
        <w:div w:id="1701662133">
          <w:marLeft w:val="0"/>
          <w:marRight w:val="0"/>
          <w:marTop w:val="0"/>
          <w:marBottom w:val="0"/>
          <w:divBdr>
            <w:top w:val="none" w:sz="0" w:space="0" w:color="auto"/>
            <w:left w:val="none" w:sz="0" w:space="0" w:color="auto"/>
            <w:bottom w:val="none" w:sz="0" w:space="0" w:color="auto"/>
            <w:right w:val="none" w:sz="0" w:space="0" w:color="auto"/>
          </w:divBdr>
          <w:divsChild>
            <w:div w:id="761411534">
              <w:marLeft w:val="0"/>
              <w:marRight w:val="0"/>
              <w:marTop w:val="0"/>
              <w:marBottom w:val="0"/>
              <w:divBdr>
                <w:top w:val="none" w:sz="0" w:space="0" w:color="auto"/>
                <w:left w:val="none" w:sz="0" w:space="0" w:color="auto"/>
                <w:bottom w:val="none" w:sz="0" w:space="0" w:color="auto"/>
                <w:right w:val="none" w:sz="0" w:space="0" w:color="auto"/>
              </w:divBdr>
            </w:div>
          </w:divsChild>
        </w:div>
        <w:div w:id="1507088265">
          <w:marLeft w:val="0"/>
          <w:marRight w:val="0"/>
          <w:marTop w:val="0"/>
          <w:marBottom w:val="0"/>
          <w:divBdr>
            <w:top w:val="none" w:sz="0" w:space="0" w:color="auto"/>
            <w:left w:val="none" w:sz="0" w:space="0" w:color="auto"/>
            <w:bottom w:val="none" w:sz="0" w:space="0" w:color="auto"/>
            <w:right w:val="none" w:sz="0" w:space="0" w:color="auto"/>
          </w:divBdr>
          <w:divsChild>
            <w:div w:id="865948687">
              <w:marLeft w:val="0"/>
              <w:marRight w:val="0"/>
              <w:marTop w:val="0"/>
              <w:marBottom w:val="0"/>
              <w:divBdr>
                <w:top w:val="none" w:sz="0" w:space="0" w:color="auto"/>
                <w:left w:val="none" w:sz="0" w:space="0" w:color="auto"/>
                <w:bottom w:val="none" w:sz="0" w:space="0" w:color="auto"/>
                <w:right w:val="none" w:sz="0" w:space="0" w:color="auto"/>
              </w:divBdr>
            </w:div>
          </w:divsChild>
        </w:div>
        <w:div w:id="1930625526">
          <w:marLeft w:val="0"/>
          <w:marRight w:val="0"/>
          <w:marTop w:val="0"/>
          <w:marBottom w:val="0"/>
          <w:divBdr>
            <w:top w:val="none" w:sz="0" w:space="0" w:color="auto"/>
            <w:left w:val="none" w:sz="0" w:space="0" w:color="auto"/>
            <w:bottom w:val="none" w:sz="0" w:space="0" w:color="auto"/>
            <w:right w:val="none" w:sz="0" w:space="0" w:color="auto"/>
          </w:divBdr>
          <w:divsChild>
            <w:div w:id="861751184">
              <w:marLeft w:val="0"/>
              <w:marRight w:val="0"/>
              <w:marTop w:val="0"/>
              <w:marBottom w:val="0"/>
              <w:divBdr>
                <w:top w:val="none" w:sz="0" w:space="0" w:color="auto"/>
                <w:left w:val="none" w:sz="0" w:space="0" w:color="auto"/>
                <w:bottom w:val="none" w:sz="0" w:space="0" w:color="auto"/>
                <w:right w:val="none" w:sz="0" w:space="0" w:color="auto"/>
              </w:divBdr>
            </w:div>
          </w:divsChild>
        </w:div>
        <w:div w:id="1884056346">
          <w:marLeft w:val="0"/>
          <w:marRight w:val="0"/>
          <w:marTop w:val="0"/>
          <w:marBottom w:val="0"/>
          <w:divBdr>
            <w:top w:val="none" w:sz="0" w:space="0" w:color="auto"/>
            <w:left w:val="none" w:sz="0" w:space="0" w:color="auto"/>
            <w:bottom w:val="none" w:sz="0" w:space="0" w:color="auto"/>
            <w:right w:val="none" w:sz="0" w:space="0" w:color="auto"/>
          </w:divBdr>
          <w:divsChild>
            <w:div w:id="1433284708">
              <w:marLeft w:val="0"/>
              <w:marRight w:val="0"/>
              <w:marTop w:val="0"/>
              <w:marBottom w:val="0"/>
              <w:divBdr>
                <w:top w:val="none" w:sz="0" w:space="0" w:color="auto"/>
                <w:left w:val="none" w:sz="0" w:space="0" w:color="auto"/>
                <w:bottom w:val="none" w:sz="0" w:space="0" w:color="auto"/>
                <w:right w:val="none" w:sz="0" w:space="0" w:color="auto"/>
              </w:divBdr>
            </w:div>
          </w:divsChild>
        </w:div>
        <w:div w:id="2036417631">
          <w:marLeft w:val="0"/>
          <w:marRight w:val="0"/>
          <w:marTop w:val="300"/>
          <w:marBottom w:val="300"/>
          <w:divBdr>
            <w:top w:val="none" w:sz="0" w:space="0" w:color="auto"/>
            <w:left w:val="none" w:sz="0" w:space="0" w:color="auto"/>
            <w:bottom w:val="none" w:sz="0" w:space="0" w:color="auto"/>
            <w:right w:val="none" w:sz="0" w:space="0" w:color="auto"/>
          </w:divBdr>
        </w:div>
        <w:div w:id="1663311815">
          <w:marLeft w:val="0"/>
          <w:marRight w:val="0"/>
          <w:marTop w:val="0"/>
          <w:marBottom w:val="0"/>
          <w:divBdr>
            <w:top w:val="none" w:sz="0" w:space="0" w:color="auto"/>
            <w:left w:val="none" w:sz="0" w:space="0" w:color="auto"/>
            <w:bottom w:val="none" w:sz="0" w:space="0" w:color="auto"/>
            <w:right w:val="none" w:sz="0" w:space="0" w:color="auto"/>
          </w:divBdr>
          <w:divsChild>
            <w:div w:id="20202980">
              <w:marLeft w:val="0"/>
              <w:marRight w:val="0"/>
              <w:marTop w:val="0"/>
              <w:marBottom w:val="0"/>
              <w:divBdr>
                <w:top w:val="none" w:sz="0" w:space="0" w:color="auto"/>
                <w:left w:val="none" w:sz="0" w:space="0" w:color="auto"/>
                <w:bottom w:val="none" w:sz="0" w:space="0" w:color="auto"/>
                <w:right w:val="none" w:sz="0" w:space="0" w:color="auto"/>
              </w:divBdr>
            </w:div>
          </w:divsChild>
        </w:div>
        <w:div w:id="505632087">
          <w:marLeft w:val="0"/>
          <w:marRight w:val="0"/>
          <w:marTop w:val="0"/>
          <w:marBottom w:val="0"/>
          <w:divBdr>
            <w:top w:val="none" w:sz="0" w:space="0" w:color="auto"/>
            <w:left w:val="none" w:sz="0" w:space="0" w:color="auto"/>
            <w:bottom w:val="none" w:sz="0" w:space="0" w:color="auto"/>
            <w:right w:val="none" w:sz="0" w:space="0" w:color="auto"/>
          </w:divBdr>
          <w:divsChild>
            <w:div w:id="926579391">
              <w:marLeft w:val="0"/>
              <w:marRight w:val="0"/>
              <w:marTop w:val="0"/>
              <w:marBottom w:val="0"/>
              <w:divBdr>
                <w:top w:val="none" w:sz="0" w:space="0" w:color="auto"/>
                <w:left w:val="none" w:sz="0" w:space="0" w:color="auto"/>
                <w:bottom w:val="none" w:sz="0" w:space="0" w:color="auto"/>
                <w:right w:val="none" w:sz="0" w:space="0" w:color="auto"/>
              </w:divBdr>
            </w:div>
          </w:divsChild>
        </w:div>
        <w:div w:id="823931553">
          <w:marLeft w:val="0"/>
          <w:marRight w:val="0"/>
          <w:marTop w:val="0"/>
          <w:marBottom w:val="0"/>
          <w:divBdr>
            <w:top w:val="none" w:sz="0" w:space="0" w:color="auto"/>
            <w:left w:val="none" w:sz="0" w:space="0" w:color="auto"/>
            <w:bottom w:val="none" w:sz="0" w:space="0" w:color="auto"/>
            <w:right w:val="none" w:sz="0" w:space="0" w:color="auto"/>
          </w:divBdr>
          <w:divsChild>
            <w:div w:id="277028350">
              <w:marLeft w:val="0"/>
              <w:marRight w:val="0"/>
              <w:marTop w:val="0"/>
              <w:marBottom w:val="0"/>
              <w:divBdr>
                <w:top w:val="none" w:sz="0" w:space="0" w:color="auto"/>
                <w:left w:val="none" w:sz="0" w:space="0" w:color="auto"/>
                <w:bottom w:val="none" w:sz="0" w:space="0" w:color="auto"/>
                <w:right w:val="none" w:sz="0" w:space="0" w:color="auto"/>
              </w:divBdr>
            </w:div>
          </w:divsChild>
        </w:div>
        <w:div w:id="1902399232">
          <w:marLeft w:val="0"/>
          <w:marRight w:val="0"/>
          <w:marTop w:val="0"/>
          <w:marBottom w:val="0"/>
          <w:divBdr>
            <w:top w:val="none" w:sz="0" w:space="0" w:color="auto"/>
            <w:left w:val="none" w:sz="0" w:space="0" w:color="auto"/>
            <w:bottom w:val="none" w:sz="0" w:space="0" w:color="auto"/>
            <w:right w:val="none" w:sz="0" w:space="0" w:color="auto"/>
          </w:divBdr>
          <w:divsChild>
            <w:div w:id="1950548047">
              <w:marLeft w:val="0"/>
              <w:marRight w:val="0"/>
              <w:marTop w:val="0"/>
              <w:marBottom w:val="0"/>
              <w:divBdr>
                <w:top w:val="none" w:sz="0" w:space="0" w:color="auto"/>
                <w:left w:val="none" w:sz="0" w:space="0" w:color="auto"/>
                <w:bottom w:val="none" w:sz="0" w:space="0" w:color="auto"/>
                <w:right w:val="none" w:sz="0" w:space="0" w:color="auto"/>
              </w:divBdr>
            </w:div>
          </w:divsChild>
        </w:div>
        <w:div w:id="1461846090">
          <w:marLeft w:val="0"/>
          <w:marRight w:val="0"/>
          <w:marTop w:val="300"/>
          <w:marBottom w:val="300"/>
          <w:divBdr>
            <w:top w:val="none" w:sz="0" w:space="0" w:color="auto"/>
            <w:left w:val="none" w:sz="0" w:space="0" w:color="auto"/>
            <w:bottom w:val="none" w:sz="0" w:space="0" w:color="auto"/>
            <w:right w:val="none" w:sz="0" w:space="0" w:color="auto"/>
          </w:divBdr>
        </w:div>
        <w:div w:id="376054497">
          <w:marLeft w:val="0"/>
          <w:marRight w:val="0"/>
          <w:marTop w:val="0"/>
          <w:marBottom w:val="0"/>
          <w:divBdr>
            <w:top w:val="none" w:sz="0" w:space="0" w:color="auto"/>
            <w:left w:val="none" w:sz="0" w:space="0" w:color="auto"/>
            <w:bottom w:val="none" w:sz="0" w:space="0" w:color="auto"/>
            <w:right w:val="none" w:sz="0" w:space="0" w:color="auto"/>
          </w:divBdr>
          <w:divsChild>
            <w:div w:id="792215403">
              <w:marLeft w:val="0"/>
              <w:marRight w:val="0"/>
              <w:marTop w:val="0"/>
              <w:marBottom w:val="0"/>
              <w:divBdr>
                <w:top w:val="none" w:sz="0" w:space="0" w:color="auto"/>
                <w:left w:val="none" w:sz="0" w:space="0" w:color="auto"/>
                <w:bottom w:val="none" w:sz="0" w:space="0" w:color="auto"/>
                <w:right w:val="none" w:sz="0" w:space="0" w:color="auto"/>
              </w:divBdr>
            </w:div>
          </w:divsChild>
        </w:div>
        <w:div w:id="366032688">
          <w:marLeft w:val="0"/>
          <w:marRight w:val="0"/>
          <w:marTop w:val="0"/>
          <w:marBottom w:val="0"/>
          <w:divBdr>
            <w:top w:val="none" w:sz="0" w:space="0" w:color="auto"/>
            <w:left w:val="none" w:sz="0" w:space="0" w:color="auto"/>
            <w:bottom w:val="none" w:sz="0" w:space="0" w:color="auto"/>
            <w:right w:val="none" w:sz="0" w:space="0" w:color="auto"/>
          </w:divBdr>
          <w:divsChild>
            <w:div w:id="459500595">
              <w:marLeft w:val="0"/>
              <w:marRight w:val="0"/>
              <w:marTop w:val="0"/>
              <w:marBottom w:val="0"/>
              <w:divBdr>
                <w:top w:val="none" w:sz="0" w:space="0" w:color="auto"/>
                <w:left w:val="none" w:sz="0" w:space="0" w:color="auto"/>
                <w:bottom w:val="none" w:sz="0" w:space="0" w:color="auto"/>
                <w:right w:val="none" w:sz="0" w:space="0" w:color="auto"/>
              </w:divBdr>
            </w:div>
          </w:divsChild>
        </w:div>
        <w:div w:id="154347834">
          <w:marLeft w:val="0"/>
          <w:marRight w:val="0"/>
          <w:marTop w:val="0"/>
          <w:marBottom w:val="0"/>
          <w:divBdr>
            <w:top w:val="none" w:sz="0" w:space="0" w:color="auto"/>
            <w:left w:val="none" w:sz="0" w:space="0" w:color="auto"/>
            <w:bottom w:val="none" w:sz="0" w:space="0" w:color="auto"/>
            <w:right w:val="none" w:sz="0" w:space="0" w:color="auto"/>
          </w:divBdr>
          <w:divsChild>
            <w:div w:id="1037507252">
              <w:marLeft w:val="0"/>
              <w:marRight w:val="0"/>
              <w:marTop w:val="0"/>
              <w:marBottom w:val="0"/>
              <w:divBdr>
                <w:top w:val="none" w:sz="0" w:space="0" w:color="auto"/>
                <w:left w:val="none" w:sz="0" w:space="0" w:color="auto"/>
                <w:bottom w:val="none" w:sz="0" w:space="0" w:color="auto"/>
                <w:right w:val="none" w:sz="0" w:space="0" w:color="auto"/>
              </w:divBdr>
            </w:div>
          </w:divsChild>
        </w:div>
        <w:div w:id="1189182393">
          <w:marLeft w:val="0"/>
          <w:marRight w:val="0"/>
          <w:marTop w:val="0"/>
          <w:marBottom w:val="0"/>
          <w:divBdr>
            <w:top w:val="none" w:sz="0" w:space="0" w:color="auto"/>
            <w:left w:val="none" w:sz="0" w:space="0" w:color="auto"/>
            <w:bottom w:val="none" w:sz="0" w:space="0" w:color="auto"/>
            <w:right w:val="none" w:sz="0" w:space="0" w:color="auto"/>
          </w:divBdr>
          <w:divsChild>
            <w:div w:id="686567059">
              <w:marLeft w:val="0"/>
              <w:marRight w:val="0"/>
              <w:marTop w:val="0"/>
              <w:marBottom w:val="0"/>
              <w:divBdr>
                <w:top w:val="none" w:sz="0" w:space="0" w:color="auto"/>
                <w:left w:val="none" w:sz="0" w:space="0" w:color="auto"/>
                <w:bottom w:val="none" w:sz="0" w:space="0" w:color="auto"/>
                <w:right w:val="none" w:sz="0" w:space="0" w:color="auto"/>
              </w:divBdr>
            </w:div>
          </w:divsChild>
        </w:div>
        <w:div w:id="2051882820">
          <w:marLeft w:val="0"/>
          <w:marRight w:val="0"/>
          <w:marTop w:val="0"/>
          <w:marBottom w:val="0"/>
          <w:divBdr>
            <w:top w:val="none" w:sz="0" w:space="0" w:color="auto"/>
            <w:left w:val="none" w:sz="0" w:space="0" w:color="auto"/>
            <w:bottom w:val="none" w:sz="0" w:space="0" w:color="auto"/>
            <w:right w:val="none" w:sz="0" w:space="0" w:color="auto"/>
          </w:divBdr>
          <w:divsChild>
            <w:div w:id="112136376">
              <w:marLeft w:val="0"/>
              <w:marRight w:val="0"/>
              <w:marTop w:val="0"/>
              <w:marBottom w:val="0"/>
              <w:divBdr>
                <w:top w:val="none" w:sz="0" w:space="0" w:color="auto"/>
                <w:left w:val="none" w:sz="0" w:space="0" w:color="auto"/>
                <w:bottom w:val="none" w:sz="0" w:space="0" w:color="auto"/>
                <w:right w:val="none" w:sz="0" w:space="0" w:color="auto"/>
              </w:divBdr>
            </w:div>
          </w:divsChild>
        </w:div>
        <w:div w:id="1043940134">
          <w:marLeft w:val="0"/>
          <w:marRight w:val="0"/>
          <w:marTop w:val="300"/>
          <w:marBottom w:val="300"/>
          <w:divBdr>
            <w:top w:val="none" w:sz="0" w:space="0" w:color="auto"/>
            <w:left w:val="none" w:sz="0" w:space="0" w:color="auto"/>
            <w:bottom w:val="none" w:sz="0" w:space="0" w:color="auto"/>
            <w:right w:val="none" w:sz="0" w:space="0" w:color="auto"/>
          </w:divBdr>
        </w:div>
        <w:div w:id="1324310540">
          <w:marLeft w:val="0"/>
          <w:marRight w:val="0"/>
          <w:marTop w:val="0"/>
          <w:marBottom w:val="0"/>
          <w:divBdr>
            <w:top w:val="none" w:sz="0" w:space="0" w:color="auto"/>
            <w:left w:val="none" w:sz="0" w:space="0" w:color="auto"/>
            <w:bottom w:val="none" w:sz="0" w:space="0" w:color="auto"/>
            <w:right w:val="none" w:sz="0" w:space="0" w:color="auto"/>
          </w:divBdr>
          <w:divsChild>
            <w:div w:id="839007138">
              <w:marLeft w:val="0"/>
              <w:marRight w:val="0"/>
              <w:marTop w:val="0"/>
              <w:marBottom w:val="0"/>
              <w:divBdr>
                <w:top w:val="none" w:sz="0" w:space="0" w:color="auto"/>
                <w:left w:val="none" w:sz="0" w:space="0" w:color="auto"/>
                <w:bottom w:val="none" w:sz="0" w:space="0" w:color="auto"/>
                <w:right w:val="none" w:sz="0" w:space="0" w:color="auto"/>
              </w:divBdr>
            </w:div>
          </w:divsChild>
        </w:div>
        <w:div w:id="1765372173">
          <w:marLeft w:val="0"/>
          <w:marRight w:val="0"/>
          <w:marTop w:val="0"/>
          <w:marBottom w:val="0"/>
          <w:divBdr>
            <w:top w:val="none" w:sz="0" w:space="0" w:color="auto"/>
            <w:left w:val="none" w:sz="0" w:space="0" w:color="auto"/>
            <w:bottom w:val="none" w:sz="0" w:space="0" w:color="auto"/>
            <w:right w:val="none" w:sz="0" w:space="0" w:color="auto"/>
          </w:divBdr>
          <w:divsChild>
            <w:div w:id="1459954640">
              <w:marLeft w:val="0"/>
              <w:marRight w:val="0"/>
              <w:marTop w:val="0"/>
              <w:marBottom w:val="0"/>
              <w:divBdr>
                <w:top w:val="none" w:sz="0" w:space="0" w:color="auto"/>
                <w:left w:val="none" w:sz="0" w:space="0" w:color="auto"/>
                <w:bottom w:val="none" w:sz="0" w:space="0" w:color="auto"/>
                <w:right w:val="none" w:sz="0" w:space="0" w:color="auto"/>
              </w:divBdr>
            </w:div>
          </w:divsChild>
        </w:div>
        <w:div w:id="1309552711">
          <w:marLeft w:val="0"/>
          <w:marRight w:val="0"/>
          <w:marTop w:val="0"/>
          <w:marBottom w:val="0"/>
          <w:divBdr>
            <w:top w:val="none" w:sz="0" w:space="0" w:color="auto"/>
            <w:left w:val="none" w:sz="0" w:space="0" w:color="auto"/>
            <w:bottom w:val="none" w:sz="0" w:space="0" w:color="auto"/>
            <w:right w:val="none" w:sz="0" w:space="0" w:color="auto"/>
          </w:divBdr>
          <w:divsChild>
            <w:div w:id="665129543">
              <w:marLeft w:val="0"/>
              <w:marRight w:val="0"/>
              <w:marTop w:val="0"/>
              <w:marBottom w:val="0"/>
              <w:divBdr>
                <w:top w:val="none" w:sz="0" w:space="0" w:color="auto"/>
                <w:left w:val="none" w:sz="0" w:space="0" w:color="auto"/>
                <w:bottom w:val="none" w:sz="0" w:space="0" w:color="auto"/>
                <w:right w:val="none" w:sz="0" w:space="0" w:color="auto"/>
              </w:divBdr>
            </w:div>
          </w:divsChild>
        </w:div>
        <w:div w:id="814296183">
          <w:marLeft w:val="0"/>
          <w:marRight w:val="0"/>
          <w:marTop w:val="300"/>
          <w:marBottom w:val="300"/>
          <w:divBdr>
            <w:top w:val="none" w:sz="0" w:space="0" w:color="auto"/>
            <w:left w:val="none" w:sz="0" w:space="0" w:color="auto"/>
            <w:bottom w:val="none" w:sz="0" w:space="0" w:color="auto"/>
            <w:right w:val="none" w:sz="0" w:space="0" w:color="auto"/>
          </w:divBdr>
        </w:div>
        <w:div w:id="1166676984">
          <w:marLeft w:val="0"/>
          <w:marRight w:val="0"/>
          <w:marTop w:val="0"/>
          <w:marBottom w:val="0"/>
          <w:divBdr>
            <w:top w:val="none" w:sz="0" w:space="0" w:color="auto"/>
            <w:left w:val="none" w:sz="0" w:space="0" w:color="auto"/>
            <w:bottom w:val="none" w:sz="0" w:space="0" w:color="auto"/>
            <w:right w:val="none" w:sz="0" w:space="0" w:color="auto"/>
          </w:divBdr>
          <w:divsChild>
            <w:div w:id="1480801833">
              <w:marLeft w:val="0"/>
              <w:marRight w:val="0"/>
              <w:marTop w:val="0"/>
              <w:marBottom w:val="0"/>
              <w:divBdr>
                <w:top w:val="none" w:sz="0" w:space="0" w:color="auto"/>
                <w:left w:val="none" w:sz="0" w:space="0" w:color="auto"/>
                <w:bottom w:val="none" w:sz="0" w:space="0" w:color="auto"/>
                <w:right w:val="none" w:sz="0" w:space="0" w:color="auto"/>
              </w:divBdr>
            </w:div>
          </w:divsChild>
        </w:div>
        <w:div w:id="1078938201">
          <w:marLeft w:val="0"/>
          <w:marRight w:val="0"/>
          <w:marTop w:val="0"/>
          <w:marBottom w:val="0"/>
          <w:divBdr>
            <w:top w:val="none" w:sz="0" w:space="0" w:color="auto"/>
            <w:left w:val="none" w:sz="0" w:space="0" w:color="auto"/>
            <w:bottom w:val="none" w:sz="0" w:space="0" w:color="auto"/>
            <w:right w:val="none" w:sz="0" w:space="0" w:color="auto"/>
          </w:divBdr>
          <w:divsChild>
            <w:div w:id="349070538">
              <w:marLeft w:val="0"/>
              <w:marRight w:val="0"/>
              <w:marTop w:val="0"/>
              <w:marBottom w:val="0"/>
              <w:divBdr>
                <w:top w:val="none" w:sz="0" w:space="0" w:color="auto"/>
                <w:left w:val="none" w:sz="0" w:space="0" w:color="auto"/>
                <w:bottom w:val="none" w:sz="0" w:space="0" w:color="auto"/>
                <w:right w:val="none" w:sz="0" w:space="0" w:color="auto"/>
              </w:divBdr>
            </w:div>
          </w:divsChild>
        </w:div>
        <w:div w:id="1305887571">
          <w:marLeft w:val="0"/>
          <w:marRight w:val="0"/>
          <w:marTop w:val="300"/>
          <w:marBottom w:val="300"/>
          <w:divBdr>
            <w:top w:val="none" w:sz="0" w:space="0" w:color="auto"/>
            <w:left w:val="none" w:sz="0" w:space="0" w:color="auto"/>
            <w:bottom w:val="none" w:sz="0" w:space="0" w:color="auto"/>
            <w:right w:val="none" w:sz="0" w:space="0" w:color="auto"/>
          </w:divBdr>
        </w:div>
        <w:div w:id="2119786169">
          <w:marLeft w:val="0"/>
          <w:marRight w:val="0"/>
          <w:marTop w:val="0"/>
          <w:marBottom w:val="0"/>
          <w:divBdr>
            <w:top w:val="none" w:sz="0" w:space="0" w:color="auto"/>
            <w:left w:val="none" w:sz="0" w:space="0" w:color="auto"/>
            <w:bottom w:val="none" w:sz="0" w:space="0" w:color="auto"/>
            <w:right w:val="none" w:sz="0" w:space="0" w:color="auto"/>
          </w:divBdr>
          <w:divsChild>
            <w:div w:id="1855075952">
              <w:marLeft w:val="0"/>
              <w:marRight w:val="0"/>
              <w:marTop w:val="0"/>
              <w:marBottom w:val="0"/>
              <w:divBdr>
                <w:top w:val="none" w:sz="0" w:space="0" w:color="auto"/>
                <w:left w:val="none" w:sz="0" w:space="0" w:color="auto"/>
                <w:bottom w:val="none" w:sz="0" w:space="0" w:color="auto"/>
                <w:right w:val="none" w:sz="0" w:space="0" w:color="auto"/>
              </w:divBdr>
            </w:div>
          </w:divsChild>
        </w:div>
        <w:div w:id="1341734007">
          <w:marLeft w:val="0"/>
          <w:marRight w:val="0"/>
          <w:marTop w:val="0"/>
          <w:marBottom w:val="0"/>
          <w:divBdr>
            <w:top w:val="none" w:sz="0" w:space="0" w:color="auto"/>
            <w:left w:val="none" w:sz="0" w:space="0" w:color="auto"/>
            <w:bottom w:val="none" w:sz="0" w:space="0" w:color="auto"/>
            <w:right w:val="none" w:sz="0" w:space="0" w:color="auto"/>
          </w:divBdr>
          <w:divsChild>
            <w:div w:id="229848340">
              <w:marLeft w:val="0"/>
              <w:marRight w:val="0"/>
              <w:marTop w:val="0"/>
              <w:marBottom w:val="0"/>
              <w:divBdr>
                <w:top w:val="none" w:sz="0" w:space="0" w:color="auto"/>
                <w:left w:val="none" w:sz="0" w:space="0" w:color="auto"/>
                <w:bottom w:val="none" w:sz="0" w:space="0" w:color="auto"/>
                <w:right w:val="none" w:sz="0" w:space="0" w:color="auto"/>
              </w:divBdr>
            </w:div>
          </w:divsChild>
        </w:div>
        <w:div w:id="1682857507">
          <w:marLeft w:val="0"/>
          <w:marRight w:val="0"/>
          <w:marTop w:val="0"/>
          <w:marBottom w:val="0"/>
          <w:divBdr>
            <w:top w:val="none" w:sz="0" w:space="0" w:color="auto"/>
            <w:left w:val="none" w:sz="0" w:space="0" w:color="auto"/>
            <w:bottom w:val="none" w:sz="0" w:space="0" w:color="auto"/>
            <w:right w:val="none" w:sz="0" w:space="0" w:color="auto"/>
          </w:divBdr>
          <w:divsChild>
            <w:div w:id="1207909243">
              <w:marLeft w:val="0"/>
              <w:marRight w:val="0"/>
              <w:marTop w:val="0"/>
              <w:marBottom w:val="0"/>
              <w:divBdr>
                <w:top w:val="none" w:sz="0" w:space="0" w:color="auto"/>
                <w:left w:val="none" w:sz="0" w:space="0" w:color="auto"/>
                <w:bottom w:val="none" w:sz="0" w:space="0" w:color="auto"/>
                <w:right w:val="none" w:sz="0" w:space="0" w:color="auto"/>
              </w:divBdr>
            </w:div>
          </w:divsChild>
        </w:div>
        <w:div w:id="297498585">
          <w:marLeft w:val="0"/>
          <w:marRight w:val="0"/>
          <w:marTop w:val="0"/>
          <w:marBottom w:val="0"/>
          <w:divBdr>
            <w:top w:val="none" w:sz="0" w:space="0" w:color="auto"/>
            <w:left w:val="none" w:sz="0" w:space="0" w:color="auto"/>
            <w:bottom w:val="none" w:sz="0" w:space="0" w:color="auto"/>
            <w:right w:val="none" w:sz="0" w:space="0" w:color="auto"/>
          </w:divBdr>
          <w:divsChild>
            <w:div w:id="2140411469">
              <w:marLeft w:val="0"/>
              <w:marRight w:val="0"/>
              <w:marTop w:val="0"/>
              <w:marBottom w:val="0"/>
              <w:divBdr>
                <w:top w:val="none" w:sz="0" w:space="0" w:color="auto"/>
                <w:left w:val="none" w:sz="0" w:space="0" w:color="auto"/>
                <w:bottom w:val="none" w:sz="0" w:space="0" w:color="auto"/>
                <w:right w:val="none" w:sz="0" w:space="0" w:color="auto"/>
              </w:divBdr>
            </w:div>
          </w:divsChild>
        </w:div>
        <w:div w:id="2076582849">
          <w:marLeft w:val="0"/>
          <w:marRight w:val="0"/>
          <w:marTop w:val="0"/>
          <w:marBottom w:val="0"/>
          <w:divBdr>
            <w:top w:val="none" w:sz="0" w:space="0" w:color="auto"/>
            <w:left w:val="none" w:sz="0" w:space="0" w:color="auto"/>
            <w:bottom w:val="none" w:sz="0" w:space="0" w:color="auto"/>
            <w:right w:val="none" w:sz="0" w:space="0" w:color="auto"/>
          </w:divBdr>
          <w:divsChild>
            <w:div w:id="1660302406">
              <w:marLeft w:val="0"/>
              <w:marRight w:val="0"/>
              <w:marTop w:val="0"/>
              <w:marBottom w:val="0"/>
              <w:divBdr>
                <w:top w:val="none" w:sz="0" w:space="0" w:color="auto"/>
                <w:left w:val="none" w:sz="0" w:space="0" w:color="auto"/>
                <w:bottom w:val="none" w:sz="0" w:space="0" w:color="auto"/>
                <w:right w:val="none" w:sz="0" w:space="0" w:color="auto"/>
              </w:divBdr>
            </w:div>
          </w:divsChild>
        </w:div>
        <w:div w:id="614099782">
          <w:marLeft w:val="0"/>
          <w:marRight w:val="0"/>
          <w:marTop w:val="300"/>
          <w:marBottom w:val="300"/>
          <w:divBdr>
            <w:top w:val="none" w:sz="0" w:space="0" w:color="auto"/>
            <w:left w:val="none" w:sz="0" w:space="0" w:color="auto"/>
            <w:bottom w:val="none" w:sz="0" w:space="0" w:color="auto"/>
            <w:right w:val="none" w:sz="0" w:space="0" w:color="auto"/>
          </w:divBdr>
        </w:div>
        <w:div w:id="2026663894">
          <w:marLeft w:val="0"/>
          <w:marRight w:val="0"/>
          <w:marTop w:val="0"/>
          <w:marBottom w:val="0"/>
          <w:divBdr>
            <w:top w:val="none" w:sz="0" w:space="0" w:color="auto"/>
            <w:left w:val="none" w:sz="0" w:space="0" w:color="auto"/>
            <w:bottom w:val="none" w:sz="0" w:space="0" w:color="auto"/>
            <w:right w:val="none" w:sz="0" w:space="0" w:color="auto"/>
          </w:divBdr>
          <w:divsChild>
            <w:div w:id="316611159">
              <w:marLeft w:val="0"/>
              <w:marRight w:val="0"/>
              <w:marTop w:val="0"/>
              <w:marBottom w:val="0"/>
              <w:divBdr>
                <w:top w:val="none" w:sz="0" w:space="0" w:color="auto"/>
                <w:left w:val="none" w:sz="0" w:space="0" w:color="auto"/>
                <w:bottom w:val="none" w:sz="0" w:space="0" w:color="auto"/>
                <w:right w:val="none" w:sz="0" w:space="0" w:color="auto"/>
              </w:divBdr>
            </w:div>
          </w:divsChild>
        </w:div>
        <w:div w:id="1956327501">
          <w:marLeft w:val="0"/>
          <w:marRight w:val="0"/>
          <w:marTop w:val="0"/>
          <w:marBottom w:val="0"/>
          <w:divBdr>
            <w:top w:val="none" w:sz="0" w:space="0" w:color="auto"/>
            <w:left w:val="none" w:sz="0" w:space="0" w:color="auto"/>
            <w:bottom w:val="none" w:sz="0" w:space="0" w:color="auto"/>
            <w:right w:val="none" w:sz="0" w:space="0" w:color="auto"/>
          </w:divBdr>
          <w:divsChild>
            <w:div w:id="45423237">
              <w:marLeft w:val="0"/>
              <w:marRight w:val="0"/>
              <w:marTop w:val="0"/>
              <w:marBottom w:val="0"/>
              <w:divBdr>
                <w:top w:val="none" w:sz="0" w:space="0" w:color="auto"/>
                <w:left w:val="none" w:sz="0" w:space="0" w:color="auto"/>
                <w:bottom w:val="none" w:sz="0" w:space="0" w:color="auto"/>
                <w:right w:val="none" w:sz="0" w:space="0" w:color="auto"/>
              </w:divBdr>
            </w:div>
          </w:divsChild>
        </w:div>
        <w:div w:id="65539750">
          <w:marLeft w:val="0"/>
          <w:marRight w:val="0"/>
          <w:marTop w:val="300"/>
          <w:marBottom w:val="300"/>
          <w:divBdr>
            <w:top w:val="none" w:sz="0" w:space="0" w:color="auto"/>
            <w:left w:val="none" w:sz="0" w:space="0" w:color="auto"/>
            <w:bottom w:val="none" w:sz="0" w:space="0" w:color="auto"/>
            <w:right w:val="none" w:sz="0" w:space="0" w:color="auto"/>
          </w:divBdr>
        </w:div>
        <w:div w:id="1558279847">
          <w:marLeft w:val="0"/>
          <w:marRight w:val="0"/>
          <w:marTop w:val="0"/>
          <w:marBottom w:val="0"/>
          <w:divBdr>
            <w:top w:val="none" w:sz="0" w:space="0" w:color="auto"/>
            <w:left w:val="none" w:sz="0" w:space="0" w:color="auto"/>
            <w:bottom w:val="none" w:sz="0" w:space="0" w:color="auto"/>
            <w:right w:val="none" w:sz="0" w:space="0" w:color="auto"/>
          </w:divBdr>
          <w:divsChild>
            <w:div w:id="2007632932">
              <w:marLeft w:val="0"/>
              <w:marRight w:val="0"/>
              <w:marTop w:val="0"/>
              <w:marBottom w:val="0"/>
              <w:divBdr>
                <w:top w:val="none" w:sz="0" w:space="0" w:color="auto"/>
                <w:left w:val="none" w:sz="0" w:space="0" w:color="auto"/>
                <w:bottom w:val="none" w:sz="0" w:space="0" w:color="auto"/>
                <w:right w:val="none" w:sz="0" w:space="0" w:color="auto"/>
              </w:divBdr>
            </w:div>
          </w:divsChild>
        </w:div>
        <w:div w:id="116720566">
          <w:marLeft w:val="0"/>
          <w:marRight w:val="0"/>
          <w:marTop w:val="0"/>
          <w:marBottom w:val="0"/>
          <w:divBdr>
            <w:top w:val="none" w:sz="0" w:space="0" w:color="auto"/>
            <w:left w:val="none" w:sz="0" w:space="0" w:color="auto"/>
            <w:bottom w:val="none" w:sz="0" w:space="0" w:color="auto"/>
            <w:right w:val="none" w:sz="0" w:space="0" w:color="auto"/>
          </w:divBdr>
          <w:divsChild>
            <w:div w:id="451169592">
              <w:marLeft w:val="0"/>
              <w:marRight w:val="0"/>
              <w:marTop w:val="0"/>
              <w:marBottom w:val="0"/>
              <w:divBdr>
                <w:top w:val="none" w:sz="0" w:space="0" w:color="auto"/>
                <w:left w:val="none" w:sz="0" w:space="0" w:color="auto"/>
                <w:bottom w:val="none" w:sz="0" w:space="0" w:color="auto"/>
                <w:right w:val="none" w:sz="0" w:space="0" w:color="auto"/>
              </w:divBdr>
            </w:div>
          </w:divsChild>
        </w:div>
        <w:div w:id="1200512904">
          <w:marLeft w:val="0"/>
          <w:marRight w:val="0"/>
          <w:marTop w:val="0"/>
          <w:marBottom w:val="0"/>
          <w:divBdr>
            <w:top w:val="none" w:sz="0" w:space="0" w:color="auto"/>
            <w:left w:val="none" w:sz="0" w:space="0" w:color="auto"/>
            <w:bottom w:val="none" w:sz="0" w:space="0" w:color="auto"/>
            <w:right w:val="none" w:sz="0" w:space="0" w:color="auto"/>
          </w:divBdr>
          <w:divsChild>
            <w:div w:id="1895580792">
              <w:marLeft w:val="0"/>
              <w:marRight w:val="0"/>
              <w:marTop w:val="0"/>
              <w:marBottom w:val="0"/>
              <w:divBdr>
                <w:top w:val="none" w:sz="0" w:space="0" w:color="auto"/>
                <w:left w:val="none" w:sz="0" w:space="0" w:color="auto"/>
                <w:bottom w:val="none" w:sz="0" w:space="0" w:color="auto"/>
                <w:right w:val="none" w:sz="0" w:space="0" w:color="auto"/>
              </w:divBdr>
            </w:div>
          </w:divsChild>
        </w:div>
        <w:div w:id="867572963">
          <w:marLeft w:val="0"/>
          <w:marRight w:val="0"/>
          <w:marTop w:val="0"/>
          <w:marBottom w:val="0"/>
          <w:divBdr>
            <w:top w:val="none" w:sz="0" w:space="0" w:color="auto"/>
            <w:left w:val="none" w:sz="0" w:space="0" w:color="auto"/>
            <w:bottom w:val="none" w:sz="0" w:space="0" w:color="auto"/>
            <w:right w:val="none" w:sz="0" w:space="0" w:color="auto"/>
          </w:divBdr>
          <w:divsChild>
            <w:div w:id="2061321993">
              <w:marLeft w:val="0"/>
              <w:marRight w:val="0"/>
              <w:marTop w:val="0"/>
              <w:marBottom w:val="0"/>
              <w:divBdr>
                <w:top w:val="none" w:sz="0" w:space="0" w:color="auto"/>
                <w:left w:val="none" w:sz="0" w:space="0" w:color="auto"/>
                <w:bottom w:val="none" w:sz="0" w:space="0" w:color="auto"/>
                <w:right w:val="none" w:sz="0" w:space="0" w:color="auto"/>
              </w:divBdr>
            </w:div>
          </w:divsChild>
        </w:div>
        <w:div w:id="76178174">
          <w:marLeft w:val="0"/>
          <w:marRight w:val="0"/>
          <w:marTop w:val="0"/>
          <w:marBottom w:val="0"/>
          <w:divBdr>
            <w:top w:val="none" w:sz="0" w:space="0" w:color="auto"/>
            <w:left w:val="none" w:sz="0" w:space="0" w:color="auto"/>
            <w:bottom w:val="none" w:sz="0" w:space="0" w:color="auto"/>
            <w:right w:val="none" w:sz="0" w:space="0" w:color="auto"/>
          </w:divBdr>
          <w:divsChild>
            <w:div w:id="880242879">
              <w:marLeft w:val="0"/>
              <w:marRight w:val="0"/>
              <w:marTop w:val="0"/>
              <w:marBottom w:val="0"/>
              <w:divBdr>
                <w:top w:val="none" w:sz="0" w:space="0" w:color="auto"/>
                <w:left w:val="none" w:sz="0" w:space="0" w:color="auto"/>
                <w:bottom w:val="none" w:sz="0" w:space="0" w:color="auto"/>
                <w:right w:val="none" w:sz="0" w:space="0" w:color="auto"/>
              </w:divBdr>
            </w:div>
          </w:divsChild>
        </w:div>
        <w:div w:id="1041704890">
          <w:marLeft w:val="0"/>
          <w:marRight w:val="0"/>
          <w:marTop w:val="300"/>
          <w:marBottom w:val="300"/>
          <w:divBdr>
            <w:top w:val="none" w:sz="0" w:space="0" w:color="auto"/>
            <w:left w:val="none" w:sz="0" w:space="0" w:color="auto"/>
            <w:bottom w:val="none" w:sz="0" w:space="0" w:color="auto"/>
            <w:right w:val="none" w:sz="0" w:space="0" w:color="auto"/>
          </w:divBdr>
        </w:div>
        <w:div w:id="1123498455">
          <w:marLeft w:val="0"/>
          <w:marRight w:val="0"/>
          <w:marTop w:val="0"/>
          <w:marBottom w:val="0"/>
          <w:divBdr>
            <w:top w:val="none" w:sz="0" w:space="0" w:color="auto"/>
            <w:left w:val="none" w:sz="0" w:space="0" w:color="auto"/>
            <w:bottom w:val="none" w:sz="0" w:space="0" w:color="auto"/>
            <w:right w:val="none" w:sz="0" w:space="0" w:color="auto"/>
          </w:divBdr>
          <w:divsChild>
            <w:div w:id="223832633">
              <w:marLeft w:val="0"/>
              <w:marRight w:val="0"/>
              <w:marTop w:val="0"/>
              <w:marBottom w:val="0"/>
              <w:divBdr>
                <w:top w:val="none" w:sz="0" w:space="0" w:color="auto"/>
                <w:left w:val="none" w:sz="0" w:space="0" w:color="auto"/>
                <w:bottom w:val="none" w:sz="0" w:space="0" w:color="auto"/>
                <w:right w:val="none" w:sz="0" w:space="0" w:color="auto"/>
              </w:divBdr>
            </w:div>
          </w:divsChild>
        </w:div>
        <w:div w:id="1358236437">
          <w:marLeft w:val="0"/>
          <w:marRight w:val="0"/>
          <w:marTop w:val="0"/>
          <w:marBottom w:val="0"/>
          <w:divBdr>
            <w:top w:val="none" w:sz="0" w:space="0" w:color="auto"/>
            <w:left w:val="none" w:sz="0" w:space="0" w:color="auto"/>
            <w:bottom w:val="none" w:sz="0" w:space="0" w:color="auto"/>
            <w:right w:val="none" w:sz="0" w:space="0" w:color="auto"/>
          </w:divBdr>
          <w:divsChild>
            <w:div w:id="261113366">
              <w:marLeft w:val="0"/>
              <w:marRight w:val="0"/>
              <w:marTop w:val="0"/>
              <w:marBottom w:val="0"/>
              <w:divBdr>
                <w:top w:val="none" w:sz="0" w:space="0" w:color="auto"/>
                <w:left w:val="none" w:sz="0" w:space="0" w:color="auto"/>
                <w:bottom w:val="none" w:sz="0" w:space="0" w:color="auto"/>
                <w:right w:val="none" w:sz="0" w:space="0" w:color="auto"/>
              </w:divBdr>
            </w:div>
          </w:divsChild>
        </w:div>
        <w:div w:id="607009029">
          <w:marLeft w:val="0"/>
          <w:marRight w:val="0"/>
          <w:marTop w:val="300"/>
          <w:marBottom w:val="300"/>
          <w:divBdr>
            <w:top w:val="none" w:sz="0" w:space="0" w:color="auto"/>
            <w:left w:val="none" w:sz="0" w:space="0" w:color="auto"/>
            <w:bottom w:val="none" w:sz="0" w:space="0" w:color="auto"/>
            <w:right w:val="none" w:sz="0" w:space="0" w:color="auto"/>
          </w:divBdr>
        </w:div>
        <w:div w:id="1396977025">
          <w:marLeft w:val="0"/>
          <w:marRight w:val="0"/>
          <w:marTop w:val="0"/>
          <w:marBottom w:val="0"/>
          <w:divBdr>
            <w:top w:val="none" w:sz="0" w:space="0" w:color="auto"/>
            <w:left w:val="none" w:sz="0" w:space="0" w:color="auto"/>
            <w:bottom w:val="none" w:sz="0" w:space="0" w:color="auto"/>
            <w:right w:val="none" w:sz="0" w:space="0" w:color="auto"/>
          </w:divBdr>
          <w:divsChild>
            <w:div w:id="149519454">
              <w:marLeft w:val="0"/>
              <w:marRight w:val="0"/>
              <w:marTop w:val="0"/>
              <w:marBottom w:val="0"/>
              <w:divBdr>
                <w:top w:val="none" w:sz="0" w:space="0" w:color="auto"/>
                <w:left w:val="none" w:sz="0" w:space="0" w:color="auto"/>
                <w:bottom w:val="none" w:sz="0" w:space="0" w:color="auto"/>
                <w:right w:val="none" w:sz="0" w:space="0" w:color="auto"/>
              </w:divBdr>
            </w:div>
          </w:divsChild>
        </w:div>
        <w:div w:id="1629119326">
          <w:marLeft w:val="0"/>
          <w:marRight w:val="0"/>
          <w:marTop w:val="0"/>
          <w:marBottom w:val="0"/>
          <w:divBdr>
            <w:top w:val="none" w:sz="0" w:space="0" w:color="auto"/>
            <w:left w:val="none" w:sz="0" w:space="0" w:color="auto"/>
            <w:bottom w:val="none" w:sz="0" w:space="0" w:color="auto"/>
            <w:right w:val="none" w:sz="0" w:space="0" w:color="auto"/>
          </w:divBdr>
          <w:divsChild>
            <w:div w:id="1350134737">
              <w:marLeft w:val="0"/>
              <w:marRight w:val="0"/>
              <w:marTop w:val="0"/>
              <w:marBottom w:val="0"/>
              <w:divBdr>
                <w:top w:val="none" w:sz="0" w:space="0" w:color="auto"/>
                <w:left w:val="none" w:sz="0" w:space="0" w:color="auto"/>
                <w:bottom w:val="none" w:sz="0" w:space="0" w:color="auto"/>
                <w:right w:val="none" w:sz="0" w:space="0" w:color="auto"/>
              </w:divBdr>
            </w:div>
          </w:divsChild>
        </w:div>
        <w:div w:id="386538637">
          <w:marLeft w:val="0"/>
          <w:marRight w:val="0"/>
          <w:marTop w:val="0"/>
          <w:marBottom w:val="0"/>
          <w:divBdr>
            <w:top w:val="none" w:sz="0" w:space="0" w:color="auto"/>
            <w:left w:val="none" w:sz="0" w:space="0" w:color="auto"/>
            <w:bottom w:val="none" w:sz="0" w:space="0" w:color="auto"/>
            <w:right w:val="none" w:sz="0" w:space="0" w:color="auto"/>
          </w:divBdr>
          <w:divsChild>
            <w:div w:id="1061367985">
              <w:marLeft w:val="0"/>
              <w:marRight w:val="0"/>
              <w:marTop w:val="0"/>
              <w:marBottom w:val="0"/>
              <w:divBdr>
                <w:top w:val="none" w:sz="0" w:space="0" w:color="auto"/>
                <w:left w:val="none" w:sz="0" w:space="0" w:color="auto"/>
                <w:bottom w:val="none" w:sz="0" w:space="0" w:color="auto"/>
                <w:right w:val="none" w:sz="0" w:space="0" w:color="auto"/>
              </w:divBdr>
            </w:div>
          </w:divsChild>
        </w:div>
        <w:div w:id="1871644521">
          <w:marLeft w:val="0"/>
          <w:marRight w:val="0"/>
          <w:marTop w:val="300"/>
          <w:marBottom w:val="300"/>
          <w:divBdr>
            <w:top w:val="none" w:sz="0" w:space="0" w:color="auto"/>
            <w:left w:val="none" w:sz="0" w:space="0" w:color="auto"/>
            <w:bottom w:val="none" w:sz="0" w:space="0" w:color="auto"/>
            <w:right w:val="none" w:sz="0" w:space="0" w:color="auto"/>
          </w:divBdr>
        </w:div>
        <w:div w:id="107093269">
          <w:marLeft w:val="0"/>
          <w:marRight w:val="0"/>
          <w:marTop w:val="0"/>
          <w:marBottom w:val="0"/>
          <w:divBdr>
            <w:top w:val="none" w:sz="0" w:space="0" w:color="auto"/>
            <w:left w:val="none" w:sz="0" w:space="0" w:color="auto"/>
            <w:bottom w:val="none" w:sz="0" w:space="0" w:color="auto"/>
            <w:right w:val="none" w:sz="0" w:space="0" w:color="auto"/>
          </w:divBdr>
          <w:divsChild>
            <w:div w:id="1520969918">
              <w:marLeft w:val="0"/>
              <w:marRight w:val="0"/>
              <w:marTop w:val="0"/>
              <w:marBottom w:val="0"/>
              <w:divBdr>
                <w:top w:val="none" w:sz="0" w:space="0" w:color="auto"/>
                <w:left w:val="none" w:sz="0" w:space="0" w:color="auto"/>
                <w:bottom w:val="none" w:sz="0" w:space="0" w:color="auto"/>
                <w:right w:val="none" w:sz="0" w:space="0" w:color="auto"/>
              </w:divBdr>
            </w:div>
          </w:divsChild>
        </w:div>
        <w:div w:id="389308394">
          <w:marLeft w:val="0"/>
          <w:marRight w:val="0"/>
          <w:marTop w:val="0"/>
          <w:marBottom w:val="0"/>
          <w:divBdr>
            <w:top w:val="none" w:sz="0" w:space="0" w:color="auto"/>
            <w:left w:val="none" w:sz="0" w:space="0" w:color="auto"/>
            <w:bottom w:val="none" w:sz="0" w:space="0" w:color="auto"/>
            <w:right w:val="none" w:sz="0" w:space="0" w:color="auto"/>
          </w:divBdr>
          <w:divsChild>
            <w:div w:id="1188373440">
              <w:marLeft w:val="0"/>
              <w:marRight w:val="0"/>
              <w:marTop w:val="0"/>
              <w:marBottom w:val="0"/>
              <w:divBdr>
                <w:top w:val="none" w:sz="0" w:space="0" w:color="auto"/>
                <w:left w:val="none" w:sz="0" w:space="0" w:color="auto"/>
                <w:bottom w:val="none" w:sz="0" w:space="0" w:color="auto"/>
                <w:right w:val="none" w:sz="0" w:space="0" w:color="auto"/>
              </w:divBdr>
            </w:div>
          </w:divsChild>
        </w:div>
        <w:div w:id="980353432">
          <w:marLeft w:val="0"/>
          <w:marRight w:val="0"/>
          <w:marTop w:val="300"/>
          <w:marBottom w:val="300"/>
          <w:divBdr>
            <w:top w:val="none" w:sz="0" w:space="0" w:color="auto"/>
            <w:left w:val="none" w:sz="0" w:space="0" w:color="auto"/>
            <w:bottom w:val="none" w:sz="0" w:space="0" w:color="auto"/>
            <w:right w:val="none" w:sz="0" w:space="0" w:color="auto"/>
          </w:divBdr>
        </w:div>
        <w:div w:id="1705447602">
          <w:marLeft w:val="0"/>
          <w:marRight w:val="0"/>
          <w:marTop w:val="0"/>
          <w:marBottom w:val="0"/>
          <w:divBdr>
            <w:top w:val="none" w:sz="0" w:space="0" w:color="auto"/>
            <w:left w:val="none" w:sz="0" w:space="0" w:color="auto"/>
            <w:bottom w:val="none" w:sz="0" w:space="0" w:color="auto"/>
            <w:right w:val="none" w:sz="0" w:space="0" w:color="auto"/>
          </w:divBdr>
          <w:divsChild>
            <w:div w:id="1064790439">
              <w:marLeft w:val="0"/>
              <w:marRight w:val="0"/>
              <w:marTop w:val="0"/>
              <w:marBottom w:val="0"/>
              <w:divBdr>
                <w:top w:val="none" w:sz="0" w:space="0" w:color="auto"/>
                <w:left w:val="none" w:sz="0" w:space="0" w:color="auto"/>
                <w:bottom w:val="none" w:sz="0" w:space="0" w:color="auto"/>
                <w:right w:val="none" w:sz="0" w:space="0" w:color="auto"/>
              </w:divBdr>
            </w:div>
          </w:divsChild>
        </w:div>
        <w:div w:id="1059404532">
          <w:marLeft w:val="0"/>
          <w:marRight w:val="0"/>
          <w:marTop w:val="0"/>
          <w:marBottom w:val="0"/>
          <w:divBdr>
            <w:top w:val="none" w:sz="0" w:space="0" w:color="auto"/>
            <w:left w:val="none" w:sz="0" w:space="0" w:color="auto"/>
            <w:bottom w:val="none" w:sz="0" w:space="0" w:color="auto"/>
            <w:right w:val="none" w:sz="0" w:space="0" w:color="auto"/>
          </w:divBdr>
          <w:divsChild>
            <w:div w:id="264386238">
              <w:marLeft w:val="0"/>
              <w:marRight w:val="0"/>
              <w:marTop w:val="0"/>
              <w:marBottom w:val="0"/>
              <w:divBdr>
                <w:top w:val="none" w:sz="0" w:space="0" w:color="auto"/>
                <w:left w:val="none" w:sz="0" w:space="0" w:color="auto"/>
                <w:bottom w:val="none" w:sz="0" w:space="0" w:color="auto"/>
                <w:right w:val="none" w:sz="0" w:space="0" w:color="auto"/>
              </w:divBdr>
            </w:div>
          </w:divsChild>
        </w:div>
        <w:div w:id="927038937">
          <w:marLeft w:val="0"/>
          <w:marRight w:val="0"/>
          <w:marTop w:val="300"/>
          <w:marBottom w:val="300"/>
          <w:divBdr>
            <w:top w:val="none" w:sz="0" w:space="0" w:color="auto"/>
            <w:left w:val="none" w:sz="0" w:space="0" w:color="auto"/>
            <w:bottom w:val="none" w:sz="0" w:space="0" w:color="auto"/>
            <w:right w:val="none" w:sz="0" w:space="0" w:color="auto"/>
          </w:divBdr>
        </w:div>
        <w:div w:id="2019383419">
          <w:marLeft w:val="0"/>
          <w:marRight w:val="0"/>
          <w:marTop w:val="0"/>
          <w:marBottom w:val="0"/>
          <w:divBdr>
            <w:top w:val="none" w:sz="0" w:space="0" w:color="auto"/>
            <w:left w:val="none" w:sz="0" w:space="0" w:color="auto"/>
            <w:bottom w:val="none" w:sz="0" w:space="0" w:color="auto"/>
            <w:right w:val="none" w:sz="0" w:space="0" w:color="auto"/>
          </w:divBdr>
          <w:divsChild>
            <w:div w:id="490222962">
              <w:marLeft w:val="0"/>
              <w:marRight w:val="0"/>
              <w:marTop w:val="0"/>
              <w:marBottom w:val="0"/>
              <w:divBdr>
                <w:top w:val="none" w:sz="0" w:space="0" w:color="auto"/>
                <w:left w:val="none" w:sz="0" w:space="0" w:color="auto"/>
                <w:bottom w:val="none" w:sz="0" w:space="0" w:color="auto"/>
                <w:right w:val="none" w:sz="0" w:space="0" w:color="auto"/>
              </w:divBdr>
            </w:div>
          </w:divsChild>
        </w:div>
        <w:div w:id="559095127">
          <w:marLeft w:val="0"/>
          <w:marRight w:val="0"/>
          <w:marTop w:val="0"/>
          <w:marBottom w:val="0"/>
          <w:divBdr>
            <w:top w:val="none" w:sz="0" w:space="0" w:color="auto"/>
            <w:left w:val="none" w:sz="0" w:space="0" w:color="auto"/>
            <w:bottom w:val="none" w:sz="0" w:space="0" w:color="auto"/>
            <w:right w:val="none" w:sz="0" w:space="0" w:color="auto"/>
          </w:divBdr>
          <w:divsChild>
            <w:div w:id="1994142831">
              <w:marLeft w:val="0"/>
              <w:marRight w:val="0"/>
              <w:marTop w:val="0"/>
              <w:marBottom w:val="0"/>
              <w:divBdr>
                <w:top w:val="none" w:sz="0" w:space="0" w:color="auto"/>
                <w:left w:val="none" w:sz="0" w:space="0" w:color="auto"/>
                <w:bottom w:val="none" w:sz="0" w:space="0" w:color="auto"/>
                <w:right w:val="none" w:sz="0" w:space="0" w:color="auto"/>
              </w:divBdr>
            </w:div>
          </w:divsChild>
        </w:div>
        <w:div w:id="830216228">
          <w:marLeft w:val="0"/>
          <w:marRight w:val="0"/>
          <w:marTop w:val="300"/>
          <w:marBottom w:val="300"/>
          <w:divBdr>
            <w:top w:val="none" w:sz="0" w:space="0" w:color="auto"/>
            <w:left w:val="none" w:sz="0" w:space="0" w:color="auto"/>
            <w:bottom w:val="none" w:sz="0" w:space="0" w:color="auto"/>
            <w:right w:val="none" w:sz="0" w:space="0" w:color="auto"/>
          </w:divBdr>
        </w:div>
        <w:div w:id="1233731660">
          <w:marLeft w:val="0"/>
          <w:marRight w:val="0"/>
          <w:marTop w:val="0"/>
          <w:marBottom w:val="0"/>
          <w:divBdr>
            <w:top w:val="none" w:sz="0" w:space="0" w:color="auto"/>
            <w:left w:val="none" w:sz="0" w:space="0" w:color="auto"/>
            <w:bottom w:val="none" w:sz="0" w:space="0" w:color="auto"/>
            <w:right w:val="none" w:sz="0" w:space="0" w:color="auto"/>
          </w:divBdr>
          <w:divsChild>
            <w:div w:id="729840477">
              <w:marLeft w:val="0"/>
              <w:marRight w:val="0"/>
              <w:marTop w:val="0"/>
              <w:marBottom w:val="0"/>
              <w:divBdr>
                <w:top w:val="none" w:sz="0" w:space="0" w:color="auto"/>
                <w:left w:val="none" w:sz="0" w:space="0" w:color="auto"/>
                <w:bottom w:val="none" w:sz="0" w:space="0" w:color="auto"/>
                <w:right w:val="none" w:sz="0" w:space="0" w:color="auto"/>
              </w:divBdr>
            </w:div>
          </w:divsChild>
        </w:div>
        <w:div w:id="262350411">
          <w:marLeft w:val="0"/>
          <w:marRight w:val="0"/>
          <w:marTop w:val="0"/>
          <w:marBottom w:val="0"/>
          <w:divBdr>
            <w:top w:val="none" w:sz="0" w:space="0" w:color="auto"/>
            <w:left w:val="none" w:sz="0" w:space="0" w:color="auto"/>
            <w:bottom w:val="none" w:sz="0" w:space="0" w:color="auto"/>
            <w:right w:val="none" w:sz="0" w:space="0" w:color="auto"/>
          </w:divBdr>
          <w:divsChild>
            <w:div w:id="1042678961">
              <w:marLeft w:val="0"/>
              <w:marRight w:val="0"/>
              <w:marTop w:val="0"/>
              <w:marBottom w:val="0"/>
              <w:divBdr>
                <w:top w:val="none" w:sz="0" w:space="0" w:color="auto"/>
                <w:left w:val="none" w:sz="0" w:space="0" w:color="auto"/>
                <w:bottom w:val="none" w:sz="0" w:space="0" w:color="auto"/>
                <w:right w:val="none" w:sz="0" w:space="0" w:color="auto"/>
              </w:divBdr>
            </w:div>
          </w:divsChild>
        </w:div>
        <w:div w:id="1693922156">
          <w:marLeft w:val="0"/>
          <w:marRight w:val="0"/>
          <w:marTop w:val="0"/>
          <w:marBottom w:val="0"/>
          <w:divBdr>
            <w:top w:val="none" w:sz="0" w:space="0" w:color="auto"/>
            <w:left w:val="none" w:sz="0" w:space="0" w:color="auto"/>
            <w:bottom w:val="none" w:sz="0" w:space="0" w:color="auto"/>
            <w:right w:val="none" w:sz="0" w:space="0" w:color="auto"/>
          </w:divBdr>
          <w:divsChild>
            <w:div w:id="599458742">
              <w:marLeft w:val="0"/>
              <w:marRight w:val="0"/>
              <w:marTop w:val="0"/>
              <w:marBottom w:val="0"/>
              <w:divBdr>
                <w:top w:val="none" w:sz="0" w:space="0" w:color="auto"/>
                <w:left w:val="none" w:sz="0" w:space="0" w:color="auto"/>
                <w:bottom w:val="none" w:sz="0" w:space="0" w:color="auto"/>
                <w:right w:val="none" w:sz="0" w:space="0" w:color="auto"/>
              </w:divBdr>
            </w:div>
          </w:divsChild>
        </w:div>
        <w:div w:id="496312544">
          <w:marLeft w:val="0"/>
          <w:marRight w:val="0"/>
          <w:marTop w:val="0"/>
          <w:marBottom w:val="0"/>
          <w:divBdr>
            <w:top w:val="none" w:sz="0" w:space="0" w:color="auto"/>
            <w:left w:val="none" w:sz="0" w:space="0" w:color="auto"/>
            <w:bottom w:val="none" w:sz="0" w:space="0" w:color="auto"/>
            <w:right w:val="none" w:sz="0" w:space="0" w:color="auto"/>
          </w:divBdr>
          <w:divsChild>
            <w:div w:id="1571305680">
              <w:marLeft w:val="0"/>
              <w:marRight w:val="0"/>
              <w:marTop w:val="0"/>
              <w:marBottom w:val="0"/>
              <w:divBdr>
                <w:top w:val="none" w:sz="0" w:space="0" w:color="auto"/>
                <w:left w:val="none" w:sz="0" w:space="0" w:color="auto"/>
                <w:bottom w:val="none" w:sz="0" w:space="0" w:color="auto"/>
                <w:right w:val="none" w:sz="0" w:space="0" w:color="auto"/>
              </w:divBdr>
            </w:div>
          </w:divsChild>
        </w:div>
        <w:div w:id="674498136">
          <w:marLeft w:val="0"/>
          <w:marRight w:val="0"/>
          <w:marTop w:val="0"/>
          <w:marBottom w:val="0"/>
          <w:divBdr>
            <w:top w:val="none" w:sz="0" w:space="0" w:color="auto"/>
            <w:left w:val="none" w:sz="0" w:space="0" w:color="auto"/>
            <w:bottom w:val="none" w:sz="0" w:space="0" w:color="auto"/>
            <w:right w:val="none" w:sz="0" w:space="0" w:color="auto"/>
          </w:divBdr>
          <w:divsChild>
            <w:div w:id="1005285101">
              <w:marLeft w:val="0"/>
              <w:marRight w:val="0"/>
              <w:marTop w:val="0"/>
              <w:marBottom w:val="0"/>
              <w:divBdr>
                <w:top w:val="none" w:sz="0" w:space="0" w:color="auto"/>
                <w:left w:val="none" w:sz="0" w:space="0" w:color="auto"/>
                <w:bottom w:val="none" w:sz="0" w:space="0" w:color="auto"/>
                <w:right w:val="none" w:sz="0" w:space="0" w:color="auto"/>
              </w:divBdr>
            </w:div>
          </w:divsChild>
        </w:div>
        <w:div w:id="1860044462">
          <w:marLeft w:val="0"/>
          <w:marRight w:val="0"/>
          <w:marTop w:val="300"/>
          <w:marBottom w:val="300"/>
          <w:divBdr>
            <w:top w:val="none" w:sz="0" w:space="0" w:color="auto"/>
            <w:left w:val="none" w:sz="0" w:space="0" w:color="auto"/>
            <w:bottom w:val="none" w:sz="0" w:space="0" w:color="auto"/>
            <w:right w:val="none" w:sz="0" w:space="0" w:color="auto"/>
          </w:divBdr>
        </w:div>
        <w:div w:id="783966870">
          <w:marLeft w:val="0"/>
          <w:marRight w:val="0"/>
          <w:marTop w:val="0"/>
          <w:marBottom w:val="0"/>
          <w:divBdr>
            <w:top w:val="none" w:sz="0" w:space="0" w:color="auto"/>
            <w:left w:val="none" w:sz="0" w:space="0" w:color="auto"/>
            <w:bottom w:val="none" w:sz="0" w:space="0" w:color="auto"/>
            <w:right w:val="none" w:sz="0" w:space="0" w:color="auto"/>
          </w:divBdr>
          <w:divsChild>
            <w:div w:id="1159224758">
              <w:marLeft w:val="0"/>
              <w:marRight w:val="0"/>
              <w:marTop w:val="0"/>
              <w:marBottom w:val="0"/>
              <w:divBdr>
                <w:top w:val="none" w:sz="0" w:space="0" w:color="auto"/>
                <w:left w:val="none" w:sz="0" w:space="0" w:color="auto"/>
                <w:bottom w:val="none" w:sz="0" w:space="0" w:color="auto"/>
                <w:right w:val="none" w:sz="0" w:space="0" w:color="auto"/>
              </w:divBdr>
            </w:div>
          </w:divsChild>
        </w:div>
        <w:div w:id="1527671000">
          <w:marLeft w:val="0"/>
          <w:marRight w:val="0"/>
          <w:marTop w:val="0"/>
          <w:marBottom w:val="0"/>
          <w:divBdr>
            <w:top w:val="none" w:sz="0" w:space="0" w:color="auto"/>
            <w:left w:val="none" w:sz="0" w:space="0" w:color="auto"/>
            <w:bottom w:val="none" w:sz="0" w:space="0" w:color="auto"/>
            <w:right w:val="none" w:sz="0" w:space="0" w:color="auto"/>
          </w:divBdr>
          <w:divsChild>
            <w:div w:id="1201942824">
              <w:marLeft w:val="0"/>
              <w:marRight w:val="0"/>
              <w:marTop w:val="0"/>
              <w:marBottom w:val="0"/>
              <w:divBdr>
                <w:top w:val="none" w:sz="0" w:space="0" w:color="auto"/>
                <w:left w:val="none" w:sz="0" w:space="0" w:color="auto"/>
                <w:bottom w:val="none" w:sz="0" w:space="0" w:color="auto"/>
                <w:right w:val="none" w:sz="0" w:space="0" w:color="auto"/>
              </w:divBdr>
            </w:div>
          </w:divsChild>
        </w:div>
        <w:div w:id="505556655">
          <w:marLeft w:val="0"/>
          <w:marRight w:val="0"/>
          <w:marTop w:val="0"/>
          <w:marBottom w:val="0"/>
          <w:divBdr>
            <w:top w:val="none" w:sz="0" w:space="0" w:color="auto"/>
            <w:left w:val="none" w:sz="0" w:space="0" w:color="auto"/>
            <w:bottom w:val="none" w:sz="0" w:space="0" w:color="auto"/>
            <w:right w:val="none" w:sz="0" w:space="0" w:color="auto"/>
          </w:divBdr>
          <w:divsChild>
            <w:div w:id="1310666442">
              <w:marLeft w:val="0"/>
              <w:marRight w:val="0"/>
              <w:marTop w:val="0"/>
              <w:marBottom w:val="0"/>
              <w:divBdr>
                <w:top w:val="none" w:sz="0" w:space="0" w:color="auto"/>
                <w:left w:val="none" w:sz="0" w:space="0" w:color="auto"/>
                <w:bottom w:val="none" w:sz="0" w:space="0" w:color="auto"/>
                <w:right w:val="none" w:sz="0" w:space="0" w:color="auto"/>
              </w:divBdr>
            </w:div>
          </w:divsChild>
        </w:div>
        <w:div w:id="845292100">
          <w:marLeft w:val="0"/>
          <w:marRight w:val="0"/>
          <w:marTop w:val="0"/>
          <w:marBottom w:val="0"/>
          <w:divBdr>
            <w:top w:val="none" w:sz="0" w:space="0" w:color="auto"/>
            <w:left w:val="none" w:sz="0" w:space="0" w:color="auto"/>
            <w:bottom w:val="none" w:sz="0" w:space="0" w:color="auto"/>
            <w:right w:val="none" w:sz="0" w:space="0" w:color="auto"/>
          </w:divBdr>
          <w:divsChild>
            <w:div w:id="318929519">
              <w:marLeft w:val="0"/>
              <w:marRight w:val="0"/>
              <w:marTop w:val="0"/>
              <w:marBottom w:val="0"/>
              <w:divBdr>
                <w:top w:val="none" w:sz="0" w:space="0" w:color="auto"/>
                <w:left w:val="none" w:sz="0" w:space="0" w:color="auto"/>
                <w:bottom w:val="none" w:sz="0" w:space="0" w:color="auto"/>
                <w:right w:val="none" w:sz="0" w:space="0" w:color="auto"/>
              </w:divBdr>
            </w:div>
          </w:divsChild>
        </w:div>
        <w:div w:id="756219957">
          <w:marLeft w:val="0"/>
          <w:marRight w:val="0"/>
          <w:marTop w:val="300"/>
          <w:marBottom w:val="300"/>
          <w:divBdr>
            <w:top w:val="none" w:sz="0" w:space="0" w:color="auto"/>
            <w:left w:val="none" w:sz="0" w:space="0" w:color="auto"/>
            <w:bottom w:val="none" w:sz="0" w:space="0" w:color="auto"/>
            <w:right w:val="none" w:sz="0" w:space="0" w:color="auto"/>
          </w:divBdr>
        </w:div>
        <w:div w:id="81800442">
          <w:marLeft w:val="0"/>
          <w:marRight w:val="0"/>
          <w:marTop w:val="0"/>
          <w:marBottom w:val="0"/>
          <w:divBdr>
            <w:top w:val="none" w:sz="0" w:space="0" w:color="auto"/>
            <w:left w:val="none" w:sz="0" w:space="0" w:color="auto"/>
            <w:bottom w:val="none" w:sz="0" w:space="0" w:color="auto"/>
            <w:right w:val="none" w:sz="0" w:space="0" w:color="auto"/>
          </w:divBdr>
          <w:divsChild>
            <w:div w:id="152836798">
              <w:marLeft w:val="0"/>
              <w:marRight w:val="0"/>
              <w:marTop w:val="0"/>
              <w:marBottom w:val="0"/>
              <w:divBdr>
                <w:top w:val="none" w:sz="0" w:space="0" w:color="auto"/>
                <w:left w:val="none" w:sz="0" w:space="0" w:color="auto"/>
                <w:bottom w:val="none" w:sz="0" w:space="0" w:color="auto"/>
                <w:right w:val="none" w:sz="0" w:space="0" w:color="auto"/>
              </w:divBdr>
            </w:div>
          </w:divsChild>
        </w:div>
        <w:div w:id="1251354442">
          <w:marLeft w:val="0"/>
          <w:marRight w:val="0"/>
          <w:marTop w:val="0"/>
          <w:marBottom w:val="0"/>
          <w:divBdr>
            <w:top w:val="none" w:sz="0" w:space="0" w:color="auto"/>
            <w:left w:val="none" w:sz="0" w:space="0" w:color="auto"/>
            <w:bottom w:val="none" w:sz="0" w:space="0" w:color="auto"/>
            <w:right w:val="none" w:sz="0" w:space="0" w:color="auto"/>
          </w:divBdr>
          <w:divsChild>
            <w:div w:id="357851054">
              <w:marLeft w:val="0"/>
              <w:marRight w:val="0"/>
              <w:marTop w:val="0"/>
              <w:marBottom w:val="0"/>
              <w:divBdr>
                <w:top w:val="none" w:sz="0" w:space="0" w:color="auto"/>
                <w:left w:val="none" w:sz="0" w:space="0" w:color="auto"/>
                <w:bottom w:val="none" w:sz="0" w:space="0" w:color="auto"/>
                <w:right w:val="none" w:sz="0" w:space="0" w:color="auto"/>
              </w:divBdr>
            </w:div>
          </w:divsChild>
        </w:div>
        <w:div w:id="1333755036">
          <w:marLeft w:val="0"/>
          <w:marRight w:val="0"/>
          <w:marTop w:val="300"/>
          <w:marBottom w:val="300"/>
          <w:divBdr>
            <w:top w:val="none" w:sz="0" w:space="0" w:color="auto"/>
            <w:left w:val="none" w:sz="0" w:space="0" w:color="auto"/>
            <w:bottom w:val="none" w:sz="0" w:space="0" w:color="auto"/>
            <w:right w:val="none" w:sz="0" w:space="0" w:color="auto"/>
          </w:divBdr>
        </w:div>
        <w:div w:id="1319532924">
          <w:marLeft w:val="0"/>
          <w:marRight w:val="0"/>
          <w:marTop w:val="0"/>
          <w:marBottom w:val="0"/>
          <w:divBdr>
            <w:top w:val="none" w:sz="0" w:space="0" w:color="auto"/>
            <w:left w:val="none" w:sz="0" w:space="0" w:color="auto"/>
            <w:bottom w:val="none" w:sz="0" w:space="0" w:color="auto"/>
            <w:right w:val="none" w:sz="0" w:space="0" w:color="auto"/>
          </w:divBdr>
          <w:divsChild>
            <w:div w:id="166949017">
              <w:marLeft w:val="0"/>
              <w:marRight w:val="0"/>
              <w:marTop w:val="0"/>
              <w:marBottom w:val="0"/>
              <w:divBdr>
                <w:top w:val="none" w:sz="0" w:space="0" w:color="auto"/>
                <w:left w:val="none" w:sz="0" w:space="0" w:color="auto"/>
                <w:bottom w:val="none" w:sz="0" w:space="0" w:color="auto"/>
                <w:right w:val="none" w:sz="0" w:space="0" w:color="auto"/>
              </w:divBdr>
            </w:div>
          </w:divsChild>
        </w:div>
        <w:div w:id="1722704458">
          <w:marLeft w:val="0"/>
          <w:marRight w:val="0"/>
          <w:marTop w:val="0"/>
          <w:marBottom w:val="0"/>
          <w:divBdr>
            <w:top w:val="none" w:sz="0" w:space="0" w:color="auto"/>
            <w:left w:val="none" w:sz="0" w:space="0" w:color="auto"/>
            <w:bottom w:val="none" w:sz="0" w:space="0" w:color="auto"/>
            <w:right w:val="none" w:sz="0" w:space="0" w:color="auto"/>
          </w:divBdr>
          <w:divsChild>
            <w:div w:id="1087919343">
              <w:marLeft w:val="0"/>
              <w:marRight w:val="0"/>
              <w:marTop w:val="0"/>
              <w:marBottom w:val="0"/>
              <w:divBdr>
                <w:top w:val="none" w:sz="0" w:space="0" w:color="auto"/>
                <w:left w:val="none" w:sz="0" w:space="0" w:color="auto"/>
                <w:bottom w:val="none" w:sz="0" w:space="0" w:color="auto"/>
                <w:right w:val="none" w:sz="0" w:space="0" w:color="auto"/>
              </w:divBdr>
            </w:div>
          </w:divsChild>
        </w:div>
        <w:div w:id="1608536575">
          <w:marLeft w:val="0"/>
          <w:marRight w:val="0"/>
          <w:marTop w:val="300"/>
          <w:marBottom w:val="300"/>
          <w:divBdr>
            <w:top w:val="none" w:sz="0" w:space="0" w:color="auto"/>
            <w:left w:val="none" w:sz="0" w:space="0" w:color="auto"/>
            <w:bottom w:val="none" w:sz="0" w:space="0" w:color="auto"/>
            <w:right w:val="none" w:sz="0" w:space="0" w:color="auto"/>
          </w:divBdr>
        </w:div>
        <w:div w:id="462163353">
          <w:marLeft w:val="0"/>
          <w:marRight w:val="0"/>
          <w:marTop w:val="0"/>
          <w:marBottom w:val="0"/>
          <w:divBdr>
            <w:top w:val="none" w:sz="0" w:space="0" w:color="auto"/>
            <w:left w:val="none" w:sz="0" w:space="0" w:color="auto"/>
            <w:bottom w:val="none" w:sz="0" w:space="0" w:color="auto"/>
            <w:right w:val="none" w:sz="0" w:space="0" w:color="auto"/>
          </w:divBdr>
          <w:divsChild>
            <w:div w:id="1197423621">
              <w:marLeft w:val="0"/>
              <w:marRight w:val="0"/>
              <w:marTop w:val="0"/>
              <w:marBottom w:val="0"/>
              <w:divBdr>
                <w:top w:val="none" w:sz="0" w:space="0" w:color="auto"/>
                <w:left w:val="none" w:sz="0" w:space="0" w:color="auto"/>
                <w:bottom w:val="none" w:sz="0" w:space="0" w:color="auto"/>
                <w:right w:val="none" w:sz="0" w:space="0" w:color="auto"/>
              </w:divBdr>
            </w:div>
          </w:divsChild>
        </w:div>
        <w:div w:id="1330449934">
          <w:marLeft w:val="0"/>
          <w:marRight w:val="0"/>
          <w:marTop w:val="0"/>
          <w:marBottom w:val="0"/>
          <w:divBdr>
            <w:top w:val="none" w:sz="0" w:space="0" w:color="auto"/>
            <w:left w:val="none" w:sz="0" w:space="0" w:color="auto"/>
            <w:bottom w:val="none" w:sz="0" w:space="0" w:color="auto"/>
            <w:right w:val="none" w:sz="0" w:space="0" w:color="auto"/>
          </w:divBdr>
          <w:divsChild>
            <w:div w:id="838354417">
              <w:marLeft w:val="0"/>
              <w:marRight w:val="0"/>
              <w:marTop w:val="0"/>
              <w:marBottom w:val="0"/>
              <w:divBdr>
                <w:top w:val="none" w:sz="0" w:space="0" w:color="auto"/>
                <w:left w:val="none" w:sz="0" w:space="0" w:color="auto"/>
                <w:bottom w:val="none" w:sz="0" w:space="0" w:color="auto"/>
                <w:right w:val="none" w:sz="0" w:space="0" w:color="auto"/>
              </w:divBdr>
            </w:div>
          </w:divsChild>
        </w:div>
        <w:div w:id="1594316210">
          <w:marLeft w:val="0"/>
          <w:marRight w:val="0"/>
          <w:marTop w:val="0"/>
          <w:marBottom w:val="0"/>
          <w:divBdr>
            <w:top w:val="none" w:sz="0" w:space="0" w:color="auto"/>
            <w:left w:val="none" w:sz="0" w:space="0" w:color="auto"/>
            <w:bottom w:val="none" w:sz="0" w:space="0" w:color="auto"/>
            <w:right w:val="none" w:sz="0" w:space="0" w:color="auto"/>
          </w:divBdr>
          <w:divsChild>
            <w:div w:id="812454555">
              <w:marLeft w:val="0"/>
              <w:marRight w:val="0"/>
              <w:marTop w:val="0"/>
              <w:marBottom w:val="0"/>
              <w:divBdr>
                <w:top w:val="none" w:sz="0" w:space="0" w:color="auto"/>
                <w:left w:val="none" w:sz="0" w:space="0" w:color="auto"/>
                <w:bottom w:val="none" w:sz="0" w:space="0" w:color="auto"/>
                <w:right w:val="none" w:sz="0" w:space="0" w:color="auto"/>
              </w:divBdr>
            </w:div>
          </w:divsChild>
        </w:div>
        <w:div w:id="299969083">
          <w:marLeft w:val="0"/>
          <w:marRight w:val="0"/>
          <w:marTop w:val="0"/>
          <w:marBottom w:val="0"/>
          <w:divBdr>
            <w:top w:val="none" w:sz="0" w:space="0" w:color="auto"/>
            <w:left w:val="none" w:sz="0" w:space="0" w:color="auto"/>
            <w:bottom w:val="none" w:sz="0" w:space="0" w:color="auto"/>
            <w:right w:val="none" w:sz="0" w:space="0" w:color="auto"/>
          </w:divBdr>
          <w:divsChild>
            <w:div w:id="849292628">
              <w:marLeft w:val="0"/>
              <w:marRight w:val="0"/>
              <w:marTop w:val="0"/>
              <w:marBottom w:val="0"/>
              <w:divBdr>
                <w:top w:val="none" w:sz="0" w:space="0" w:color="auto"/>
                <w:left w:val="none" w:sz="0" w:space="0" w:color="auto"/>
                <w:bottom w:val="none" w:sz="0" w:space="0" w:color="auto"/>
                <w:right w:val="none" w:sz="0" w:space="0" w:color="auto"/>
              </w:divBdr>
            </w:div>
          </w:divsChild>
        </w:div>
        <w:div w:id="890269155">
          <w:marLeft w:val="0"/>
          <w:marRight w:val="0"/>
          <w:marTop w:val="300"/>
          <w:marBottom w:val="300"/>
          <w:divBdr>
            <w:top w:val="none" w:sz="0" w:space="0" w:color="auto"/>
            <w:left w:val="none" w:sz="0" w:space="0" w:color="auto"/>
            <w:bottom w:val="none" w:sz="0" w:space="0" w:color="auto"/>
            <w:right w:val="none" w:sz="0" w:space="0" w:color="auto"/>
          </w:divBdr>
        </w:div>
        <w:div w:id="656307627">
          <w:marLeft w:val="0"/>
          <w:marRight w:val="0"/>
          <w:marTop w:val="0"/>
          <w:marBottom w:val="0"/>
          <w:divBdr>
            <w:top w:val="none" w:sz="0" w:space="0" w:color="auto"/>
            <w:left w:val="none" w:sz="0" w:space="0" w:color="auto"/>
            <w:bottom w:val="none" w:sz="0" w:space="0" w:color="auto"/>
            <w:right w:val="none" w:sz="0" w:space="0" w:color="auto"/>
          </w:divBdr>
          <w:divsChild>
            <w:div w:id="1147554896">
              <w:marLeft w:val="0"/>
              <w:marRight w:val="0"/>
              <w:marTop w:val="0"/>
              <w:marBottom w:val="0"/>
              <w:divBdr>
                <w:top w:val="none" w:sz="0" w:space="0" w:color="auto"/>
                <w:left w:val="none" w:sz="0" w:space="0" w:color="auto"/>
                <w:bottom w:val="none" w:sz="0" w:space="0" w:color="auto"/>
                <w:right w:val="none" w:sz="0" w:space="0" w:color="auto"/>
              </w:divBdr>
            </w:div>
          </w:divsChild>
        </w:div>
        <w:div w:id="1771318376">
          <w:marLeft w:val="0"/>
          <w:marRight w:val="0"/>
          <w:marTop w:val="0"/>
          <w:marBottom w:val="0"/>
          <w:divBdr>
            <w:top w:val="none" w:sz="0" w:space="0" w:color="auto"/>
            <w:left w:val="none" w:sz="0" w:space="0" w:color="auto"/>
            <w:bottom w:val="none" w:sz="0" w:space="0" w:color="auto"/>
            <w:right w:val="none" w:sz="0" w:space="0" w:color="auto"/>
          </w:divBdr>
          <w:divsChild>
            <w:div w:id="1287735717">
              <w:marLeft w:val="0"/>
              <w:marRight w:val="0"/>
              <w:marTop w:val="0"/>
              <w:marBottom w:val="0"/>
              <w:divBdr>
                <w:top w:val="none" w:sz="0" w:space="0" w:color="auto"/>
                <w:left w:val="none" w:sz="0" w:space="0" w:color="auto"/>
                <w:bottom w:val="none" w:sz="0" w:space="0" w:color="auto"/>
                <w:right w:val="none" w:sz="0" w:space="0" w:color="auto"/>
              </w:divBdr>
            </w:div>
          </w:divsChild>
        </w:div>
        <w:div w:id="1680506295">
          <w:marLeft w:val="0"/>
          <w:marRight w:val="0"/>
          <w:marTop w:val="0"/>
          <w:marBottom w:val="0"/>
          <w:divBdr>
            <w:top w:val="none" w:sz="0" w:space="0" w:color="auto"/>
            <w:left w:val="none" w:sz="0" w:space="0" w:color="auto"/>
            <w:bottom w:val="none" w:sz="0" w:space="0" w:color="auto"/>
            <w:right w:val="none" w:sz="0" w:space="0" w:color="auto"/>
          </w:divBdr>
          <w:divsChild>
            <w:div w:id="881210885">
              <w:marLeft w:val="0"/>
              <w:marRight w:val="0"/>
              <w:marTop w:val="0"/>
              <w:marBottom w:val="0"/>
              <w:divBdr>
                <w:top w:val="none" w:sz="0" w:space="0" w:color="auto"/>
                <w:left w:val="none" w:sz="0" w:space="0" w:color="auto"/>
                <w:bottom w:val="none" w:sz="0" w:space="0" w:color="auto"/>
                <w:right w:val="none" w:sz="0" w:space="0" w:color="auto"/>
              </w:divBdr>
            </w:div>
          </w:divsChild>
        </w:div>
        <w:div w:id="1208446414">
          <w:marLeft w:val="0"/>
          <w:marRight w:val="0"/>
          <w:marTop w:val="0"/>
          <w:marBottom w:val="0"/>
          <w:divBdr>
            <w:top w:val="none" w:sz="0" w:space="0" w:color="auto"/>
            <w:left w:val="none" w:sz="0" w:space="0" w:color="auto"/>
            <w:bottom w:val="none" w:sz="0" w:space="0" w:color="auto"/>
            <w:right w:val="none" w:sz="0" w:space="0" w:color="auto"/>
          </w:divBdr>
          <w:divsChild>
            <w:div w:id="371348421">
              <w:marLeft w:val="0"/>
              <w:marRight w:val="0"/>
              <w:marTop w:val="0"/>
              <w:marBottom w:val="0"/>
              <w:divBdr>
                <w:top w:val="none" w:sz="0" w:space="0" w:color="auto"/>
                <w:left w:val="none" w:sz="0" w:space="0" w:color="auto"/>
                <w:bottom w:val="none" w:sz="0" w:space="0" w:color="auto"/>
                <w:right w:val="none" w:sz="0" w:space="0" w:color="auto"/>
              </w:divBdr>
            </w:div>
          </w:divsChild>
        </w:div>
        <w:div w:id="1057585863">
          <w:marLeft w:val="0"/>
          <w:marRight w:val="0"/>
          <w:marTop w:val="0"/>
          <w:marBottom w:val="0"/>
          <w:divBdr>
            <w:top w:val="none" w:sz="0" w:space="0" w:color="auto"/>
            <w:left w:val="none" w:sz="0" w:space="0" w:color="auto"/>
            <w:bottom w:val="none" w:sz="0" w:space="0" w:color="auto"/>
            <w:right w:val="none" w:sz="0" w:space="0" w:color="auto"/>
          </w:divBdr>
          <w:divsChild>
            <w:div w:id="412822125">
              <w:marLeft w:val="0"/>
              <w:marRight w:val="0"/>
              <w:marTop w:val="0"/>
              <w:marBottom w:val="0"/>
              <w:divBdr>
                <w:top w:val="none" w:sz="0" w:space="0" w:color="auto"/>
                <w:left w:val="none" w:sz="0" w:space="0" w:color="auto"/>
                <w:bottom w:val="none" w:sz="0" w:space="0" w:color="auto"/>
                <w:right w:val="none" w:sz="0" w:space="0" w:color="auto"/>
              </w:divBdr>
            </w:div>
          </w:divsChild>
        </w:div>
        <w:div w:id="591546683">
          <w:marLeft w:val="0"/>
          <w:marRight w:val="0"/>
          <w:marTop w:val="0"/>
          <w:marBottom w:val="0"/>
          <w:divBdr>
            <w:top w:val="none" w:sz="0" w:space="0" w:color="auto"/>
            <w:left w:val="none" w:sz="0" w:space="0" w:color="auto"/>
            <w:bottom w:val="none" w:sz="0" w:space="0" w:color="auto"/>
            <w:right w:val="none" w:sz="0" w:space="0" w:color="auto"/>
          </w:divBdr>
          <w:divsChild>
            <w:div w:id="1391811131">
              <w:marLeft w:val="0"/>
              <w:marRight w:val="0"/>
              <w:marTop w:val="0"/>
              <w:marBottom w:val="0"/>
              <w:divBdr>
                <w:top w:val="none" w:sz="0" w:space="0" w:color="auto"/>
                <w:left w:val="none" w:sz="0" w:space="0" w:color="auto"/>
                <w:bottom w:val="none" w:sz="0" w:space="0" w:color="auto"/>
                <w:right w:val="none" w:sz="0" w:space="0" w:color="auto"/>
              </w:divBdr>
            </w:div>
          </w:divsChild>
        </w:div>
        <w:div w:id="127167938">
          <w:marLeft w:val="0"/>
          <w:marRight w:val="0"/>
          <w:marTop w:val="0"/>
          <w:marBottom w:val="0"/>
          <w:divBdr>
            <w:top w:val="none" w:sz="0" w:space="0" w:color="auto"/>
            <w:left w:val="none" w:sz="0" w:space="0" w:color="auto"/>
            <w:bottom w:val="none" w:sz="0" w:space="0" w:color="auto"/>
            <w:right w:val="none" w:sz="0" w:space="0" w:color="auto"/>
          </w:divBdr>
          <w:divsChild>
            <w:div w:id="1899316609">
              <w:marLeft w:val="0"/>
              <w:marRight w:val="0"/>
              <w:marTop w:val="0"/>
              <w:marBottom w:val="0"/>
              <w:divBdr>
                <w:top w:val="none" w:sz="0" w:space="0" w:color="auto"/>
                <w:left w:val="none" w:sz="0" w:space="0" w:color="auto"/>
                <w:bottom w:val="none" w:sz="0" w:space="0" w:color="auto"/>
                <w:right w:val="none" w:sz="0" w:space="0" w:color="auto"/>
              </w:divBdr>
            </w:div>
          </w:divsChild>
        </w:div>
        <w:div w:id="1439174707">
          <w:marLeft w:val="0"/>
          <w:marRight w:val="0"/>
          <w:marTop w:val="300"/>
          <w:marBottom w:val="300"/>
          <w:divBdr>
            <w:top w:val="none" w:sz="0" w:space="0" w:color="auto"/>
            <w:left w:val="none" w:sz="0" w:space="0" w:color="auto"/>
            <w:bottom w:val="none" w:sz="0" w:space="0" w:color="auto"/>
            <w:right w:val="none" w:sz="0" w:space="0" w:color="auto"/>
          </w:divBdr>
        </w:div>
        <w:div w:id="1930120027">
          <w:marLeft w:val="0"/>
          <w:marRight w:val="0"/>
          <w:marTop w:val="0"/>
          <w:marBottom w:val="0"/>
          <w:divBdr>
            <w:top w:val="none" w:sz="0" w:space="0" w:color="auto"/>
            <w:left w:val="none" w:sz="0" w:space="0" w:color="auto"/>
            <w:bottom w:val="none" w:sz="0" w:space="0" w:color="auto"/>
            <w:right w:val="none" w:sz="0" w:space="0" w:color="auto"/>
          </w:divBdr>
          <w:divsChild>
            <w:div w:id="13310193">
              <w:marLeft w:val="0"/>
              <w:marRight w:val="0"/>
              <w:marTop w:val="0"/>
              <w:marBottom w:val="0"/>
              <w:divBdr>
                <w:top w:val="none" w:sz="0" w:space="0" w:color="auto"/>
                <w:left w:val="none" w:sz="0" w:space="0" w:color="auto"/>
                <w:bottom w:val="none" w:sz="0" w:space="0" w:color="auto"/>
                <w:right w:val="none" w:sz="0" w:space="0" w:color="auto"/>
              </w:divBdr>
            </w:div>
          </w:divsChild>
        </w:div>
        <w:div w:id="2103720798">
          <w:marLeft w:val="0"/>
          <w:marRight w:val="0"/>
          <w:marTop w:val="300"/>
          <w:marBottom w:val="300"/>
          <w:divBdr>
            <w:top w:val="none" w:sz="0" w:space="0" w:color="auto"/>
            <w:left w:val="none" w:sz="0" w:space="0" w:color="auto"/>
            <w:bottom w:val="none" w:sz="0" w:space="0" w:color="auto"/>
            <w:right w:val="none" w:sz="0" w:space="0" w:color="auto"/>
          </w:divBdr>
        </w:div>
        <w:div w:id="992875035">
          <w:marLeft w:val="0"/>
          <w:marRight w:val="0"/>
          <w:marTop w:val="0"/>
          <w:marBottom w:val="0"/>
          <w:divBdr>
            <w:top w:val="none" w:sz="0" w:space="0" w:color="auto"/>
            <w:left w:val="none" w:sz="0" w:space="0" w:color="auto"/>
            <w:bottom w:val="none" w:sz="0" w:space="0" w:color="auto"/>
            <w:right w:val="none" w:sz="0" w:space="0" w:color="auto"/>
          </w:divBdr>
          <w:divsChild>
            <w:div w:id="499850464">
              <w:marLeft w:val="0"/>
              <w:marRight w:val="0"/>
              <w:marTop w:val="0"/>
              <w:marBottom w:val="0"/>
              <w:divBdr>
                <w:top w:val="none" w:sz="0" w:space="0" w:color="auto"/>
                <w:left w:val="none" w:sz="0" w:space="0" w:color="auto"/>
                <w:bottom w:val="none" w:sz="0" w:space="0" w:color="auto"/>
                <w:right w:val="none" w:sz="0" w:space="0" w:color="auto"/>
              </w:divBdr>
            </w:div>
          </w:divsChild>
        </w:div>
        <w:div w:id="258560293">
          <w:marLeft w:val="0"/>
          <w:marRight w:val="0"/>
          <w:marTop w:val="0"/>
          <w:marBottom w:val="0"/>
          <w:divBdr>
            <w:top w:val="none" w:sz="0" w:space="0" w:color="auto"/>
            <w:left w:val="none" w:sz="0" w:space="0" w:color="auto"/>
            <w:bottom w:val="none" w:sz="0" w:space="0" w:color="auto"/>
            <w:right w:val="none" w:sz="0" w:space="0" w:color="auto"/>
          </w:divBdr>
          <w:divsChild>
            <w:div w:id="369033647">
              <w:marLeft w:val="0"/>
              <w:marRight w:val="0"/>
              <w:marTop w:val="0"/>
              <w:marBottom w:val="0"/>
              <w:divBdr>
                <w:top w:val="none" w:sz="0" w:space="0" w:color="auto"/>
                <w:left w:val="none" w:sz="0" w:space="0" w:color="auto"/>
                <w:bottom w:val="none" w:sz="0" w:space="0" w:color="auto"/>
                <w:right w:val="none" w:sz="0" w:space="0" w:color="auto"/>
              </w:divBdr>
            </w:div>
          </w:divsChild>
        </w:div>
        <w:div w:id="1507012441">
          <w:marLeft w:val="0"/>
          <w:marRight w:val="0"/>
          <w:marTop w:val="0"/>
          <w:marBottom w:val="0"/>
          <w:divBdr>
            <w:top w:val="none" w:sz="0" w:space="0" w:color="auto"/>
            <w:left w:val="none" w:sz="0" w:space="0" w:color="auto"/>
            <w:bottom w:val="none" w:sz="0" w:space="0" w:color="auto"/>
            <w:right w:val="none" w:sz="0" w:space="0" w:color="auto"/>
          </w:divBdr>
          <w:divsChild>
            <w:div w:id="676543795">
              <w:marLeft w:val="0"/>
              <w:marRight w:val="0"/>
              <w:marTop w:val="0"/>
              <w:marBottom w:val="0"/>
              <w:divBdr>
                <w:top w:val="none" w:sz="0" w:space="0" w:color="auto"/>
                <w:left w:val="none" w:sz="0" w:space="0" w:color="auto"/>
                <w:bottom w:val="none" w:sz="0" w:space="0" w:color="auto"/>
                <w:right w:val="none" w:sz="0" w:space="0" w:color="auto"/>
              </w:divBdr>
            </w:div>
          </w:divsChild>
        </w:div>
        <w:div w:id="1153182525">
          <w:marLeft w:val="0"/>
          <w:marRight w:val="0"/>
          <w:marTop w:val="0"/>
          <w:marBottom w:val="0"/>
          <w:divBdr>
            <w:top w:val="none" w:sz="0" w:space="0" w:color="auto"/>
            <w:left w:val="none" w:sz="0" w:space="0" w:color="auto"/>
            <w:bottom w:val="none" w:sz="0" w:space="0" w:color="auto"/>
            <w:right w:val="none" w:sz="0" w:space="0" w:color="auto"/>
          </w:divBdr>
          <w:divsChild>
            <w:div w:id="1965772067">
              <w:marLeft w:val="0"/>
              <w:marRight w:val="0"/>
              <w:marTop w:val="0"/>
              <w:marBottom w:val="0"/>
              <w:divBdr>
                <w:top w:val="none" w:sz="0" w:space="0" w:color="auto"/>
                <w:left w:val="none" w:sz="0" w:space="0" w:color="auto"/>
                <w:bottom w:val="none" w:sz="0" w:space="0" w:color="auto"/>
                <w:right w:val="none" w:sz="0" w:space="0" w:color="auto"/>
              </w:divBdr>
            </w:div>
          </w:divsChild>
        </w:div>
        <w:div w:id="1521092149">
          <w:marLeft w:val="0"/>
          <w:marRight w:val="0"/>
          <w:marTop w:val="0"/>
          <w:marBottom w:val="0"/>
          <w:divBdr>
            <w:top w:val="none" w:sz="0" w:space="0" w:color="auto"/>
            <w:left w:val="none" w:sz="0" w:space="0" w:color="auto"/>
            <w:bottom w:val="none" w:sz="0" w:space="0" w:color="auto"/>
            <w:right w:val="none" w:sz="0" w:space="0" w:color="auto"/>
          </w:divBdr>
          <w:divsChild>
            <w:div w:id="1569879934">
              <w:marLeft w:val="0"/>
              <w:marRight w:val="0"/>
              <w:marTop w:val="0"/>
              <w:marBottom w:val="0"/>
              <w:divBdr>
                <w:top w:val="none" w:sz="0" w:space="0" w:color="auto"/>
                <w:left w:val="none" w:sz="0" w:space="0" w:color="auto"/>
                <w:bottom w:val="none" w:sz="0" w:space="0" w:color="auto"/>
                <w:right w:val="none" w:sz="0" w:space="0" w:color="auto"/>
              </w:divBdr>
            </w:div>
          </w:divsChild>
        </w:div>
        <w:div w:id="2066099179">
          <w:marLeft w:val="0"/>
          <w:marRight w:val="0"/>
          <w:marTop w:val="0"/>
          <w:marBottom w:val="0"/>
          <w:divBdr>
            <w:top w:val="none" w:sz="0" w:space="0" w:color="auto"/>
            <w:left w:val="none" w:sz="0" w:space="0" w:color="auto"/>
            <w:bottom w:val="none" w:sz="0" w:space="0" w:color="auto"/>
            <w:right w:val="none" w:sz="0" w:space="0" w:color="auto"/>
          </w:divBdr>
          <w:divsChild>
            <w:div w:id="887181761">
              <w:marLeft w:val="0"/>
              <w:marRight w:val="0"/>
              <w:marTop w:val="0"/>
              <w:marBottom w:val="0"/>
              <w:divBdr>
                <w:top w:val="none" w:sz="0" w:space="0" w:color="auto"/>
                <w:left w:val="none" w:sz="0" w:space="0" w:color="auto"/>
                <w:bottom w:val="none" w:sz="0" w:space="0" w:color="auto"/>
                <w:right w:val="none" w:sz="0" w:space="0" w:color="auto"/>
              </w:divBdr>
            </w:div>
          </w:divsChild>
        </w:div>
        <w:div w:id="592933840">
          <w:marLeft w:val="0"/>
          <w:marRight w:val="0"/>
          <w:marTop w:val="0"/>
          <w:marBottom w:val="0"/>
          <w:divBdr>
            <w:top w:val="none" w:sz="0" w:space="0" w:color="auto"/>
            <w:left w:val="none" w:sz="0" w:space="0" w:color="auto"/>
            <w:bottom w:val="none" w:sz="0" w:space="0" w:color="auto"/>
            <w:right w:val="none" w:sz="0" w:space="0" w:color="auto"/>
          </w:divBdr>
          <w:divsChild>
            <w:div w:id="1578438751">
              <w:marLeft w:val="0"/>
              <w:marRight w:val="0"/>
              <w:marTop w:val="0"/>
              <w:marBottom w:val="0"/>
              <w:divBdr>
                <w:top w:val="none" w:sz="0" w:space="0" w:color="auto"/>
                <w:left w:val="none" w:sz="0" w:space="0" w:color="auto"/>
                <w:bottom w:val="none" w:sz="0" w:space="0" w:color="auto"/>
                <w:right w:val="none" w:sz="0" w:space="0" w:color="auto"/>
              </w:divBdr>
            </w:div>
          </w:divsChild>
        </w:div>
        <w:div w:id="1572303910">
          <w:marLeft w:val="0"/>
          <w:marRight w:val="0"/>
          <w:marTop w:val="0"/>
          <w:marBottom w:val="0"/>
          <w:divBdr>
            <w:top w:val="none" w:sz="0" w:space="0" w:color="auto"/>
            <w:left w:val="none" w:sz="0" w:space="0" w:color="auto"/>
            <w:bottom w:val="none" w:sz="0" w:space="0" w:color="auto"/>
            <w:right w:val="none" w:sz="0" w:space="0" w:color="auto"/>
          </w:divBdr>
          <w:divsChild>
            <w:div w:id="760565227">
              <w:marLeft w:val="0"/>
              <w:marRight w:val="0"/>
              <w:marTop w:val="0"/>
              <w:marBottom w:val="0"/>
              <w:divBdr>
                <w:top w:val="none" w:sz="0" w:space="0" w:color="auto"/>
                <w:left w:val="none" w:sz="0" w:space="0" w:color="auto"/>
                <w:bottom w:val="none" w:sz="0" w:space="0" w:color="auto"/>
                <w:right w:val="none" w:sz="0" w:space="0" w:color="auto"/>
              </w:divBdr>
            </w:div>
          </w:divsChild>
        </w:div>
        <w:div w:id="197401827">
          <w:marLeft w:val="0"/>
          <w:marRight w:val="0"/>
          <w:marTop w:val="0"/>
          <w:marBottom w:val="0"/>
          <w:divBdr>
            <w:top w:val="none" w:sz="0" w:space="0" w:color="auto"/>
            <w:left w:val="none" w:sz="0" w:space="0" w:color="auto"/>
            <w:bottom w:val="none" w:sz="0" w:space="0" w:color="auto"/>
            <w:right w:val="none" w:sz="0" w:space="0" w:color="auto"/>
          </w:divBdr>
          <w:divsChild>
            <w:div w:id="99419353">
              <w:marLeft w:val="0"/>
              <w:marRight w:val="0"/>
              <w:marTop w:val="0"/>
              <w:marBottom w:val="0"/>
              <w:divBdr>
                <w:top w:val="none" w:sz="0" w:space="0" w:color="auto"/>
                <w:left w:val="none" w:sz="0" w:space="0" w:color="auto"/>
                <w:bottom w:val="none" w:sz="0" w:space="0" w:color="auto"/>
                <w:right w:val="none" w:sz="0" w:space="0" w:color="auto"/>
              </w:divBdr>
            </w:div>
          </w:divsChild>
        </w:div>
        <w:div w:id="1664163450">
          <w:marLeft w:val="0"/>
          <w:marRight w:val="0"/>
          <w:marTop w:val="0"/>
          <w:marBottom w:val="0"/>
          <w:divBdr>
            <w:top w:val="none" w:sz="0" w:space="0" w:color="auto"/>
            <w:left w:val="none" w:sz="0" w:space="0" w:color="auto"/>
            <w:bottom w:val="none" w:sz="0" w:space="0" w:color="auto"/>
            <w:right w:val="none" w:sz="0" w:space="0" w:color="auto"/>
          </w:divBdr>
          <w:divsChild>
            <w:div w:id="786199563">
              <w:marLeft w:val="0"/>
              <w:marRight w:val="0"/>
              <w:marTop w:val="0"/>
              <w:marBottom w:val="0"/>
              <w:divBdr>
                <w:top w:val="none" w:sz="0" w:space="0" w:color="auto"/>
                <w:left w:val="none" w:sz="0" w:space="0" w:color="auto"/>
                <w:bottom w:val="none" w:sz="0" w:space="0" w:color="auto"/>
                <w:right w:val="none" w:sz="0" w:space="0" w:color="auto"/>
              </w:divBdr>
            </w:div>
          </w:divsChild>
        </w:div>
        <w:div w:id="1859392056">
          <w:marLeft w:val="0"/>
          <w:marRight w:val="0"/>
          <w:marTop w:val="0"/>
          <w:marBottom w:val="0"/>
          <w:divBdr>
            <w:top w:val="none" w:sz="0" w:space="0" w:color="auto"/>
            <w:left w:val="none" w:sz="0" w:space="0" w:color="auto"/>
            <w:bottom w:val="none" w:sz="0" w:space="0" w:color="auto"/>
            <w:right w:val="none" w:sz="0" w:space="0" w:color="auto"/>
          </w:divBdr>
          <w:divsChild>
            <w:div w:id="1371540534">
              <w:marLeft w:val="0"/>
              <w:marRight w:val="0"/>
              <w:marTop w:val="0"/>
              <w:marBottom w:val="0"/>
              <w:divBdr>
                <w:top w:val="none" w:sz="0" w:space="0" w:color="auto"/>
                <w:left w:val="none" w:sz="0" w:space="0" w:color="auto"/>
                <w:bottom w:val="none" w:sz="0" w:space="0" w:color="auto"/>
                <w:right w:val="none" w:sz="0" w:space="0" w:color="auto"/>
              </w:divBdr>
            </w:div>
          </w:divsChild>
        </w:div>
        <w:div w:id="1445032475">
          <w:marLeft w:val="0"/>
          <w:marRight w:val="0"/>
          <w:marTop w:val="0"/>
          <w:marBottom w:val="0"/>
          <w:divBdr>
            <w:top w:val="none" w:sz="0" w:space="0" w:color="auto"/>
            <w:left w:val="none" w:sz="0" w:space="0" w:color="auto"/>
            <w:bottom w:val="none" w:sz="0" w:space="0" w:color="auto"/>
            <w:right w:val="none" w:sz="0" w:space="0" w:color="auto"/>
          </w:divBdr>
          <w:divsChild>
            <w:div w:id="73554666">
              <w:marLeft w:val="0"/>
              <w:marRight w:val="0"/>
              <w:marTop w:val="0"/>
              <w:marBottom w:val="0"/>
              <w:divBdr>
                <w:top w:val="none" w:sz="0" w:space="0" w:color="auto"/>
                <w:left w:val="none" w:sz="0" w:space="0" w:color="auto"/>
                <w:bottom w:val="none" w:sz="0" w:space="0" w:color="auto"/>
                <w:right w:val="none" w:sz="0" w:space="0" w:color="auto"/>
              </w:divBdr>
            </w:div>
          </w:divsChild>
        </w:div>
        <w:div w:id="608394401">
          <w:marLeft w:val="0"/>
          <w:marRight w:val="0"/>
          <w:marTop w:val="0"/>
          <w:marBottom w:val="0"/>
          <w:divBdr>
            <w:top w:val="none" w:sz="0" w:space="0" w:color="auto"/>
            <w:left w:val="none" w:sz="0" w:space="0" w:color="auto"/>
            <w:bottom w:val="none" w:sz="0" w:space="0" w:color="auto"/>
            <w:right w:val="none" w:sz="0" w:space="0" w:color="auto"/>
          </w:divBdr>
          <w:divsChild>
            <w:div w:id="524635763">
              <w:marLeft w:val="0"/>
              <w:marRight w:val="0"/>
              <w:marTop w:val="0"/>
              <w:marBottom w:val="0"/>
              <w:divBdr>
                <w:top w:val="none" w:sz="0" w:space="0" w:color="auto"/>
                <w:left w:val="none" w:sz="0" w:space="0" w:color="auto"/>
                <w:bottom w:val="none" w:sz="0" w:space="0" w:color="auto"/>
                <w:right w:val="none" w:sz="0" w:space="0" w:color="auto"/>
              </w:divBdr>
            </w:div>
          </w:divsChild>
        </w:div>
        <w:div w:id="494029243">
          <w:marLeft w:val="0"/>
          <w:marRight w:val="0"/>
          <w:marTop w:val="0"/>
          <w:marBottom w:val="0"/>
          <w:divBdr>
            <w:top w:val="none" w:sz="0" w:space="0" w:color="auto"/>
            <w:left w:val="none" w:sz="0" w:space="0" w:color="auto"/>
            <w:bottom w:val="none" w:sz="0" w:space="0" w:color="auto"/>
            <w:right w:val="none" w:sz="0" w:space="0" w:color="auto"/>
          </w:divBdr>
          <w:divsChild>
            <w:div w:id="509026467">
              <w:marLeft w:val="0"/>
              <w:marRight w:val="0"/>
              <w:marTop w:val="0"/>
              <w:marBottom w:val="0"/>
              <w:divBdr>
                <w:top w:val="none" w:sz="0" w:space="0" w:color="auto"/>
                <w:left w:val="none" w:sz="0" w:space="0" w:color="auto"/>
                <w:bottom w:val="none" w:sz="0" w:space="0" w:color="auto"/>
                <w:right w:val="none" w:sz="0" w:space="0" w:color="auto"/>
              </w:divBdr>
            </w:div>
          </w:divsChild>
        </w:div>
        <w:div w:id="1213805007">
          <w:marLeft w:val="0"/>
          <w:marRight w:val="0"/>
          <w:marTop w:val="0"/>
          <w:marBottom w:val="0"/>
          <w:divBdr>
            <w:top w:val="none" w:sz="0" w:space="0" w:color="auto"/>
            <w:left w:val="none" w:sz="0" w:space="0" w:color="auto"/>
            <w:bottom w:val="none" w:sz="0" w:space="0" w:color="auto"/>
            <w:right w:val="none" w:sz="0" w:space="0" w:color="auto"/>
          </w:divBdr>
          <w:divsChild>
            <w:div w:id="645668000">
              <w:marLeft w:val="0"/>
              <w:marRight w:val="0"/>
              <w:marTop w:val="0"/>
              <w:marBottom w:val="0"/>
              <w:divBdr>
                <w:top w:val="none" w:sz="0" w:space="0" w:color="auto"/>
                <w:left w:val="none" w:sz="0" w:space="0" w:color="auto"/>
                <w:bottom w:val="none" w:sz="0" w:space="0" w:color="auto"/>
                <w:right w:val="none" w:sz="0" w:space="0" w:color="auto"/>
              </w:divBdr>
            </w:div>
          </w:divsChild>
        </w:div>
        <w:div w:id="1946692974">
          <w:marLeft w:val="0"/>
          <w:marRight w:val="0"/>
          <w:marTop w:val="0"/>
          <w:marBottom w:val="0"/>
          <w:divBdr>
            <w:top w:val="none" w:sz="0" w:space="0" w:color="auto"/>
            <w:left w:val="none" w:sz="0" w:space="0" w:color="auto"/>
            <w:bottom w:val="none" w:sz="0" w:space="0" w:color="auto"/>
            <w:right w:val="none" w:sz="0" w:space="0" w:color="auto"/>
          </w:divBdr>
          <w:divsChild>
            <w:div w:id="1968970043">
              <w:marLeft w:val="0"/>
              <w:marRight w:val="0"/>
              <w:marTop w:val="0"/>
              <w:marBottom w:val="0"/>
              <w:divBdr>
                <w:top w:val="none" w:sz="0" w:space="0" w:color="auto"/>
                <w:left w:val="none" w:sz="0" w:space="0" w:color="auto"/>
                <w:bottom w:val="none" w:sz="0" w:space="0" w:color="auto"/>
                <w:right w:val="none" w:sz="0" w:space="0" w:color="auto"/>
              </w:divBdr>
            </w:div>
          </w:divsChild>
        </w:div>
        <w:div w:id="407506671">
          <w:marLeft w:val="0"/>
          <w:marRight w:val="0"/>
          <w:marTop w:val="0"/>
          <w:marBottom w:val="0"/>
          <w:divBdr>
            <w:top w:val="none" w:sz="0" w:space="0" w:color="auto"/>
            <w:left w:val="none" w:sz="0" w:space="0" w:color="auto"/>
            <w:bottom w:val="none" w:sz="0" w:space="0" w:color="auto"/>
            <w:right w:val="none" w:sz="0" w:space="0" w:color="auto"/>
          </w:divBdr>
          <w:divsChild>
            <w:div w:id="1489128477">
              <w:marLeft w:val="0"/>
              <w:marRight w:val="0"/>
              <w:marTop w:val="0"/>
              <w:marBottom w:val="0"/>
              <w:divBdr>
                <w:top w:val="none" w:sz="0" w:space="0" w:color="auto"/>
                <w:left w:val="none" w:sz="0" w:space="0" w:color="auto"/>
                <w:bottom w:val="none" w:sz="0" w:space="0" w:color="auto"/>
                <w:right w:val="none" w:sz="0" w:space="0" w:color="auto"/>
              </w:divBdr>
            </w:div>
          </w:divsChild>
        </w:div>
        <w:div w:id="883101053">
          <w:marLeft w:val="0"/>
          <w:marRight w:val="0"/>
          <w:marTop w:val="0"/>
          <w:marBottom w:val="0"/>
          <w:divBdr>
            <w:top w:val="none" w:sz="0" w:space="0" w:color="auto"/>
            <w:left w:val="none" w:sz="0" w:space="0" w:color="auto"/>
            <w:bottom w:val="none" w:sz="0" w:space="0" w:color="auto"/>
            <w:right w:val="none" w:sz="0" w:space="0" w:color="auto"/>
          </w:divBdr>
          <w:divsChild>
            <w:div w:id="1973364213">
              <w:marLeft w:val="0"/>
              <w:marRight w:val="0"/>
              <w:marTop w:val="0"/>
              <w:marBottom w:val="0"/>
              <w:divBdr>
                <w:top w:val="none" w:sz="0" w:space="0" w:color="auto"/>
                <w:left w:val="none" w:sz="0" w:space="0" w:color="auto"/>
                <w:bottom w:val="none" w:sz="0" w:space="0" w:color="auto"/>
                <w:right w:val="none" w:sz="0" w:space="0" w:color="auto"/>
              </w:divBdr>
            </w:div>
          </w:divsChild>
        </w:div>
        <w:div w:id="1115295389">
          <w:marLeft w:val="0"/>
          <w:marRight w:val="0"/>
          <w:marTop w:val="0"/>
          <w:marBottom w:val="0"/>
          <w:divBdr>
            <w:top w:val="none" w:sz="0" w:space="0" w:color="auto"/>
            <w:left w:val="none" w:sz="0" w:space="0" w:color="auto"/>
            <w:bottom w:val="none" w:sz="0" w:space="0" w:color="auto"/>
            <w:right w:val="none" w:sz="0" w:space="0" w:color="auto"/>
          </w:divBdr>
          <w:divsChild>
            <w:div w:id="1935047550">
              <w:marLeft w:val="0"/>
              <w:marRight w:val="0"/>
              <w:marTop w:val="0"/>
              <w:marBottom w:val="0"/>
              <w:divBdr>
                <w:top w:val="none" w:sz="0" w:space="0" w:color="auto"/>
                <w:left w:val="none" w:sz="0" w:space="0" w:color="auto"/>
                <w:bottom w:val="none" w:sz="0" w:space="0" w:color="auto"/>
                <w:right w:val="none" w:sz="0" w:space="0" w:color="auto"/>
              </w:divBdr>
            </w:div>
          </w:divsChild>
        </w:div>
        <w:div w:id="1766606905">
          <w:marLeft w:val="0"/>
          <w:marRight w:val="0"/>
          <w:marTop w:val="0"/>
          <w:marBottom w:val="0"/>
          <w:divBdr>
            <w:top w:val="none" w:sz="0" w:space="0" w:color="auto"/>
            <w:left w:val="none" w:sz="0" w:space="0" w:color="auto"/>
            <w:bottom w:val="none" w:sz="0" w:space="0" w:color="auto"/>
            <w:right w:val="none" w:sz="0" w:space="0" w:color="auto"/>
          </w:divBdr>
          <w:divsChild>
            <w:div w:id="523246690">
              <w:marLeft w:val="0"/>
              <w:marRight w:val="0"/>
              <w:marTop w:val="0"/>
              <w:marBottom w:val="0"/>
              <w:divBdr>
                <w:top w:val="none" w:sz="0" w:space="0" w:color="auto"/>
                <w:left w:val="none" w:sz="0" w:space="0" w:color="auto"/>
                <w:bottom w:val="none" w:sz="0" w:space="0" w:color="auto"/>
                <w:right w:val="none" w:sz="0" w:space="0" w:color="auto"/>
              </w:divBdr>
            </w:div>
          </w:divsChild>
        </w:div>
        <w:div w:id="1317955840">
          <w:marLeft w:val="0"/>
          <w:marRight w:val="0"/>
          <w:marTop w:val="300"/>
          <w:marBottom w:val="300"/>
          <w:divBdr>
            <w:top w:val="none" w:sz="0" w:space="0" w:color="auto"/>
            <w:left w:val="none" w:sz="0" w:space="0" w:color="auto"/>
            <w:bottom w:val="none" w:sz="0" w:space="0" w:color="auto"/>
            <w:right w:val="none" w:sz="0" w:space="0" w:color="auto"/>
          </w:divBdr>
        </w:div>
        <w:div w:id="1338771979">
          <w:marLeft w:val="0"/>
          <w:marRight w:val="0"/>
          <w:marTop w:val="0"/>
          <w:marBottom w:val="0"/>
          <w:divBdr>
            <w:top w:val="none" w:sz="0" w:space="0" w:color="auto"/>
            <w:left w:val="none" w:sz="0" w:space="0" w:color="auto"/>
            <w:bottom w:val="none" w:sz="0" w:space="0" w:color="auto"/>
            <w:right w:val="none" w:sz="0" w:space="0" w:color="auto"/>
          </w:divBdr>
          <w:divsChild>
            <w:div w:id="1048143100">
              <w:marLeft w:val="0"/>
              <w:marRight w:val="0"/>
              <w:marTop w:val="0"/>
              <w:marBottom w:val="0"/>
              <w:divBdr>
                <w:top w:val="none" w:sz="0" w:space="0" w:color="auto"/>
                <w:left w:val="none" w:sz="0" w:space="0" w:color="auto"/>
                <w:bottom w:val="none" w:sz="0" w:space="0" w:color="auto"/>
                <w:right w:val="none" w:sz="0" w:space="0" w:color="auto"/>
              </w:divBdr>
            </w:div>
          </w:divsChild>
        </w:div>
        <w:div w:id="13188300">
          <w:marLeft w:val="0"/>
          <w:marRight w:val="0"/>
          <w:marTop w:val="0"/>
          <w:marBottom w:val="0"/>
          <w:divBdr>
            <w:top w:val="none" w:sz="0" w:space="0" w:color="auto"/>
            <w:left w:val="none" w:sz="0" w:space="0" w:color="auto"/>
            <w:bottom w:val="none" w:sz="0" w:space="0" w:color="auto"/>
            <w:right w:val="none" w:sz="0" w:space="0" w:color="auto"/>
          </w:divBdr>
          <w:divsChild>
            <w:div w:id="1686445468">
              <w:marLeft w:val="0"/>
              <w:marRight w:val="0"/>
              <w:marTop w:val="0"/>
              <w:marBottom w:val="0"/>
              <w:divBdr>
                <w:top w:val="none" w:sz="0" w:space="0" w:color="auto"/>
                <w:left w:val="none" w:sz="0" w:space="0" w:color="auto"/>
                <w:bottom w:val="none" w:sz="0" w:space="0" w:color="auto"/>
                <w:right w:val="none" w:sz="0" w:space="0" w:color="auto"/>
              </w:divBdr>
            </w:div>
          </w:divsChild>
        </w:div>
        <w:div w:id="899822610">
          <w:marLeft w:val="0"/>
          <w:marRight w:val="0"/>
          <w:marTop w:val="0"/>
          <w:marBottom w:val="0"/>
          <w:divBdr>
            <w:top w:val="none" w:sz="0" w:space="0" w:color="auto"/>
            <w:left w:val="none" w:sz="0" w:space="0" w:color="auto"/>
            <w:bottom w:val="none" w:sz="0" w:space="0" w:color="auto"/>
            <w:right w:val="none" w:sz="0" w:space="0" w:color="auto"/>
          </w:divBdr>
          <w:divsChild>
            <w:div w:id="1980188945">
              <w:marLeft w:val="0"/>
              <w:marRight w:val="0"/>
              <w:marTop w:val="0"/>
              <w:marBottom w:val="0"/>
              <w:divBdr>
                <w:top w:val="none" w:sz="0" w:space="0" w:color="auto"/>
                <w:left w:val="none" w:sz="0" w:space="0" w:color="auto"/>
                <w:bottom w:val="none" w:sz="0" w:space="0" w:color="auto"/>
                <w:right w:val="none" w:sz="0" w:space="0" w:color="auto"/>
              </w:divBdr>
            </w:div>
          </w:divsChild>
        </w:div>
        <w:div w:id="1971129850">
          <w:marLeft w:val="0"/>
          <w:marRight w:val="0"/>
          <w:marTop w:val="0"/>
          <w:marBottom w:val="0"/>
          <w:divBdr>
            <w:top w:val="none" w:sz="0" w:space="0" w:color="auto"/>
            <w:left w:val="none" w:sz="0" w:space="0" w:color="auto"/>
            <w:bottom w:val="none" w:sz="0" w:space="0" w:color="auto"/>
            <w:right w:val="none" w:sz="0" w:space="0" w:color="auto"/>
          </w:divBdr>
          <w:divsChild>
            <w:div w:id="924456935">
              <w:marLeft w:val="0"/>
              <w:marRight w:val="0"/>
              <w:marTop w:val="0"/>
              <w:marBottom w:val="0"/>
              <w:divBdr>
                <w:top w:val="none" w:sz="0" w:space="0" w:color="auto"/>
                <w:left w:val="none" w:sz="0" w:space="0" w:color="auto"/>
                <w:bottom w:val="none" w:sz="0" w:space="0" w:color="auto"/>
                <w:right w:val="none" w:sz="0" w:space="0" w:color="auto"/>
              </w:divBdr>
            </w:div>
          </w:divsChild>
        </w:div>
        <w:div w:id="1321498981">
          <w:marLeft w:val="0"/>
          <w:marRight w:val="0"/>
          <w:marTop w:val="0"/>
          <w:marBottom w:val="0"/>
          <w:divBdr>
            <w:top w:val="none" w:sz="0" w:space="0" w:color="auto"/>
            <w:left w:val="none" w:sz="0" w:space="0" w:color="auto"/>
            <w:bottom w:val="none" w:sz="0" w:space="0" w:color="auto"/>
            <w:right w:val="none" w:sz="0" w:space="0" w:color="auto"/>
          </w:divBdr>
        </w:div>
      </w:divsChild>
    </w:div>
    <w:div w:id="1663661711">
      <w:bodyDiv w:val="1"/>
      <w:marLeft w:val="0"/>
      <w:marRight w:val="0"/>
      <w:marTop w:val="0"/>
      <w:marBottom w:val="0"/>
      <w:divBdr>
        <w:top w:val="none" w:sz="0" w:space="0" w:color="auto"/>
        <w:left w:val="none" w:sz="0" w:space="0" w:color="auto"/>
        <w:bottom w:val="none" w:sz="0" w:space="0" w:color="auto"/>
        <w:right w:val="none" w:sz="0" w:space="0" w:color="auto"/>
      </w:divBdr>
    </w:div>
    <w:div w:id="1717778447">
      <w:bodyDiv w:val="1"/>
      <w:marLeft w:val="0"/>
      <w:marRight w:val="0"/>
      <w:marTop w:val="0"/>
      <w:marBottom w:val="0"/>
      <w:divBdr>
        <w:top w:val="none" w:sz="0" w:space="0" w:color="auto"/>
        <w:left w:val="none" w:sz="0" w:space="0" w:color="auto"/>
        <w:bottom w:val="none" w:sz="0" w:space="0" w:color="auto"/>
        <w:right w:val="none" w:sz="0" w:space="0" w:color="auto"/>
      </w:divBdr>
    </w:div>
    <w:div w:id="1824931478">
      <w:bodyDiv w:val="1"/>
      <w:marLeft w:val="0"/>
      <w:marRight w:val="0"/>
      <w:marTop w:val="0"/>
      <w:marBottom w:val="0"/>
      <w:divBdr>
        <w:top w:val="none" w:sz="0" w:space="0" w:color="auto"/>
        <w:left w:val="none" w:sz="0" w:space="0" w:color="auto"/>
        <w:bottom w:val="none" w:sz="0" w:space="0" w:color="auto"/>
        <w:right w:val="none" w:sz="0" w:space="0" w:color="auto"/>
      </w:divBdr>
      <w:divsChild>
        <w:div w:id="405304786">
          <w:marLeft w:val="0"/>
          <w:marRight w:val="0"/>
          <w:marTop w:val="0"/>
          <w:marBottom w:val="150"/>
          <w:divBdr>
            <w:top w:val="none" w:sz="0" w:space="0" w:color="auto"/>
            <w:left w:val="none" w:sz="0" w:space="0" w:color="auto"/>
            <w:bottom w:val="none" w:sz="0" w:space="0" w:color="auto"/>
            <w:right w:val="none" w:sz="0" w:space="0" w:color="auto"/>
          </w:divBdr>
        </w:div>
        <w:div w:id="334655254">
          <w:marLeft w:val="0"/>
          <w:marRight w:val="0"/>
          <w:marTop w:val="300"/>
          <w:marBottom w:val="300"/>
          <w:divBdr>
            <w:top w:val="none" w:sz="0" w:space="0" w:color="auto"/>
            <w:left w:val="none" w:sz="0" w:space="0" w:color="auto"/>
            <w:bottom w:val="none" w:sz="0" w:space="0" w:color="auto"/>
            <w:right w:val="none" w:sz="0" w:space="0" w:color="auto"/>
          </w:divBdr>
        </w:div>
        <w:div w:id="1643123024">
          <w:marLeft w:val="0"/>
          <w:marRight w:val="0"/>
          <w:marTop w:val="0"/>
          <w:marBottom w:val="0"/>
          <w:divBdr>
            <w:top w:val="none" w:sz="0" w:space="0" w:color="auto"/>
            <w:left w:val="none" w:sz="0" w:space="0" w:color="auto"/>
            <w:bottom w:val="none" w:sz="0" w:space="0" w:color="auto"/>
            <w:right w:val="none" w:sz="0" w:space="0" w:color="auto"/>
          </w:divBdr>
          <w:divsChild>
            <w:div w:id="1111433331">
              <w:marLeft w:val="0"/>
              <w:marRight w:val="0"/>
              <w:marTop w:val="0"/>
              <w:marBottom w:val="0"/>
              <w:divBdr>
                <w:top w:val="none" w:sz="0" w:space="0" w:color="auto"/>
                <w:left w:val="none" w:sz="0" w:space="0" w:color="auto"/>
                <w:bottom w:val="none" w:sz="0" w:space="0" w:color="auto"/>
                <w:right w:val="none" w:sz="0" w:space="0" w:color="auto"/>
              </w:divBdr>
            </w:div>
          </w:divsChild>
        </w:div>
        <w:div w:id="765731531">
          <w:marLeft w:val="0"/>
          <w:marRight w:val="0"/>
          <w:marTop w:val="300"/>
          <w:marBottom w:val="300"/>
          <w:divBdr>
            <w:top w:val="none" w:sz="0" w:space="0" w:color="auto"/>
            <w:left w:val="none" w:sz="0" w:space="0" w:color="auto"/>
            <w:bottom w:val="none" w:sz="0" w:space="0" w:color="auto"/>
            <w:right w:val="none" w:sz="0" w:space="0" w:color="auto"/>
          </w:divBdr>
        </w:div>
        <w:div w:id="853494886">
          <w:marLeft w:val="0"/>
          <w:marRight w:val="0"/>
          <w:marTop w:val="0"/>
          <w:marBottom w:val="0"/>
          <w:divBdr>
            <w:top w:val="none" w:sz="0" w:space="0" w:color="auto"/>
            <w:left w:val="none" w:sz="0" w:space="0" w:color="auto"/>
            <w:bottom w:val="none" w:sz="0" w:space="0" w:color="auto"/>
            <w:right w:val="none" w:sz="0" w:space="0" w:color="auto"/>
          </w:divBdr>
          <w:divsChild>
            <w:div w:id="1476951303">
              <w:marLeft w:val="0"/>
              <w:marRight w:val="0"/>
              <w:marTop w:val="0"/>
              <w:marBottom w:val="0"/>
              <w:divBdr>
                <w:top w:val="none" w:sz="0" w:space="0" w:color="auto"/>
                <w:left w:val="none" w:sz="0" w:space="0" w:color="auto"/>
                <w:bottom w:val="none" w:sz="0" w:space="0" w:color="auto"/>
                <w:right w:val="none" w:sz="0" w:space="0" w:color="auto"/>
              </w:divBdr>
            </w:div>
          </w:divsChild>
        </w:div>
        <w:div w:id="1560045213">
          <w:marLeft w:val="0"/>
          <w:marRight w:val="0"/>
          <w:marTop w:val="0"/>
          <w:marBottom w:val="0"/>
          <w:divBdr>
            <w:top w:val="none" w:sz="0" w:space="0" w:color="auto"/>
            <w:left w:val="none" w:sz="0" w:space="0" w:color="auto"/>
            <w:bottom w:val="none" w:sz="0" w:space="0" w:color="auto"/>
            <w:right w:val="none" w:sz="0" w:space="0" w:color="auto"/>
          </w:divBdr>
          <w:divsChild>
            <w:div w:id="68772797">
              <w:marLeft w:val="0"/>
              <w:marRight w:val="0"/>
              <w:marTop w:val="0"/>
              <w:marBottom w:val="0"/>
              <w:divBdr>
                <w:top w:val="none" w:sz="0" w:space="0" w:color="auto"/>
                <w:left w:val="none" w:sz="0" w:space="0" w:color="auto"/>
                <w:bottom w:val="none" w:sz="0" w:space="0" w:color="auto"/>
                <w:right w:val="none" w:sz="0" w:space="0" w:color="auto"/>
              </w:divBdr>
            </w:div>
          </w:divsChild>
        </w:div>
        <w:div w:id="965089410">
          <w:marLeft w:val="0"/>
          <w:marRight w:val="0"/>
          <w:marTop w:val="300"/>
          <w:marBottom w:val="300"/>
          <w:divBdr>
            <w:top w:val="none" w:sz="0" w:space="0" w:color="auto"/>
            <w:left w:val="none" w:sz="0" w:space="0" w:color="auto"/>
            <w:bottom w:val="none" w:sz="0" w:space="0" w:color="auto"/>
            <w:right w:val="none" w:sz="0" w:space="0" w:color="auto"/>
          </w:divBdr>
        </w:div>
        <w:div w:id="527261229">
          <w:marLeft w:val="0"/>
          <w:marRight w:val="0"/>
          <w:marTop w:val="0"/>
          <w:marBottom w:val="0"/>
          <w:divBdr>
            <w:top w:val="none" w:sz="0" w:space="0" w:color="auto"/>
            <w:left w:val="none" w:sz="0" w:space="0" w:color="auto"/>
            <w:bottom w:val="none" w:sz="0" w:space="0" w:color="auto"/>
            <w:right w:val="none" w:sz="0" w:space="0" w:color="auto"/>
          </w:divBdr>
          <w:divsChild>
            <w:div w:id="1251238623">
              <w:marLeft w:val="0"/>
              <w:marRight w:val="0"/>
              <w:marTop w:val="0"/>
              <w:marBottom w:val="0"/>
              <w:divBdr>
                <w:top w:val="none" w:sz="0" w:space="0" w:color="auto"/>
                <w:left w:val="none" w:sz="0" w:space="0" w:color="auto"/>
                <w:bottom w:val="none" w:sz="0" w:space="0" w:color="auto"/>
                <w:right w:val="none" w:sz="0" w:space="0" w:color="auto"/>
              </w:divBdr>
            </w:div>
          </w:divsChild>
        </w:div>
        <w:div w:id="2040743636">
          <w:marLeft w:val="0"/>
          <w:marRight w:val="0"/>
          <w:marTop w:val="0"/>
          <w:marBottom w:val="0"/>
          <w:divBdr>
            <w:top w:val="none" w:sz="0" w:space="0" w:color="auto"/>
            <w:left w:val="none" w:sz="0" w:space="0" w:color="auto"/>
            <w:bottom w:val="none" w:sz="0" w:space="0" w:color="auto"/>
            <w:right w:val="none" w:sz="0" w:space="0" w:color="auto"/>
          </w:divBdr>
          <w:divsChild>
            <w:div w:id="93985230">
              <w:marLeft w:val="0"/>
              <w:marRight w:val="0"/>
              <w:marTop w:val="0"/>
              <w:marBottom w:val="0"/>
              <w:divBdr>
                <w:top w:val="none" w:sz="0" w:space="0" w:color="auto"/>
                <w:left w:val="none" w:sz="0" w:space="0" w:color="auto"/>
                <w:bottom w:val="none" w:sz="0" w:space="0" w:color="auto"/>
                <w:right w:val="none" w:sz="0" w:space="0" w:color="auto"/>
              </w:divBdr>
            </w:div>
          </w:divsChild>
        </w:div>
        <w:div w:id="1061714967">
          <w:marLeft w:val="0"/>
          <w:marRight w:val="0"/>
          <w:marTop w:val="0"/>
          <w:marBottom w:val="0"/>
          <w:divBdr>
            <w:top w:val="none" w:sz="0" w:space="0" w:color="auto"/>
            <w:left w:val="none" w:sz="0" w:space="0" w:color="auto"/>
            <w:bottom w:val="none" w:sz="0" w:space="0" w:color="auto"/>
            <w:right w:val="none" w:sz="0" w:space="0" w:color="auto"/>
          </w:divBdr>
          <w:divsChild>
            <w:div w:id="1530290541">
              <w:marLeft w:val="0"/>
              <w:marRight w:val="0"/>
              <w:marTop w:val="0"/>
              <w:marBottom w:val="0"/>
              <w:divBdr>
                <w:top w:val="none" w:sz="0" w:space="0" w:color="auto"/>
                <w:left w:val="none" w:sz="0" w:space="0" w:color="auto"/>
                <w:bottom w:val="none" w:sz="0" w:space="0" w:color="auto"/>
                <w:right w:val="none" w:sz="0" w:space="0" w:color="auto"/>
              </w:divBdr>
            </w:div>
          </w:divsChild>
        </w:div>
        <w:div w:id="188422000">
          <w:marLeft w:val="0"/>
          <w:marRight w:val="0"/>
          <w:marTop w:val="0"/>
          <w:marBottom w:val="0"/>
          <w:divBdr>
            <w:top w:val="none" w:sz="0" w:space="0" w:color="auto"/>
            <w:left w:val="none" w:sz="0" w:space="0" w:color="auto"/>
            <w:bottom w:val="none" w:sz="0" w:space="0" w:color="auto"/>
            <w:right w:val="none" w:sz="0" w:space="0" w:color="auto"/>
          </w:divBdr>
          <w:divsChild>
            <w:div w:id="513610980">
              <w:marLeft w:val="0"/>
              <w:marRight w:val="0"/>
              <w:marTop w:val="0"/>
              <w:marBottom w:val="0"/>
              <w:divBdr>
                <w:top w:val="none" w:sz="0" w:space="0" w:color="auto"/>
                <w:left w:val="none" w:sz="0" w:space="0" w:color="auto"/>
                <w:bottom w:val="none" w:sz="0" w:space="0" w:color="auto"/>
                <w:right w:val="none" w:sz="0" w:space="0" w:color="auto"/>
              </w:divBdr>
            </w:div>
          </w:divsChild>
        </w:div>
        <w:div w:id="1831484541">
          <w:marLeft w:val="0"/>
          <w:marRight w:val="0"/>
          <w:marTop w:val="0"/>
          <w:marBottom w:val="0"/>
          <w:divBdr>
            <w:top w:val="none" w:sz="0" w:space="0" w:color="auto"/>
            <w:left w:val="none" w:sz="0" w:space="0" w:color="auto"/>
            <w:bottom w:val="none" w:sz="0" w:space="0" w:color="auto"/>
            <w:right w:val="none" w:sz="0" w:space="0" w:color="auto"/>
          </w:divBdr>
          <w:divsChild>
            <w:div w:id="786118649">
              <w:marLeft w:val="0"/>
              <w:marRight w:val="0"/>
              <w:marTop w:val="0"/>
              <w:marBottom w:val="0"/>
              <w:divBdr>
                <w:top w:val="none" w:sz="0" w:space="0" w:color="auto"/>
                <w:left w:val="none" w:sz="0" w:space="0" w:color="auto"/>
                <w:bottom w:val="none" w:sz="0" w:space="0" w:color="auto"/>
                <w:right w:val="none" w:sz="0" w:space="0" w:color="auto"/>
              </w:divBdr>
            </w:div>
          </w:divsChild>
        </w:div>
        <w:div w:id="1554079663">
          <w:marLeft w:val="0"/>
          <w:marRight w:val="0"/>
          <w:marTop w:val="0"/>
          <w:marBottom w:val="0"/>
          <w:divBdr>
            <w:top w:val="none" w:sz="0" w:space="0" w:color="auto"/>
            <w:left w:val="none" w:sz="0" w:space="0" w:color="auto"/>
            <w:bottom w:val="none" w:sz="0" w:space="0" w:color="auto"/>
            <w:right w:val="none" w:sz="0" w:space="0" w:color="auto"/>
          </w:divBdr>
          <w:divsChild>
            <w:div w:id="667824564">
              <w:marLeft w:val="0"/>
              <w:marRight w:val="0"/>
              <w:marTop w:val="0"/>
              <w:marBottom w:val="0"/>
              <w:divBdr>
                <w:top w:val="none" w:sz="0" w:space="0" w:color="auto"/>
                <w:left w:val="none" w:sz="0" w:space="0" w:color="auto"/>
                <w:bottom w:val="none" w:sz="0" w:space="0" w:color="auto"/>
                <w:right w:val="none" w:sz="0" w:space="0" w:color="auto"/>
              </w:divBdr>
            </w:div>
          </w:divsChild>
        </w:div>
        <w:div w:id="773404120">
          <w:marLeft w:val="0"/>
          <w:marRight w:val="0"/>
          <w:marTop w:val="0"/>
          <w:marBottom w:val="0"/>
          <w:divBdr>
            <w:top w:val="none" w:sz="0" w:space="0" w:color="auto"/>
            <w:left w:val="none" w:sz="0" w:space="0" w:color="auto"/>
            <w:bottom w:val="none" w:sz="0" w:space="0" w:color="auto"/>
            <w:right w:val="none" w:sz="0" w:space="0" w:color="auto"/>
          </w:divBdr>
          <w:divsChild>
            <w:div w:id="1639408471">
              <w:marLeft w:val="0"/>
              <w:marRight w:val="0"/>
              <w:marTop w:val="0"/>
              <w:marBottom w:val="0"/>
              <w:divBdr>
                <w:top w:val="none" w:sz="0" w:space="0" w:color="auto"/>
                <w:left w:val="none" w:sz="0" w:space="0" w:color="auto"/>
                <w:bottom w:val="none" w:sz="0" w:space="0" w:color="auto"/>
                <w:right w:val="none" w:sz="0" w:space="0" w:color="auto"/>
              </w:divBdr>
            </w:div>
          </w:divsChild>
        </w:div>
        <w:div w:id="245383236">
          <w:marLeft w:val="0"/>
          <w:marRight w:val="0"/>
          <w:marTop w:val="0"/>
          <w:marBottom w:val="0"/>
          <w:divBdr>
            <w:top w:val="none" w:sz="0" w:space="0" w:color="auto"/>
            <w:left w:val="none" w:sz="0" w:space="0" w:color="auto"/>
            <w:bottom w:val="none" w:sz="0" w:space="0" w:color="auto"/>
            <w:right w:val="none" w:sz="0" w:space="0" w:color="auto"/>
          </w:divBdr>
          <w:divsChild>
            <w:div w:id="815955694">
              <w:marLeft w:val="0"/>
              <w:marRight w:val="0"/>
              <w:marTop w:val="0"/>
              <w:marBottom w:val="0"/>
              <w:divBdr>
                <w:top w:val="none" w:sz="0" w:space="0" w:color="auto"/>
                <w:left w:val="none" w:sz="0" w:space="0" w:color="auto"/>
                <w:bottom w:val="none" w:sz="0" w:space="0" w:color="auto"/>
                <w:right w:val="none" w:sz="0" w:space="0" w:color="auto"/>
              </w:divBdr>
            </w:div>
          </w:divsChild>
        </w:div>
        <w:div w:id="1345277537">
          <w:marLeft w:val="0"/>
          <w:marRight w:val="0"/>
          <w:marTop w:val="0"/>
          <w:marBottom w:val="0"/>
          <w:divBdr>
            <w:top w:val="none" w:sz="0" w:space="0" w:color="auto"/>
            <w:left w:val="none" w:sz="0" w:space="0" w:color="auto"/>
            <w:bottom w:val="none" w:sz="0" w:space="0" w:color="auto"/>
            <w:right w:val="none" w:sz="0" w:space="0" w:color="auto"/>
          </w:divBdr>
          <w:divsChild>
            <w:div w:id="65958458">
              <w:marLeft w:val="0"/>
              <w:marRight w:val="0"/>
              <w:marTop w:val="0"/>
              <w:marBottom w:val="0"/>
              <w:divBdr>
                <w:top w:val="none" w:sz="0" w:space="0" w:color="auto"/>
                <w:left w:val="none" w:sz="0" w:space="0" w:color="auto"/>
                <w:bottom w:val="none" w:sz="0" w:space="0" w:color="auto"/>
                <w:right w:val="none" w:sz="0" w:space="0" w:color="auto"/>
              </w:divBdr>
            </w:div>
          </w:divsChild>
        </w:div>
        <w:div w:id="101388485">
          <w:marLeft w:val="0"/>
          <w:marRight w:val="0"/>
          <w:marTop w:val="300"/>
          <w:marBottom w:val="300"/>
          <w:divBdr>
            <w:top w:val="none" w:sz="0" w:space="0" w:color="auto"/>
            <w:left w:val="none" w:sz="0" w:space="0" w:color="auto"/>
            <w:bottom w:val="none" w:sz="0" w:space="0" w:color="auto"/>
            <w:right w:val="none" w:sz="0" w:space="0" w:color="auto"/>
          </w:divBdr>
        </w:div>
        <w:div w:id="1295599182">
          <w:marLeft w:val="0"/>
          <w:marRight w:val="0"/>
          <w:marTop w:val="0"/>
          <w:marBottom w:val="0"/>
          <w:divBdr>
            <w:top w:val="none" w:sz="0" w:space="0" w:color="auto"/>
            <w:left w:val="none" w:sz="0" w:space="0" w:color="auto"/>
            <w:bottom w:val="none" w:sz="0" w:space="0" w:color="auto"/>
            <w:right w:val="none" w:sz="0" w:space="0" w:color="auto"/>
          </w:divBdr>
          <w:divsChild>
            <w:div w:id="1696803795">
              <w:marLeft w:val="0"/>
              <w:marRight w:val="0"/>
              <w:marTop w:val="0"/>
              <w:marBottom w:val="0"/>
              <w:divBdr>
                <w:top w:val="none" w:sz="0" w:space="0" w:color="auto"/>
                <w:left w:val="none" w:sz="0" w:space="0" w:color="auto"/>
                <w:bottom w:val="none" w:sz="0" w:space="0" w:color="auto"/>
                <w:right w:val="none" w:sz="0" w:space="0" w:color="auto"/>
              </w:divBdr>
            </w:div>
          </w:divsChild>
        </w:div>
        <w:div w:id="177695818">
          <w:marLeft w:val="0"/>
          <w:marRight w:val="0"/>
          <w:marTop w:val="0"/>
          <w:marBottom w:val="0"/>
          <w:divBdr>
            <w:top w:val="none" w:sz="0" w:space="0" w:color="auto"/>
            <w:left w:val="none" w:sz="0" w:space="0" w:color="auto"/>
            <w:bottom w:val="none" w:sz="0" w:space="0" w:color="auto"/>
            <w:right w:val="none" w:sz="0" w:space="0" w:color="auto"/>
          </w:divBdr>
          <w:divsChild>
            <w:div w:id="1064988937">
              <w:marLeft w:val="0"/>
              <w:marRight w:val="0"/>
              <w:marTop w:val="0"/>
              <w:marBottom w:val="0"/>
              <w:divBdr>
                <w:top w:val="none" w:sz="0" w:space="0" w:color="auto"/>
                <w:left w:val="none" w:sz="0" w:space="0" w:color="auto"/>
                <w:bottom w:val="none" w:sz="0" w:space="0" w:color="auto"/>
                <w:right w:val="none" w:sz="0" w:space="0" w:color="auto"/>
              </w:divBdr>
            </w:div>
          </w:divsChild>
        </w:div>
        <w:div w:id="130710607">
          <w:marLeft w:val="0"/>
          <w:marRight w:val="0"/>
          <w:marTop w:val="0"/>
          <w:marBottom w:val="0"/>
          <w:divBdr>
            <w:top w:val="none" w:sz="0" w:space="0" w:color="auto"/>
            <w:left w:val="none" w:sz="0" w:space="0" w:color="auto"/>
            <w:bottom w:val="none" w:sz="0" w:space="0" w:color="auto"/>
            <w:right w:val="none" w:sz="0" w:space="0" w:color="auto"/>
          </w:divBdr>
          <w:divsChild>
            <w:div w:id="2040272394">
              <w:marLeft w:val="0"/>
              <w:marRight w:val="0"/>
              <w:marTop w:val="0"/>
              <w:marBottom w:val="0"/>
              <w:divBdr>
                <w:top w:val="none" w:sz="0" w:space="0" w:color="auto"/>
                <w:left w:val="none" w:sz="0" w:space="0" w:color="auto"/>
                <w:bottom w:val="none" w:sz="0" w:space="0" w:color="auto"/>
                <w:right w:val="none" w:sz="0" w:space="0" w:color="auto"/>
              </w:divBdr>
            </w:div>
          </w:divsChild>
        </w:div>
        <w:div w:id="86924511">
          <w:marLeft w:val="0"/>
          <w:marRight w:val="0"/>
          <w:marTop w:val="0"/>
          <w:marBottom w:val="0"/>
          <w:divBdr>
            <w:top w:val="none" w:sz="0" w:space="0" w:color="auto"/>
            <w:left w:val="none" w:sz="0" w:space="0" w:color="auto"/>
            <w:bottom w:val="none" w:sz="0" w:space="0" w:color="auto"/>
            <w:right w:val="none" w:sz="0" w:space="0" w:color="auto"/>
          </w:divBdr>
          <w:divsChild>
            <w:div w:id="466358950">
              <w:marLeft w:val="0"/>
              <w:marRight w:val="0"/>
              <w:marTop w:val="0"/>
              <w:marBottom w:val="0"/>
              <w:divBdr>
                <w:top w:val="none" w:sz="0" w:space="0" w:color="auto"/>
                <w:left w:val="none" w:sz="0" w:space="0" w:color="auto"/>
                <w:bottom w:val="none" w:sz="0" w:space="0" w:color="auto"/>
                <w:right w:val="none" w:sz="0" w:space="0" w:color="auto"/>
              </w:divBdr>
            </w:div>
          </w:divsChild>
        </w:div>
        <w:div w:id="840698979">
          <w:marLeft w:val="0"/>
          <w:marRight w:val="0"/>
          <w:marTop w:val="0"/>
          <w:marBottom w:val="0"/>
          <w:divBdr>
            <w:top w:val="none" w:sz="0" w:space="0" w:color="auto"/>
            <w:left w:val="none" w:sz="0" w:space="0" w:color="auto"/>
            <w:bottom w:val="none" w:sz="0" w:space="0" w:color="auto"/>
            <w:right w:val="none" w:sz="0" w:space="0" w:color="auto"/>
          </w:divBdr>
          <w:divsChild>
            <w:div w:id="160514030">
              <w:marLeft w:val="0"/>
              <w:marRight w:val="0"/>
              <w:marTop w:val="0"/>
              <w:marBottom w:val="0"/>
              <w:divBdr>
                <w:top w:val="none" w:sz="0" w:space="0" w:color="auto"/>
                <w:left w:val="none" w:sz="0" w:space="0" w:color="auto"/>
                <w:bottom w:val="none" w:sz="0" w:space="0" w:color="auto"/>
                <w:right w:val="none" w:sz="0" w:space="0" w:color="auto"/>
              </w:divBdr>
            </w:div>
          </w:divsChild>
        </w:div>
        <w:div w:id="554437197">
          <w:marLeft w:val="0"/>
          <w:marRight w:val="0"/>
          <w:marTop w:val="0"/>
          <w:marBottom w:val="0"/>
          <w:divBdr>
            <w:top w:val="none" w:sz="0" w:space="0" w:color="auto"/>
            <w:left w:val="none" w:sz="0" w:space="0" w:color="auto"/>
            <w:bottom w:val="none" w:sz="0" w:space="0" w:color="auto"/>
            <w:right w:val="none" w:sz="0" w:space="0" w:color="auto"/>
          </w:divBdr>
          <w:divsChild>
            <w:div w:id="819229711">
              <w:marLeft w:val="0"/>
              <w:marRight w:val="0"/>
              <w:marTop w:val="0"/>
              <w:marBottom w:val="0"/>
              <w:divBdr>
                <w:top w:val="none" w:sz="0" w:space="0" w:color="auto"/>
                <w:left w:val="none" w:sz="0" w:space="0" w:color="auto"/>
                <w:bottom w:val="none" w:sz="0" w:space="0" w:color="auto"/>
                <w:right w:val="none" w:sz="0" w:space="0" w:color="auto"/>
              </w:divBdr>
            </w:div>
          </w:divsChild>
        </w:div>
        <w:div w:id="1365791912">
          <w:marLeft w:val="0"/>
          <w:marRight w:val="0"/>
          <w:marTop w:val="0"/>
          <w:marBottom w:val="0"/>
          <w:divBdr>
            <w:top w:val="none" w:sz="0" w:space="0" w:color="auto"/>
            <w:left w:val="none" w:sz="0" w:space="0" w:color="auto"/>
            <w:bottom w:val="none" w:sz="0" w:space="0" w:color="auto"/>
            <w:right w:val="none" w:sz="0" w:space="0" w:color="auto"/>
          </w:divBdr>
          <w:divsChild>
            <w:div w:id="599877184">
              <w:marLeft w:val="0"/>
              <w:marRight w:val="0"/>
              <w:marTop w:val="0"/>
              <w:marBottom w:val="0"/>
              <w:divBdr>
                <w:top w:val="none" w:sz="0" w:space="0" w:color="auto"/>
                <w:left w:val="none" w:sz="0" w:space="0" w:color="auto"/>
                <w:bottom w:val="none" w:sz="0" w:space="0" w:color="auto"/>
                <w:right w:val="none" w:sz="0" w:space="0" w:color="auto"/>
              </w:divBdr>
            </w:div>
          </w:divsChild>
        </w:div>
        <w:div w:id="1525942238">
          <w:marLeft w:val="0"/>
          <w:marRight w:val="0"/>
          <w:marTop w:val="300"/>
          <w:marBottom w:val="300"/>
          <w:divBdr>
            <w:top w:val="none" w:sz="0" w:space="0" w:color="auto"/>
            <w:left w:val="none" w:sz="0" w:space="0" w:color="auto"/>
            <w:bottom w:val="none" w:sz="0" w:space="0" w:color="auto"/>
            <w:right w:val="none" w:sz="0" w:space="0" w:color="auto"/>
          </w:divBdr>
        </w:div>
        <w:div w:id="927272504">
          <w:marLeft w:val="0"/>
          <w:marRight w:val="0"/>
          <w:marTop w:val="0"/>
          <w:marBottom w:val="0"/>
          <w:divBdr>
            <w:top w:val="none" w:sz="0" w:space="0" w:color="auto"/>
            <w:left w:val="none" w:sz="0" w:space="0" w:color="auto"/>
            <w:bottom w:val="none" w:sz="0" w:space="0" w:color="auto"/>
            <w:right w:val="none" w:sz="0" w:space="0" w:color="auto"/>
          </w:divBdr>
          <w:divsChild>
            <w:div w:id="1774742483">
              <w:marLeft w:val="0"/>
              <w:marRight w:val="0"/>
              <w:marTop w:val="0"/>
              <w:marBottom w:val="0"/>
              <w:divBdr>
                <w:top w:val="none" w:sz="0" w:space="0" w:color="auto"/>
                <w:left w:val="none" w:sz="0" w:space="0" w:color="auto"/>
                <w:bottom w:val="none" w:sz="0" w:space="0" w:color="auto"/>
                <w:right w:val="none" w:sz="0" w:space="0" w:color="auto"/>
              </w:divBdr>
            </w:div>
          </w:divsChild>
        </w:div>
        <w:div w:id="253319448">
          <w:marLeft w:val="0"/>
          <w:marRight w:val="0"/>
          <w:marTop w:val="300"/>
          <w:marBottom w:val="300"/>
          <w:divBdr>
            <w:top w:val="none" w:sz="0" w:space="0" w:color="auto"/>
            <w:left w:val="none" w:sz="0" w:space="0" w:color="auto"/>
            <w:bottom w:val="none" w:sz="0" w:space="0" w:color="auto"/>
            <w:right w:val="none" w:sz="0" w:space="0" w:color="auto"/>
          </w:divBdr>
        </w:div>
        <w:div w:id="1827088080">
          <w:marLeft w:val="0"/>
          <w:marRight w:val="0"/>
          <w:marTop w:val="0"/>
          <w:marBottom w:val="0"/>
          <w:divBdr>
            <w:top w:val="none" w:sz="0" w:space="0" w:color="auto"/>
            <w:left w:val="none" w:sz="0" w:space="0" w:color="auto"/>
            <w:bottom w:val="none" w:sz="0" w:space="0" w:color="auto"/>
            <w:right w:val="none" w:sz="0" w:space="0" w:color="auto"/>
          </w:divBdr>
          <w:divsChild>
            <w:div w:id="471562505">
              <w:marLeft w:val="0"/>
              <w:marRight w:val="0"/>
              <w:marTop w:val="0"/>
              <w:marBottom w:val="0"/>
              <w:divBdr>
                <w:top w:val="none" w:sz="0" w:space="0" w:color="auto"/>
                <w:left w:val="none" w:sz="0" w:space="0" w:color="auto"/>
                <w:bottom w:val="none" w:sz="0" w:space="0" w:color="auto"/>
                <w:right w:val="none" w:sz="0" w:space="0" w:color="auto"/>
              </w:divBdr>
            </w:div>
          </w:divsChild>
        </w:div>
        <w:div w:id="1478720181">
          <w:marLeft w:val="0"/>
          <w:marRight w:val="0"/>
          <w:marTop w:val="0"/>
          <w:marBottom w:val="0"/>
          <w:divBdr>
            <w:top w:val="none" w:sz="0" w:space="0" w:color="auto"/>
            <w:left w:val="none" w:sz="0" w:space="0" w:color="auto"/>
            <w:bottom w:val="none" w:sz="0" w:space="0" w:color="auto"/>
            <w:right w:val="none" w:sz="0" w:space="0" w:color="auto"/>
          </w:divBdr>
          <w:divsChild>
            <w:div w:id="511995420">
              <w:marLeft w:val="0"/>
              <w:marRight w:val="0"/>
              <w:marTop w:val="0"/>
              <w:marBottom w:val="0"/>
              <w:divBdr>
                <w:top w:val="none" w:sz="0" w:space="0" w:color="auto"/>
                <w:left w:val="none" w:sz="0" w:space="0" w:color="auto"/>
                <w:bottom w:val="none" w:sz="0" w:space="0" w:color="auto"/>
                <w:right w:val="none" w:sz="0" w:space="0" w:color="auto"/>
              </w:divBdr>
            </w:div>
          </w:divsChild>
        </w:div>
        <w:div w:id="1929191188">
          <w:marLeft w:val="0"/>
          <w:marRight w:val="0"/>
          <w:marTop w:val="0"/>
          <w:marBottom w:val="0"/>
          <w:divBdr>
            <w:top w:val="none" w:sz="0" w:space="0" w:color="auto"/>
            <w:left w:val="none" w:sz="0" w:space="0" w:color="auto"/>
            <w:bottom w:val="none" w:sz="0" w:space="0" w:color="auto"/>
            <w:right w:val="none" w:sz="0" w:space="0" w:color="auto"/>
          </w:divBdr>
          <w:divsChild>
            <w:div w:id="563759499">
              <w:marLeft w:val="0"/>
              <w:marRight w:val="0"/>
              <w:marTop w:val="0"/>
              <w:marBottom w:val="0"/>
              <w:divBdr>
                <w:top w:val="none" w:sz="0" w:space="0" w:color="auto"/>
                <w:left w:val="none" w:sz="0" w:space="0" w:color="auto"/>
                <w:bottom w:val="none" w:sz="0" w:space="0" w:color="auto"/>
                <w:right w:val="none" w:sz="0" w:space="0" w:color="auto"/>
              </w:divBdr>
            </w:div>
          </w:divsChild>
        </w:div>
        <w:div w:id="797068633">
          <w:marLeft w:val="0"/>
          <w:marRight w:val="0"/>
          <w:marTop w:val="0"/>
          <w:marBottom w:val="0"/>
          <w:divBdr>
            <w:top w:val="none" w:sz="0" w:space="0" w:color="auto"/>
            <w:left w:val="none" w:sz="0" w:space="0" w:color="auto"/>
            <w:bottom w:val="none" w:sz="0" w:space="0" w:color="auto"/>
            <w:right w:val="none" w:sz="0" w:space="0" w:color="auto"/>
          </w:divBdr>
          <w:divsChild>
            <w:div w:id="1401558596">
              <w:marLeft w:val="0"/>
              <w:marRight w:val="0"/>
              <w:marTop w:val="0"/>
              <w:marBottom w:val="0"/>
              <w:divBdr>
                <w:top w:val="none" w:sz="0" w:space="0" w:color="auto"/>
                <w:left w:val="none" w:sz="0" w:space="0" w:color="auto"/>
                <w:bottom w:val="none" w:sz="0" w:space="0" w:color="auto"/>
                <w:right w:val="none" w:sz="0" w:space="0" w:color="auto"/>
              </w:divBdr>
            </w:div>
          </w:divsChild>
        </w:div>
        <w:div w:id="1754204605">
          <w:marLeft w:val="0"/>
          <w:marRight w:val="0"/>
          <w:marTop w:val="300"/>
          <w:marBottom w:val="300"/>
          <w:divBdr>
            <w:top w:val="none" w:sz="0" w:space="0" w:color="auto"/>
            <w:left w:val="none" w:sz="0" w:space="0" w:color="auto"/>
            <w:bottom w:val="none" w:sz="0" w:space="0" w:color="auto"/>
            <w:right w:val="none" w:sz="0" w:space="0" w:color="auto"/>
          </w:divBdr>
        </w:div>
        <w:div w:id="173616686">
          <w:marLeft w:val="0"/>
          <w:marRight w:val="0"/>
          <w:marTop w:val="0"/>
          <w:marBottom w:val="0"/>
          <w:divBdr>
            <w:top w:val="none" w:sz="0" w:space="0" w:color="auto"/>
            <w:left w:val="none" w:sz="0" w:space="0" w:color="auto"/>
            <w:bottom w:val="none" w:sz="0" w:space="0" w:color="auto"/>
            <w:right w:val="none" w:sz="0" w:space="0" w:color="auto"/>
          </w:divBdr>
          <w:divsChild>
            <w:div w:id="754209888">
              <w:marLeft w:val="0"/>
              <w:marRight w:val="0"/>
              <w:marTop w:val="0"/>
              <w:marBottom w:val="0"/>
              <w:divBdr>
                <w:top w:val="none" w:sz="0" w:space="0" w:color="auto"/>
                <w:left w:val="none" w:sz="0" w:space="0" w:color="auto"/>
                <w:bottom w:val="none" w:sz="0" w:space="0" w:color="auto"/>
                <w:right w:val="none" w:sz="0" w:space="0" w:color="auto"/>
              </w:divBdr>
            </w:div>
          </w:divsChild>
        </w:div>
        <w:div w:id="1212500000">
          <w:marLeft w:val="0"/>
          <w:marRight w:val="0"/>
          <w:marTop w:val="0"/>
          <w:marBottom w:val="0"/>
          <w:divBdr>
            <w:top w:val="none" w:sz="0" w:space="0" w:color="auto"/>
            <w:left w:val="none" w:sz="0" w:space="0" w:color="auto"/>
            <w:bottom w:val="none" w:sz="0" w:space="0" w:color="auto"/>
            <w:right w:val="none" w:sz="0" w:space="0" w:color="auto"/>
          </w:divBdr>
          <w:divsChild>
            <w:div w:id="523136990">
              <w:marLeft w:val="0"/>
              <w:marRight w:val="0"/>
              <w:marTop w:val="0"/>
              <w:marBottom w:val="0"/>
              <w:divBdr>
                <w:top w:val="none" w:sz="0" w:space="0" w:color="auto"/>
                <w:left w:val="none" w:sz="0" w:space="0" w:color="auto"/>
                <w:bottom w:val="none" w:sz="0" w:space="0" w:color="auto"/>
                <w:right w:val="none" w:sz="0" w:space="0" w:color="auto"/>
              </w:divBdr>
            </w:div>
          </w:divsChild>
        </w:div>
        <w:div w:id="1281033194">
          <w:marLeft w:val="0"/>
          <w:marRight w:val="0"/>
          <w:marTop w:val="0"/>
          <w:marBottom w:val="0"/>
          <w:divBdr>
            <w:top w:val="none" w:sz="0" w:space="0" w:color="auto"/>
            <w:left w:val="none" w:sz="0" w:space="0" w:color="auto"/>
            <w:bottom w:val="none" w:sz="0" w:space="0" w:color="auto"/>
            <w:right w:val="none" w:sz="0" w:space="0" w:color="auto"/>
          </w:divBdr>
          <w:divsChild>
            <w:div w:id="469591756">
              <w:marLeft w:val="0"/>
              <w:marRight w:val="0"/>
              <w:marTop w:val="0"/>
              <w:marBottom w:val="0"/>
              <w:divBdr>
                <w:top w:val="none" w:sz="0" w:space="0" w:color="auto"/>
                <w:left w:val="none" w:sz="0" w:space="0" w:color="auto"/>
                <w:bottom w:val="none" w:sz="0" w:space="0" w:color="auto"/>
                <w:right w:val="none" w:sz="0" w:space="0" w:color="auto"/>
              </w:divBdr>
            </w:div>
          </w:divsChild>
        </w:div>
        <w:div w:id="1385330782">
          <w:marLeft w:val="0"/>
          <w:marRight w:val="0"/>
          <w:marTop w:val="0"/>
          <w:marBottom w:val="0"/>
          <w:divBdr>
            <w:top w:val="none" w:sz="0" w:space="0" w:color="auto"/>
            <w:left w:val="none" w:sz="0" w:space="0" w:color="auto"/>
            <w:bottom w:val="none" w:sz="0" w:space="0" w:color="auto"/>
            <w:right w:val="none" w:sz="0" w:space="0" w:color="auto"/>
          </w:divBdr>
          <w:divsChild>
            <w:div w:id="819806098">
              <w:marLeft w:val="0"/>
              <w:marRight w:val="0"/>
              <w:marTop w:val="0"/>
              <w:marBottom w:val="0"/>
              <w:divBdr>
                <w:top w:val="none" w:sz="0" w:space="0" w:color="auto"/>
                <w:left w:val="none" w:sz="0" w:space="0" w:color="auto"/>
                <w:bottom w:val="none" w:sz="0" w:space="0" w:color="auto"/>
                <w:right w:val="none" w:sz="0" w:space="0" w:color="auto"/>
              </w:divBdr>
            </w:div>
          </w:divsChild>
        </w:div>
        <w:div w:id="40979873">
          <w:marLeft w:val="0"/>
          <w:marRight w:val="0"/>
          <w:marTop w:val="0"/>
          <w:marBottom w:val="0"/>
          <w:divBdr>
            <w:top w:val="none" w:sz="0" w:space="0" w:color="auto"/>
            <w:left w:val="none" w:sz="0" w:space="0" w:color="auto"/>
            <w:bottom w:val="none" w:sz="0" w:space="0" w:color="auto"/>
            <w:right w:val="none" w:sz="0" w:space="0" w:color="auto"/>
          </w:divBdr>
          <w:divsChild>
            <w:div w:id="1415202047">
              <w:marLeft w:val="0"/>
              <w:marRight w:val="0"/>
              <w:marTop w:val="0"/>
              <w:marBottom w:val="0"/>
              <w:divBdr>
                <w:top w:val="none" w:sz="0" w:space="0" w:color="auto"/>
                <w:left w:val="none" w:sz="0" w:space="0" w:color="auto"/>
                <w:bottom w:val="none" w:sz="0" w:space="0" w:color="auto"/>
                <w:right w:val="none" w:sz="0" w:space="0" w:color="auto"/>
              </w:divBdr>
            </w:div>
          </w:divsChild>
        </w:div>
        <w:div w:id="1263953113">
          <w:marLeft w:val="0"/>
          <w:marRight w:val="0"/>
          <w:marTop w:val="0"/>
          <w:marBottom w:val="0"/>
          <w:divBdr>
            <w:top w:val="none" w:sz="0" w:space="0" w:color="auto"/>
            <w:left w:val="none" w:sz="0" w:space="0" w:color="auto"/>
            <w:bottom w:val="none" w:sz="0" w:space="0" w:color="auto"/>
            <w:right w:val="none" w:sz="0" w:space="0" w:color="auto"/>
          </w:divBdr>
          <w:divsChild>
            <w:div w:id="953092662">
              <w:marLeft w:val="0"/>
              <w:marRight w:val="0"/>
              <w:marTop w:val="0"/>
              <w:marBottom w:val="0"/>
              <w:divBdr>
                <w:top w:val="none" w:sz="0" w:space="0" w:color="auto"/>
                <w:left w:val="none" w:sz="0" w:space="0" w:color="auto"/>
                <w:bottom w:val="none" w:sz="0" w:space="0" w:color="auto"/>
                <w:right w:val="none" w:sz="0" w:space="0" w:color="auto"/>
              </w:divBdr>
            </w:div>
          </w:divsChild>
        </w:div>
        <w:div w:id="443766436">
          <w:marLeft w:val="0"/>
          <w:marRight w:val="0"/>
          <w:marTop w:val="0"/>
          <w:marBottom w:val="0"/>
          <w:divBdr>
            <w:top w:val="none" w:sz="0" w:space="0" w:color="auto"/>
            <w:left w:val="none" w:sz="0" w:space="0" w:color="auto"/>
            <w:bottom w:val="none" w:sz="0" w:space="0" w:color="auto"/>
            <w:right w:val="none" w:sz="0" w:space="0" w:color="auto"/>
          </w:divBdr>
          <w:divsChild>
            <w:div w:id="109513869">
              <w:marLeft w:val="0"/>
              <w:marRight w:val="0"/>
              <w:marTop w:val="0"/>
              <w:marBottom w:val="0"/>
              <w:divBdr>
                <w:top w:val="none" w:sz="0" w:space="0" w:color="auto"/>
                <w:left w:val="none" w:sz="0" w:space="0" w:color="auto"/>
                <w:bottom w:val="none" w:sz="0" w:space="0" w:color="auto"/>
                <w:right w:val="none" w:sz="0" w:space="0" w:color="auto"/>
              </w:divBdr>
            </w:div>
          </w:divsChild>
        </w:div>
        <w:div w:id="2055421530">
          <w:marLeft w:val="0"/>
          <w:marRight w:val="0"/>
          <w:marTop w:val="300"/>
          <w:marBottom w:val="300"/>
          <w:divBdr>
            <w:top w:val="none" w:sz="0" w:space="0" w:color="auto"/>
            <w:left w:val="none" w:sz="0" w:space="0" w:color="auto"/>
            <w:bottom w:val="none" w:sz="0" w:space="0" w:color="auto"/>
            <w:right w:val="none" w:sz="0" w:space="0" w:color="auto"/>
          </w:divBdr>
        </w:div>
        <w:div w:id="1798645634">
          <w:marLeft w:val="0"/>
          <w:marRight w:val="0"/>
          <w:marTop w:val="0"/>
          <w:marBottom w:val="0"/>
          <w:divBdr>
            <w:top w:val="none" w:sz="0" w:space="0" w:color="auto"/>
            <w:left w:val="none" w:sz="0" w:space="0" w:color="auto"/>
            <w:bottom w:val="none" w:sz="0" w:space="0" w:color="auto"/>
            <w:right w:val="none" w:sz="0" w:space="0" w:color="auto"/>
          </w:divBdr>
          <w:divsChild>
            <w:div w:id="356781043">
              <w:marLeft w:val="0"/>
              <w:marRight w:val="0"/>
              <w:marTop w:val="0"/>
              <w:marBottom w:val="0"/>
              <w:divBdr>
                <w:top w:val="none" w:sz="0" w:space="0" w:color="auto"/>
                <w:left w:val="none" w:sz="0" w:space="0" w:color="auto"/>
                <w:bottom w:val="none" w:sz="0" w:space="0" w:color="auto"/>
                <w:right w:val="none" w:sz="0" w:space="0" w:color="auto"/>
              </w:divBdr>
            </w:div>
          </w:divsChild>
        </w:div>
        <w:div w:id="1139298403">
          <w:marLeft w:val="0"/>
          <w:marRight w:val="0"/>
          <w:marTop w:val="0"/>
          <w:marBottom w:val="0"/>
          <w:divBdr>
            <w:top w:val="none" w:sz="0" w:space="0" w:color="auto"/>
            <w:left w:val="none" w:sz="0" w:space="0" w:color="auto"/>
            <w:bottom w:val="none" w:sz="0" w:space="0" w:color="auto"/>
            <w:right w:val="none" w:sz="0" w:space="0" w:color="auto"/>
          </w:divBdr>
          <w:divsChild>
            <w:div w:id="792791239">
              <w:marLeft w:val="0"/>
              <w:marRight w:val="0"/>
              <w:marTop w:val="0"/>
              <w:marBottom w:val="0"/>
              <w:divBdr>
                <w:top w:val="none" w:sz="0" w:space="0" w:color="auto"/>
                <w:left w:val="none" w:sz="0" w:space="0" w:color="auto"/>
                <w:bottom w:val="none" w:sz="0" w:space="0" w:color="auto"/>
                <w:right w:val="none" w:sz="0" w:space="0" w:color="auto"/>
              </w:divBdr>
            </w:div>
          </w:divsChild>
        </w:div>
        <w:div w:id="99033041">
          <w:marLeft w:val="0"/>
          <w:marRight w:val="0"/>
          <w:marTop w:val="0"/>
          <w:marBottom w:val="0"/>
          <w:divBdr>
            <w:top w:val="none" w:sz="0" w:space="0" w:color="auto"/>
            <w:left w:val="none" w:sz="0" w:space="0" w:color="auto"/>
            <w:bottom w:val="none" w:sz="0" w:space="0" w:color="auto"/>
            <w:right w:val="none" w:sz="0" w:space="0" w:color="auto"/>
          </w:divBdr>
          <w:divsChild>
            <w:div w:id="360545866">
              <w:marLeft w:val="0"/>
              <w:marRight w:val="0"/>
              <w:marTop w:val="0"/>
              <w:marBottom w:val="0"/>
              <w:divBdr>
                <w:top w:val="none" w:sz="0" w:space="0" w:color="auto"/>
                <w:left w:val="none" w:sz="0" w:space="0" w:color="auto"/>
                <w:bottom w:val="none" w:sz="0" w:space="0" w:color="auto"/>
                <w:right w:val="none" w:sz="0" w:space="0" w:color="auto"/>
              </w:divBdr>
            </w:div>
          </w:divsChild>
        </w:div>
        <w:div w:id="886376471">
          <w:marLeft w:val="0"/>
          <w:marRight w:val="0"/>
          <w:marTop w:val="0"/>
          <w:marBottom w:val="0"/>
          <w:divBdr>
            <w:top w:val="none" w:sz="0" w:space="0" w:color="auto"/>
            <w:left w:val="none" w:sz="0" w:space="0" w:color="auto"/>
            <w:bottom w:val="none" w:sz="0" w:space="0" w:color="auto"/>
            <w:right w:val="none" w:sz="0" w:space="0" w:color="auto"/>
          </w:divBdr>
          <w:divsChild>
            <w:div w:id="947082444">
              <w:marLeft w:val="0"/>
              <w:marRight w:val="0"/>
              <w:marTop w:val="0"/>
              <w:marBottom w:val="0"/>
              <w:divBdr>
                <w:top w:val="none" w:sz="0" w:space="0" w:color="auto"/>
                <w:left w:val="none" w:sz="0" w:space="0" w:color="auto"/>
                <w:bottom w:val="none" w:sz="0" w:space="0" w:color="auto"/>
                <w:right w:val="none" w:sz="0" w:space="0" w:color="auto"/>
              </w:divBdr>
            </w:div>
          </w:divsChild>
        </w:div>
        <w:div w:id="488710199">
          <w:marLeft w:val="0"/>
          <w:marRight w:val="0"/>
          <w:marTop w:val="0"/>
          <w:marBottom w:val="0"/>
          <w:divBdr>
            <w:top w:val="none" w:sz="0" w:space="0" w:color="auto"/>
            <w:left w:val="none" w:sz="0" w:space="0" w:color="auto"/>
            <w:bottom w:val="none" w:sz="0" w:space="0" w:color="auto"/>
            <w:right w:val="none" w:sz="0" w:space="0" w:color="auto"/>
          </w:divBdr>
          <w:divsChild>
            <w:div w:id="1627269624">
              <w:marLeft w:val="0"/>
              <w:marRight w:val="0"/>
              <w:marTop w:val="0"/>
              <w:marBottom w:val="0"/>
              <w:divBdr>
                <w:top w:val="none" w:sz="0" w:space="0" w:color="auto"/>
                <w:left w:val="none" w:sz="0" w:space="0" w:color="auto"/>
                <w:bottom w:val="none" w:sz="0" w:space="0" w:color="auto"/>
                <w:right w:val="none" w:sz="0" w:space="0" w:color="auto"/>
              </w:divBdr>
            </w:div>
          </w:divsChild>
        </w:div>
        <w:div w:id="1278291590">
          <w:marLeft w:val="0"/>
          <w:marRight w:val="0"/>
          <w:marTop w:val="0"/>
          <w:marBottom w:val="0"/>
          <w:divBdr>
            <w:top w:val="none" w:sz="0" w:space="0" w:color="auto"/>
            <w:left w:val="none" w:sz="0" w:space="0" w:color="auto"/>
            <w:bottom w:val="none" w:sz="0" w:space="0" w:color="auto"/>
            <w:right w:val="none" w:sz="0" w:space="0" w:color="auto"/>
          </w:divBdr>
          <w:divsChild>
            <w:div w:id="1577781250">
              <w:marLeft w:val="0"/>
              <w:marRight w:val="0"/>
              <w:marTop w:val="0"/>
              <w:marBottom w:val="0"/>
              <w:divBdr>
                <w:top w:val="none" w:sz="0" w:space="0" w:color="auto"/>
                <w:left w:val="none" w:sz="0" w:space="0" w:color="auto"/>
                <w:bottom w:val="none" w:sz="0" w:space="0" w:color="auto"/>
                <w:right w:val="none" w:sz="0" w:space="0" w:color="auto"/>
              </w:divBdr>
            </w:div>
          </w:divsChild>
        </w:div>
        <w:div w:id="1783768276">
          <w:marLeft w:val="0"/>
          <w:marRight w:val="0"/>
          <w:marTop w:val="0"/>
          <w:marBottom w:val="0"/>
          <w:divBdr>
            <w:top w:val="none" w:sz="0" w:space="0" w:color="auto"/>
            <w:left w:val="none" w:sz="0" w:space="0" w:color="auto"/>
            <w:bottom w:val="none" w:sz="0" w:space="0" w:color="auto"/>
            <w:right w:val="none" w:sz="0" w:space="0" w:color="auto"/>
          </w:divBdr>
          <w:divsChild>
            <w:div w:id="1884711022">
              <w:marLeft w:val="0"/>
              <w:marRight w:val="0"/>
              <w:marTop w:val="0"/>
              <w:marBottom w:val="0"/>
              <w:divBdr>
                <w:top w:val="none" w:sz="0" w:space="0" w:color="auto"/>
                <w:left w:val="none" w:sz="0" w:space="0" w:color="auto"/>
                <w:bottom w:val="none" w:sz="0" w:space="0" w:color="auto"/>
                <w:right w:val="none" w:sz="0" w:space="0" w:color="auto"/>
              </w:divBdr>
            </w:div>
          </w:divsChild>
        </w:div>
        <w:div w:id="1990668712">
          <w:marLeft w:val="0"/>
          <w:marRight w:val="0"/>
          <w:marTop w:val="300"/>
          <w:marBottom w:val="300"/>
          <w:divBdr>
            <w:top w:val="none" w:sz="0" w:space="0" w:color="auto"/>
            <w:left w:val="none" w:sz="0" w:space="0" w:color="auto"/>
            <w:bottom w:val="none" w:sz="0" w:space="0" w:color="auto"/>
            <w:right w:val="none" w:sz="0" w:space="0" w:color="auto"/>
          </w:divBdr>
        </w:div>
        <w:div w:id="2038310611">
          <w:marLeft w:val="0"/>
          <w:marRight w:val="0"/>
          <w:marTop w:val="0"/>
          <w:marBottom w:val="0"/>
          <w:divBdr>
            <w:top w:val="none" w:sz="0" w:space="0" w:color="auto"/>
            <w:left w:val="none" w:sz="0" w:space="0" w:color="auto"/>
            <w:bottom w:val="none" w:sz="0" w:space="0" w:color="auto"/>
            <w:right w:val="none" w:sz="0" w:space="0" w:color="auto"/>
          </w:divBdr>
          <w:divsChild>
            <w:div w:id="36590888">
              <w:marLeft w:val="0"/>
              <w:marRight w:val="0"/>
              <w:marTop w:val="0"/>
              <w:marBottom w:val="0"/>
              <w:divBdr>
                <w:top w:val="none" w:sz="0" w:space="0" w:color="auto"/>
                <w:left w:val="none" w:sz="0" w:space="0" w:color="auto"/>
                <w:bottom w:val="none" w:sz="0" w:space="0" w:color="auto"/>
                <w:right w:val="none" w:sz="0" w:space="0" w:color="auto"/>
              </w:divBdr>
            </w:div>
          </w:divsChild>
        </w:div>
        <w:div w:id="1543862036">
          <w:marLeft w:val="0"/>
          <w:marRight w:val="0"/>
          <w:marTop w:val="0"/>
          <w:marBottom w:val="0"/>
          <w:divBdr>
            <w:top w:val="none" w:sz="0" w:space="0" w:color="auto"/>
            <w:left w:val="none" w:sz="0" w:space="0" w:color="auto"/>
            <w:bottom w:val="none" w:sz="0" w:space="0" w:color="auto"/>
            <w:right w:val="none" w:sz="0" w:space="0" w:color="auto"/>
          </w:divBdr>
          <w:divsChild>
            <w:div w:id="207034285">
              <w:marLeft w:val="0"/>
              <w:marRight w:val="0"/>
              <w:marTop w:val="0"/>
              <w:marBottom w:val="0"/>
              <w:divBdr>
                <w:top w:val="none" w:sz="0" w:space="0" w:color="auto"/>
                <w:left w:val="none" w:sz="0" w:space="0" w:color="auto"/>
                <w:bottom w:val="none" w:sz="0" w:space="0" w:color="auto"/>
                <w:right w:val="none" w:sz="0" w:space="0" w:color="auto"/>
              </w:divBdr>
            </w:div>
          </w:divsChild>
        </w:div>
        <w:div w:id="1690524028">
          <w:marLeft w:val="0"/>
          <w:marRight w:val="0"/>
          <w:marTop w:val="0"/>
          <w:marBottom w:val="0"/>
          <w:divBdr>
            <w:top w:val="none" w:sz="0" w:space="0" w:color="auto"/>
            <w:left w:val="none" w:sz="0" w:space="0" w:color="auto"/>
            <w:bottom w:val="none" w:sz="0" w:space="0" w:color="auto"/>
            <w:right w:val="none" w:sz="0" w:space="0" w:color="auto"/>
          </w:divBdr>
          <w:divsChild>
            <w:div w:id="1863474629">
              <w:marLeft w:val="0"/>
              <w:marRight w:val="0"/>
              <w:marTop w:val="0"/>
              <w:marBottom w:val="0"/>
              <w:divBdr>
                <w:top w:val="none" w:sz="0" w:space="0" w:color="auto"/>
                <w:left w:val="none" w:sz="0" w:space="0" w:color="auto"/>
                <w:bottom w:val="none" w:sz="0" w:space="0" w:color="auto"/>
                <w:right w:val="none" w:sz="0" w:space="0" w:color="auto"/>
              </w:divBdr>
            </w:div>
          </w:divsChild>
        </w:div>
        <w:div w:id="1185486278">
          <w:marLeft w:val="0"/>
          <w:marRight w:val="0"/>
          <w:marTop w:val="0"/>
          <w:marBottom w:val="0"/>
          <w:divBdr>
            <w:top w:val="none" w:sz="0" w:space="0" w:color="auto"/>
            <w:left w:val="none" w:sz="0" w:space="0" w:color="auto"/>
            <w:bottom w:val="none" w:sz="0" w:space="0" w:color="auto"/>
            <w:right w:val="none" w:sz="0" w:space="0" w:color="auto"/>
          </w:divBdr>
          <w:divsChild>
            <w:div w:id="274530556">
              <w:marLeft w:val="0"/>
              <w:marRight w:val="0"/>
              <w:marTop w:val="0"/>
              <w:marBottom w:val="0"/>
              <w:divBdr>
                <w:top w:val="none" w:sz="0" w:space="0" w:color="auto"/>
                <w:left w:val="none" w:sz="0" w:space="0" w:color="auto"/>
                <w:bottom w:val="none" w:sz="0" w:space="0" w:color="auto"/>
                <w:right w:val="none" w:sz="0" w:space="0" w:color="auto"/>
              </w:divBdr>
            </w:div>
          </w:divsChild>
        </w:div>
        <w:div w:id="1766222834">
          <w:marLeft w:val="0"/>
          <w:marRight w:val="0"/>
          <w:marTop w:val="0"/>
          <w:marBottom w:val="0"/>
          <w:divBdr>
            <w:top w:val="none" w:sz="0" w:space="0" w:color="auto"/>
            <w:left w:val="none" w:sz="0" w:space="0" w:color="auto"/>
            <w:bottom w:val="none" w:sz="0" w:space="0" w:color="auto"/>
            <w:right w:val="none" w:sz="0" w:space="0" w:color="auto"/>
          </w:divBdr>
          <w:divsChild>
            <w:div w:id="1701280856">
              <w:marLeft w:val="0"/>
              <w:marRight w:val="0"/>
              <w:marTop w:val="0"/>
              <w:marBottom w:val="0"/>
              <w:divBdr>
                <w:top w:val="none" w:sz="0" w:space="0" w:color="auto"/>
                <w:left w:val="none" w:sz="0" w:space="0" w:color="auto"/>
                <w:bottom w:val="none" w:sz="0" w:space="0" w:color="auto"/>
                <w:right w:val="none" w:sz="0" w:space="0" w:color="auto"/>
              </w:divBdr>
            </w:div>
          </w:divsChild>
        </w:div>
        <w:div w:id="2006083458">
          <w:marLeft w:val="0"/>
          <w:marRight w:val="0"/>
          <w:marTop w:val="0"/>
          <w:marBottom w:val="0"/>
          <w:divBdr>
            <w:top w:val="none" w:sz="0" w:space="0" w:color="auto"/>
            <w:left w:val="none" w:sz="0" w:space="0" w:color="auto"/>
            <w:bottom w:val="none" w:sz="0" w:space="0" w:color="auto"/>
            <w:right w:val="none" w:sz="0" w:space="0" w:color="auto"/>
          </w:divBdr>
          <w:divsChild>
            <w:div w:id="1246301685">
              <w:marLeft w:val="0"/>
              <w:marRight w:val="0"/>
              <w:marTop w:val="0"/>
              <w:marBottom w:val="0"/>
              <w:divBdr>
                <w:top w:val="none" w:sz="0" w:space="0" w:color="auto"/>
                <w:left w:val="none" w:sz="0" w:space="0" w:color="auto"/>
                <w:bottom w:val="none" w:sz="0" w:space="0" w:color="auto"/>
                <w:right w:val="none" w:sz="0" w:space="0" w:color="auto"/>
              </w:divBdr>
            </w:div>
          </w:divsChild>
        </w:div>
        <w:div w:id="621230678">
          <w:marLeft w:val="0"/>
          <w:marRight w:val="0"/>
          <w:marTop w:val="0"/>
          <w:marBottom w:val="0"/>
          <w:divBdr>
            <w:top w:val="none" w:sz="0" w:space="0" w:color="auto"/>
            <w:left w:val="none" w:sz="0" w:space="0" w:color="auto"/>
            <w:bottom w:val="none" w:sz="0" w:space="0" w:color="auto"/>
            <w:right w:val="none" w:sz="0" w:space="0" w:color="auto"/>
          </w:divBdr>
          <w:divsChild>
            <w:div w:id="229973425">
              <w:marLeft w:val="0"/>
              <w:marRight w:val="0"/>
              <w:marTop w:val="0"/>
              <w:marBottom w:val="0"/>
              <w:divBdr>
                <w:top w:val="none" w:sz="0" w:space="0" w:color="auto"/>
                <w:left w:val="none" w:sz="0" w:space="0" w:color="auto"/>
                <w:bottom w:val="none" w:sz="0" w:space="0" w:color="auto"/>
                <w:right w:val="none" w:sz="0" w:space="0" w:color="auto"/>
              </w:divBdr>
            </w:div>
          </w:divsChild>
        </w:div>
        <w:div w:id="1286160648">
          <w:marLeft w:val="0"/>
          <w:marRight w:val="0"/>
          <w:marTop w:val="0"/>
          <w:marBottom w:val="0"/>
          <w:divBdr>
            <w:top w:val="none" w:sz="0" w:space="0" w:color="auto"/>
            <w:left w:val="none" w:sz="0" w:space="0" w:color="auto"/>
            <w:bottom w:val="none" w:sz="0" w:space="0" w:color="auto"/>
            <w:right w:val="none" w:sz="0" w:space="0" w:color="auto"/>
          </w:divBdr>
          <w:divsChild>
            <w:div w:id="32928157">
              <w:marLeft w:val="0"/>
              <w:marRight w:val="0"/>
              <w:marTop w:val="0"/>
              <w:marBottom w:val="0"/>
              <w:divBdr>
                <w:top w:val="none" w:sz="0" w:space="0" w:color="auto"/>
                <w:left w:val="none" w:sz="0" w:space="0" w:color="auto"/>
                <w:bottom w:val="none" w:sz="0" w:space="0" w:color="auto"/>
                <w:right w:val="none" w:sz="0" w:space="0" w:color="auto"/>
              </w:divBdr>
            </w:div>
          </w:divsChild>
        </w:div>
        <w:div w:id="1946427714">
          <w:marLeft w:val="0"/>
          <w:marRight w:val="0"/>
          <w:marTop w:val="300"/>
          <w:marBottom w:val="300"/>
          <w:divBdr>
            <w:top w:val="none" w:sz="0" w:space="0" w:color="auto"/>
            <w:left w:val="none" w:sz="0" w:space="0" w:color="auto"/>
            <w:bottom w:val="none" w:sz="0" w:space="0" w:color="auto"/>
            <w:right w:val="none" w:sz="0" w:space="0" w:color="auto"/>
          </w:divBdr>
        </w:div>
        <w:div w:id="1812676506">
          <w:marLeft w:val="0"/>
          <w:marRight w:val="0"/>
          <w:marTop w:val="0"/>
          <w:marBottom w:val="0"/>
          <w:divBdr>
            <w:top w:val="none" w:sz="0" w:space="0" w:color="auto"/>
            <w:left w:val="none" w:sz="0" w:space="0" w:color="auto"/>
            <w:bottom w:val="none" w:sz="0" w:space="0" w:color="auto"/>
            <w:right w:val="none" w:sz="0" w:space="0" w:color="auto"/>
          </w:divBdr>
          <w:divsChild>
            <w:div w:id="17969962">
              <w:marLeft w:val="0"/>
              <w:marRight w:val="0"/>
              <w:marTop w:val="0"/>
              <w:marBottom w:val="0"/>
              <w:divBdr>
                <w:top w:val="none" w:sz="0" w:space="0" w:color="auto"/>
                <w:left w:val="none" w:sz="0" w:space="0" w:color="auto"/>
                <w:bottom w:val="none" w:sz="0" w:space="0" w:color="auto"/>
                <w:right w:val="none" w:sz="0" w:space="0" w:color="auto"/>
              </w:divBdr>
            </w:div>
          </w:divsChild>
        </w:div>
        <w:div w:id="1672488141">
          <w:marLeft w:val="0"/>
          <w:marRight w:val="0"/>
          <w:marTop w:val="0"/>
          <w:marBottom w:val="0"/>
          <w:divBdr>
            <w:top w:val="none" w:sz="0" w:space="0" w:color="auto"/>
            <w:left w:val="none" w:sz="0" w:space="0" w:color="auto"/>
            <w:bottom w:val="none" w:sz="0" w:space="0" w:color="auto"/>
            <w:right w:val="none" w:sz="0" w:space="0" w:color="auto"/>
          </w:divBdr>
          <w:divsChild>
            <w:div w:id="67654167">
              <w:marLeft w:val="0"/>
              <w:marRight w:val="0"/>
              <w:marTop w:val="0"/>
              <w:marBottom w:val="0"/>
              <w:divBdr>
                <w:top w:val="none" w:sz="0" w:space="0" w:color="auto"/>
                <w:left w:val="none" w:sz="0" w:space="0" w:color="auto"/>
                <w:bottom w:val="none" w:sz="0" w:space="0" w:color="auto"/>
                <w:right w:val="none" w:sz="0" w:space="0" w:color="auto"/>
              </w:divBdr>
            </w:div>
          </w:divsChild>
        </w:div>
        <w:div w:id="576401831">
          <w:marLeft w:val="0"/>
          <w:marRight w:val="0"/>
          <w:marTop w:val="0"/>
          <w:marBottom w:val="0"/>
          <w:divBdr>
            <w:top w:val="none" w:sz="0" w:space="0" w:color="auto"/>
            <w:left w:val="none" w:sz="0" w:space="0" w:color="auto"/>
            <w:bottom w:val="none" w:sz="0" w:space="0" w:color="auto"/>
            <w:right w:val="none" w:sz="0" w:space="0" w:color="auto"/>
          </w:divBdr>
          <w:divsChild>
            <w:div w:id="1445612417">
              <w:marLeft w:val="0"/>
              <w:marRight w:val="0"/>
              <w:marTop w:val="0"/>
              <w:marBottom w:val="0"/>
              <w:divBdr>
                <w:top w:val="none" w:sz="0" w:space="0" w:color="auto"/>
                <w:left w:val="none" w:sz="0" w:space="0" w:color="auto"/>
                <w:bottom w:val="none" w:sz="0" w:space="0" w:color="auto"/>
                <w:right w:val="none" w:sz="0" w:space="0" w:color="auto"/>
              </w:divBdr>
            </w:div>
          </w:divsChild>
        </w:div>
        <w:div w:id="1787699217">
          <w:marLeft w:val="0"/>
          <w:marRight w:val="0"/>
          <w:marTop w:val="0"/>
          <w:marBottom w:val="0"/>
          <w:divBdr>
            <w:top w:val="none" w:sz="0" w:space="0" w:color="auto"/>
            <w:left w:val="none" w:sz="0" w:space="0" w:color="auto"/>
            <w:bottom w:val="none" w:sz="0" w:space="0" w:color="auto"/>
            <w:right w:val="none" w:sz="0" w:space="0" w:color="auto"/>
          </w:divBdr>
          <w:divsChild>
            <w:div w:id="1721442192">
              <w:marLeft w:val="0"/>
              <w:marRight w:val="0"/>
              <w:marTop w:val="0"/>
              <w:marBottom w:val="0"/>
              <w:divBdr>
                <w:top w:val="none" w:sz="0" w:space="0" w:color="auto"/>
                <w:left w:val="none" w:sz="0" w:space="0" w:color="auto"/>
                <w:bottom w:val="none" w:sz="0" w:space="0" w:color="auto"/>
                <w:right w:val="none" w:sz="0" w:space="0" w:color="auto"/>
              </w:divBdr>
            </w:div>
          </w:divsChild>
        </w:div>
        <w:div w:id="1576278892">
          <w:marLeft w:val="0"/>
          <w:marRight w:val="0"/>
          <w:marTop w:val="0"/>
          <w:marBottom w:val="0"/>
          <w:divBdr>
            <w:top w:val="none" w:sz="0" w:space="0" w:color="auto"/>
            <w:left w:val="none" w:sz="0" w:space="0" w:color="auto"/>
            <w:bottom w:val="none" w:sz="0" w:space="0" w:color="auto"/>
            <w:right w:val="none" w:sz="0" w:space="0" w:color="auto"/>
          </w:divBdr>
          <w:divsChild>
            <w:div w:id="1165165968">
              <w:marLeft w:val="0"/>
              <w:marRight w:val="0"/>
              <w:marTop w:val="0"/>
              <w:marBottom w:val="0"/>
              <w:divBdr>
                <w:top w:val="none" w:sz="0" w:space="0" w:color="auto"/>
                <w:left w:val="none" w:sz="0" w:space="0" w:color="auto"/>
                <w:bottom w:val="none" w:sz="0" w:space="0" w:color="auto"/>
                <w:right w:val="none" w:sz="0" w:space="0" w:color="auto"/>
              </w:divBdr>
            </w:div>
          </w:divsChild>
        </w:div>
        <w:div w:id="513230538">
          <w:marLeft w:val="0"/>
          <w:marRight w:val="0"/>
          <w:marTop w:val="0"/>
          <w:marBottom w:val="0"/>
          <w:divBdr>
            <w:top w:val="none" w:sz="0" w:space="0" w:color="auto"/>
            <w:left w:val="none" w:sz="0" w:space="0" w:color="auto"/>
            <w:bottom w:val="none" w:sz="0" w:space="0" w:color="auto"/>
            <w:right w:val="none" w:sz="0" w:space="0" w:color="auto"/>
          </w:divBdr>
          <w:divsChild>
            <w:div w:id="46533336">
              <w:marLeft w:val="0"/>
              <w:marRight w:val="0"/>
              <w:marTop w:val="0"/>
              <w:marBottom w:val="0"/>
              <w:divBdr>
                <w:top w:val="none" w:sz="0" w:space="0" w:color="auto"/>
                <w:left w:val="none" w:sz="0" w:space="0" w:color="auto"/>
                <w:bottom w:val="none" w:sz="0" w:space="0" w:color="auto"/>
                <w:right w:val="none" w:sz="0" w:space="0" w:color="auto"/>
              </w:divBdr>
            </w:div>
          </w:divsChild>
        </w:div>
        <w:div w:id="898054247">
          <w:marLeft w:val="0"/>
          <w:marRight w:val="0"/>
          <w:marTop w:val="0"/>
          <w:marBottom w:val="0"/>
          <w:divBdr>
            <w:top w:val="none" w:sz="0" w:space="0" w:color="auto"/>
            <w:left w:val="none" w:sz="0" w:space="0" w:color="auto"/>
            <w:bottom w:val="none" w:sz="0" w:space="0" w:color="auto"/>
            <w:right w:val="none" w:sz="0" w:space="0" w:color="auto"/>
          </w:divBdr>
          <w:divsChild>
            <w:div w:id="1419445410">
              <w:marLeft w:val="0"/>
              <w:marRight w:val="0"/>
              <w:marTop w:val="0"/>
              <w:marBottom w:val="0"/>
              <w:divBdr>
                <w:top w:val="none" w:sz="0" w:space="0" w:color="auto"/>
                <w:left w:val="none" w:sz="0" w:space="0" w:color="auto"/>
                <w:bottom w:val="none" w:sz="0" w:space="0" w:color="auto"/>
                <w:right w:val="none" w:sz="0" w:space="0" w:color="auto"/>
              </w:divBdr>
            </w:div>
          </w:divsChild>
        </w:div>
        <w:div w:id="186912296">
          <w:marLeft w:val="0"/>
          <w:marRight w:val="0"/>
          <w:marTop w:val="0"/>
          <w:marBottom w:val="0"/>
          <w:divBdr>
            <w:top w:val="none" w:sz="0" w:space="0" w:color="auto"/>
            <w:left w:val="none" w:sz="0" w:space="0" w:color="auto"/>
            <w:bottom w:val="none" w:sz="0" w:space="0" w:color="auto"/>
            <w:right w:val="none" w:sz="0" w:space="0" w:color="auto"/>
          </w:divBdr>
          <w:divsChild>
            <w:div w:id="1435436806">
              <w:marLeft w:val="0"/>
              <w:marRight w:val="0"/>
              <w:marTop w:val="0"/>
              <w:marBottom w:val="0"/>
              <w:divBdr>
                <w:top w:val="none" w:sz="0" w:space="0" w:color="auto"/>
                <w:left w:val="none" w:sz="0" w:space="0" w:color="auto"/>
                <w:bottom w:val="none" w:sz="0" w:space="0" w:color="auto"/>
                <w:right w:val="none" w:sz="0" w:space="0" w:color="auto"/>
              </w:divBdr>
            </w:div>
          </w:divsChild>
        </w:div>
        <w:div w:id="451168412">
          <w:marLeft w:val="0"/>
          <w:marRight w:val="0"/>
          <w:marTop w:val="0"/>
          <w:marBottom w:val="0"/>
          <w:divBdr>
            <w:top w:val="none" w:sz="0" w:space="0" w:color="auto"/>
            <w:left w:val="none" w:sz="0" w:space="0" w:color="auto"/>
            <w:bottom w:val="none" w:sz="0" w:space="0" w:color="auto"/>
            <w:right w:val="none" w:sz="0" w:space="0" w:color="auto"/>
          </w:divBdr>
          <w:divsChild>
            <w:div w:id="469716811">
              <w:marLeft w:val="0"/>
              <w:marRight w:val="0"/>
              <w:marTop w:val="0"/>
              <w:marBottom w:val="0"/>
              <w:divBdr>
                <w:top w:val="none" w:sz="0" w:space="0" w:color="auto"/>
                <w:left w:val="none" w:sz="0" w:space="0" w:color="auto"/>
                <w:bottom w:val="none" w:sz="0" w:space="0" w:color="auto"/>
                <w:right w:val="none" w:sz="0" w:space="0" w:color="auto"/>
              </w:divBdr>
            </w:div>
          </w:divsChild>
        </w:div>
        <w:div w:id="719521540">
          <w:marLeft w:val="0"/>
          <w:marRight w:val="0"/>
          <w:marTop w:val="300"/>
          <w:marBottom w:val="300"/>
          <w:divBdr>
            <w:top w:val="none" w:sz="0" w:space="0" w:color="auto"/>
            <w:left w:val="none" w:sz="0" w:space="0" w:color="auto"/>
            <w:bottom w:val="none" w:sz="0" w:space="0" w:color="auto"/>
            <w:right w:val="none" w:sz="0" w:space="0" w:color="auto"/>
          </w:divBdr>
        </w:div>
        <w:div w:id="1955821694">
          <w:marLeft w:val="0"/>
          <w:marRight w:val="0"/>
          <w:marTop w:val="0"/>
          <w:marBottom w:val="0"/>
          <w:divBdr>
            <w:top w:val="none" w:sz="0" w:space="0" w:color="auto"/>
            <w:left w:val="none" w:sz="0" w:space="0" w:color="auto"/>
            <w:bottom w:val="none" w:sz="0" w:space="0" w:color="auto"/>
            <w:right w:val="none" w:sz="0" w:space="0" w:color="auto"/>
          </w:divBdr>
          <w:divsChild>
            <w:div w:id="872570122">
              <w:marLeft w:val="0"/>
              <w:marRight w:val="0"/>
              <w:marTop w:val="0"/>
              <w:marBottom w:val="0"/>
              <w:divBdr>
                <w:top w:val="none" w:sz="0" w:space="0" w:color="auto"/>
                <w:left w:val="none" w:sz="0" w:space="0" w:color="auto"/>
                <w:bottom w:val="none" w:sz="0" w:space="0" w:color="auto"/>
                <w:right w:val="none" w:sz="0" w:space="0" w:color="auto"/>
              </w:divBdr>
            </w:div>
          </w:divsChild>
        </w:div>
        <w:div w:id="1308514875">
          <w:marLeft w:val="0"/>
          <w:marRight w:val="0"/>
          <w:marTop w:val="0"/>
          <w:marBottom w:val="0"/>
          <w:divBdr>
            <w:top w:val="none" w:sz="0" w:space="0" w:color="auto"/>
            <w:left w:val="none" w:sz="0" w:space="0" w:color="auto"/>
            <w:bottom w:val="none" w:sz="0" w:space="0" w:color="auto"/>
            <w:right w:val="none" w:sz="0" w:space="0" w:color="auto"/>
          </w:divBdr>
          <w:divsChild>
            <w:div w:id="933519399">
              <w:marLeft w:val="0"/>
              <w:marRight w:val="0"/>
              <w:marTop w:val="0"/>
              <w:marBottom w:val="0"/>
              <w:divBdr>
                <w:top w:val="none" w:sz="0" w:space="0" w:color="auto"/>
                <w:left w:val="none" w:sz="0" w:space="0" w:color="auto"/>
                <w:bottom w:val="none" w:sz="0" w:space="0" w:color="auto"/>
                <w:right w:val="none" w:sz="0" w:space="0" w:color="auto"/>
              </w:divBdr>
            </w:div>
          </w:divsChild>
        </w:div>
        <w:div w:id="737098866">
          <w:marLeft w:val="0"/>
          <w:marRight w:val="0"/>
          <w:marTop w:val="300"/>
          <w:marBottom w:val="300"/>
          <w:divBdr>
            <w:top w:val="none" w:sz="0" w:space="0" w:color="auto"/>
            <w:left w:val="none" w:sz="0" w:space="0" w:color="auto"/>
            <w:bottom w:val="none" w:sz="0" w:space="0" w:color="auto"/>
            <w:right w:val="none" w:sz="0" w:space="0" w:color="auto"/>
          </w:divBdr>
        </w:div>
        <w:div w:id="340931626">
          <w:marLeft w:val="0"/>
          <w:marRight w:val="0"/>
          <w:marTop w:val="0"/>
          <w:marBottom w:val="0"/>
          <w:divBdr>
            <w:top w:val="none" w:sz="0" w:space="0" w:color="auto"/>
            <w:left w:val="none" w:sz="0" w:space="0" w:color="auto"/>
            <w:bottom w:val="none" w:sz="0" w:space="0" w:color="auto"/>
            <w:right w:val="none" w:sz="0" w:space="0" w:color="auto"/>
          </w:divBdr>
          <w:divsChild>
            <w:div w:id="123816889">
              <w:marLeft w:val="0"/>
              <w:marRight w:val="0"/>
              <w:marTop w:val="0"/>
              <w:marBottom w:val="0"/>
              <w:divBdr>
                <w:top w:val="none" w:sz="0" w:space="0" w:color="auto"/>
                <w:left w:val="none" w:sz="0" w:space="0" w:color="auto"/>
                <w:bottom w:val="none" w:sz="0" w:space="0" w:color="auto"/>
                <w:right w:val="none" w:sz="0" w:space="0" w:color="auto"/>
              </w:divBdr>
            </w:div>
          </w:divsChild>
        </w:div>
        <w:div w:id="162820480">
          <w:marLeft w:val="0"/>
          <w:marRight w:val="0"/>
          <w:marTop w:val="0"/>
          <w:marBottom w:val="0"/>
          <w:divBdr>
            <w:top w:val="none" w:sz="0" w:space="0" w:color="auto"/>
            <w:left w:val="none" w:sz="0" w:space="0" w:color="auto"/>
            <w:bottom w:val="none" w:sz="0" w:space="0" w:color="auto"/>
            <w:right w:val="none" w:sz="0" w:space="0" w:color="auto"/>
          </w:divBdr>
          <w:divsChild>
            <w:div w:id="929850382">
              <w:marLeft w:val="0"/>
              <w:marRight w:val="0"/>
              <w:marTop w:val="0"/>
              <w:marBottom w:val="0"/>
              <w:divBdr>
                <w:top w:val="none" w:sz="0" w:space="0" w:color="auto"/>
                <w:left w:val="none" w:sz="0" w:space="0" w:color="auto"/>
                <w:bottom w:val="none" w:sz="0" w:space="0" w:color="auto"/>
                <w:right w:val="none" w:sz="0" w:space="0" w:color="auto"/>
              </w:divBdr>
            </w:div>
          </w:divsChild>
        </w:div>
        <w:div w:id="1829395827">
          <w:marLeft w:val="0"/>
          <w:marRight w:val="0"/>
          <w:marTop w:val="0"/>
          <w:marBottom w:val="0"/>
          <w:divBdr>
            <w:top w:val="none" w:sz="0" w:space="0" w:color="auto"/>
            <w:left w:val="none" w:sz="0" w:space="0" w:color="auto"/>
            <w:bottom w:val="none" w:sz="0" w:space="0" w:color="auto"/>
            <w:right w:val="none" w:sz="0" w:space="0" w:color="auto"/>
          </w:divBdr>
          <w:divsChild>
            <w:div w:id="1954822951">
              <w:marLeft w:val="0"/>
              <w:marRight w:val="0"/>
              <w:marTop w:val="0"/>
              <w:marBottom w:val="0"/>
              <w:divBdr>
                <w:top w:val="none" w:sz="0" w:space="0" w:color="auto"/>
                <w:left w:val="none" w:sz="0" w:space="0" w:color="auto"/>
                <w:bottom w:val="none" w:sz="0" w:space="0" w:color="auto"/>
                <w:right w:val="none" w:sz="0" w:space="0" w:color="auto"/>
              </w:divBdr>
            </w:div>
          </w:divsChild>
        </w:div>
        <w:div w:id="1998072242">
          <w:marLeft w:val="0"/>
          <w:marRight w:val="0"/>
          <w:marTop w:val="0"/>
          <w:marBottom w:val="0"/>
          <w:divBdr>
            <w:top w:val="none" w:sz="0" w:space="0" w:color="auto"/>
            <w:left w:val="none" w:sz="0" w:space="0" w:color="auto"/>
            <w:bottom w:val="none" w:sz="0" w:space="0" w:color="auto"/>
            <w:right w:val="none" w:sz="0" w:space="0" w:color="auto"/>
          </w:divBdr>
          <w:divsChild>
            <w:div w:id="679894603">
              <w:marLeft w:val="0"/>
              <w:marRight w:val="0"/>
              <w:marTop w:val="0"/>
              <w:marBottom w:val="0"/>
              <w:divBdr>
                <w:top w:val="none" w:sz="0" w:space="0" w:color="auto"/>
                <w:left w:val="none" w:sz="0" w:space="0" w:color="auto"/>
                <w:bottom w:val="none" w:sz="0" w:space="0" w:color="auto"/>
                <w:right w:val="none" w:sz="0" w:space="0" w:color="auto"/>
              </w:divBdr>
            </w:div>
          </w:divsChild>
        </w:div>
        <w:div w:id="742338584">
          <w:marLeft w:val="0"/>
          <w:marRight w:val="0"/>
          <w:marTop w:val="0"/>
          <w:marBottom w:val="0"/>
          <w:divBdr>
            <w:top w:val="none" w:sz="0" w:space="0" w:color="auto"/>
            <w:left w:val="none" w:sz="0" w:space="0" w:color="auto"/>
            <w:bottom w:val="none" w:sz="0" w:space="0" w:color="auto"/>
            <w:right w:val="none" w:sz="0" w:space="0" w:color="auto"/>
          </w:divBdr>
          <w:divsChild>
            <w:div w:id="394427619">
              <w:marLeft w:val="0"/>
              <w:marRight w:val="0"/>
              <w:marTop w:val="0"/>
              <w:marBottom w:val="0"/>
              <w:divBdr>
                <w:top w:val="none" w:sz="0" w:space="0" w:color="auto"/>
                <w:left w:val="none" w:sz="0" w:space="0" w:color="auto"/>
                <w:bottom w:val="none" w:sz="0" w:space="0" w:color="auto"/>
                <w:right w:val="none" w:sz="0" w:space="0" w:color="auto"/>
              </w:divBdr>
            </w:div>
          </w:divsChild>
        </w:div>
        <w:div w:id="655648749">
          <w:marLeft w:val="0"/>
          <w:marRight w:val="0"/>
          <w:marTop w:val="0"/>
          <w:marBottom w:val="0"/>
          <w:divBdr>
            <w:top w:val="none" w:sz="0" w:space="0" w:color="auto"/>
            <w:left w:val="none" w:sz="0" w:space="0" w:color="auto"/>
            <w:bottom w:val="none" w:sz="0" w:space="0" w:color="auto"/>
            <w:right w:val="none" w:sz="0" w:space="0" w:color="auto"/>
          </w:divBdr>
          <w:divsChild>
            <w:div w:id="790168824">
              <w:marLeft w:val="0"/>
              <w:marRight w:val="0"/>
              <w:marTop w:val="0"/>
              <w:marBottom w:val="0"/>
              <w:divBdr>
                <w:top w:val="none" w:sz="0" w:space="0" w:color="auto"/>
                <w:left w:val="none" w:sz="0" w:space="0" w:color="auto"/>
                <w:bottom w:val="none" w:sz="0" w:space="0" w:color="auto"/>
                <w:right w:val="none" w:sz="0" w:space="0" w:color="auto"/>
              </w:divBdr>
            </w:div>
          </w:divsChild>
        </w:div>
        <w:div w:id="1555314100">
          <w:marLeft w:val="0"/>
          <w:marRight w:val="0"/>
          <w:marTop w:val="0"/>
          <w:marBottom w:val="0"/>
          <w:divBdr>
            <w:top w:val="none" w:sz="0" w:space="0" w:color="auto"/>
            <w:left w:val="none" w:sz="0" w:space="0" w:color="auto"/>
            <w:bottom w:val="none" w:sz="0" w:space="0" w:color="auto"/>
            <w:right w:val="none" w:sz="0" w:space="0" w:color="auto"/>
          </w:divBdr>
          <w:divsChild>
            <w:div w:id="111753049">
              <w:marLeft w:val="0"/>
              <w:marRight w:val="0"/>
              <w:marTop w:val="0"/>
              <w:marBottom w:val="0"/>
              <w:divBdr>
                <w:top w:val="none" w:sz="0" w:space="0" w:color="auto"/>
                <w:left w:val="none" w:sz="0" w:space="0" w:color="auto"/>
                <w:bottom w:val="none" w:sz="0" w:space="0" w:color="auto"/>
                <w:right w:val="none" w:sz="0" w:space="0" w:color="auto"/>
              </w:divBdr>
            </w:div>
          </w:divsChild>
        </w:div>
        <w:div w:id="1588660042">
          <w:marLeft w:val="0"/>
          <w:marRight w:val="0"/>
          <w:marTop w:val="0"/>
          <w:marBottom w:val="0"/>
          <w:divBdr>
            <w:top w:val="none" w:sz="0" w:space="0" w:color="auto"/>
            <w:left w:val="none" w:sz="0" w:space="0" w:color="auto"/>
            <w:bottom w:val="none" w:sz="0" w:space="0" w:color="auto"/>
            <w:right w:val="none" w:sz="0" w:space="0" w:color="auto"/>
          </w:divBdr>
          <w:divsChild>
            <w:div w:id="1424883901">
              <w:marLeft w:val="0"/>
              <w:marRight w:val="0"/>
              <w:marTop w:val="0"/>
              <w:marBottom w:val="0"/>
              <w:divBdr>
                <w:top w:val="none" w:sz="0" w:space="0" w:color="auto"/>
                <w:left w:val="none" w:sz="0" w:space="0" w:color="auto"/>
                <w:bottom w:val="none" w:sz="0" w:space="0" w:color="auto"/>
                <w:right w:val="none" w:sz="0" w:space="0" w:color="auto"/>
              </w:divBdr>
            </w:div>
          </w:divsChild>
        </w:div>
        <w:div w:id="1300070356">
          <w:marLeft w:val="0"/>
          <w:marRight w:val="0"/>
          <w:marTop w:val="0"/>
          <w:marBottom w:val="0"/>
          <w:divBdr>
            <w:top w:val="none" w:sz="0" w:space="0" w:color="auto"/>
            <w:left w:val="none" w:sz="0" w:space="0" w:color="auto"/>
            <w:bottom w:val="none" w:sz="0" w:space="0" w:color="auto"/>
            <w:right w:val="none" w:sz="0" w:space="0" w:color="auto"/>
          </w:divBdr>
          <w:divsChild>
            <w:div w:id="580336723">
              <w:marLeft w:val="0"/>
              <w:marRight w:val="0"/>
              <w:marTop w:val="0"/>
              <w:marBottom w:val="0"/>
              <w:divBdr>
                <w:top w:val="none" w:sz="0" w:space="0" w:color="auto"/>
                <w:left w:val="none" w:sz="0" w:space="0" w:color="auto"/>
                <w:bottom w:val="none" w:sz="0" w:space="0" w:color="auto"/>
                <w:right w:val="none" w:sz="0" w:space="0" w:color="auto"/>
              </w:divBdr>
            </w:div>
          </w:divsChild>
        </w:div>
        <w:div w:id="364911030">
          <w:marLeft w:val="0"/>
          <w:marRight w:val="0"/>
          <w:marTop w:val="300"/>
          <w:marBottom w:val="300"/>
          <w:divBdr>
            <w:top w:val="none" w:sz="0" w:space="0" w:color="auto"/>
            <w:left w:val="none" w:sz="0" w:space="0" w:color="auto"/>
            <w:bottom w:val="none" w:sz="0" w:space="0" w:color="auto"/>
            <w:right w:val="none" w:sz="0" w:space="0" w:color="auto"/>
          </w:divBdr>
        </w:div>
        <w:div w:id="180124938">
          <w:marLeft w:val="0"/>
          <w:marRight w:val="0"/>
          <w:marTop w:val="0"/>
          <w:marBottom w:val="0"/>
          <w:divBdr>
            <w:top w:val="none" w:sz="0" w:space="0" w:color="auto"/>
            <w:left w:val="none" w:sz="0" w:space="0" w:color="auto"/>
            <w:bottom w:val="none" w:sz="0" w:space="0" w:color="auto"/>
            <w:right w:val="none" w:sz="0" w:space="0" w:color="auto"/>
          </w:divBdr>
          <w:divsChild>
            <w:div w:id="1565339101">
              <w:marLeft w:val="0"/>
              <w:marRight w:val="0"/>
              <w:marTop w:val="0"/>
              <w:marBottom w:val="0"/>
              <w:divBdr>
                <w:top w:val="none" w:sz="0" w:space="0" w:color="auto"/>
                <w:left w:val="none" w:sz="0" w:space="0" w:color="auto"/>
                <w:bottom w:val="none" w:sz="0" w:space="0" w:color="auto"/>
                <w:right w:val="none" w:sz="0" w:space="0" w:color="auto"/>
              </w:divBdr>
            </w:div>
          </w:divsChild>
        </w:div>
        <w:div w:id="2144272688">
          <w:marLeft w:val="0"/>
          <w:marRight w:val="0"/>
          <w:marTop w:val="0"/>
          <w:marBottom w:val="0"/>
          <w:divBdr>
            <w:top w:val="none" w:sz="0" w:space="0" w:color="auto"/>
            <w:left w:val="none" w:sz="0" w:space="0" w:color="auto"/>
            <w:bottom w:val="none" w:sz="0" w:space="0" w:color="auto"/>
            <w:right w:val="none" w:sz="0" w:space="0" w:color="auto"/>
          </w:divBdr>
          <w:divsChild>
            <w:div w:id="472873262">
              <w:marLeft w:val="0"/>
              <w:marRight w:val="0"/>
              <w:marTop w:val="0"/>
              <w:marBottom w:val="0"/>
              <w:divBdr>
                <w:top w:val="none" w:sz="0" w:space="0" w:color="auto"/>
                <w:left w:val="none" w:sz="0" w:space="0" w:color="auto"/>
                <w:bottom w:val="none" w:sz="0" w:space="0" w:color="auto"/>
                <w:right w:val="none" w:sz="0" w:space="0" w:color="auto"/>
              </w:divBdr>
            </w:div>
          </w:divsChild>
        </w:div>
        <w:div w:id="1768189789">
          <w:marLeft w:val="0"/>
          <w:marRight w:val="0"/>
          <w:marTop w:val="0"/>
          <w:marBottom w:val="0"/>
          <w:divBdr>
            <w:top w:val="none" w:sz="0" w:space="0" w:color="auto"/>
            <w:left w:val="none" w:sz="0" w:space="0" w:color="auto"/>
            <w:bottom w:val="none" w:sz="0" w:space="0" w:color="auto"/>
            <w:right w:val="none" w:sz="0" w:space="0" w:color="auto"/>
          </w:divBdr>
          <w:divsChild>
            <w:div w:id="269437973">
              <w:marLeft w:val="0"/>
              <w:marRight w:val="0"/>
              <w:marTop w:val="0"/>
              <w:marBottom w:val="0"/>
              <w:divBdr>
                <w:top w:val="none" w:sz="0" w:space="0" w:color="auto"/>
                <w:left w:val="none" w:sz="0" w:space="0" w:color="auto"/>
                <w:bottom w:val="none" w:sz="0" w:space="0" w:color="auto"/>
                <w:right w:val="none" w:sz="0" w:space="0" w:color="auto"/>
              </w:divBdr>
            </w:div>
          </w:divsChild>
        </w:div>
        <w:div w:id="221793816">
          <w:marLeft w:val="0"/>
          <w:marRight w:val="0"/>
          <w:marTop w:val="0"/>
          <w:marBottom w:val="0"/>
          <w:divBdr>
            <w:top w:val="none" w:sz="0" w:space="0" w:color="auto"/>
            <w:left w:val="none" w:sz="0" w:space="0" w:color="auto"/>
            <w:bottom w:val="none" w:sz="0" w:space="0" w:color="auto"/>
            <w:right w:val="none" w:sz="0" w:space="0" w:color="auto"/>
          </w:divBdr>
          <w:divsChild>
            <w:div w:id="1569724264">
              <w:marLeft w:val="0"/>
              <w:marRight w:val="0"/>
              <w:marTop w:val="0"/>
              <w:marBottom w:val="0"/>
              <w:divBdr>
                <w:top w:val="none" w:sz="0" w:space="0" w:color="auto"/>
                <w:left w:val="none" w:sz="0" w:space="0" w:color="auto"/>
                <w:bottom w:val="none" w:sz="0" w:space="0" w:color="auto"/>
                <w:right w:val="none" w:sz="0" w:space="0" w:color="auto"/>
              </w:divBdr>
            </w:div>
          </w:divsChild>
        </w:div>
        <w:div w:id="185295521">
          <w:marLeft w:val="0"/>
          <w:marRight w:val="0"/>
          <w:marTop w:val="300"/>
          <w:marBottom w:val="300"/>
          <w:divBdr>
            <w:top w:val="none" w:sz="0" w:space="0" w:color="auto"/>
            <w:left w:val="none" w:sz="0" w:space="0" w:color="auto"/>
            <w:bottom w:val="none" w:sz="0" w:space="0" w:color="auto"/>
            <w:right w:val="none" w:sz="0" w:space="0" w:color="auto"/>
          </w:divBdr>
        </w:div>
        <w:div w:id="298072816">
          <w:marLeft w:val="0"/>
          <w:marRight w:val="0"/>
          <w:marTop w:val="0"/>
          <w:marBottom w:val="0"/>
          <w:divBdr>
            <w:top w:val="none" w:sz="0" w:space="0" w:color="auto"/>
            <w:left w:val="none" w:sz="0" w:space="0" w:color="auto"/>
            <w:bottom w:val="none" w:sz="0" w:space="0" w:color="auto"/>
            <w:right w:val="none" w:sz="0" w:space="0" w:color="auto"/>
          </w:divBdr>
          <w:divsChild>
            <w:div w:id="1600791632">
              <w:marLeft w:val="0"/>
              <w:marRight w:val="0"/>
              <w:marTop w:val="0"/>
              <w:marBottom w:val="0"/>
              <w:divBdr>
                <w:top w:val="none" w:sz="0" w:space="0" w:color="auto"/>
                <w:left w:val="none" w:sz="0" w:space="0" w:color="auto"/>
                <w:bottom w:val="none" w:sz="0" w:space="0" w:color="auto"/>
                <w:right w:val="none" w:sz="0" w:space="0" w:color="auto"/>
              </w:divBdr>
            </w:div>
          </w:divsChild>
        </w:div>
        <w:div w:id="863516684">
          <w:marLeft w:val="0"/>
          <w:marRight w:val="0"/>
          <w:marTop w:val="0"/>
          <w:marBottom w:val="0"/>
          <w:divBdr>
            <w:top w:val="none" w:sz="0" w:space="0" w:color="auto"/>
            <w:left w:val="none" w:sz="0" w:space="0" w:color="auto"/>
            <w:bottom w:val="none" w:sz="0" w:space="0" w:color="auto"/>
            <w:right w:val="none" w:sz="0" w:space="0" w:color="auto"/>
          </w:divBdr>
          <w:divsChild>
            <w:div w:id="569776358">
              <w:marLeft w:val="0"/>
              <w:marRight w:val="0"/>
              <w:marTop w:val="0"/>
              <w:marBottom w:val="0"/>
              <w:divBdr>
                <w:top w:val="none" w:sz="0" w:space="0" w:color="auto"/>
                <w:left w:val="none" w:sz="0" w:space="0" w:color="auto"/>
                <w:bottom w:val="none" w:sz="0" w:space="0" w:color="auto"/>
                <w:right w:val="none" w:sz="0" w:space="0" w:color="auto"/>
              </w:divBdr>
            </w:div>
          </w:divsChild>
        </w:div>
        <w:div w:id="1444694771">
          <w:marLeft w:val="0"/>
          <w:marRight w:val="0"/>
          <w:marTop w:val="0"/>
          <w:marBottom w:val="0"/>
          <w:divBdr>
            <w:top w:val="none" w:sz="0" w:space="0" w:color="auto"/>
            <w:left w:val="none" w:sz="0" w:space="0" w:color="auto"/>
            <w:bottom w:val="none" w:sz="0" w:space="0" w:color="auto"/>
            <w:right w:val="none" w:sz="0" w:space="0" w:color="auto"/>
          </w:divBdr>
          <w:divsChild>
            <w:div w:id="1302075903">
              <w:marLeft w:val="0"/>
              <w:marRight w:val="0"/>
              <w:marTop w:val="0"/>
              <w:marBottom w:val="0"/>
              <w:divBdr>
                <w:top w:val="none" w:sz="0" w:space="0" w:color="auto"/>
                <w:left w:val="none" w:sz="0" w:space="0" w:color="auto"/>
                <w:bottom w:val="none" w:sz="0" w:space="0" w:color="auto"/>
                <w:right w:val="none" w:sz="0" w:space="0" w:color="auto"/>
              </w:divBdr>
            </w:div>
          </w:divsChild>
        </w:div>
        <w:div w:id="155656242">
          <w:marLeft w:val="0"/>
          <w:marRight w:val="0"/>
          <w:marTop w:val="0"/>
          <w:marBottom w:val="0"/>
          <w:divBdr>
            <w:top w:val="none" w:sz="0" w:space="0" w:color="auto"/>
            <w:left w:val="none" w:sz="0" w:space="0" w:color="auto"/>
            <w:bottom w:val="none" w:sz="0" w:space="0" w:color="auto"/>
            <w:right w:val="none" w:sz="0" w:space="0" w:color="auto"/>
          </w:divBdr>
          <w:divsChild>
            <w:div w:id="1891073200">
              <w:marLeft w:val="0"/>
              <w:marRight w:val="0"/>
              <w:marTop w:val="0"/>
              <w:marBottom w:val="0"/>
              <w:divBdr>
                <w:top w:val="none" w:sz="0" w:space="0" w:color="auto"/>
                <w:left w:val="none" w:sz="0" w:space="0" w:color="auto"/>
                <w:bottom w:val="none" w:sz="0" w:space="0" w:color="auto"/>
                <w:right w:val="none" w:sz="0" w:space="0" w:color="auto"/>
              </w:divBdr>
            </w:div>
          </w:divsChild>
        </w:div>
        <w:div w:id="97801730">
          <w:marLeft w:val="0"/>
          <w:marRight w:val="0"/>
          <w:marTop w:val="0"/>
          <w:marBottom w:val="0"/>
          <w:divBdr>
            <w:top w:val="none" w:sz="0" w:space="0" w:color="auto"/>
            <w:left w:val="none" w:sz="0" w:space="0" w:color="auto"/>
            <w:bottom w:val="none" w:sz="0" w:space="0" w:color="auto"/>
            <w:right w:val="none" w:sz="0" w:space="0" w:color="auto"/>
          </w:divBdr>
          <w:divsChild>
            <w:div w:id="737441834">
              <w:marLeft w:val="0"/>
              <w:marRight w:val="0"/>
              <w:marTop w:val="0"/>
              <w:marBottom w:val="0"/>
              <w:divBdr>
                <w:top w:val="none" w:sz="0" w:space="0" w:color="auto"/>
                <w:left w:val="none" w:sz="0" w:space="0" w:color="auto"/>
                <w:bottom w:val="none" w:sz="0" w:space="0" w:color="auto"/>
                <w:right w:val="none" w:sz="0" w:space="0" w:color="auto"/>
              </w:divBdr>
            </w:div>
          </w:divsChild>
        </w:div>
        <w:div w:id="89473705">
          <w:marLeft w:val="0"/>
          <w:marRight w:val="0"/>
          <w:marTop w:val="0"/>
          <w:marBottom w:val="0"/>
          <w:divBdr>
            <w:top w:val="none" w:sz="0" w:space="0" w:color="auto"/>
            <w:left w:val="none" w:sz="0" w:space="0" w:color="auto"/>
            <w:bottom w:val="none" w:sz="0" w:space="0" w:color="auto"/>
            <w:right w:val="none" w:sz="0" w:space="0" w:color="auto"/>
          </w:divBdr>
          <w:divsChild>
            <w:div w:id="656609488">
              <w:marLeft w:val="0"/>
              <w:marRight w:val="0"/>
              <w:marTop w:val="0"/>
              <w:marBottom w:val="0"/>
              <w:divBdr>
                <w:top w:val="none" w:sz="0" w:space="0" w:color="auto"/>
                <w:left w:val="none" w:sz="0" w:space="0" w:color="auto"/>
                <w:bottom w:val="none" w:sz="0" w:space="0" w:color="auto"/>
                <w:right w:val="none" w:sz="0" w:space="0" w:color="auto"/>
              </w:divBdr>
            </w:div>
          </w:divsChild>
        </w:div>
        <w:div w:id="1243612342">
          <w:marLeft w:val="0"/>
          <w:marRight w:val="0"/>
          <w:marTop w:val="0"/>
          <w:marBottom w:val="0"/>
          <w:divBdr>
            <w:top w:val="none" w:sz="0" w:space="0" w:color="auto"/>
            <w:left w:val="none" w:sz="0" w:space="0" w:color="auto"/>
            <w:bottom w:val="none" w:sz="0" w:space="0" w:color="auto"/>
            <w:right w:val="none" w:sz="0" w:space="0" w:color="auto"/>
          </w:divBdr>
          <w:divsChild>
            <w:div w:id="1838184542">
              <w:marLeft w:val="0"/>
              <w:marRight w:val="0"/>
              <w:marTop w:val="0"/>
              <w:marBottom w:val="0"/>
              <w:divBdr>
                <w:top w:val="none" w:sz="0" w:space="0" w:color="auto"/>
                <w:left w:val="none" w:sz="0" w:space="0" w:color="auto"/>
                <w:bottom w:val="none" w:sz="0" w:space="0" w:color="auto"/>
                <w:right w:val="none" w:sz="0" w:space="0" w:color="auto"/>
              </w:divBdr>
            </w:div>
          </w:divsChild>
        </w:div>
        <w:div w:id="908687733">
          <w:marLeft w:val="0"/>
          <w:marRight w:val="0"/>
          <w:marTop w:val="0"/>
          <w:marBottom w:val="0"/>
          <w:divBdr>
            <w:top w:val="none" w:sz="0" w:space="0" w:color="auto"/>
            <w:left w:val="none" w:sz="0" w:space="0" w:color="auto"/>
            <w:bottom w:val="none" w:sz="0" w:space="0" w:color="auto"/>
            <w:right w:val="none" w:sz="0" w:space="0" w:color="auto"/>
          </w:divBdr>
          <w:divsChild>
            <w:div w:id="850490684">
              <w:marLeft w:val="0"/>
              <w:marRight w:val="0"/>
              <w:marTop w:val="0"/>
              <w:marBottom w:val="0"/>
              <w:divBdr>
                <w:top w:val="none" w:sz="0" w:space="0" w:color="auto"/>
                <w:left w:val="none" w:sz="0" w:space="0" w:color="auto"/>
                <w:bottom w:val="none" w:sz="0" w:space="0" w:color="auto"/>
                <w:right w:val="none" w:sz="0" w:space="0" w:color="auto"/>
              </w:divBdr>
            </w:div>
          </w:divsChild>
        </w:div>
        <w:div w:id="532156003">
          <w:marLeft w:val="0"/>
          <w:marRight w:val="0"/>
          <w:marTop w:val="0"/>
          <w:marBottom w:val="0"/>
          <w:divBdr>
            <w:top w:val="none" w:sz="0" w:space="0" w:color="auto"/>
            <w:left w:val="none" w:sz="0" w:space="0" w:color="auto"/>
            <w:bottom w:val="none" w:sz="0" w:space="0" w:color="auto"/>
            <w:right w:val="none" w:sz="0" w:space="0" w:color="auto"/>
          </w:divBdr>
          <w:divsChild>
            <w:div w:id="725103861">
              <w:marLeft w:val="0"/>
              <w:marRight w:val="0"/>
              <w:marTop w:val="0"/>
              <w:marBottom w:val="0"/>
              <w:divBdr>
                <w:top w:val="none" w:sz="0" w:space="0" w:color="auto"/>
                <w:left w:val="none" w:sz="0" w:space="0" w:color="auto"/>
                <w:bottom w:val="none" w:sz="0" w:space="0" w:color="auto"/>
                <w:right w:val="none" w:sz="0" w:space="0" w:color="auto"/>
              </w:divBdr>
            </w:div>
          </w:divsChild>
        </w:div>
        <w:div w:id="442383398">
          <w:marLeft w:val="0"/>
          <w:marRight w:val="0"/>
          <w:marTop w:val="0"/>
          <w:marBottom w:val="0"/>
          <w:divBdr>
            <w:top w:val="none" w:sz="0" w:space="0" w:color="auto"/>
            <w:left w:val="none" w:sz="0" w:space="0" w:color="auto"/>
            <w:bottom w:val="none" w:sz="0" w:space="0" w:color="auto"/>
            <w:right w:val="none" w:sz="0" w:space="0" w:color="auto"/>
          </w:divBdr>
          <w:divsChild>
            <w:div w:id="2041316483">
              <w:marLeft w:val="0"/>
              <w:marRight w:val="0"/>
              <w:marTop w:val="0"/>
              <w:marBottom w:val="0"/>
              <w:divBdr>
                <w:top w:val="none" w:sz="0" w:space="0" w:color="auto"/>
                <w:left w:val="none" w:sz="0" w:space="0" w:color="auto"/>
                <w:bottom w:val="none" w:sz="0" w:space="0" w:color="auto"/>
                <w:right w:val="none" w:sz="0" w:space="0" w:color="auto"/>
              </w:divBdr>
            </w:div>
          </w:divsChild>
        </w:div>
        <w:div w:id="169682836">
          <w:marLeft w:val="0"/>
          <w:marRight w:val="0"/>
          <w:marTop w:val="300"/>
          <w:marBottom w:val="300"/>
          <w:divBdr>
            <w:top w:val="none" w:sz="0" w:space="0" w:color="auto"/>
            <w:left w:val="none" w:sz="0" w:space="0" w:color="auto"/>
            <w:bottom w:val="none" w:sz="0" w:space="0" w:color="auto"/>
            <w:right w:val="none" w:sz="0" w:space="0" w:color="auto"/>
          </w:divBdr>
        </w:div>
        <w:div w:id="1505246755">
          <w:marLeft w:val="0"/>
          <w:marRight w:val="0"/>
          <w:marTop w:val="0"/>
          <w:marBottom w:val="0"/>
          <w:divBdr>
            <w:top w:val="none" w:sz="0" w:space="0" w:color="auto"/>
            <w:left w:val="none" w:sz="0" w:space="0" w:color="auto"/>
            <w:bottom w:val="none" w:sz="0" w:space="0" w:color="auto"/>
            <w:right w:val="none" w:sz="0" w:space="0" w:color="auto"/>
          </w:divBdr>
          <w:divsChild>
            <w:div w:id="1917088772">
              <w:marLeft w:val="0"/>
              <w:marRight w:val="0"/>
              <w:marTop w:val="0"/>
              <w:marBottom w:val="0"/>
              <w:divBdr>
                <w:top w:val="none" w:sz="0" w:space="0" w:color="auto"/>
                <w:left w:val="none" w:sz="0" w:space="0" w:color="auto"/>
                <w:bottom w:val="none" w:sz="0" w:space="0" w:color="auto"/>
                <w:right w:val="none" w:sz="0" w:space="0" w:color="auto"/>
              </w:divBdr>
            </w:div>
          </w:divsChild>
        </w:div>
        <w:div w:id="1865941755">
          <w:marLeft w:val="0"/>
          <w:marRight w:val="0"/>
          <w:marTop w:val="0"/>
          <w:marBottom w:val="0"/>
          <w:divBdr>
            <w:top w:val="none" w:sz="0" w:space="0" w:color="auto"/>
            <w:left w:val="none" w:sz="0" w:space="0" w:color="auto"/>
            <w:bottom w:val="none" w:sz="0" w:space="0" w:color="auto"/>
            <w:right w:val="none" w:sz="0" w:space="0" w:color="auto"/>
          </w:divBdr>
          <w:divsChild>
            <w:div w:id="1389954718">
              <w:marLeft w:val="0"/>
              <w:marRight w:val="0"/>
              <w:marTop w:val="0"/>
              <w:marBottom w:val="0"/>
              <w:divBdr>
                <w:top w:val="none" w:sz="0" w:space="0" w:color="auto"/>
                <w:left w:val="none" w:sz="0" w:space="0" w:color="auto"/>
                <w:bottom w:val="none" w:sz="0" w:space="0" w:color="auto"/>
                <w:right w:val="none" w:sz="0" w:space="0" w:color="auto"/>
              </w:divBdr>
            </w:div>
          </w:divsChild>
        </w:div>
        <w:div w:id="1352494488">
          <w:marLeft w:val="0"/>
          <w:marRight w:val="0"/>
          <w:marTop w:val="0"/>
          <w:marBottom w:val="0"/>
          <w:divBdr>
            <w:top w:val="none" w:sz="0" w:space="0" w:color="auto"/>
            <w:left w:val="none" w:sz="0" w:space="0" w:color="auto"/>
            <w:bottom w:val="none" w:sz="0" w:space="0" w:color="auto"/>
            <w:right w:val="none" w:sz="0" w:space="0" w:color="auto"/>
          </w:divBdr>
          <w:divsChild>
            <w:div w:id="1671516872">
              <w:marLeft w:val="0"/>
              <w:marRight w:val="0"/>
              <w:marTop w:val="0"/>
              <w:marBottom w:val="0"/>
              <w:divBdr>
                <w:top w:val="none" w:sz="0" w:space="0" w:color="auto"/>
                <w:left w:val="none" w:sz="0" w:space="0" w:color="auto"/>
                <w:bottom w:val="none" w:sz="0" w:space="0" w:color="auto"/>
                <w:right w:val="none" w:sz="0" w:space="0" w:color="auto"/>
              </w:divBdr>
            </w:div>
          </w:divsChild>
        </w:div>
        <w:div w:id="465588219">
          <w:marLeft w:val="0"/>
          <w:marRight w:val="0"/>
          <w:marTop w:val="300"/>
          <w:marBottom w:val="300"/>
          <w:divBdr>
            <w:top w:val="none" w:sz="0" w:space="0" w:color="auto"/>
            <w:left w:val="none" w:sz="0" w:space="0" w:color="auto"/>
            <w:bottom w:val="none" w:sz="0" w:space="0" w:color="auto"/>
            <w:right w:val="none" w:sz="0" w:space="0" w:color="auto"/>
          </w:divBdr>
        </w:div>
        <w:div w:id="190807917">
          <w:marLeft w:val="0"/>
          <w:marRight w:val="0"/>
          <w:marTop w:val="0"/>
          <w:marBottom w:val="0"/>
          <w:divBdr>
            <w:top w:val="none" w:sz="0" w:space="0" w:color="auto"/>
            <w:left w:val="none" w:sz="0" w:space="0" w:color="auto"/>
            <w:bottom w:val="none" w:sz="0" w:space="0" w:color="auto"/>
            <w:right w:val="none" w:sz="0" w:space="0" w:color="auto"/>
          </w:divBdr>
          <w:divsChild>
            <w:div w:id="1567109841">
              <w:marLeft w:val="0"/>
              <w:marRight w:val="0"/>
              <w:marTop w:val="0"/>
              <w:marBottom w:val="0"/>
              <w:divBdr>
                <w:top w:val="none" w:sz="0" w:space="0" w:color="auto"/>
                <w:left w:val="none" w:sz="0" w:space="0" w:color="auto"/>
                <w:bottom w:val="none" w:sz="0" w:space="0" w:color="auto"/>
                <w:right w:val="none" w:sz="0" w:space="0" w:color="auto"/>
              </w:divBdr>
            </w:div>
          </w:divsChild>
        </w:div>
        <w:div w:id="1310358833">
          <w:marLeft w:val="0"/>
          <w:marRight w:val="0"/>
          <w:marTop w:val="0"/>
          <w:marBottom w:val="0"/>
          <w:divBdr>
            <w:top w:val="none" w:sz="0" w:space="0" w:color="auto"/>
            <w:left w:val="none" w:sz="0" w:space="0" w:color="auto"/>
            <w:bottom w:val="none" w:sz="0" w:space="0" w:color="auto"/>
            <w:right w:val="none" w:sz="0" w:space="0" w:color="auto"/>
          </w:divBdr>
          <w:divsChild>
            <w:div w:id="382095831">
              <w:marLeft w:val="0"/>
              <w:marRight w:val="0"/>
              <w:marTop w:val="0"/>
              <w:marBottom w:val="0"/>
              <w:divBdr>
                <w:top w:val="none" w:sz="0" w:space="0" w:color="auto"/>
                <w:left w:val="none" w:sz="0" w:space="0" w:color="auto"/>
                <w:bottom w:val="none" w:sz="0" w:space="0" w:color="auto"/>
                <w:right w:val="none" w:sz="0" w:space="0" w:color="auto"/>
              </w:divBdr>
            </w:div>
          </w:divsChild>
        </w:div>
        <w:div w:id="1987318543">
          <w:marLeft w:val="0"/>
          <w:marRight w:val="0"/>
          <w:marTop w:val="300"/>
          <w:marBottom w:val="300"/>
          <w:divBdr>
            <w:top w:val="none" w:sz="0" w:space="0" w:color="auto"/>
            <w:left w:val="none" w:sz="0" w:space="0" w:color="auto"/>
            <w:bottom w:val="none" w:sz="0" w:space="0" w:color="auto"/>
            <w:right w:val="none" w:sz="0" w:space="0" w:color="auto"/>
          </w:divBdr>
        </w:div>
        <w:div w:id="1936592258">
          <w:marLeft w:val="0"/>
          <w:marRight w:val="0"/>
          <w:marTop w:val="0"/>
          <w:marBottom w:val="0"/>
          <w:divBdr>
            <w:top w:val="none" w:sz="0" w:space="0" w:color="auto"/>
            <w:left w:val="none" w:sz="0" w:space="0" w:color="auto"/>
            <w:bottom w:val="none" w:sz="0" w:space="0" w:color="auto"/>
            <w:right w:val="none" w:sz="0" w:space="0" w:color="auto"/>
          </w:divBdr>
          <w:divsChild>
            <w:div w:id="742530286">
              <w:marLeft w:val="0"/>
              <w:marRight w:val="0"/>
              <w:marTop w:val="0"/>
              <w:marBottom w:val="0"/>
              <w:divBdr>
                <w:top w:val="none" w:sz="0" w:space="0" w:color="auto"/>
                <w:left w:val="none" w:sz="0" w:space="0" w:color="auto"/>
                <w:bottom w:val="none" w:sz="0" w:space="0" w:color="auto"/>
                <w:right w:val="none" w:sz="0" w:space="0" w:color="auto"/>
              </w:divBdr>
            </w:div>
          </w:divsChild>
        </w:div>
        <w:div w:id="736249727">
          <w:marLeft w:val="0"/>
          <w:marRight w:val="0"/>
          <w:marTop w:val="0"/>
          <w:marBottom w:val="0"/>
          <w:divBdr>
            <w:top w:val="none" w:sz="0" w:space="0" w:color="auto"/>
            <w:left w:val="none" w:sz="0" w:space="0" w:color="auto"/>
            <w:bottom w:val="none" w:sz="0" w:space="0" w:color="auto"/>
            <w:right w:val="none" w:sz="0" w:space="0" w:color="auto"/>
          </w:divBdr>
          <w:divsChild>
            <w:div w:id="1177038529">
              <w:marLeft w:val="0"/>
              <w:marRight w:val="0"/>
              <w:marTop w:val="0"/>
              <w:marBottom w:val="0"/>
              <w:divBdr>
                <w:top w:val="none" w:sz="0" w:space="0" w:color="auto"/>
                <w:left w:val="none" w:sz="0" w:space="0" w:color="auto"/>
                <w:bottom w:val="none" w:sz="0" w:space="0" w:color="auto"/>
                <w:right w:val="none" w:sz="0" w:space="0" w:color="auto"/>
              </w:divBdr>
            </w:div>
          </w:divsChild>
        </w:div>
        <w:div w:id="46149110">
          <w:marLeft w:val="0"/>
          <w:marRight w:val="0"/>
          <w:marTop w:val="300"/>
          <w:marBottom w:val="300"/>
          <w:divBdr>
            <w:top w:val="none" w:sz="0" w:space="0" w:color="auto"/>
            <w:left w:val="none" w:sz="0" w:space="0" w:color="auto"/>
            <w:bottom w:val="none" w:sz="0" w:space="0" w:color="auto"/>
            <w:right w:val="none" w:sz="0" w:space="0" w:color="auto"/>
          </w:divBdr>
        </w:div>
        <w:div w:id="514349963">
          <w:marLeft w:val="0"/>
          <w:marRight w:val="0"/>
          <w:marTop w:val="0"/>
          <w:marBottom w:val="0"/>
          <w:divBdr>
            <w:top w:val="none" w:sz="0" w:space="0" w:color="auto"/>
            <w:left w:val="none" w:sz="0" w:space="0" w:color="auto"/>
            <w:bottom w:val="none" w:sz="0" w:space="0" w:color="auto"/>
            <w:right w:val="none" w:sz="0" w:space="0" w:color="auto"/>
          </w:divBdr>
          <w:divsChild>
            <w:div w:id="1437674033">
              <w:marLeft w:val="0"/>
              <w:marRight w:val="0"/>
              <w:marTop w:val="0"/>
              <w:marBottom w:val="0"/>
              <w:divBdr>
                <w:top w:val="none" w:sz="0" w:space="0" w:color="auto"/>
                <w:left w:val="none" w:sz="0" w:space="0" w:color="auto"/>
                <w:bottom w:val="none" w:sz="0" w:space="0" w:color="auto"/>
                <w:right w:val="none" w:sz="0" w:space="0" w:color="auto"/>
              </w:divBdr>
            </w:div>
          </w:divsChild>
        </w:div>
        <w:div w:id="642462620">
          <w:marLeft w:val="0"/>
          <w:marRight w:val="0"/>
          <w:marTop w:val="0"/>
          <w:marBottom w:val="0"/>
          <w:divBdr>
            <w:top w:val="none" w:sz="0" w:space="0" w:color="auto"/>
            <w:left w:val="none" w:sz="0" w:space="0" w:color="auto"/>
            <w:bottom w:val="none" w:sz="0" w:space="0" w:color="auto"/>
            <w:right w:val="none" w:sz="0" w:space="0" w:color="auto"/>
          </w:divBdr>
          <w:divsChild>
            <w:div w:id="167332850">
              <w:marLeft w:val="0"/>
              <w:marRight w:val="0"/>
              <w:marTop w:val="0"/>
              <w:marBottom w:val="0"/>
              <w:divBdr>
                <w:top w:val="none" w:sz="0" w:space="0" w:color="auto"/>
                <w:left w:val="none" w:sz="0" w:space="0" w:color="auto"/>
                <w:bottom w:val="none" w:sz="0" w:space="0" w:color="auto"/>
                <w:right w:val="none" w:sz="0" w:space="0" w:color="auto"/>
              </w:divBdr>
            </w:div>
          </w:divsChild>
        </w:div>
        <w:div w:id="128322264">
          <w:marLeft w:val="0"/>
          <w:marRight w:val="0"/>
          <w:marTop w:val="0"/>
          <w:marBottom w:val="0"/>
          <w:divBdr>
            <w:top w:val="none" w:sz="0" w:space="0" w:color="auto"/>
            <w:left w:val="none" w:sz="0" w:space="0" w:color="auto"/>
            <w:bottom w:val="none" w:sz="0" w:space="0" w:color="auto"/>
            <w:right w:val="none" w:sz="0" w:space="0" w:color="auto"/>
          </w:divBdr>
          <w:divsChild>
            <w:div w:id="249654667">
              <w:marLeft w:val="0"/>
              <w:marRight w:val="0"/>
              <w:marTop w:val="0"/>
              <w:marBottom w:val="0"/>
              <w:divBdr>
                <w:top w:val="none" w:sz="0" w:space="0" w:color="auto"/>
                <w:left w:val="none" w:sz="0" w:space="0" w:color="auto"/>
                <w:bottom w:val="none" w:sz="0" w:space="0" w:color="auto"/>
                <w:right w:val="none" w:sz="0" w:space="0" w:color="auto"/>
              </w:divBdr>
            </w:div>
          </w:divsChild>
        </w:div>
        <w:div w:id="177358002">
          <w:marLeft w:val="0"/>
          <w:marRight w:val="0"/>
          <w:marTop w:val="0"/>
          <w:marBottom w:val="0"/>
          <w:divBdr>
            <w:top w:val="none" w:sz="0" w:space="0" w:color="auto"/>
            <w:left w:val="none" w:sz="0" w:space="0" w:color="auto"/>
            <w:bottom w:val="none" w:sz="0" w:space="0" w:color="auto"/>
            <w:right w:val="none" w:sz="0" w:space="0" w:color="auto"/>
          </w:divBdr>
          <w:divsChild>
            <w:div w:id="471604333">
              <w:marLeft w:val="0"/>
              <w:marRight w:val="0"/>
              <w:marTop w:val="0"/>
              <w:marBottom w:val="0"/>
              <w:divBdr>
                <w:top w:val="none" w:sz="0" w:space="0" w:color="auto"/>
                <w:left w:val="none" w:sz="0" w:space="0" w:color="auto"/>
                <w:bottom w:val="none" w:sz="0" w:space="0" w:color="auto"/>
                <w:right w:val="none" w:sz="0" w:space="0" w:color="auto"/>
              </w:divBdr>
            </w:div>
          </w:divsChild>
        </w:div>
        <w:div w:id="1405251558">
          <w:marLeft w:val="0"/>
          <w:marRight w:val="0"/>
          <w:marTop w:val="0"/>
          <w:marBottom w:val="0"/>
          <w:divBdr>
            <w:top w:val="none" w:sz="0" w:space="0" w:color="auto"/>
            <w:left w:val="none" w:sz="0" w:space="0" w:color="auto"/>
            <w:bottom w:val="none" w:sz="0" w:space="0" w:color="auto"/>
            <w:right w:val="none" w:sz="0" w:space="0" w:color="auto"/>
          </w:divBdr>
          <w:divsChild>
            <w:div w:id="1855027577">
              <w:marLeft w:val="0"/>
              <w:marRight w:val="0"/>
              <w:marTop w:val="0"/>
              <w:marBottom w:val="0"/>
              <w:divBdr>
                <w:top w:val="none" w:sz="0" w:space="0" w:color="auto"/>
                <w:left w:val="none" w:sz="0" w:space="0" w:color="auto"/>
                <w:bottom w:val="none" w:sz="0" w:space="0" w:color="auto"/>
                <w:right w:val="none" w:sz="0" w:space="0" w:color="auto"/>
              </w:divBdr>
            </w:div>
          </w:divsChild>
        </w:div>
        <w:div w:id="1725328143">
          <w:marLeft w:val="0"/>
          <w:marRight w:val="0"/>
          <w:marTop w:val="300"/>
          <w:marBottom w:val="300"/>
          <w:divBdr>
            <w:top w:val="none" w:sz="0" w:space="0" w:color="auto"/>
            <w:left w:val="none" w:sz="0" w:space="0" w:color="auto"/>
            <w:bottom w:val="none" w:sz="0" w:space="0" w:color="auto"/>
            <w:right w:val="none" w:sz="0" w:space="0" w:color="auto"/>
          </w:divBdr>
        </w:div>
        <w:div w:id="511649459">
          <w:marLeft w:val="0"/>
          <w:marRight w:val="0"/>
          <w:marTop w:val="0"/>
          <w:marBottom w:val="0"/>
          <w:divBdr>
            <w:top w:val="none" w:sz="0" w:space="0" w:color="auto"/>
            <w:left w:val="none" w:sz="0" w:space="0" w:color="auto"/>
            <w:bottom w:val="none" w:sz="0" w:space="0" w:color="auto"/>
            <w:right w:val="none" w:sz="0" w:space="0" w:color="auto"/>
          </w:divBdr>
          <w:divsChild>
            <w:div w:id="1046946669">
              <w:marLeft w:val="0"/>
              <w:marRight w:val="0"/>
              <w:marTop w:val="0"/>
              <w:marBottom w:val="0"/>
              <w:divBdr>
                <w:top w:val="none" w:sz="0" w:space="0" w:color="auto"/>
                <w:left w:val="none" w:sz="0" w:space="0" w:color="auto"/>
                <w:bottom w:val="none" w:sz="0" w:space="0" w:color="auto"/>
                <w:right w:val="none" w:sz="0" w:space="0" w:color="auto"/>
              </w:divBdr>
            </w:div>
          </w:divsChild>
        </w:div>
        <w:div w:id="1778940922">
          <w:marLeft w:val="0"/>
          <w:marRight w:val="0"/>
          <w:marTop w:val="0"/>
          <w:marBottom w:val="0"/>
          <w:divBdr>
            <w:top w:val="none" w:sz="0" w:space="0" w:color="auto"/>
            <w:left w:val="none" w:sz="0" w:space="0" w:color="auto"/>
            <w:bottom w:val="none" w:sz="0" w:space="0" w:color="auto"/>
            <w:right w:val="none" w:sz="0" w:space="0" w:color="auto"/>
          </w:divBdr>
          <w:divsChild>
            <w:div w:id="954597902">
              <w:marLeft w:val="0"/>
              <w:marRight w:val="0"/>
              <w:marTop w:val="0"/>
              <w:marBottom w:val="0"/>
              <w:divBdr>
                <w:top w:val="none" w:sz="0" w:space="0" w:color="auto"/>
                <w:left w:val="none" w:sz="0" w:space="0" w:color="auto"/>
                <w:bottom w:val="none" w:sz="0" w:space="0" w:color="auto"/>
                <w:right w:val="none" w:sz="0" w:space="0" w:color="auto"/>
              </w:divBdr>
            </w:div>
          </w:divsChild>
        </w:div>
        <w:div w:id="112360726">
          <w:marLeft w:val="0"/>
          <w:marRight w:val="0"/>
          <w:marTop w:val="0"/>
          <w:marBottom w:val="0"/>
          <w:divBdr>
            <w:top w:val="none" w:sz="0" w:space="0" w:color="auto"/>
            <w:left w:val="none" w:sz="0" w:space="0" w:color="auto"/>
            <w:bottom w:val="none" w:sz="0" w:space="0" w:color="auto"/>
            <w:right w:val="none" w:sz="0" w:space="0" w:color="auto"/>
          </w:divBdr>
          <w:divsChild>
            <w:div w:id="1589269787">
              <w:marLeft w:val="0"/>
              <w:marRight w:val="0"/>
              <w:marTop w:val="0"/>
              <w:marBottom w:val="0"/>
              <w:divBdr>
                <w:top w:val="none" w:sz="0" w:space="0" w:color="auto"/>
                <w:left w:val="none" w:sz="0" w:space="0" w:color="auto"/>
                <w:bottom w:val="none" w:sz="0" w:space="0" w:color="auto"/>
                <w:right w:val="none" w:sz="0" w:space="0" w:color="auto"/>
              </w:divBdr>
            </w:div>
          </w:divsChild>
        </w:div>
        <w:div w:id="1688368483">
          <w:marLeft w:val="0"/>
          <w:marRight w:val="0"/>
          <w:marTop w:val="0"/>
          <w:marBottom w:val="0"/>
          <w:divBdr>
            <w:top w:val="none" w:sz="0" w:space="0" w:color="auto"/>
            <w:left w:val="none" w:sz="0" w:space="0" w:color="auto"/>
            <w:bottom w:val="none" w:sz="0" w:space="0" w:color="auto"/>
            <w:right w:val="none" w:sz="0" w:space="0" w:color="auto"/>
          </w:divBdr>
          <w:divsChild>
            <w:div w:id="1505585165">
              <w:marLeft w:val="0"/>
              <w:marRight w:val="0"/>
              <w:marTop w:val="0"/>
              <w:marBottom w:val="0"/>
              <w:divBdr>
                <w:top w:val="none" w:sz="0" w:space="0" w:color="auto"/>
                <w:left w:val="none" w:sz="0" w:space="0" w:color="auto"/>
                <w:bottom w:val="none" w:sz="0" w:space="0" w:color="auto"/>
                <w:right w:val="none" w:sz="0" w:space="0" w:color="auto"/>
              </w:divBdr>
            </w:div>
          </w:divsChild>
        </w:div>
        <w:div w:id="408189648">
          <w:marLeft w:val="0"/>
          <w:marRight w:val="0"/>
          <w:marTop w:val="0"/>
          <w:marBottom w:val="0"/>
          <w:divBdr>
            <w:top w:val="none" w:sz="0" w:space="0" w:color="auto"/>
            <w:left w:val="none" w:sz="0" w:space="0" w:color="auto"/>
            <w:bottom w:val="none" w:sz="0" w:space="0" w:color="auto"/>
            <w:right w:val="none" w:sz="0" w:space="0" w:color="auto"/>
          </w:divBdr>
          <w:divsChild>
            <w:div w:id="2038581904">
              <w:marLeft w:val="0"/>
              <w:marRight w:val="0"/>
              <w:marTop w:val="0"/>
              <w:marBottom w:val="0"/>
              <w:divBdr>
                <w:top w:val="none" w:sz="0" w:space="0" w:color="auto"/>
                <w:left w:val="none" w:sz="0" w:space="0" w:color="auto"/>
                <w:bottom w:val="none" w:sz="0" w:space="0" w:color="auto"/>
                <w:right w:val="none" w:sz="0" w:space="0" w:color="auto"/>
              </w:divBdr>
            </w:div>
          </w:divsChild>
        </w:div>
        <w:div w:id="983894772">
          <w:marLeft w:val="0"/>
          <w:marRight w:val="0"/>
          <w:marTop w:val="300"/>
          <w:marBottom w:val="300"/>
          <w:divBdr>
            <w:top w:val="none" w:sz="0" w:space="0" w:color="auto"/>
            <w:left w:val="none" w:sz="0" w:space="0" w:color="auto"/>
            <w:bottom w:val="none" w:sz="0" w:space="0" w:color="auto"/>
            <w:right w:val="none" w:sz="0" w:space="0" w:color="auto"/>
          </w:divBdr>
        </w:div>
        <w:div w:id="1809661767">
          <w:marLeft w:val="0"/>
          <w:marRight w:val="0"/>
          <w:marTop w:val="0"/>
          <w:marBottom w:val="0"/>
          <w:divBdr>
            <w:top w:val="none" w:sz="0" w:space="0" w:color="auto"/>
            <w:left w:val="none" w:sz="0" w:space="0" w:color="auto"/>
            <w:bottom w:val="none" w:sz="0" w:space="0" w:color="auto"/>
            <w:right w:val="none" w:sz="0" w:space="0" w:color="auto"/>
          </w:divBdr>
          <w:divsChild>
            <w:div w:id="900600562">
              <w:marLeft w:val="0"/>
              <w:marRight w:val="0"/>
              <w:marTop w:val="0"/>
              <w:marBottom w:val="0"/>
              <w:divBdr>
                <w:top w:val="none" w:sz="0" w:space="0" w:color="auto"/>
                <w:left w:val="none" w:sz="0" w:space="0" w:color="auto"/>
                <w:bottom w:val="none" w:sz="0" w:space="0" w:color="auto"/>
                <w:right w:val="none" w:sz="0" w:space="0" w:color="auto"/>
              </w:divBdr>
            </w:div>
          </w:divsChild>
        </w:div>
        <w:div w:id="2024696614">
          <w:marLeft w:val="0"/>
          <w:marRight w:val="0"/>
          <w:marTop w:val="0"/>
          <w:marBottom w:val="0"/>
          <w:divBdr>
            <w:top w:val="none" w:sz="0" w:space="0" w:color="auto"/>
            <w:left w:val="none" w:sz="0" w:space="0" w:color="auto"/>
            <w:bottom w:val="none" w:sz="0" w:space="0" w:color="auto"/>
            <w:right w:val="none" w:sz="0" w:space="0" w:color="auto"/>
          </w:divBdr>
          <w:divsChild>
            <w:div w:id="759105426">
              <w:marLeft w:val="0"/>
              <w:marRight w:val="0"/>
              <w:marTop w:val="0"/>
              <w:marBottom w:val="0"/>
              <w:divBdr>
                <w:top w:val="none" w:sz="0" w:space="0" w:color="auto"/>
                <w:left w:val="none" w:sz="0" w:space="0" w:color="auto"/>
                <w:bottom w:val="none" w:sz="0" w:space="0" w:color="auto"/>
                <w:right w:val="none" w:sz="0" w:space="0" w:color="auto"/>
              </w:divBdr>
            </w:div>
          </w:divsChild>
        </w:div>
        <w:div w:id="736823280">
          <w:marLeft w:val="0"/>
          <w:marRight w:val="0"/>
          <w:marTop w:val="0"/>
          <w:marBottom w:val="0"/>
          <w:divBdr>
            <w:top w:val="none" w:sz="0" w:space="0" w:color="auto"/>
            <w:left w:val="none" w:sz="0" w:space="0" w:color="auto"/>
            <w:bottom w:val="none" w:sz="0" w:space="0" w:color="auto"/>
            <w:right w:val="none" w:sz="0" w:space="0" w:color="auto"/>
          </w:divBdr>
          <w:divsChild>
            <w:div w:id="1154029077">
              <w:marLeft w:val="0"/>
              <w:marRight w:val="0"/>
              <w:marTop w:val="0"/>
              <w:marBottom w:val="0"/>
              <w:divBdr>
                <w:top w:val="none" w:sz="0" w:space="0" w:color="auto"/>
                <w:left w:val="none" w:sz="0" w:space="0" w:color="auto"/>
                <w:bottom w:val="none" w:sz="0" w:space="0" w:color="auto"/>
                <w:right w:val="none" w:sz="0" w:space="0" w:color="auto"/>
              </w:divBdr>
            </w:div>
          </w:divsChild>
        </w:div>
        <w:div w:id="284852146">
          <w:marLeft w:val="0"/>
          <w:marRight w:val="0"/>
          <w:marTop w:val="300"/>
          <w:marBottom w:val="300"/>
          <w:divBdr>
            <w:top w:val="none" w:sz="0" w:space="0" w:color="auto"/>
            <w:left w:val="none" w:sz="0" w:space="0" w:color="auto"/>
            <w:bottom w:val="none" w:sz="0" w:space="0" w:color="auto"/>
            <w:right w:val="none" w:sz="0" w:space="0" w:color="auto"/>
          </w:divBdr>
        </w:div>
        <w:div w:id="1489596372">
          <w:marLeft w:val="0"/>
          <w:marRight w:val="0"/>
          <w:marTop w:val="0"/>
          <w:marBottom w:val="0"/>
          <w:divBdr>
            <w:top w:val="none" w:sz="0" w:space="0" w:color="auto"/>
            <w:left w:val="none" w:sz="0" w:space="0" w:color="auto"/>
            <w:bottom w:val="none" w:sz="0" w:space="0" w:color="auto"/>
            <w:right w:val="none" w:sz="0" w:space="0" w:color="auto"/>
          </w:divBdr>
          <w:divsChild>
            <w:div w:id="1819496112">
              <w:marLeft w:val="0"/>
              <w:marRight w:val="0"/>
              <w:marTop w:val="0"/>
              <w:marBottom w:val="0"/>
              <w:divBdr>
                <w:top w:val="none" w:sz="0" w:space="0" w:color="auto"/>
                <w:left w:val="none" w:sz="0" w:space="0" w:color="auto"/>
                <w:bottom w:val="none" w:sz="0" w:space="0" w:color="auto"/>
                <w:right w:val="none" w:sz="0" w:space="0" w:color="auto"/>
              </w:divBdr>
            </w:div>
          </w:divsChild>
        </w:div>
        <w:div w:id="73356746">
          <w:marLeft w:val="0"/>
          <w:marRight w:val="0"/>
          <w:marTop w:val="0"/>
          <w:marBottom w:val="0"/>
          <w:divBdr>
            <w:top w:val="none" w:sz="0" w:space="0" w:color="auto"/>
            <w:left w:val="none" w:sz="0" w:space="0" w:color="auto"/>
            <w:bottom w:val="none" w:sz="0" w:space="0" w:color="auto"/>
            <w:right w:val="none" w:sz="0" w:space="0" w:color="auto"/>
          </w:divBdr>
          <w:divsChild>
            <w:div w:id="1337879543">
              <w:marLeft w:val="0"/>
              <w:marRight w:val="0"/>
              <w:marTop w:val="0"/>
              <w:marBottom w:val="0"/>
              <w:divBdr>
                <w:top w:val="none" w:sz="0" w:space="0" w:color="auto"/>
                <w:left w:val="none" w:sz="0" w:space="0" w:color="auto"/>
                <w:bottom w:val="none" w:sz="0" w:space="0" w:color="auto"/>
                <w:right w:val="none" w:sz="0" w:space="0" w:color="auto"/>
              </w:divBdr>
            </w:div>
          </w:divsChild>
        </w:div>
        <w:div w:id="1094203931">
          <w:marLeft w:val="0"/>
          <w:marRight w:val="0"/>
          <w:marTop w:val="0"/>
          <w:marBottom w:val="0"/>
          <w:divBdr>
            <w:top w:val="none" w:sz="0" w:space="0" w:color="auto"/>
            <w:left w:val="none" w:sz="0" w:space="0" w:color="auto"/>
            <w:bottom w:val="none" w:sz="0" w:space="0" w:color="auto"/>
            <w:right w:val="none" w:sz="0" w:space="0" w:color="auto"/>
          </w:divBdr>
          <w:divsChild>
            <w:div w:id="1273829149">
              <w:marLeft w:val="0"/>
              <w:marRight w:val="0"/>
              <w:marTop w:val="0"/>
              <w:marBottom w:val="0"/>
              <w:divBdr>
                <w:top w:val="none" w:sz="0" w:space="0" w:color="auto"/>
                <w:left w:val="none" w:sz="0" w:space="0" w:color="auto"/>
                <w:bottom w:val="none" w:sz="0" w:space="0" w:color="auto"/>
                <w:right w:val="none" w:sz="0" w:space="0" w:color="auto"/>
              </w:divBdr>
            </w:div>
          </w:divsChild>
        </w:div>
        <w:div w:id="40402721">
          <w:marLeft w:val="0"/>
          <w:marRight w:val="0"/>
          <w:marTop w:val="0"/>
          <w:marBottom w:val="0"/>
          <w:divBdr>
            <w:top w:val="none" w:sz="0" w:space="0" w:color="auto"/>
            <w:left w:val="none" w:sz="0" w:space="0" w:color="auto"/>
            <w:bottom w:val="none" w:sz="0" w:space="0" w:color="auto"/>
            <w:right w:val="none" w:sz="0" w:space="0" w:color="auto"/>
          </w:divBdr>
          <w:divsChild>
            <w:div w:id="958492496">
              <w:marLeft w:val="0"/>
              <w:marRight w:val="0"/>
              <w:marTop w:val="0"/>
              <w:marBottom w:val="0"/>
              <w:divBdr>
                <w:top w:val="none" w:sz="0" w:space="0" w:color="auto"/>
                <w:left w:val="none" w:sz="0" w:space="0" w:color="auto"/>
                <w:bottom w:val="none" w:sz="0" w:space="0" w:color="auto"/>
                <w:right w:val="none" w:sz="0" w:space="0" w:color="auto"/>
              </w:divBdr>
            </w:div>
          </w:divsChild>
        </w:div>
        <w:div w:id="1483043264">
          <w:marLeft w:val="0"/>
          <w:marRight w:val="0"/>
          <w:marTop w:val="0"/>
          <w:marBottom w:val="0"/>
          <w:divBdr>
            <w:top w:val="none" w:sz="0" w:space="0" w:color="auto"/>
            <w:left w:val="none" w:sz="0" w:space="0" w:color="auto"/>
            <w:bottom w:val="none" w:sz="0" w:space="0" w:color="auto"/>
            <w:right w:val="none" w:sz="0" w:space="0" w:color="auto"/>
          </w:divBdr>
          <w:divsChild>
            <w:div w:id="1104954538">
              <w:marLeft w:val="0"/>
              <w:marRight w:val="0"/>
              <w:marTop w:val="0"/>
              <w:marBottom w:val="0"/>
              <w:divBdr>
                <w:top w:val="none" w:sz="0" w:space="0" w:color="auto"/>
                <w:left w:val="none" w:sz="0" w:space="0" w:color="auto"/>
                <w:bottom w:val="none" w:sz="0" w:space="0" w:color="auto"/>
                <w:right w:val="none" w:sz="0" w:space="0" w:color="auto"/>
              </w:divBdr>
            </w:div>
          </w:divsChild>
        </w:div>
        <w:div w:id="2135974372">
          <w:marLeft w:val="0"/>
          <w:marRight w:val="0"/>
          <w:marTop w:val="0"/>
          <w:marBottom w:val="0"/>
          <w:divBdr>
            <w:top w:val="none" w:sz="0" w:space="0" w:color="auto"/>
            <w:left w:val="none" w:sz="0" w:space="0" w:color="auto"/>
            <w:bottom w:val="none" w:sz="0" w:space="0" w:color="auto"/>
            <w:right w:val="none" w:sz="0" w:space="0" w:color="auto"/>
          </w:divBdr>
          <w:divsChild>
            <w:div w:id="1885024650">
              <w:marLeft w:val="0"/>
              <w:marRight w:val="0"/>
              <w:marTop w:val="0"/>
              <w:marBottom w:val="0"/>
              <w:divBdr>
                <w:top w:val="none" w:sz="0" w:space="0" w:color="auto"/>
                <w:left w:val="none" w:sz="0" w:space="0" w:color="auto"/>
                <w:bottom w:val="none" w:sz="0" w:space="0" w:color="auto"/>
                <w:right w:val="none" w:sz="0" w:space="0" w:color="auto"/>
              </w:divBdr>
            </w:div>
          </w:divsChild>
        </w:div>
        <w:div w:id="1643851658">
          <w:marLeft w:val="0"/>
          <w:marRight w:val="0"/>
          <w:marTop w:val="0"/>
          <w:marBottom w:val="0"/>
          <w:divBdr>
            <w:top w:val="none" w:sz="0" w:space="0" w:color="auto"/>
            <w:left w:val="none" w:sz="0" w:space="0" w:color="auto"/>
            <w:bottom w:val="none" w:sz="0" w:space="0" w:color="auto"/>
            <w:right w:val="none" w:sz="0" w:space="0" w:color="auto"/>
          </w:divBdr>
          <w:divsChild>
            <w:div w:id="415631977">
              <w:marLeft w:val="0"/>
              <w:marRight w:val="0"/>
              <w:marTop w:val="0"/>
              <w:marBottom w:val="0"/>
              <w:divBdr>
                <w:top w:val="none" w:sz="0" w:space="0" w:color="auto"/>
                <w:left w:val="none" w:sz="0" w:space="0" w:color="auto"/>
                <w:bottom w:val="none" w:sz="0" w:space="0" w:color="auto"/>
                <w:right w:val="none" w:sz="0" w:space="0" w:color="auto"/>
              </w:divBdr>
            </w:div>
          </w:divsChild>
        </w:div>
        <w:div w:id="1934313424">
          <w:marLeft w:val="0"/>
          <w:marRight w:val="0"/>
          <w:marTop w:val="0"/>
          <w:marBottom w:val="0"/>
          <w:divBdr>
            <w:top w:val="none" w:sz="0" w:space="0" w:color="auto"/>
            <w:left w:val="none" w:sz="0" w:space="0" w:color="auto"/>
            <w:bottom w:val="none" w:sz="0" w:space="0" w:color="auto"/>
            <w:right w:val="none" w:sz="0" w:space="0" w:color="auto"/>
          </w:divBdr>
          <w:divsChild>
            <w:div w:id="1437024040">
              <w:marLeft w:val="0"/>
              <w:marRight w:val="0"/>
              <w:marTop w:val="0"/>
              <w:marBottom w:val="0"/>
              <w:divBdr>
                <w:top w:val="none" w:sz="0" w:space="0" w:color="auto"/>
                <w:left w:val="none" w:sz="0" w:space="0" w:color="auto"/>
                <w:bottom w:val="none" w:sz="0" w:space="0" w:color="auto"/>
                <w:right w:val="none" w:sz="0" w:space="0" w:color="auto"/>
              </w:divBdr>
            </w:div>
          </w:divsChild>
        </w:div>
        <w:div w:id="267742440">
          <w:marLeft w:val="0"/>
          <w:marRight w:val="0"/>
          <w:marTop w:val="300"/>
          <w:marBottom w:val="300"/>
          <w:divBdr>
            <w:top w:val="none" w:sz="0" w:space="0" w:color="auto"/>
            <w:left w:val="none" w:sz="0" w:space="0" w:color="auto"/>
            <w:bottom w:val="none" w:sz="0" w:space="0" w:color="auto"/>
            <w:right w:val="none" w:sz="0" w:space="0" w:color="auto"/>
          </w:divBdr>
        </w:div>
        <w:div w:id="966932306">
          <w:marLeft w:val="0"/>
          <w:marRight w:val="0"/>
          <w:marTop w:val="0"/>
          <w:marBottom w:val="0"/>
          <w:divBdr>
            <w:top w:val="none" w:sz="0" w:space="0" w:color="auto"/>
            <w:left w:val="none" w:sz="0" w:space="0" w:color="auto"/>
            <w:bottom w:val="none" w:sz="0" w:space="0" w:color="auto"/>
            <w:right w:val="none" w:sz="0" w:space="0" w:color="auto"/>
          </w:divBdr>
          <w:divsChild>
            <w:div w:id="549849363">
              <w:marLeft w:val="0"/>
              <w:marRight w:val="0"/>
              <w:marTop w:val="0"/>
              <w:marBottom w:val="0"/>
              <w:divBdr>
                <w:top w:val="none" w:sz="0" w:space="0" w:color="auto"/>
                <w:left w:val="none" w:sz="0" w:space="0" w:color="auto"/>
                <w:bottom w:val="none" w:sz="0" w:space="0" w:color="auto"/>
                <w:right w:val="none" w:sz="0" w:space="0" w:color="auto"/>
              </w:divBdr>
            </w:div>
          </w:divsChild>
        </w:div>
        <w:div w:id="1398630505">
          <w:marLeft w:val="0"/>
          <w:marRight w:val="0"/>
          <w:marTop w:val="0"/>
          <w:marBottom w:val="0"/>
          <w:divBdr>
            <w:top w:val="none" w:sz="0" w:space="0" w:color="auto"/>
            <w:left w:val="none" w:sz="0" w:space="0" w:color="auto"/>
            <w:bottom w:val="none" w:sz="0" w:space="0" w:color="auto"/>
            <w:right w:val="none" w:sz="0" w:space="0" w:color="auto"/>
          </w:divBdr>
          <w:divsChild>
            <w:div w:id="1740521762">
              <w:marLeft w:val="0"/>
              <w:marRight w:val="0"/>
              <w:marTop w:val="0"/>
              <w:marBottom w:val="0"/>
              <w:divBdr>
                <w:top w:val="none" w:sz="0" w:space="0" w:color="auto"/>
                <w:left w:val="none" w:sz="0" w:space="0" w:color="auto"/>
                <w:bottom w:val="none" w:sz="0" w:space="0" w:color="auto"/>
                <w:right w:val="none" w:sz="0" w:space="0" w:color="auto"/>
              </w:divBdr>
            </w:div>
          </w:divsChild>
        </w:div>
        <w:div w:id="2102408033">
          <w:marLeft w:val="0"/>
          <w:marRight w:val="0"/>
          <w:marTop w:val="0"/>
          <w:marBottom w:val="0"/>
          <w:divBdr>
            <w:top w:val="none" w:sz="0" w:space="0" w:color="auto"/>
            <w:left w:val="none" w:sz="0" w:space="0" w:color="auto"/>
            <w:bottom w:val="none" w:sz="0" w:space="0" w:color="auto"/>
            <w:right w:val="none" w:sz="0" w:space="0" w:color="auto"/>
          </w:divBdr>
          <w:divsChild>
            <w:div w:id="991904145">
              <w:marLeft w:val="0"/>
              <w:marRight w:val="0"/>
              <w:marTop w:val="0"/>
              <w:marBottom w:val="0"/>
              <w:divBdr>
                <w:top w:val="none" w:sz="0" w:space="0" w:color="auto"/>
                <w:left w:val="none" w:sz="0" w:space="0" w:color="auto"/>
                <w:bottom w:val="none" w:sz="0" w:space="0" w:color="auto"/>
                <w:right w:val="none" w:sz="0" w:space="0" w:color="auto"/>
              </w:divBdr>
            </w:div>
          </w:divsChild>
        </w:div>
        <w:div w:id="912620994">
          <w:marLeft w:val="0"/>
          <w:marRight w:val="0"/>
          <w:marTop w:val="0"/>
          <w:marBottom w:val="0"/>
          <w:divBdr>
            <w:top w:val="none" w:sz="0" w:space="0" w:color="auto"/>
            <w:left w:val="none" w:sz="0" w:space="0" w:color="auto"/>
            <w:bottom w:val="none" w:sz="0" w:space="0" w:color="auto"/>
            <w:right w:val="none" w:sz="0" w:space="0" w:color="auto"/>
          </w:divBdr>
          <w:divsChild>
            <w:div w:id="905838700">
              <w:marLeft w:val="0"/>
              <w:marRight w:val="0"/>
              <w:marTop w:val="0"/>
              <w:marBottom w:val="0"/>
              <w:divBdr>
                <w:top w:val="none" w:sz="0" w:space="0" w:color="auto"/>
                <w:left w:val="none" w:sz="0" w:space="0" w:color="auto"/>
                <w:bottom w:val="none" w:sz="0" w:space="0" w:color="auto"/>
                <w:right w:val="none" w:sz="0" w:space="0" w:color="auto"/>
              </w:divBdr>
            </w:div>
          </w:divsChild>
        </w:div>
        <w:div w:id="1081561805">
          <w:marLeft w:val="0"/>
          <w:marRight w:val="0"/>
          <w:marTop w:val="0"/>
          <w:marBottom w:val="0"/>
          <w:divBdr>
            <w:top w:val="none" w:sz="0" w:space="0" w:color="auto"/>
            <w:left w:val="none" w:sz="0" w:space="0" w:color="auto"/>
            <w:bottom w:val="none" w:sz="0" w:space="0" w:color="auto"/>
            <w:right w:val="none" w:sz="0" w:space="0" w:color="auto"/>
          </w:divBdr>
          <w:divsChild>
            <w:div w:id="764424150">
              <w:marLeft w:val="0"/>
              <w:marRight w:val="0"/>
              <w:marTop w:val="0"/>
              <w:marBottom w:val="0"/>
              <w:divBdr>
                <w:top w:val="none" w:sz="0" w:space="0" w:color="auto"/>
                <w:left w:val="none" w:sz="0" w:space="0" w:color="auto"/>
                <w:bottom w:val="none" w:sz="0" w:space="0" w:color="auto"/>
                <w:right w:val="none" w:sz="0" w:space="0" w:color="auto"/>
              </w:divBdr>
            </w:div>
          </w:divsChild>
        </w:div>
        <w:div w:id="1447891624">
          <w:marLeft w:val="0"/>
          <w:marRight w:val="0"/>
          <w:marTop w:val="0"/>
          <w:marBottom w:val="0"/>
          <w:divBdr>
            <w:top w:val="none" w:sz="0" w:space="0" w:color="auto"/>
            <w:left w:val="none" w:sz="0" w:space="0" w:color="auto"/>
            <w:bottom w:val="none" w:sz="0" w:space="0" w:color="auto"/>
            <w:right w:val="none" w:sz="0" w:space="0" w:color="auto"/>
          </w:divBdr>
          <w:divsChild>
            <w:div w:id="697121835">
              <w:marLeft w:val="0"/>
              <w:marRight w:val="0"/>
              <w:marTop w:val="0"/>
              <w:marBottom w:val="0"/>
              <w:divBdr>
                <w:top w:val="none" w:sz="0" w:space="0" w:color="auto"/>
                <w:left w:val="none" w:sz="0" w:space="0" w:color="auto"/>
                <w:bottom w:val="none" w:sz="0" w:space="0" w:color="auto"/>
                <w:right w:val="none" w:sz="0" w:space="0" w:color="auto"/>
              </w:divBdr>
            </w:div>
          </w:divsChild>
        </w:div>
        <w:div w:id="919750190">
          <w:marLeft w:val="0"/>
          <w:marRight w:val="0"/>
          <w:marTop w:val="0"/>
          <w:marBottom w:val="0"/>
          <w:divBdr>
            <w:top w:val="none" w:sz="0" w:space="0" w:color="auto"/>
            <w:left w:val="none" w:sz="0" w:space="0" w:color="auto"/>
            <w:bottom w:val="none" w:sz="0" w:space="0" w:color="auto"/>
            <w:right w:val="none" w:sz="0" w:space="0" w:color="auto"/>
          </w:divBdr>
          <w:divsChild>
            <w:div w:id="1231618370">
              <w:marLeft w:val="0"/>
              <w:marRight w:val="0"/>
              <w:marTop w:val="0"/>
              <w:marBottom w:val="0"/>
              <w:divBdr>
                <w:top w:val="none" w:sz="0" w:space="0" w:color="auto"/>
                <w:left w:val="none" w:sz="0" w:space="0" w:color="auto"/>
                <w:bottom w:val="none" w:sz="0" w:space="0" w:color="auto"/>
                <w:right w:val="none" w:sz="0" w:space="0" w:color="auto"/>
              </w:divBdr>
            </w:div>
          </w:divsChild>
        </w:div>
        <w:div w:id="1739741677">
          <w:marLeft w:val="0"/>
          <w:marRight w:val="0"/>
          <w:marTop w:val="0"/>
          <w:marBottom w:val="0"/>
          <w:divBdr>
            <w:top w:val="none" w:sz="0" w:space="0" w:color="auto"/>
            <w:left w:val="none" w:sz="0" w:space="0" w:color="auto"/>
            <w:bottom w:val="none" w:sz="0" w:space="0" w:color="auto"/>
            <w:right w:val="none" w:sz="0" w:space="0" w:color="auto"/>
          </w:divBdr>
          <w:divsChild>
            <w:div w:id="1780753433">
              <w:marLeft w:val="0"/>
              <w:marRight w:val="0"/>
              <w:marTop w:val="0"/>
              <w:marBottom w:val="0"/>
              <w:divBdr>
                <w:top w:val="none" w:sz="0" w:space="0" w:color="auto"/>
                <w:left w:val="none" w:sz="0" w:space="0" w:color="auto"/>
                <w:bottom w:val="none" w:sz="0" w:space="0" w:color="auto"/>
                <w:right w:val="none" w:sz="0" w:space="0" w:color="auto"/>
              </w:divBdr>
            </w:div>
          </w:divsChild>
        </w:div>
        <w:div w:id="521821871">
          <w:marLeft w:val="0"/>
          <w:marRight w:val="0"/>
          <w:marTop w:val="0"/>
          <w:marBottom w:val="0"/>
          <w:divBdr>
            <w:top w:val="none" w:sz="0" w:space="0" w:color="auto"/>
            <w:left w:val="none" w:sz="0" w:space="0" w:color="auto"/>
            <w:bottom w:val="none" w:sz="0" w:space="0" w:color="auto"/>
            <w:right w:val="none" w:sz="0" w:space="0" w:color="auto"/>
          </w:divBdr>
          <w:divsChild>
            <w:div w:id="1812792745">
              <w:marLeft w:val="0"/>
              <w:marRight w:val="0"/>
              <w:marTop w:val="0"/>
              <w:marBottom w:val="0"/>
              <w:divBdr>
                <w:top w:val="none" w:sz="0" w:space="0" w:color="auto"/>
                <w:left w:val="none" w:sz="0" w:space="0" w:color="auto"/>
                <w:bottom w:val="none" w:sz="0" w:space="0" w:color="auto"/>
                <w:right w:val="none" w:sz="0" w:space="0" w:color="auto"/>
              </w:divBdr>
            </w:div>
          </w:divsChild>
        </w:div>
        <w:div w:id="315837493">
          <w:marLeft w:val="0"/>
          <w:marRight w:val="0"/>
          <w:marTop w:val="300"/>
          <w:marBottom w:val="300"/>
          <w:divBdr>
            <w:top w:val="none" w:sz="0" w:space="0" w:color="auto"/>
            <w:left w:val="none" w:sz="0" w:space="0" w:color="auto"/>
            <w:bottom w:val="none" w:sz="0" w:space="0" w:color="auto"/>
            <w:right w:val="none" w:sz="0" w:space="0" w:color="auto"/>
          </w:divBdr>
        </w:div>
        <w:div w:id="569266429">
          <w:marLeft w:val="0"/>
          <w:marRight w:val="0"/>
          <w:marTop w:val="0"/>
          <w:marBottom w:val="0"/>
          <w:divBdr>
            <w:top w:val="none" w:sz="0" w:space="0" w:color="auto"/>
            <w:left w:val="none" w:sz="0" w:space="0" w:color="auto"/>
            <w:bottom w:val="none" w:sz="0" w:space="0" w:color="auto"/>
            <w:right w:val="none" w:sz="0" w:space="0" w:color="auto"/>
          </w:divBdr>
          <w:divsChild>
            <w:div w:id="958874760">
              <w:marLeft w:val="0"/>
              <w:marRight w:val="0"/>
              <w:marTop w:val="0"/>
              <w:marBottom w:val="0"/>
              <w:divBdr>
                <w:top w:val="none" w:sz="0" w:space="0" w:color="auto"/>
                <w:left w:val="none" w:sz="0" w:space="0" w:color="auto"/>
                <w:bottom w:val="none" w:sz="0" w:space="0" w:color="auto"/>
                <w:right w:val="none" w:sz="0" w:space="0" w:color="auto"/>
              </w:divBdr>
            </w:div>
          </w:divsChild>
        </w:div>
        <w:div w:id="1593010708">
          <w:marLeft w:val="0"/>
          <w:marRight w:val="0"/>
          <w:marTop w:val="0"/>
          <w:marBottom w:val="0"/>
          <w:divBdr>
            <w:top w:val="none" w:sz="0" w:space="0" w:color="auto"/>
            <w:left w:val="none" w:sz="0" w:space="0" w:color="auto"/>
            <w:bottom w:val="none" w:sz="0" w:space="0" w:color="auto"/>
            <w:right w:val="none" w:sz="0" w:space="0" w:color="auto"/>
          </w:divBdr>
          <w:divsChild>
            <w:div w:id="472718684">
              <w:marLeft w:val="0"/>
              <w:marRight w:val="0"/>
              <w:marTop w:val="0"/>
              <w:marBottom w:val="0"/>
              <w:divBdr>
                <w:top w:val="none" w:sz="0" w:space="0" w:color="auto"/>
                <w:left w:val="none" w:sz="0" w:space="0" w:color="auto"/>
                <w:bottom w:val="none" w:sz="0" w:space="0" w:color="auto"/>
                <w:right w:val="none" w:sz="0" w:space="0" w:color="auto"/>
              </w:divBdr>
            </w:div>
          </w:divsChild>
        </w:div>
        <w:div w:id="320012546">
          <w:marLeft w:val="0"/>
          <w:marRight w:val="0"/>
          <w:marTop w:val="0"/>
          <w:marBottom w:val="0"/>
          <w:divBdr>
            <w:top w:val="none" w:sz="0" w:space="0" w:color="auto"/>
            <w:left w:val="none" w:sz="0" w:space="0" w:color="auto"/>
            <w:bottom w:val="none" w:sz="0" w:space="0" w:color="auto"/>
            <w:right w:val="none" w:sz="0" w:space="0" w:color="auto"/>
          </w:divBdr>
          <w:divsChild>
            <w:div w:id="983586449">
              <w:marLeft w:val="0"/>
              <w:marRight w:val="0"/>
              <w:marTop w:val="0"/>
              <w:marBottom w:val="0"/>
              <w:divBdr>
                <w:top w:val="none" w:sz="0" w:space="0" w:color="auto"/>
                <w:left w:val="none" w:sz="0" w:space="0" w:color="auto"/>
                <w:bottom w:val="none" w:sz="0" w:space="0" w:color="auto"/>
                <w:right w:val="none" w:sz="0" w:space="0" w:color="auto"/>
              </w:divBdr>
            </w:div>
          </w:divsChild>
        </w:div>
        <w:div w:id="580287117">
          <w:marLeft w:val="0"/>
          <w:marRight w:val="0"/>
          <w:marTop w:val="0"/>
          <w:marBottom w:val="0"/>
          <w:divBdr>
            <w:top w:val="none" w:sz="0" w:space="0" w:color="auto"/>
            <w:left w:val="none" w:sz="0" w:space="0" w:color="auto"/>
            <w:bottom w:val="none" w:sz="0" w:space="0" w:color="auto"/>
            <w:right w:val="none" w:sz="0" w:space="0" w:color="auto"/>
          </w:divBdr>
          <w:divsChild>
            <w:div w:id="762607709">
              <w:marLeft w:val="0"/>
              <w:marRight w:val="0"/>
              <w:marTop w:val="0"/>
              <w:marBottom w:val="0"/>
              <w:divBdr>
                <w:top w:val="none" w:sz="0" w:space="0" w:color="auto"/>
                <w:left w:val="none" w:sz="0" w:space="0" w:color="auto"/>
                <w:bottom w:val="none" w:sz="0" w:space="0" w:color="auto"/>
                <w:right w:val="none" w:sz="0" w:space="0" w:color="auto"/>
              </w:divBdr>
            </w:div>
          </w:divsChild>
        </w:div>
        <w:div w:id="895629058">
          <w:marLeft w:val="0"/>
          <w:marRight w:val="0"/>
          <w:marTop w:val="0"/>
          <w:marBottom w:val="0"/>
          <w:divBdr>
            <w:top w:val="none" w:sz="0" w:space="0" w:color="auto"/>
            <w:left w:val="none" w:sz="0" w:space="0" w:color="auto"/>
            <w:bottom w:val="none" w:sz="0" w:space="0" w:color="auto"/>
            <w:right w:val="none" w:sz="0" w:space="0" w:color="auto"/>
          </w:divBdr>
          <w:divsChild>
            <w:div w:id="654064589">
              <w:marLeft w:val="0"/>
              <w:marRight w:val="0"/>
              <w:marTop w:val="0"/>
              <w:marBottom w:val="0"/>
              <w:divBdr>
                <w:top w:val="none" w:sz="0" w:space="0" w:color="auto"/>
                <w:left w:val="none" w:sz="0" w:space="0" w:color="auto"/>
                <w:bottom w:val="none" w:sz="0" w:space="0" w:color="auto"/>
                <w:right w:val="none" w:sz="0" w:space="0" w:color="auto"/>
              </w:divBdr>
            </w:div>
          </w:divsChild>
        </w:div>
        <w:div w:id="2009939850">
          <w:marLeft w:val="0"/>
          <w:marRight w:val="0"/>
          <w:marTop w:val="0"/>
          <w:marBottom w:val="0"/>
          <w:divBdr>
            <w:top w:val="none" w:sz="0" w:space="0" w:color="auto"/>
            <w:left w:val="none" w:sz="0" w:space="0" w:color="auto"/>
            <w:bottom w:val="none" w:sz="0" w:space="0" w:color="auto"/>
            <w:right w:val="none" w:sz="0" w:space="0" w:color="auto"/>
          </w:divBdr>
          <w:divsChild>
            <w:div w:id="1680036696">
              <w:marLeft w:val="0"/>
              <w:marRight w:val="0"/>
              <w:marTop w:val="0"/>
              <w:marBottom w:val="0"/>
              <w:divBdr>
                <w:top w:val="none" w:sz="0" w:space="0" w:color="auto"/>
                <w:left w:val="none" w:sz="0" w:space="0" w:color="auto"/>
                <w:bottom w:val="none" w:sz="0" w:space="0" w:color="auto"/>
                <w:right w:val="none" w:sz="0" w:space="0" w:color="auto"/>
              </w:divBdr>
            </w:div>
          </w:divsChild>
        </w:div>
        <w:div w:id="2075740733">
          <w:marLeft w:val="0"/>
          <w:marRight w:val="0"/>
          <w:marTop w:val="0"/>
          <w:marBottom w:val="0"/>
          <w:divBdr>
            <w:top w:val="none" w:sz="0" w:space="0" w:color="auto"/>
            <w:left w:val="none" w:sz="0" w:space="0" w:color="auto"/>
            <w:bottom w:val="none" w:sz="0" w:space="0" w:color="auto"/>
            <w:right w:val="none" w:sz="0" w:space="0" w:color="auto"/>
          </w:divBdr>
          <w:divsChild>
            <w:div w:id="457838016">
              <w:marLeft w:val="0"/>
              <w:marRight w:val="0"/>
              <w:marTop w:val="0"/>
              <w:marBottom w:val="0"/>
              <w:divBdr>
                <w:top w:val="none" w:sz="0" w:space="0" w:color="auto"/>
                <w:left w:val="none" w:sz="0" w:space="0" w:color="auto"/>
                <w:bottom w:val="none" w:sz="0" w:space="0" w:color="auto"/>
                <w:right w:val="none" w:sz="0" w:space="0" w:color="auto"/>
              </w:divBdr>
            </w:div>
          </w:divsChild>
        </w:div>
        <w:div w:id="1056585020">
          <w:marLeft w:val="0"/>
          <w:marRight w:val="0"/>
          <w:marTop w:val="0"/>
          <w:marBottom w:val="0"/>
          <w:divBdr>
            <w:top w:val="none" w:sz="0" w:space="0" w:color="auto"/>
            <w:left w:val="none" w:sz="0" w:space="0" w:color="auto"/>
            <w:bottom w:val="none" w:sz="0" w:space="0" w:color="auto"/>
            <w:right w:val="none" w:sz="0" w:space="0" w:color="auto"/>
          </w:divBdr>
          <w:divsChild>
            <w:div w:id="289020805">
              <w:marLeft w:val="0"/>
              <w:marRight w:val="0"/>
              <w:marTop w:val="0"/>
              <w:marBottom w:val="0"/>
              <w:divBdr>
                <w:top w:val="none" w:sz="0" w:space="0" w:color="auto"/>
                <w:left w:val="none" w:sz="0" w:space="0" w:color="auto"/>
                <w:bottom w:val="none" w:sz="0" w:space="0" w:color="auto"/>
                <w:right w:val="none" w:sz="0" w:space="0" w:color="auto"/>
              </w:divBdr>
            </w:div>
          </w:divsChild>
        </w:div>
        <w:div w:id="1825731074">
          <w:marLeft w:val="0"/>
          <w:marRight w:val="0"/>
          <w:marTop w:val="0"/>
          <w:marBottom w:val="0"/>
          <w:divBdr>
            <w:top w:val="none" w:sz="0" w:space="0" w:color="auto"/>
            <w:left w:val="none" w:sz="0" w:space="0" w:color="auto"/>
            <w:bottom w:val="none" w:sz="0" w:space="0" w:color="auto"/>
            <w:right w:val="none" w:sz="0" w:space="0" w:color="auto"/>
          </w:divBdr>
          <w:divsChild>
            <w:div w:id="1192915658">
              <w:marLeft w:val="0"/>
              <w:marRight w:val="0"/>
              <w:marTop w:val="0"/>
              <w:marBottom w:val="0"/>
              <w:divBdr>
                <w:top w:val="none" w:sz="0" w:space="0" w:color="auto"/>
                <w:left w:val="none" w:sz="0" w:space="0" w:color="auto"/>
                <w:bottom w:val="none" w:sz="0" w:space="0" w:color="auto"/>
                <w:right w:val="none" w:sz="0" w:space="0" w:color="auto"/>
              </w:divBdr>
            </w:div>
          </w:divsChild>
        </w:div>
        <w:div w:id="292904538">
          <w:marLeft w:val="0"/>
          <w:marRight w:val="0"/>
          <w:marTop w:val="0"/>
          <w:marBottom w:val="0"/>
          <w:divBdr>
            <w:top w:val="none" w:sz="0" w:space="0" w:color="auto"/>
            <w:left w:val="none" w:sz="0" w:space="0" w:color="auto"/>
            <w:bottom w:val="none" w:sz="0" w:space="0" w:color="auto"/>
            <w:right w:val="none" w:sz="0" w:space="0" w:color="auto"/>
          </w:divBdr>
          <w:divsChild>
            <w:div w:id="1929652217">
              <w:marLeft w:val="0"/>
              <w:marRight w:val="0"/>
              <w:marTop w:val="0"/>
              <w:marBottom w:val="0"/>
              <w:divBdr>
                <w:top w:val="none" w:sz="0" w:space="0" w:color="auto"/>
                <w:left w:val="none" w:sz="0" w:space="0" w:color="auto"/>
                <w:bottom w:val="none" w:sz="0" w:space="0" w:color="auto"/>
                <w:right w:val="none" w:sz="0" w:space="0" w:color="auto"/>
              </w:divBdr>
            </w:div>
          </w:divsChild>
        </w:div>
        <w:div w:id="1328093409">
          <w:marLeft w:val="0"/>
          <w:marRight w:val="0"/>
          <w:marTop w:val="300"/>
          <w:marBottom w:val="300"/>
          <w:divBdr>
            <w:top w:val="none" w:sz="0" w:space="0" w:color="auto"/>
            <w:left w:val="none" w:sz="0" w:space="0" w:color="auto"/>
            <w:bottom w:val="none" w:sz="0" w:space="0" w:color="auto"/>
            <w:right w:val="none" w:sz="0" w:space="0" w:color="auto"/>
          </w:divBdr>
        </w:div>
        <w:div w:id="944312269">
          <w:marLeft w:val="0"/>
          <w:marRight w:val="0"/>
          <w:marTop w:val="0"/>
          <w:marBottom w:val="0"/>
          <w:divBdr>
            <w:top w:val="none" w:sz="0" w:space="0" w:color="auto"/>
            <w:left w:val="none" w:sz="0" w:space="0" w:color="auto"/>
            <w:bottom w:val="none" w:sz="0" w:space="0" w:color="auto"/>
            <w:right w:val="none" w:sz="0" w:space="0" w:color="auto"/>
          </w:divBdr>
          <w:divsChild>
            <w:div w:id="128941029">
              <w:marLeft w:val="0"/>
              <w:marRight w:val="0"/>
              <w:marTop w:val="0"/>
              <w:marBottom w:val="0"/>
              <w:divBdr>
                <w:top w:val="none" w:sz="0" w:space="0" w:color="auto"/>
                <w:left w:val="none" w:sz="0" w:space="0" w:color="auto"/>
                <w:bottom w:val="none" w:sz="0" w:space="0" w:color="auto"/>
                <w:right w:val="none" w:sz="0" w:space="0" w:color="auto"/>
              </w:divBdr>
            </w:div>
          </w:divsChild>
        </w:div>
        <w:div w:id="1190947860">
          <w:marLeft w:val="0"/>
          <w:marRight w:val="0"/>
          <w:marTop w:val="0"/>
          <w:marBottom w:val="0"/>
          <w:divBdr>
            <w:top w:val="none" w:sz="0" w:space="0" w:color="auto"/>
            <w:left w:val="none" w:sz="0" w:space="0" w:color="auto"/>
            <w:bottom w:val="none" w:sz="0" w:space="0" w:color="auto"/>
            <w:right w:val="none" w:sz="0" w:space="0" w:color="auto"/>
          </w:divBdr>
          <w:divsChild>
            <w:div w:id="1085342986">
              <w:marLeft w:val="0"/>
              <w:marRight w:val="0"/>
              <w:marTop w:val="0"/>
              <w:marBottom w:val="0"/>
              <w:divBdr>
                <w:top w:val="none" w:sz="0" w:space="0" w:color="auto"/>
                <w:left w:val="none" w:sz="0" w:space="0" w:color="auto"/>
                <w:bottom w:val="none" w:sz="0" w:space="0" w:color="auto"/>
                <w:right w:val="none" w:sz="0" w:space="0" w:color="auto"/>
              </w:divBdr>
            </w:div>
          </w:divsChild>
        </w:div>
        <w:div w:id="1908880831">
          <w:marLeft w:val="0"/>
          <w:marRight w:val="0"/>
          <w:marTop w:val="0"/>
          <w:marBottom w:val="0"/>
          <w:divBdr>
            <w:top w:val="none" w:sz="0" w:space="0" w:color="auto"/>
            <w:left w:val="none" w:sz="0" w:space="0" w:color="auto"/>
            <w:bottom w:val="none" w:sz="0" w:space="0" w:color="auto"/>
            <w:right w:val="none" w:sz="0" w:space="0" w:color="auto"/>
          </w:divBdr>
          <w:divsChild>
            <w:div w:id="1961301050">
              <w:marLeft w:val="0"/>
              <w:marRight w:val="0"/>
              <w:marTop w:val="0"/>
              <w:marBottom w:val="0"/>
              <w:divBdr>
                <w:top w:val="none" w:sz="0" w:space="0" w:color="auto"/>
                <w:left w:val="none" w:sz="0" w:space="0" w:color="auto"/>
                <w:bottom w:val="none" w:sz="0" w:space="0" w:color="auto"/>
                <w:right w:val="none" w:sz="0" w:space="0" w:color="auto"/>
              </w:divBdr>
            </w:div>
          </w:divsChild>
        </w:div>
        <w:div w:id="1024021896">
          <w:marLeft w:val="0"/>
          <w:marRight w:val="0"/>
          <w:marTop w:val="0"/>
          <w:marBottom w:val="0"/>
          <w:divBdr>
            <w:top w:val="none" w:sz="0" w:space="0" w:color="auto"/>
            <w:left w:val="none" w:sz="0" w:space="0" w:color="auto"/>
            <w:bottom w:val="none" w:sz="0" w:space="0" w:color="auto"/>
            <w:right w:val="none" w:sz="0" w:space="0" w:color="auto"/>
          </w:divBdr>
          <w:divsChild>
            <w:div w:id="1731071689">
              <w:marLeft w:val="0"/>
              <w:marRight w:val="0"/>
              <w:marTop w:val="0"/>
              <w:marBottom w:val="0"/>
              <w:divBdr>
                <w:top w:val="none" w:sz="0" w:space="0" w:color="auto"/>
                <w:left w:val="none" w:sz="0" w:space="0" w:color="auto"/>
                <w:bottom w:val="none" w:sz="0" w:space="0" w:color="auto"/>
                <w:right w:val="none" w:sz="0" w:space="0" w:color="auto"/>
              </w:divBdr>
            </w:div>
          </w:divsChild>
        </w:div>
        <w:div w:id="1012993989">
          <w:marLeft w:val="0"/>
          <w:marRight w:val="0"/>
          <w:marTop w:val="0"/>
          <w:marBottom w:val="0"/>
          <w:divBdr>
            <w:top w:val="none" w:sz="0" w:space="0" w:color="auto"/>
            <w:left w:val="none" w:sz="0" w:space="0" w:color="auto"/>
            <w:bottom w:val="none" w:sz="0" w:space="0" w:color="auto"/>
            <w:right w:val="none" w:sz="0" w:space="0" w:color="auto"/>
          </w:divBdr>
          <w:divsChild>
            <w:div w:id="1638102102">
              <w:marLeft w:val="0"/>
              <w:marRight w:val="0"/>
              <w:marTop w:val="0"/>
              <w:marBottom w:val="0"/>
              <w:divBdr>
                <w:top w:val="none" w:sz="0" w:space="0" w:color="auto"/>
                <w:left w:val="none" w:sz="0" w:space="0" w:color="auto"/>
                <w:bottom w:val="none" w:sz="0" w:space="0" w:color="auto"/>
                <w:right w:val="none" w:sz="0" w:space="0" w:color="auto"/>
              </w:divBdr>
            </w:div>
          </w:divsChild>
        </w:div>
        <w:div w:id="1402867630">
          <w:marLeft w:val="0"/>
          <w:marRight w:val="0"/>
          <w:marTop w:val="0"/>
          <w:marBottom w:val="0"/>
          <w:divBdr>
            <w:top w:val="none" w:sz="0" w:space="0" w:color="auto"/>
            <w:left w:val="none" w:sz="0" w:space="0" w:color="auto"/>
            <w:bottom w:val="none" w:sz="0" w:space="0" w:color="auto"/>
            <w:right w:val="none" w:sz="0" w:space="0" w:color="auto"/>
          </w:divBdr>
          <w:divsChild>
            <w:div w:id="168297231">
              <w:marLeft w:val="0"/>
              <w:marRight w:val="0"/>
              <w:marTop w:val="0"/>
              <w:marBottom w:val="0"/>
              <w:divBdr>
                <w:top w:val="none" w:sz="0" w:space="0" w:color="auto"/>
                <w:left w:val="none" w:sz="0" w:space="0" w:color="auto"/>
                <w:bottom w:val="none" w:sz="0" w:space="0" w:color="auto"/>
                <w:right w:val="none" w:sz="0" w:space="0" w:color="auto"/>
              </w:divBdr>
            </w:div>
          </w:divsChild>
        </w:div>
        <w:div w:id="2062437585">
          <w:marLeft w:val="0"/>
          <w:marRight w:val="0"/>
          <w:marTop w:val="0"/>
          <w:marBottom w:val="0"/>
          <w:divBdr>
            <w:top w:val="none" w:sz="0" w:space="0" w:color="auto"/>
            <w:left w:val="none" w:sz="0" w:space="0" w:color="auto"/>
            <w:bottom w:val="none" w:sz="0" w:space="0" w:color="auto"/>
            <w:right w:val="none" w:sz="0" w:space="0" w:color="auto"/>
          </w:divBdr>
          <w:divsChild>
            <w:div w:id="334040555">
              <w:marLeft w:val="0"/>
              <w:marRight w:val="0"/>
              <w:marTop w:val="0"/>
              <w:marBottom w:val="0"/>
              <w:divBdr>
                <w:top w:val="none" w:sz="0" w:space="0" w:color="auto"/>
                <w:left w:val="none" w:sz="0" w:space="0" w:color="auto"/>
                <w:bottom w:val="none" w:sz="0" w:space="0" w:color="auto"/>
                <w:right w:val="none" w:sz="0" w:space="0" w:color="auto"/>
              </w:divBdr>
            </w:div>
          </w:divsChild>
        </w:div>
        <w:div w:id="1255747795">
          <w:marLeft w:val="0"/>
          <w:marRight w:val="0"/>
          <w:marTop w:val="0"/>
          <w:marBottom w:val="0"/>
          <w:divBdr>
            <w:top w:val="none" w:sz="0" w:space="0" w:color="auto"/>
            <w:left w:val="none" w:sz="0" w:space="0" w:color="auto"/>
            <w:bottom w:val="none" w:sz="0" w:space="0" w:color="auto"/>
            <w:right w:val="none" w:sz="0" w:space="0" w:color="auto"/>
          </w:divBdr>
          <w:divsChild>
            <w:div w:id="225803601">
              <w:marLeft w:val="0"/>
              <w:marRight w:val="0"/>
              <w:marTop w:val="0"/>
              <w:marBottom w:val="0"/>
              <w:divBdr>
                <w:top w:val="none" w:sz="0" w:space="0" w:color="auto"/>
                <w:left w:val="none" w:sz="0" w:space="0" w:color="auto"/>
                <w:bottom w:val="none" w:sz="0" w:space="0" w:color="auto"/>
                <w:right w:val="none" w:sz="0" w:space="0" w:color="auto"/>
              </w:divBdr>
            </w:div>
          </w:divsChild>
        </w:div>
        <w:div w:id="749350774">
          <w:marLeft w:val="0"/>
          <w:marRight w:val="0"/>
          <w:marTop w:val="0"/>
          <w:marBottom w:val="0"/>
          <w:divBdr>
            <w:top w:val="none" w:sz="0" w:space="0" w:color="auto"/>
            <w:left w:val="none" w:sz="0" w:space="0" w:color="auto"/>
            <w:bottom w:val="none" w:sz="0" w:space="0" w:color="auto"/>
            <w:right w:val="none" w:sz="0" w:space="0" w:color="auto"/>
          </w:divBdr>
          <w:divsChild>
            <w:div w:id="611933438">
              <w:marLeft w:val="0"/>
              <w:marRight w:val="0"/>
              <w:marTop w:val="0"/>
              <w:marBottom w:val="0"/>
              <w:divBdr>
                <w:top w:val="none" w:sz="0" w:space="0" w:color="auto"/>
                <w:left w:val="none" w:sz="0" w:space="0" w:color="auto"/>
                <w:bottom w:val="none" w:sz="0" w:space="0" w:color="auto"/>
                <w:right w:val="none" w:sz="0" w:space="0" w:color="auto"/>
              </w:divBdr>
            </w:div>
          </w:divsChild>
        </w:div>
        <w:div w:id="1717392484">
          <w:marLeft w:val="0"/>
          <w:marRight w:val="0"/>
          <w:marTop w:val="300"/>
          <w:marBottom w:val="300"/>
          <w:divBdr>
            <w:top w:val="none" w:sz="0" w:space="0" w:color="auto"/>
            <w:left w:val="none" w:sz="0" w:space="0" w:color="auto"/>
            <w:bottom w:val="none" w:sz="0" w:space="0" w:color="auto"/>
            <w:right w:val="none" w:sz="0" w:space="0" w:color="auto"/>
          </w:divBdr>
        </w:div>
        <w:div w:id="1221474737">
          <w:marLeft w:val="0"/>
          <w:marRight w:val="0"/>
          <w:marTop w:val="0"/>
          <w:marBottom w:val="0"/>
          <w:divBdr>
            <w:top w:val="none" w:sz="0" w:space="0" w:color="auto"/>
            <w:left w:val="none" w:sz="0" w:space="0" w:color="auto"/>
            <w:bottom w:val="none" w:sz="0" w:space="0" w:color="auto"/>
            <w:right w:val="none" w:sz="0" w:space="0" w:color="auto"/>
          </w:divBdr>
          <w:divsChild>
            <w:div w:id="685711494">
              <w:marLeft w:val="0"/>
              <w:marRight w:val="0"/>
              <w:marTop w:val="0"/>
              <w:marBottom w:val="0"/>
              <w:divBdr>
                <w:top w:val="none" w:sz="0" w:space="0" w:color="auto"/>
                <w:left w:val="none" w:sz="0" w:space="0" w:color="auto"/>
                <w:bottom w:val="none" w:sz="0" w:space="0" w:color="auto"/>
                <w:right w:val="none" w:sz="0" w:space="0" w:color="auto"/>
              </w:divBdr>
            </w:div>
          </w:divsChild>
        </w:div>
        <w:div w:id="514151058">
          <w:marLeft w:val="0"/>
          <w:marRight w:val="0"/>
          <w:marTop w:val="0"/>
          <w:marBottom w:val="0"/>
          <w:divBdr>
            <w:top w:val="none" w:sz="0" w:space="0" w:color="auto"/>
            <w:left w:val="none" w:sz="0" w:space="0" w:color="auto"/>
            <w:bottom w:val="none" w:sz="0" w:space="0" w:color="auto"/>
            <w:right w:val="none" w:sz="0" w:space="0" w:color="auto"/>
          </w:divBdr>
          <w:divsChild>
            <w:div w:id="1517302044">
              <w:marLeft w:val="0"/>
              <w:marRight w:val="0"/>
              <w:marTop w:val="0"/>
              <w:marBottom w:val="0"/>
              <w:divBdr>
                <w:top w:val="none" w:sz="0" w:space="0" w:color="auto"/>
                <w:left w:val="none" w:sz="0" w:space="0" w:color="auto"/>
                <w:bottom w:val="none" w:sz="0" w:space="0" w:color="auto"/>
                <w:right w:val="none" w:sz="0" w:space="0" w:color="auto"/>
              </w:divBdr>
            </w:div>
          </w:divsChild>
        </w:div>
        <w:div w:id="1994986354">
          <w:marLeft w:val="0"/>
          <w:marRight w:val="0"/>
          <w:marTop w:val="0"/>
          <w:marBottom w:val="0"/>
          <w:divBdr>
            <w:top w:val="none" w:sz="0" w:space="0" w:color="auto"/>
            <w:left w:val="none" w:sz="0" w:space="0" w:color="auto"/>
            <w:bottom w:val="none" w:sz="0" w:space="0" w:color="auto"/>
            <w:right w:val="none" w:sz="0" w:space="0" w:color="auto"/>
          </w:divBdr>
          <w:divsChild>
            <w:div w:id="1562211569">
              <w:marLeft w:val="0"/>
              <w:marRight w:val="0"/>
              <w:marTop w:val="0"/>
              <w:marBottom w:val="0"/>
              <w:divBdr>
                <w:top w:val="none" w:sz="0" w:space="0" w:color="auto"/>
                <w:left w:val="none" w:sz="0" w:space="0" w:color="auto"/>
                <w:bottom w:val="none" w:sz="0" w:space="0" w:color="auto"/>
                <w:right w:val="none" w:sz="0" w:space="0" w:color="auto"/>
              </w:divBdr>
            </w:div>
          </w:divsChild>
        </w:div>
        <w:div w:id="1991640897">
          <w:marLeft w:val="0"/>
          <w:marRight w:val="0"/>
          <w:marTop w:val="0"/>
          <w:marBottom w:val="0"/>
          <w:divBdr>
            <w:top w:val="none" w:sz="0" w:space="0" w:color="auto"/>
            <w:left w:val="none" w:sz="0" w:space="0" w:color="auto"/>
            <w:bottom w:val="none" w:sz="0" w:space="0" w:color="auto"/>
            <w:right w:val="none" w:sz="0" w:space="0" w:color="auto"/>
          </w:divBdr>
          <w:divsChild>
            <w:div w:id="2065567444">
              <w:marLeft w:val="0"/>
              <w:marRight w:val="0"/>
              <w:marTop w:val="0"/>
              <w:marBottom w:val="0"/>
              <w:divBdr>
                <w:top w:val="none" w:sz="0" w:space="0" w:color="auto"/>
                <w:left w:val="none" w:sz="0" w:space="0" w:color="auto"/>
                <w:bottom w:val="none" w:sz="0" w:space="0" w:color="auto"/>
                <w:right w:val="none" w:sz="0" w:space="0" w:color="auto"/>
              </w:divBdr>
            </w:div>
          </w:divsChild>
        </w:div>
        <w:div w:id="226889420">
          <w:marLeft w:val="0"/>
          <w:marRight w:val="0"/>
          <w:marTop w:val="0"/>
          <w:marBottom w:val="0"/>
          <w:divBdr>
            <w:top w:val="none" w:sz="0" w:space="0" w:color="auto"/>
            <w:left w:val="none" w:sz="0" w:space="0" w:color="auto"/>
            <w:bottom w:val="none" w:sz="0" w:space="0" w:color="auto"/>
            <w:right w:val="none" w:sz="0" w:space="0" w:color="auto"/>
          </w:divBdr>
          <w:divsChild>
            <w:div w:id="1080325726">
              <w:marLeft w:val="0"/>
              <w:marRight w:val="0"/>
              <w:marTop w:val="0"/>
              <w:marBottom w:val="0"/>
              <w:divBdr>
                <w:top w:val="none" w:sz="0" w:space="0" w:color="auto"/>
                <w:left w:val="none" w:sz="0" w:space="0" w:color="auto"/>
                <w:bottom w:val="none" w:sz="0" w:space="0" w:color="auto"/>
                <w:right w:val="none" w:sz="0" w:space="0" w:color="auto"/>
              </w:divBdr>
            </w:div>
          </w:divsChild>
        </w:div>
        <w:div w:id="829948949">
          <w:marLeft w:val="0"/>
          <w:marRight w:val="0"/>
          <w:marTop w:val="0"/>
          <w:marBottom w:val="0"/>
          <w:divBdr>
            <w:top w:val="none" w:sz="0" w:space="0" w:color="auto"/>
            <w:left w:val="none" w:sz="0" w:space="0" w:color="auto"/>
            <w:bottom w:val="none" w:sz="0" w:space="0" w:color="auto"/>
            <w:right w:val="none" w:sz="0" w:space="0" w:color="auto"/>
          </w:divBdr>
          <w:divsChild>
            <w:div w:id="1192720757">
              <w:marLeft w:val="0"/>
              <w:marRight w:val="0"/>
              <w:marTop w:val="0"/>
              <w:marBottom w:val="0"/>
              <w:divBdr>
                <w:top w:val="none" w:sz="0" w:space="0" w:color="auto"/>
                <w:left w:val="none" w:sz="0" w:space="0" w:color="auto"/>
                <w:bottom w:val="none" w:sz="0" w:space="0" w:color="auto"/>
                <w:right w:val="none" w:sz="0" w:space="0" w:color="auto"/>
              </w:divBdr>
            </w:div>
          </w:divsChild>
        </w:div>
        <w:div w:id="120148840">
          <w:marLeft w:val="0"/>
          <w:marRight w:val="0"/>
          <w:marTop w:val="0"/>
          <w:marBottom w:val="0"/>
          <w:divBdr>
            <w:top w:val="none" w:sz="0" w:space="0" w:color="auto"/>
            <w:left w:val="none" w:sz="0" w:space="0" w:color="auto"/>
            <w:bottom w:val="none" w:sz="0" w:space="0" w:color="auto"/>
            <w:right w:val="none" w:sz="0" w:space="0" w:color="auto"/>
          </w:divBdr>
          <w:divsChild>
            <w:div w:id="485436332">
              <w:marLeft w:val="0"/>
              <w:marRight w:val="0"/>
              <w:marTop w:val="0"/>
              <w:marBottom w:val="0"/>
              <w:divBdr>
                <w:top w:val="none" w:sz="0" w:space="0" w:color="auto"/>
                <w:left w:val="none" w:sz="0" w:space="0" w:color="auto"/>
                <w:bottom w:val="none" w:sz="0" w:space="0" w:color="auto"/>
                <w:right w:val="none" w:sz="0" w:space="0" w:color="auto"/>
              </w:divBdr>
            </w:div>
          </w:divsChild>
        </w:div>
        <w:div w:id="1011957507">
          <w:marLeft w:val="0"/>
          <w:marRight w:val="0"/>
          <w:marTop w:val="0"/>
          <w:marBottom w:val="0"/>
          <w:divBdr>
            <w:top w:val="none" w:sz="0" w:space="0" w:color="auto"/>
            <w:left w:val="none" w:sz="0" w:space="0" w:color="auto"/>
            <w:bottom w:val="none" w:sz="0" w:space="0" w:color="auto"/>
            <w:right w:val="none" w:sz="0" w:space="0" w:color="auto"/>
          </w:divBdr>
          <w:divsChild>
            <w:div w:id="1357122642">
              <w:marLeft w:val="0"/>
              <w:marRight w:val="0"/>
              <w:marTop w:val="0"/>
              <w:marBottom w:val="0"/>
              <w:divBdr>
                <w:top w:val="none" w:sz="0" w:space="0" w:color="auto"/>
                <w:left w:val="none" w:sz="0" w:space="0" w:color="auto"/>
                <w:bottom w:val="none" w:sz="0" w:space="0" w:color="auto"/>
                <w:right w:val="none" w:sz="0" w:space="0" w:color="auto"/>
              </w:divBdr>
            </w:div>
          </w:divsChild>
        </w:div>
        <w:div w:id="1930234197">
          <w:marLeft w:val="0"/>
          <w:marRight w:val="0"/>
          <w:marTop w:val="0"/>
          <w:marBottom w:val="0"/>
          <w:divBdr>
            <w:top w:val="none" w:sz="0" w:space="0" w:color="auto"/>
            <w:left w:val="none" w:sz="0" w:space="0" w:color="auto"/>
            <w:bottom w:val="none" w:sz="0" w:space="0" w:color="auto"/>
            <w:right w:val="none" w:sz="0" w:space="0" w:color="auto"/>
          </w:divBdr>
          <w:divsChild>
            <w:div w:id="2108426590">
              <w:marLeft w:val="0"/>
              <w:marRight w:val="0"/>
              <w:marTop w:val="0"/>
              <w:marBottom w:val="0"/>
              <w:divBdr>
                <w:top w:val="none" w:sz="0" w:space="0" w:color="auto"/>
                <w:left w:val="none" w:sz="0" w:space="0" w:color="auto"/>
                <w:bottom w:val="none" w:sz="0" w:space="0" w:color="auto"/>
                <w:right w:val="none" w:sz="0" w:space="0" w:color="auto"/>
              </w:divBdr>
            </w:div>
          </w:divsChild>
        </w:div>
        <w:div w:id="444694060">
          <w:marLeft w:val="0"/>
          <w:marRight w:val="0"/>
          <w:marTop w:val="0"/>
          <w:marBottom w:val="0"/>
          <w:divBdr>
            <w:top w:val="none" w:sz="0" w:space="0" w:color="auto"/>
            <w:left w:val="none" w:sz="0" w:space="0" w:color="auto"/>
            <w:bottom w:val="none" w:sz="0" w:space="0" w:color="auto"/>
            <w:right w:val="none" w:sz="0" w:space="0" w:color="auto"/>
          </w:divBdr>
          <w:divsChild>
            <w:div w:id="2086100529">
              <w:marLeft w:val="0"/>
              <w:marRight w:val="0"/>
              <w:marTop w:val="0"/>
              <w:marBottom w:val="0"/>
              <w:divBdr>
                <w:top w:val="none" w:sz="0" w:space="0" w:color="auto"/>
                <w:left w:val="none" w:sz="0" w:space="0" w:color="auto"/>
                <w:bottom w:val="none" w:sz="0" w:space="0" w:color="auto"/>
                <w:right w:val="none" w:sz="0" w:space="0" w:color="auto"/>
              </w:divBdr>
            </w:div>
          </w:divsChild>
        </w:div>
        <w:div w:id="160170822">
          <w:marLeft w:val="0"/>
          <w:marRight w:val="0"/>
          <w:marTop w:val="0"/>
          <w:marBottom w:val="0"/>
          <w:divBdr>
            <w:top w:val="none" w:sz="0" w:space="0" w:color="auto"/>
            <w:left w:val="none" w:sz="0" w:space="0" w:color="auto"/>
            <w:bottom w:val="none" w:sz="0" w:space="0" w:color="auto"/>
            <w:right w:val="none" w:sz="0" w:space="0" w:color="auto"/>
          </w:divBdr>
          <w:divsChild>
            <w:div w:id="41104848">
              <w:marLeft w:val="0"/>
              <w:marRight w:val="0"/>
              <w:marTop w:val="0"/>
              <w:marBottom w:val="0"/>
              <w:divBdr>
                <w:top w:val="none" w:sz="0" w:space="0" w:color="auto"/>
                <w:left w:val="none" w:sz="0" w:space="0" w:color="auto"/>
                <w:bottom w:val="none" w:sz="0" w:space="0" w:color="auto"/>
                <w:right w:val="none" w:sz="0" w:space="0" w:color="auto"/>
              </w:divBdr>
            </w:div>
          </w:divsChild>
        </w:div>
        <w:div w:id="114563390">
          <w:marLeft w:val="0"/>
          <w:marRight w:val="0"/>
          <w:marTop w:val="0"/>
          <w:marBottom w:val="0"/>
          <w:divBdr>
            <w:top w:val="none" w:sz="0" w:space="0" w:color="auto"/>
            <w:left w:val="none" w:sz="0" w:space="0" w:color="auto"/>
            <w:bottom w:val="none" w:sz="0" w:space="0" w:color="auto"/>
            <w:right w:val="none" w:sz="0" w:space="0" w:color="auto"/>
          </w:divBdr>
          <w:divsChild>
            <w:div w:id="406654266">
              <w:marLeft w:val="0"/>
              <w:marRight w:val="0"/>
              <w:marTop w:val="0"/>
              <w:marBottom w:val="0"/>
              <w:divBdr>
                <w:top w:val="none" w:sz="0" w:space="0" w:color="auto"/>
                <w:left w:val="none" w:sz="0" w:space="0" w:color="auto"/>
                <w:bottom w:val="none" w:sz="0" w:space="0" w:color="auto"/>
                <w:right w:val="none" w:sz="0" w:space="0" w:color="auto"/>
              </w:divBdr>
            </w:div>
          </w:divsChild>
        </w:div>
        <w:div w:id="1131362356">
          <w:marLeft w:val="0"/>
          <w:marRight w:val="0"/>
          <w:marTop w:val="0"/>
          <w:marBottom w:val="0"/>
          <w:divBdr>
            <w:top w:val="none" w:sz="0" w:space="0" w:color="auto"/>
            <w:left w:val="none" w:sz="0" w:space="0" w:color="auto"/>
            <w:bottom w:val="none" w:sz="0" w:space="0" w:color="auto"/>
            <w:right w:val="none" w:sz="0" w:space="0" w:color="auto"/>
          </w:divBdr>
          <w:divsChild>
            <w:div w:id="2040356202">
              <w:marLeft w:val="0"/>
              <w:marRight w:val="0"/>
              <w:marTop w:val="0"/>
              <w:marBottom w:val="0"/>
              <w:divBdr>
                <w:top w:val="none" w:sz="0" w:space="0" w:color="auto"/>
                <w:left w:val="none" w:sz="0" w:space="0" w:color="auto"/>
                <w:bottom w:val="none" w:sz="0" w:space="0" w:color="auto"/>
                <w:right w:val="none" w:sz="0" w:space="0" w:color="auto"/>
              </w:divBdr>
            </w:div>
          </w:divsChild>
        </w:div>
        <w:div w:id="1834298631">
          <w:marLeft w:val="0"/>
          <w:marRight w:val="0"/>
          <w:marTop w:val="0"/>
          <w:marBottom w:val="0"/>
          <w:divBdr>
            <w:top w:val="none" w:sz="0" w:space="0" w:color="auto"/>
            <w:left w:val="none" w:sz="0" w:space="0" w:color="auto"/>
            <w:bottom w:val="none" w:sz="0" w:space="0" w:color="auto"/>
            <w:right w:val="none" w:sz="0" w:space="0" w:color="auto"/>
          </w:divBdr>
          <w:divsChild>
            <w:div w:id="1230387417">
              <w:marLeft w:val="0"/>
              <w:marRight w:val="0"/>
              <w:marTop w:val="0"/>
              <w:marBottom w:val="0"/>
              <w:divBdr>
                <w:top w:val="none" w:sz="0" w:space="0" w:color="auto"/>
                <w:left w:val="none" w:sz="0" w:space="0" w:color="auto"/>
                <w:bottom w:val="none" w:sz="0" w:space="0" w:color="auto"/>
                <w:right w:val="none" w:sz="0" w:space="0" w:color="auto"/>
              </w:divBdr>
            </w:div>
          </w:divsChild>
        </w:div>
        <w:div w:id="2043088080">
          <w:marLeft w:val="0"/>
          <w:marRight w:val="0"/>
          <w:marTop w:val="300"/>
          <w:marBottom w:val="300"/>
          <w:divBdr>
            <w:top w:val="none" w:sz="0" w:space="0" w:color="auto"/>
            <w:left w:val="none" w:sz="0" w:space="0" w:color="auto"/>
            <w:bottom w:val="none" w:sz="0" w:space="0" w:color="auto"/>
            <w:right w:val="none" w:sz="0" w:space="0" w:color="auto"/>
          </w:divBdr>
        </w:div>
        <w:div w:id="1104574427">
          <w:marLeft w:val="0"/>
          <w:marRight w:val="0"/>
          <w:marTop w:val="0"/>
          <w:marBottom w:val="0"/>
          <w:divBdr>
            <w:top w:val="none" w:sz="0" w:space="0" w:color="auto"/>
            <w:left w:val="none" w:sz="0" w:space="0" w:color="auto"/>
            <w:bottom w:val="none" w:sz="0" w:space="0" w:color="auto"/>
            <w:right w:val="none" w:sz="0" w:space="0" w:color="auto"/>
          </w:divBdr>
          <w:divsChild>
            <w:div w:id="621883267">
              <w:marLeft w:val="0"/>
              <w:marRight w:val="0"/>
              <w:marTop w:val="0"/>
              <w:marBottom w:val="0"/>
              <w:divBdr>
                <w:top w:val="none" w:sz="0" w:space="0" w:color="auto"/>
                <w:left w:val="none" w:sz="0" w:space="0" w:color="auto"/>
                <w:bottom w:val="none" w:sz="0" w:space="0" w:color="auto"/>
                <w:right w:val="none" w:sz="0" w:space="0" w:color="auto"/>
              </w:divBdr>
            </w:div>
          </w:divsChild>
        </w:div>
        <w:div w:id="2117797024">
          <w:marLeft w:val="0"/>
          <w:marRight w:val="0"/>
          <w:marTop w:val="0"/>
          <w:marBottom w:val="0"/>
          <w:divBdr>
            <w:top w:val="none" w:sz="0" w:space="0" w:color="auto"/>
            <w:left w:val="none" w:sz="0" w:space="0" w:color="auto"/>
            <w:bottom w:val="none" w:sz="0" w:space="0" w:color="auto"/>
            <w:right w:val="none" w:sz="0" w:space="0" w:color="auto"/>
          </w:divBdr>
          <w:divsChild>
            <w:div w:id="637421423">
              <w:marLeft w:val="0"/>
              <w:marRight w:val="0"/>
              <w:marTop w:val="0"/>
              <w:marBottom w:val="0"/>
              <w:divBdr>
                <w:top w:val="none" w:sz="0" w:space="0" w:color="auto"/>
                <w:left w:val="none" w:sz="0" w:space="0" w:color="auto"/>
                <w:bottom w:val="none" w:sz="0" w:space="0" w:color="auto"/>
                <w:right w:val="none" w:sz="0" w:space="0" w:color="auto"/>
              </w:divBdr>
            </w:div>
          </w:divsChild>
        </w:div>
        <w:div w:id="1642954143">
          <w:marLeft w:val="0"/>
          <w:marRight w:val="0"/>
          <w:marTop w:val="0"/>
          <w:marBottom w:val="0"/>
          <w:divBdr>
            <w:top w:val="none" w:sz="0" w:space="0" w:color="auto"/>
            <w:left w:val="none" w:sz="0" w:space="0" w:color="auto"/>
            <w:bottom w:val="none" w:sz="0" w:space="0" w:color="auto"/>
            <w:right w:val="none" w:sz="0" w:space="0" w:color="auto"/>
          </w:divBdr>
          <w:divsChild>
            <w:div w:id="1800762495">
              <w:marLeft w:val="0"/>
              <w:marRight w:val="0"/>
              <w:marTop w:val="0"/>
              <w:marBottom w:val="0"/>
              <w:divBdr>
                <w:top w:val="none" w:sz="0" w:space="0" w:color="auto"/>
                <w:left w:val="none" w:sz="0" w:space="0" w:color="auto"/>
                <w:bottom w:val="none" w:sz="0" w:space="0" w:color="auto"/>
                <w:right w:val="none" w:sz="0" w:space="0" w:color="auto"/>
              </w:divBdr>
            </w:div>
          </w:divsChild>
        </w:div>
        <w:div w:id="1274824482">
          <w:marLeft w:val="0"/>
          <w:marRight w:val="0"/>
          <w:marTop w:val="0"/>
          <w:marBottom w:val="0"/>
          <w:divBdr>
            <w:top w:val="none" w:sz="0" w:space="0" w:color="auto"/>
            <w:left w:val="none" w:sz="0" w:space="0" w:color="auto"/>
            <w:bottom w:val="none" w:sz="0" w:space="0" w:color="auto"/>
            <w:right w:val="none" w:sz="0" w:space="0" w:color="auto"/>
          </w:divBdr>
          <w:divsChild>
            <w:div w:id="1903901035">
              <w:marLeft w:val="0"/>
              <w:marRight w:val="0"/>
              <w:marTop w:val="0"/>
              <w:marBottom w:val="0"/>
              <w:divBdr>
                <w:top w:val="none" w:sz="0" w:space="0" w:color="auto"/>
                <w:left w:val="none" w:sz="0" w:space="0" w:color="auto"/>
                <w:bottom w:val="none" w:sz="0" w:space="0" w:color="auto"/>
                <w:right w:val="none" w:sz="0" w:space="0" w:color="auto"/>
              </w:divBdr>
            </w:div>
          </w:divsChild>
        </w:div>
        <w:div w:id="444924988">
          <w:marLeft w:val="0"/>
          <w:marRight w:val="0"/>
          <w:marTop w:val="0"/>
          <w:marBottom w:val="0"/>
          <w:divBdr>
            <w:top w:val="none" w:sz="0" w:space="0" w:color="auto"/>
            <w:left w:val="none" w:sz="0" w:space="0" w:color="auto"/>
            <w:bottom w:val="none" w:sz="0" w:space="0" w:color="auto"/>
            <w:right w:val="none" w:sz="0" w:space="0" w:color="auto"/>
          </w:divBdr>
          <w:divsChild>
            <w:div w:id="1953708844">
              <w:marLeft w:val="0"/>
              <w:marRight w:val="0"/>
              <w:marTop w:val="0"/>
              <w:marBottom w:val="0"/>
              <w:divBdr>
                <w:top w:val="none" w:sz="0" w:space="0" w:color="auto"/>
                <w:left w:val="none" w:sz="0" w:space="0" w:color="auto"/>
                <w:bottom w:val="none" w:sz="0" w:space="0" w:color="auto"/>
                <w:right w:val="none" w:sz="0" w:space="0" w:color="auto"/>
              </w:divBdr>
            </w:div>
          </w:divsChild>
        </w:div>
        <w:div w:id="124472861">
          <w:marLeft w:val="0"/>
          <w:marRight w:val="0"/>
          <w:marTop w:val="0"/>
          <w:marBottom w:val="0"/>
          <w:divBdr>
            <w:top w:val="none" w:sz="0" w:space="0" w:color="auto"/>
            <w:left w:val="none" w:sz="0" w:space="0" w:color="auto"/>
            <w:bottom w:val="none" w:sz="0" w:space="0" w:color="auto"/>
            <w:right w:val="none" w:sz="0" w:space="0" w:color="auto"/>
          </w:divBdr>
          <w:divsChild>
            <w:div w:id="234164712">
              <w:marLeft w:val="0"/>
              <w:marRight w:val="0"/>
              <w:marTop w:val="0"/>
              <w:marBottom w:val="0"/>
              <w:divBdr>
                <w:top w:val="none" w:sz="0" w:space="0" w:color="auto"/>
                <w:left w:val="none" w:sz="0" w:space="0" w:color="auto"/>
                <w:bottom w:val="none" w:sz="0" w:space="0" w:color="auto"/>
                <w:right w:val="none" w:sz="0" w:space="0" w:color="auto"/>
              </w:divBdr>
            </w:div>
          </w:divsChild>
        </w:div>
        <w:div w:id="1648514722">
          <w:marLeft w:val="0"/>
          <w:marRight w:val="0"/>
          <w:marTop w:val="0"/>
          <w:marBottom w:val="0"/>
          <w:divBdr>
            <w:top w:val="none" w:sz="0" w:space="0" w:color="auto"/>
            <w:left w:val="none" w:sz="0" w:space="0" w:color="auto"/>
            <w:bottom w:val="none" w:sz="0" w:space="0" w:color="auto"/>
            <w:right w:val="none" w:sz="0" w:space="0" w:color="auto"/>
          </w:divBdr>
          <w:divsChild>
            <w:div w:id="1242056885">
              <w:marLeft w:val="0"/>
              <w:marRight w:val="0"/>
              <w:marTop w:val="0"/>
              <w:marBottom w:val="0"/>
              <w:divBdr>
                <w:top w:val="none" w:sz="0" w:space="0" w:color="auto"/>
                <w:left w:val="none" w:sz="0" w:space="0" w:color="auto"/>
                <w:bottom w:val="none" w:sz="0" w:space="0" w:color="auto"/>
                <w:right w:val="none" w:sz="0" w:space="0" w:color="auto"/>
              </w:divBdr>
            </w:div>
          </w:divsChild>
        </w:div>
        <w:div w:id="104228262">
          <w:marLeft w:val="0"/>
          <w:marRight w:val="0"/>
          <w:marTop w:val="0"/>
          <w:marBottom w:val="0"/>
          <w:divBdr>
            <w:top w:val="none" w:sz="0" w:space="0" w:color="auto"/>
            <w:left w:val="none" w:sz="0" w:space="0" w:color="auto"/>
            <w:bottom w:val="none" w:sz="0" w:space="0" w:color="auto"/>
            <w:right w:val="none" w:sz="0" w:space="0" w:color="auto"/>
          </w:divBdr>
          <w:divsChild>
            <w:div w:id="844439087">
              <w:marLeft w:val="0"/>
              <w:marRight w:val="0"/>
              <w:marTop w:val="0"/>
              <w:marBottom w:val="0"/>
              <w:divBdr>
                <w:top w:val="none" w:sz="0" w:space="0" w:color="auto"/>
                <w:left w:val="none" w:sz="0" w:space="0" w:color="auto"/>
                <w:bottom w:val="none" w:sz="0" w:space="0" w:color="auto"/>
                <w:right w:val="none" w:sz="0" w:space="0" w:color="auto"/>
              </w:divBdr>
            </w:div>
          </w:divsChild>
        </w:div>
        <w:div w:id="773522380">
          <w:marLeft w:val="0"/>
          <w:marRight w:val="0"/>
          <w:marTop w:val="300"/>
          <w:marBottom w:val="300"/>
          <w:divBdr>
            <w:top w:val="none" w:sz="0" w:space="0" w:color="auto"/>
            <w:left w:val="none" w:sz="0" w:space="0" w:color="auto"/>
            <w:bottom w:val="none" w:sz="0" w:space="0" w:color="auto"/>
            <w:right w:val="none" w:sz="0" w:space="0" w:color="auto"/>
          </w:divBdr>
        </w:div>
        <w:div w:id="124588812">
          <w:marLeft w:val="0"/>
          <w:marRight w:val="0"/>
          <w:marTop w:val="0"/>
          <w:marBottom w:val="0"/>
          <w:divBdr>
            <w:top w:val="none" w:sz="0" w:space="0" w:color="auto"/>
            <w:left w:val="none" w:sz="0" w:space="0" w:color="auto"/>
            <w:bottom w:val="none" w:sz="0" w:space="0" w:color="auto"/>
            <w:right w:val="none" w:sz="0" w:space="0" w:color="auto"/>
          </w:divBdr>
          <w:divsChild>
            <w:div w:id="1056705263">
              <w:marLeft w:val="0"/>
              <w:marRight w:val="0"/>
              <w:marTop w:val="0"/>
              <w:marBottom w:val="0"/>
              <w:divBdr>
                <w:top w:val="none" w:sz="0" w:space="0" w:color="auto"/>
                <w:left w:val="none" w:sz="0" w:space="0" w:color="auto"/>
                <w:bottom w:val="none" w:sz="0" w:space="0" w:color="auto"/>
                <w:right w:val="none" w:sz="0" w:space="0" w:color="auto"/>
              </w:divBdr>
            </w:div>
          </w:divsChild>
        </w:div>
        <w:div w:id="581454003">
          <w:marLeft w:val="0"/>
          <w:marRight w:val="0"/>
          <w:marTop w:val="0"/>
          <w:marBottom w:val="0"/>
          <w:divBdr>
            <w:top w:val="none" w:sz="0" w:space="0" w:color="auto"/>
            <w:left w:val="none" w:sz="0" w:space="0" w:color="auto"/>
            <w:bottom w:val="none" w:sz="0" w:space="0" w:color="auto"/>
            <w:right w:val="none" w:sz="0" w:space="0" w:color="auto"/>
          </w:divBdr>
          <w:divsChild>
            <w:div w:id="1269392162">
              <w:marLeft w:val="0"/>
              <w:marRight w:val="0"/>
              <w:marTop w:val="0"/>
              <w:marBottom w:val="0"/>
              <w:divBdr>
                <w:top w:val="none" w:sz="0" w:space="0" w:color="auto"/>
                <w:left w:val="none" w:sz="0" w:space="0" w:color="auto"/>
                <w:bottom w:val="none" w:sz="0" w:space="0" w:color="auto"/>
                <w:right w:val="none" w:sz="0" w:space="0" w:color="auto"/>
              </w:divBdr>
            </w:div>
          </w:divsChild>
        </w:div>
        <w:div w:id="153885920">
          <w:marLeft w:val="0"/>
          <w:marRight w:val="0"/>
          <w:marTop w:val="0"/>
          <w:marBottom w:val="0"/>
          <w:divBdr>
            <w:top w:val="none" w:sz="0" w:space="0" w:color="auto"/>
            <w:left w:val="none" w:sz="0" w:space="0" w:color="auto"/>
            <w:bottom w:val="none" w:sz="0" w:space="0" w:color="auto"/>
            <w:right w:val="none" w:sz="0" w:space="0" w:color="auto"/>
          </w:divBdr>
          <w:divsChild>
            <w:div w:id="225071347">
              <w:marLeft w:val="0"/>
              <w:marRight w:val="0"/>
              <w:marTop w:val="0"/>
              <w:marBottom w:val="0"/>
              <w:divBdr>
                <w:top w:val="none" w:sz="0" w:space="0" w:color="auto"/>
                <w:left w:val="none" w:sz="0" w:space="0" w:color="auto"/>
                <w:bottom w:val="none" w:sz="0" w:space="0" w:color="auto"/>
                <w:right w:val="none" w:sz="0" w:space="0" w:color="auto"/>
              </w:divBdr>
            </w:div>
          </w:divsChild>
        </w:div>
        <w:div w:id="1230968695">
          <w:marLeft w:val="0"/>
          <w:marRight w:val="0"/>
          <w:marTop w:val="0"/>
          <w:marBottom w:val="0"/>
          <w:divBdr>
            <w:top w:val="none" w:sz="0" w:space="0" w:color="auto"/>
            <w:left w:val="none" w:sz="0" w:space="0" w:color="auto"/>
            <w:bottom w:val="none" w:sz="0" w:space="0" w:color="auto"/>
            <w:right w:val="none" w:sz="0" w:space="0" w:color="auto"/>
          </w:divBdr>
          <w:divsChild>
            <w:div w:id="1485315960">
              <w:marLeft w:val="0"/>
              <w:marRight w:val="0"/>
              <w:marTop w:val="0"/>
              <w:marBottom w:val="0"/>
              <w:divBdr>
                <w:top w:val="none" w:sz="0" w:space="0" w:color="auto"/>
                <w:left w:val="none" w:sz="0" w:space="0" w:color="auto"/>
                <w:bottom w:val="none" w:sz="0" w:space="0" w:color="auto"/>
                <w:right w:val="none" w:sz="0" w:space="0" w:color="auto"/>
              </w:divBdr>
            </w:div>
          </w:divsChild>
        </w:div>
        <w:div w:id="1075931169">
          <w:marLeft w:val="0"/>
          <w:marRight w:val="0"/>
          <w:marTop w:val="300"/>
          <w:marBottom w:val="300"/>
          <w:divBdr>
            <w:top w:val="none" w:sz="0" w:space="0" w:color="auto"/>
            <w:left w:val="none" w:sz="0" w:space="0" w:color="auto"/>
            <w:bottom w:val="none" w:sz="0" w:space="0" w:color="auto"/>
            <w:right w:val="none" w:sz="0" w:space="0" w:color="auto"/>
          </w:divBdr>
        </w:div>
        <w:div w:id="822701689">
          <w:marLeft w:val="0"/>
          <w:marRight w:val="0"/>
          <w:marTop w:val="0"/>
          <w:marBottom w:val="0"/>
          <w:divBdr>
            <w:top w:val="none" w:sz="0" w:space="0" w:color="auto"/>
            <w:left w:val="none" w:sz="0" w:space="0" w:color="auto"/>
            <w:bottom w:val="none" w:sz="0" w:space="0" w:color="auto"/>
            <w:right w:val="none" w:sz="0" w:space="0" w:color="auto"/>
          </w:divBdr>
          <w:divsChild>
            <w:div w:id="1497918182">
              <w:marLeft w:val="0"/>
              <w:marRight w:val="0"/>
              <w:marTop w:val="0"/>
              <w:marBottom w:val="0"/>
              <w:divBdr>
                <w:top w:val="none" w:sz="0" w:space="0" w:color="auto"/>
                <w:left w:val="none" w:sz="0" w:space="0" w:color="auto"/>
                <w:bottom w:val="none" w:sz="0" w:space="0" w:color="auto"/>
                <w:right w:val="none" w:sz="0" w:space="0" w:color="auto"/>
              </w:divBdr>
            </w:div>
          </w:divsChild>
        </w:div>
        <w:div w:id="1777168536">
          <w:marLeft w:val="0"/>
          <w:marRight w:val="0"/>
          <w:marTop w:val="0"/>
          <w:marBottom w:val="0"/>
          <w:divBdr>
            <w:top w:val="none" w:sz="0" w:space="0" w:color="auto"/>
            <w:left w:val="none" w:sz="0" w:space="0" w:color="auto"/>
            <w:bottom w:val="none" w:sz="0" w:space="0" w:color="auto"/>
            <w:right w:val="none" w:sz="0" w:space="0" w:color="auto"/>
          </w:divBdr>
          <w:divsChild>
            <w:div w:id="1040939600">
              <w:marLeft w:val="0"/>
              <w:marRight w:val="0"/>
              <w:marTop w:val="0"/>
              <w:marBottom w:val="0"/>
              <w:divBdr>
                <w:top w:val="none" w:sz="0" w:space="0" w:color="auto"/>
                <w:left w:val="none" w:sz="0" w:space="0" w:color="auto"/>
                <w:bottom w:val="none" w:sz="0" w:space="0" w:color="auto"/>
                <w:right w:val="none" w:sz="0" w:space="0" w:color="auto"/>
              </w:divBdr>
            </w:div>
          </w:divsChild>
        </w:div>
        <w:div w:id="916743624">
          <w:marLeft w:val="0"/>
          <w:marRight w:val="0"/>
          <w:marTop w:val="0"/>
          <w:marBottom w:val="0"/>
          <w:divBdr>
            <w:top w:val="none" w:sz="0" w:space="0" w:color="auto"/>
            <w:left w:val="none" w:sz="0" w:space="0" w:color="auto"/>
            <w:bottom w:val="none" w:sz="0" w:space="0" w:color="auto"/>
            <w:right w:val="none" w:sz="0" w:space="0" w:color="auto"/>
          </w:divBdr>
          <w:divsChild>
            <w:div w:id="683946312">
              <w:marLeft w:val="0"/>
              <w:marRight w:val="0"/>
              <w:marTop w:val="0"/>
              <w:marBottom w:val="0"/>
              <w:divBdr>
                <w:top w:val="none" w:sz="0" w:space="0" w:color="auto"/>
                <w:left w:val="none" w:sz="0" w:space="0" w:color="auto"/>
                <w:bottom w:val="none" w:sz="0" w:space="0" w:color="auto"/>
                <w:right w:val="none" w:sz="0" w:space="0" w:color="auto"/>
              </w:divBdr>
            </w:div>
          </w:divsChild>
        </w:div>
        <w:div w:id="1938439709">
          <w:marLeft w:val="0"/>
          <w:marRight w:val="0"/>
          <w:marTop w:val="0"/>
          <w:marBottom w:val="0"/>
          <w:divBdr>
            <w:top w:val="none" w:sz="0" w:space="0" w:color="auto"/>
            <w:left w:val="none" w:sz="0" w:space="0" w:color="auto"/>
            <w:bottom w:val="none" w:sz="0" w:space="0" w:color="auto"/>
            <w:right w:val="none" w:sz="0" w:space="0" w:color="auto"/>
          </w:divBdr>
          <w:divsChild>
            <w:div w:id="1539778589">
              <w:marLeft w:val="0"/>
              <w:marRight w:val="0"/>
              <w:marTop w:val="0"/>
              <w:marBottom w:val="0"/>
              <w:divBdr>
                <w:top w:val="none" w:sz="0" w:space="0" w:color="auto"/>
                <w:left w:val="none" w:sz="0" w:space="0" w:color="auto"/>
                <w:bottom w:val="none" w:sz="0" w:space="0" w:color="auto"/>
                <w:right w:val="none" w:sz="0" w:space="0" w:color="auto"/>
              </w:divBdr>
            </w:div>
          </w:divsChild>
        </w:div>
        <w:div w:id="1988704259">
          <w:marLeft w:val="0"/>
          <w:marRight w:val="0"/>
          <w:marTop w:val="0"/>
          <w:marBottom w:val="0"/>
          <w:divBdr>
            <w:top w:val="none" w:sz="0" w:space="0" w:color="auto"/>
            <w:left w:val="none" w:sz="0" w:space="0" w:color="auto"/>
            <w:bottom w:val="none" w:sz="0" w:space="0" w:color="auto"/>
            <w:right w:val="none" w:sz="0" w:space="0" w:color="auto"/>
          </w:divBdr>
          <w:divsChild>
            <w:div w:id="1860778164">
              <w:marLeft w:val="0"/>
              <w:marRight w:val="0"/>
              <w:marTop w:val="0"/>
              <w:marBottom w:val="0"/>
              <w:divBdr>
                <w:top w:val="none" w:sz="0" w:space="0" w:color="auto"/>
                <w:left w:val="none" w:sz="0" w:space="0" w:color="auto"/>
                <w:bottom w:val="none" w:sz="0" w:space="0" w:color="auto"/>
                <w:right w:val="none" w:sz="0" w:space="0" w:color="auto"/>
              </w:divBdr>
            </w:div>
          </w:divsChild>
        </w:div>
        <w:div w:id="1370300214">
          <w:marLeft w:val="0"/>
          <w:marRight w:val="0"/>
          <w:marTop w:val="0"/>
          <w:marBottom w:val="0"/>
          <w:divBdr>
            <w:top w:val="none" w:sz="0" w:space="0" w:color="auto"/>
            <w:left w:val="none" w:sz="0" w:space="0" w:color="auto"/>
            <w:bottom w:val="none" w:sz="0" w:space="0" w:color="auto"/>
            <w:right w:val="none" w:sz="0" w:space="0" w:color="auto"/>
          </w:divBdr>
          <w:divsChild>
            <w:div w:id="1815176121">
              <w:marLeft w:val="0"/>
              <w:marRight w:val="0"/>
              <w:marTop w:val="0"/>
              <w:marBottom w:val="0"/>
              <w:divBdr>
                <w:top w:val="none" w:sz="0" w:space="0" w:color="auto"/>
                <w:left w:val="none" w:sz="0" w:space="0" w:color="auto"/>
                <w:bottom w:val="none" w:sz="0" w:space="0" w:color="auto"/>
                <w:right w:val="none" w:sz="0" w:space="0" w:color="auto"/>
              </w:divBdr>
            </w:div>
          </w:divsChild>
        </w:div>
        <w:div w:id="1116677817">
          <w:marLeft w:val="0"/>
          <w:marRight w:val="0"/>
          <w:marTop w:val="0"/>
          <w:marBottom w:val="0"/>
          <w:divBdr>
            <w:top w:val="none" w:sz="0" w:space="0" w:color="auto"/>
            <w:left w:val="none" w:sz="0" w:space="0" w:color="auto"/>
            <w:bottom w:val="none" w:sz="0" w:space="0" w:color="auto"/>
            <w:right w:val="none" w:sz="0" w:space="0" w:color="auto"/>
          </w:divBdr>
          <w:divsChild>
            <w:div w:id="1909030392">
              <w:marLeft w:val="0"/>
              <w:marRight w:val="0"/>
              <w:marTop w:val="0"/>
              <w:marBottom w:val="0"/>
              <w:divBdr>
                <w:top w:val="none" w:sz="0" w:space="0" w:color="auto"/>
                <w:left w:val="none" w:sz="0" w:space="0" w:color="auto"/>
                <w:bottom w:val="none" w:sz="0" w:space="0" w:color="auto"/>
                <w:right w:val="none" w:sz="0" w:space="0" w:color="auto"/>
              </w:divBdr>
            </w:div>
          </w:divsChild>
        </w:div>
        <w:div w:id="223681915">
          <w:marLeft w:val="0"/>
          <w:marRight w:val="0"/>
          <w:marTop w:val="300"/>
          <w:marBottom w:val="300"/>
          <w:divBdr>
            <w:top w:val="none" w:sz="0" w:space="0" w:color="auto"/>
            <w:left w:val="none" w:sz="0" w:space="0" w:color="auto"/>
            <w:bottom w:val="none" w:sz="0" w:space="0" w:color="auto"/>
            <w:right w:val="none" w:sz="0" w:space="0" w:color="auto"/>
          </w:divBdr>
        </w:div>
        <w:div w:id="2090806964">
          <w:marLeft w:val="0"/>
          <w:marRight w:val="0"/>
          <w:marTop w:val="0"/>
          <w:marBottom w:val="0"/>
          <w:divBdr>
            <w:top w:val="none" w:sz="0" w:space="0" w:color="auto"/>
            <w:left w:val="none" w:sz="0" w:space="0" w:color="auto"/>
            <w:bottom w:val="none" w:sz="0" w:space="0" w:color="auto"/>
            <w:right w:val="none" w:sz="0" w:space="0" w:color="auto"/>
          </w:divBdr>
          <w:divsChild>
            <w:div w:id="204954794">
              <w:marLeft w:val="0"/>
              <w:marRight w:val="0"/>
              <w:marTop w:val="0"/>
              <w:marBottom w:val="0"/>
              <w:divBdr>
                <w:top w:val="none" w:sz="0" w:space="0" w:color="auto"/>
                <w:left w:val="none" w:sz="0" w:space="0" w:color="auto"/>
                <w:bottom w:val="none" w:sz="0" w:space="0" w:color="auto"/>
                <w:right w:val="none" w:sz="0" w:space="0" w:color="auto"/>
              </w:divBdr>
            </w:div>
          </w:divsChild>
        </w:div>
        <w:div w:id="443816476">
          <w:marLeft w:val="0"/>
          <w:marRight w:val="0"/>
          <w:marTop w:val="0"/>
          <w:marBottom w:val="0"/>
          <w:divBdr>
            <w:top w:val="none" w:sz="0" w:space="0" w:color="auto"/>
            <w:left w:val="none" w:sz="0" w:space="0" w:color="auto"/>
            <w:bottom w:val="none" w:sz="0" w:space="0" w:color="auto"/>
            <w:right w:val="none" w:sz="0" w:space="0" w:color="auto"/>
          </w:divBdr>
          <w:divsChild>
            <w:div w:id="1036663733">
              <w:marLeft w:val="0"/>
              <w:marRight w:val="0"/>
              <w:marTop w:val="0"/>
              <w:marBottom w:val="0"/>
              <w:divBdr>
                <w:top w:val="none" w:sz="0" w:space="0" w:color="auto"/>
                <w:left w:val="none" w:sz="0" w:space="0" w:color="auto"/>
                <w:bottom w:val="none" w:sz="0" w:space="0" w:color="auto"/>
                <w:right w:val="none" w:sz="0" w:space="0" w:color="auto"/>
              </w:divBdr>
            </w:div>
          </w:divsChild>
        </w:div>
        <w:div w:id="1704599178">
          <w:marLeft w:val="0"/>
          <w:marRight w:val="0"/>
          <w:marTop w:val="0"/>
          <w:marBottom w:val="0"/>
          <w:divBdr>
            <w:top w:val="none" w:sz="0" w:space="0" w:color="auto"/>
            <w:left w:val="none" w:sz="0" w:space="0" w:color="auto"/>
            <w:bottom w:val="none" w:sz="0" w:space="0" w:color="auto"/>
            <w:right w:val="none" w:sz="0" w:space="0" w:color="auto"/>
          </w:divBdr>
          <w:divsChild>
            <w:div w:id="638262493">
              <w:marLeft w:val="0"/>
              <w:marRight w:val="0"/>
              <w:marTop w:val="0"/>
              <w:marBottom w:val="0"/>
              <w:divBdr>
                <w:top w:val="none" w:sz="0" w:space="0" w:color="auto"/>
                <w:left w:val="none" w:sz="0" w:space="0" w:color="auto"/>
                <w:bottom w:val="none" w:sz="0" w:space="0" w:color="auto"/>
                <w:right w:val="none" w:sz="0" w:space="0" w:color="auto"/>
              </w:divBdr>
            </w:div>
          </w:divsChild>
        </w:div>
        <w:div w:id="15278855">
          <w:marLeft w:val="0"/>
          <w:marRight w:val="0"/>
          <w:marTop w:val="0"/>
          <w:marBottom w:val="0"/>
          <w:divBdr>
            <w:top w:val="none" w:sz="0" w:space="0" w:color="auto"/>
            <w:left w:val="none" w:sz="0" w:space="0" w:color="auto"/>
            <w:bottom w:val="none" w:sz="0" w:space="0" w:color="auto"/>
            <w:right w:val="none" w:sz="0" w:space="0" w:color="auto"/>
          </w:divBdr>
          <w:divsChild>
            <w:div w:id="425687138">
              <w:marLeft w:val="0"/>
              <w:marRight w:val="0"/>
              <w:marTop w:val="0"/>
              <w:marBottom w:val="0"/>
              <w:divBdr>
                <w:top w:val="none" w:sz="0" w:space="0" w:color="auto"/>
                <w:left w:val="none" w:sz="0" w:space="0" w:color="auto"/>
                <w:bottom w:val="none" w:sz="0" w:space="0" w:color="auto"/>
                <w:right w:val="none" w:sz="0" w:space="0" w:color="auto"/>
              </w:divBdr>
            </w:div>
          </w:divsChild>
        </w:div>
        <w:div w:id="342905641">
          <w:marLeft w:val="0"/>
          <w:marRight w:val="0"/>
          <w:marTop w:val="0"/>
          <w:marBottom w:val="0"/>
          <w:divBdr>
            <w:top w:val="none" w:sz="0" w:space="0" w:color="auto"/>
            <w:left w:val="none" w:sz="0" w:space="0" w:color="auto"/>
            <w:bottom w:val="none" w:sz="0" w:space="0" w:color="auto"/>
            <w:right w:val="none" w:sz="0" w:space="0" w:color="auto"/>
          </w:divBdr>
          <w:divsChild>
            <w:div w:id="1737363267">
              <w:marLeft w:val="0"/>
              <w:marRight w:val="0"/>
              <w:marTop w:val="0"/>
              <w:marBottom w:val="0"/>
              <w:divBdr>
                <w:top w:val="none" w:sz="0" w:space="0" w:color="auto"/>
                <w:left w:val="none" w:sz="0" w:space="0" w:color="auto"/>
                <w:bottom w:val="none" w:sz="0" w:space="0" w:color="auto"/>
                <w:right w:val="none" w:sz="0" w:space="0" w:color="auto"/>
              </w:divBdr>
            </w:div>
          </w:divsChild>
        </w:div>
        <w:div w:id="239409651">
          <w:marLeft w:val="0"/>
          <w:marRight w:val="0"/>
          <w:marTop w:val="0"/>
          <w:marBottom w:val="0"/>
          <w:divBdr>
            <w:top w:val="none" w:sz="0" w:space="0" w:color="auto"/>
            <w:left w:val="none" w:sz="0" w:space="0" w:color="auto"/>
            <w:bottom w:val="none" w:sz="0" w:space="0" w:color="auto"/>
            <w:right w:val="none" w:sz="0" w:space="0" w:color="auto"/>
          </w:divBdr>
          <w:divsChild>
            <w:div w:id="1882547174">
              <w:marLeft w:val="0"/>
              <w:marRight w:val="0"/>
              <w:marTop w:val="0"/>
              <w:marBottom w:val="0"/>
              <w:divBdr>
                <w:top w:val="none" w:sz="0" w:space="0" w:color="auto"/>
                <w:left w:val="none" w:sz="0" w:space="0" w:color="auto"/>
                <w:bottom w:val="none" w:sz="0" w:space="0" w:color="auto"/>
                <w:right w:val="none" w:sz="0" w:space="0" w:color="auto"/>
              </w:divBdr>
            </w:div>
          </w:divsChild>
        </w:div>
        <w:div w:id="830295435">
          <w:marLeft w:val="0"/>
          <w:marRight w:val="0"/>
          <w:marTop w:val="0"/>
          <w:marBottom w:val="0"/>
          <w:divBdr>
            <w:top w:val="none" w:sz="0" w:space="0" w:color="auto"/>
            <w:left w:val="none" w:sz="0" w:space="0" w:color="auto"/>
            <w:bottom w:val="none" w:sz="0" w:space="0" w:color="auto"/>
            <w:right w:val="none" w:sz="0" w:space="0" w:color="auto"/>
          </w:divBdr>
          <w:divsChild>
            <w:div w:id="2088575540">
              <w:marLeft w:val="0"/>
              <w:marRight w:val="0"/>
              <w:marTop w:val="0"/>
              <w:marBottom w:val="0"/>
              <w:divBdr>
                <w:top w:val="none" w:sz="0" w:space="0" w:color="auto"/>
                <w:left w:val="none" w:sz="0" w:space="0" w:color="auto"/>
                <w:bottom w:val="none" w:sz="0" w:space="0" w:color="auto"/>
                <w:right w:val="none" w:sz="0" w:space="0" w:color="auto"/>
              </w:divBdr>
            </w:div>
          </w:divsChild>
        </w:div>
        <w:div w:id="1431855357">
          <w:marLeft w:val="0"/>
          <w:marRight w:val="0"/>
          <w:marTop w:val="0"/>
          <w:marBottom w:val="0"/>
          <w:divBdr>
            <w:top w:val="none" w:sz="0" w:space="0" w:color="auto"/>
            <w:left w:val="none" w:sz="0" w:space="0" w:color="auto"/>
            <w:bottom w:val="none" w:sz="0" w:space="0" w:color="auto"/>
            <w:right w:val="none" w:sz="0" w:space="0" w:color="auto"/>
          </w:divBdr>
          <w:divsChild>
            <w:div w:id="2012760291">
              <w:marLeft w:val="0"/>
              <w:marRight w:val="0"/>
              <w:marTop w:val="0"/>
              <w:marBottom w:val="0"/>
              <w:divBdr>
                <w:top w:val="none" w:sz="0" w:space="0" w:color="auto"/>
                <w:left w:val="none" w:sz="0" w:space="0" w:color="auto"/>
                <w:bottom w:val="none" w:sz="0" w:space="0" w:color="auto"/>
                <w:right w:val="none" w:sz="0" w:space="0" w:color="auto"/>
              </w:divBdr>
            </w:div>
          </w:divsChild>
        </w:div>
        <w:div w:id="1087729949">
          <w:marLeft w:val="0"/>
          <w:marRight w:val="0"/>
          <w:marTop w:val="0"/>
          <w:marBottom w:val="0"/>
          <w:divBdr>
            <w:top w:val="none" w:sz="0" w:space="0" w:color="auto"/>
            <w:left w:val="none" w:sz="0" w:space="0" w:color="auto"/>
            <w:bottom w:val="none" w:sz="0" w:space="0" w:color="auto"/>
            <w:right w:val="none" w:sz="0" w:space="0" w:color="auto"/>
          </w:divBdr>
          <w:divsChild>
            <w:div w:id="1826584372">
              <w:marLeft w:val="0"/>
              <w:marRight w:val="0"/>
              <w:marTop w:val="0"/>
              <w:marBottom w:val="0"/>
              <w:divBdr>
                <w:top w:val="none" w:sz="0" w:space="0" w:color="auto"/>
                <w:left w:val="none" w:sz="0" w:space="0" w:color="auto"/>
                <w:bottom w:val="none" w:sz="0" w:space="0" w:color="auto"/>
                <w:right w:val="none" w:sz="0" w:space="0" w:color="auto"/>
              </w:divBdr>
            </w:div>
          </w:divsChild>
        </w:div>
        <w:div w:id="2119131157">
          <w:marLeft w:val="0"/>
          <w:marRight w:val="0"/>
          <w:marTop w:val="0"/>
          <w:marBottom w:val="0"/>
          <w:divBdr>
            <w:top w:val="none" w:sz="0" w:space="0" w:color="auto"/>
            <w:left w:val="none" w:sz="0" w:space="0" w:color="auto"/>
            <w:bottom w:val="none" w:sz="0" w:space="0" w:color="auto"/>
            <w:right w:val="none" w:sz="0" w:space="0" w:color="auto"/>
          </w:divBdr>
          <w:divsChild>
            <w:div w:id="117335978">
              <w:marLeft w:val="0"/>
              <w:marRight w:val="0"/>
              <w:marTop w:val="0"/>
              <w:marBottom w:val="0"/>
              <w:divBdr>
                <w:top w:val="none" w:sz="0" w:space="0" w:color="auto"/>
                <w:left w:val="none" w:sz="0" w:space="0" w:color="auto"/>
                <w:bottom w:val="none" w:sz="0" w:space="0" w:color="auto"/>
                <w:right w:val="none" w:sz="0" w:space="0" w:color="auto"/>
              </w:divBdr>
            </w:div>
          </w:divsChild>
        </w:div>
        <w:div w:id="1002273089">
          <w:marLeft w:val="0"/>
          <w:marRight w:val="0"/>
          <w:marTop w:val="300"/>
          <w:marBottom w:val="300"/>
          <w:divBdr>
            <w:top w:val="none" w:sz="0" w:space="0" w:color="auto"/>
            <w:left w:val="none" w:sz="0" w:space="0" w:color="auto"/>
            <w:bottom w:val="none" w:sz="0" w:space="0" w:color="auto"/>
            <w:right w:val="none" w:sz="0" w:space="0" w:color="auto"/>
          </w:divBdr>
        </w:div>
        <w:div w:id="134839595">
          <w:marLeft w:val="0"/>
          <w:marRight w:val="0"/>
          <w:marTop w:val="0"/>
          <w:marBottom w:val="0"/>
          <w:divBdr>
            <w:top w:val="none" w:sz="0" w:space="0" w:color="auto"/>
            <w:left w:val="none" w:sz="0" w:space="0" w:color="auto"/>
            <w:bottom w:val="none" w:sz="0" w:space="0" w:color="auto"/>
            <w:right w:val="none" w:sz="0" w:space="0" w:color="auto"/>
          </w:divBdr>
          <w:divsChild>
            <w:div w:id="1373188453">
              <w:marLeft w:val="0"/>
              <w:marRight w:val="0"/>
              <w:marTop w:val="0"/>
              <w:marBottom w:val="0"/>
              <w:divBdr>
                <w:top w:val="none" w:sz="0" w:space="0" w:color="auto"/>
                <w:left w:val="none" w:sz="0" w:space="0" w:color="auto"/>
                <w:bottom w:val="none" w:sz="0" w:space="0" w:color="auto"/>
                <w:right w:val="none" w:sz="0" w:space="0" w:color="auto"/>
              </w:divBdr>
            </w:div>
          </w:divsChild>
        </w:div>
        <w:div w:id="177737495">
          <w:marLeft w:val="0"/>
          <w:marRight w:val="0"/>
          <w:marTop w:val="0"/>
          <w:marBottom w:val="0"/>
          <w:divBdr>
            <w:top w:val="none" w:sz="0" w:space="0" w:color="auto"/>
            <w:left w:val="none" w:sz="0" w:space="0" w:color="auto"/>
            <w:bottom w:val="none" w:sz="0" w:space="0" w:color="auto"/>
            <w:right w:val="none" w:sz="0" w:space="0" w:color="auto"/>
          </w:divBdr>
          <w:divsChild>
            <w:div w:id="389621129">
              <w:marLeft w:val="0"/>
              <w:marRight w:val="0"/>
              <w:marTop w:val="0"/>
              <w:marBottom w:val="0"/>
              <w:divBdr>
                <w:top w:val="none" w:sz="0" w:space="0" w:color="auto"/>
                <w:left w:val="none" w:sz="0" w:space="0" w:color="auto"/>
                <w:bottom w:val="none" w:sz="0" w:space="0" w:color="auto"/>
                <w:right w:val="none" w:sz="0" w:space="0" w:color="auto"/>
              </w:divBdr>
            </w:div>
          </w:divsChild>
        </w:div>
        <w:div w:id="245918918">
          <w:marLeft w:val="0"/>
          <w:marRight w:val="0"/>
          <w:marTop w:val="0"/>
          <w:marBottom w:val="0"/>
          <w:divBdr>
            <w:top w:val="none" w:sz="0" w:space="0" w:color="auto"/>
            <w:left w:val="none" w:sz="0" w:space="0" w:color="auto"/>
            <w:bottom w:val="none" w:sz="0" w:space="0" w:color="auto"/>
            <w:right w:val="none" w:sz="0" w:space="0" w:color="auto"/>
          </w:divBdr>
          <w:divsChild>
            <w:div w:id="40254335">
              <w:marLeft w:val="0"/>
              <w:marRight w:val="0"/>
              <w:marTop w:val="0"/>
              <w:marBottom w:val="0"/>
              <w:divBdr>
                <w:top w:val="none" w:sz="0" w:space="0" w:color="auto"/>
                <w:left w:val="none" w:sz="0" w:space="0" w:color="auto"/>
                <w:bottom w:val="none" w:sz="0" w:space="0" w:color="auto"/>
                <w:right w:val="none" w:sz="0" w:space="0" w:color="auto"/>
              </w:divBdr>
            </w:div>
          </w:divsChild>
        </w:div>
        <w:div w:id="600531993">
          <w:marLeft w:val="0"/>
          <w:marRight w:val="0"/>
          <w:marTop w:val="0"/>
          <w:marBottom w:val="0"/>
          <w:divBdr>
            <w:top w:val="none" w:sz="0" w:space="0" w:color="auto"/>
            <w:left w:val="none" w:sz="0" w:space="0" w:color="auto"/>
            <w:bottom w:val="none" w:sz="0" w:space="0" w:color="auto"/>
            <w:right w:val="none" w:sz="0" w:space="0" w:color="auto"/>
          </w:divBdr>
          <w:divsChild>
            <w:div w:id="28457692">
              <w:marLeft w:val="0"/>
              <w:marRight w:val="0"/>
              <w:marTop w:val="0"/>
              <w:marBottom w:val="0"/>
              <w:divBdr>
                <w:top w:val="none" w:sz="0" w:space="0" w:color="auto"/>
                <w:left w:val="none" w:sz="0" w:space="0" w:color="auto"/>
                <w:bottom w:val="none" w:sz="0" w:space="0" w:color="auto"/>
                <w:right w:val="none" w:sz="0" w:space="0" w:color="auto"/>
              </w:divBdr>
            </w:div>
          </w:divsChild>
        </w:div>
        <w:div w:id="1090003259">
          <w:marLeft w:val="0"/>
          <w:marRight w:val="0"/>
          <w:marTop w:val="0"/>
          <w:marBottom w:val="0"/>
          <w:divBdr>
            <w:top w:val="none" w:sz="0" w:space="0" w:color="auto"/>
            <w:left w:val="none" w:sz="0" w:space="0" w:color="auto"/>
            <w:bottom w:val="none" w:sz="0" w:space="0" w:color="auto"/>
            <w:right w:val="none" w:sz="0" w:space="0" w:color="auto"/>
          </w:divBdr>
          <w:divsChild>
            <w:div w:id="680741685">
              <w:marLeft w:val="0"/>
              <w:marRight w:val="0"/>
              <w:marTop w:val="0"/>
              <w:marBottom w:val="0"/>
              <w:divBdr>
                <w:top w:val="none" w:sz="0" w:space="0" w:color="auto"/>
                <w:left w:val="none" w:sz="0" w:space="0" w:color="auto"/>
                <w:bottom w:val="none" w:sz="0" w:space="0" w:color="auto"/>
                <w:right w:val="none" w:sz="0" w:space="0" w:color="auto"/>
              </w:divBdr>
            </w:div>
          </w:divsChild>
        </w:div>
        <w:div w:id="1601912489">
          <w:marLeft w:val="0"/>
          <w:marRight w:val="0"/>
          <w:marTop w:val="300"/>
          <w:marBottom w:val="300"/>
          <w:divBdr>
            <w:top w:val="none" w:sz="0" w:space="0" w:color="auto"/>
            <w:left w:val="none" w:sz="0" w:space="0" w:color="auto"/>
            <w:bottom w:val="none" w:sz="0" w:space="0" w:color="auto"/>
            <w:right w:val="none" w:sz="0" w:space="0" w:color="auto"/>
          </w:divBdr>
        </w:div>
        <w:div w:id="1479029274">
          <w:marLeft w:val="0"/>
          <w:marRight w:val="0"/>
          <w:marTop w:val="0"/>
          <w:marBottom w:val="0"/>
          <w:divBdr>
            <w:top w:val="none" w:sz="0" w:space="0" w:color="auto"/>
            <w:left w:val="none" w:sz="0" w:space="0" w:color="auto"/>
            <w:bottom w:val="none" w:sz="0" w:space="0" w:color="auto"/>
            <w:right w:val="none" w:sz="0" w:space="0" w:color="auto"/>
          </w:divBdr>
          <w:divsChild>
            <w:div w:id="1805199475">
              <w:marLeft w:val="0"/>
              <w:marRight w:val="0"/>
              <w:marTop w:val="0"/>
              <w:marBottom w:val="0"/>
              <w:divBdr>
                <w:top w:val="none" w:sz="0" w:space="0" w:color="auto"/>
                <w:left w:val="none" w:sz="0" w:space="0" w:color="auto"/>
                <w:bottom w:val="none" w:sz="0" w:space="0" w:color="auto"/>
                <w:right w:val="none" w:sz="0" w:space="0" w:color="auto"/>
              </w:divBdr>
            </w:div>
          </w:divsChild>
        </w:div>
        <w:div w:id="466247173">
          <w:marLeft w:val="0"/>
          <w:marRight w:val="0"/>
          <w:marTop w:val="0"/>
          <w:marBottom w:val="0"/>
          <w:divBdr>
            <w:top w:val="none" w:sz="0" w:space="0" w:color="auto"/>
            <w:left w:val="none" w:sz="0" w:space="0" w:color="auto"/>
            <w:bottom w:val="none" w:sz="0" w:space="0" w:color="auto"/>
            <w:right w:val="none" w:sz="0" w:space="0" w:color="auto"/>
          </w:divBdr>
          <w:divsChild>
            <w:div w:id="487594600">
              <w:marLeft w:val="0"/>
              <w:marRight w:val="0"/>
              <w:marTop w:val="0"/>
              <w:marBottom w:val="0"/>
              <w:divBdr>
                <w:top w:val="none" w:sz="0" w:space="0" w:color="auto"/>
                <w:left w:val="none" w:sz="0" w:space="0" w:color="auto"/>
                <w:bottom w:val="none" w:sz="0" w:space="0" w:color="auto"/>
                <w:right w:val="none" w:sz="0" w:space="0" w:color="auto"/>
              </w:divBdr>
            </w:div>
          </w:divsChild>
        </w:div>
        <w:div w:id="462695541">
          <w:marLeft w:val="0"/>
          <w:marRight w:val="0"/>
          <w:marTop w:val="0"/>
          <w:marBottom w:val="0"/>
          <w:divBdr>
            <w:top w:val="none" w:sz="0" w:space="0" w:color="auto"/>
            <w:left w:val="none" w:sz="0" w:space="0" w:color="auto"/>
            <w:bottom w:val="none" w:sz="0" w:space="0" w:color="auto"/>
            <w:right w:val="none" w:sz="0" w:space="0" w:color="auto"/>
          </w:divBdr>
          <w:divsChild>
            <w:div w:id="327631854">
              <w:marLeft w:val="0"/>
              <w:marRight w:val="0"/>
              <w:marTop w:val="0"/>
              <w:marBottom w:val="0"/>
              <w:divBdr>
                <w:top w:val="none" w:sz="0" w:space="0" w:color="auto"/>
                <w:left w:val="none" w:sz="0" w:space="0" w:color="auto"/>
                <w:bottom w:val="none" w:sz="0" w:space="0" w:color="auto"/>
                <w:right w:val="none" w:sz="0" w:space="0" w:color="auto"/>
              </w:divBdr>
            </w:div>
          </w:divsChild>
        </w:div>
        <w:div w:id="1206723221">
          <w:marLeft w:val="0"/>
          <w:marRight w:val="0"/>
          <w:marTop w:val="0"/>
          <w:marBottom w:val="0"/>
          <w:divBdr>
            <w:top w:val="none" w:sz="0" w:space="0" w:color="auto"/>
            <w:left w:val="none" w:sz="0" w:space="0" w:color="auto"/>
            <w:bottom w:val="none" w:sz="0" w:space="0" w:color="auto"/>
            <w:right w:val="none" w:sz="0" w:space="0" w:color="auto"/>
          </w:divBdr>
          <w:divsChild>
            <w:div w:id="334462239">
              <w:marLeft w:val="0"/>
              <w:marRight w:val="0"/>
              <w:marTop w:val="0"/>
              <w:marBottom w:val="0"/>
              <w:divBdr>
                <w:top w:val="none" w:sz="0" w:space="0" w:color="auto"/>
                <w:left w:val="none" w:sz="0" w:space="0" w:color="auto"/>
                <w:bottom w:val="none" w:sz="0" w:space="0" w:color="auto"/>
                <w:right w:val="none" w:sz="0" w:space="0" w:color="auto"/>
              </w:divBdr>
            </w:div>
          </w:divsChild>
        </w:div>
        <w:div w:id="1121649229">
          <w:marLeft w:val="0"/>
          <w:marRight w:val="0"/>
          <w:marTop w:val="0"/>
          <w:marBottom w:val="0"/>
          <w:divBdr>
            <w:top w:val="none" w:sz="0" w:space="0" w:color="auto"/>
            <w:left w:val="none" w:sz="0" w:space="0" w:color="auto"/>
            <w:bottom w:val="none" w:sz="0" w:space="0" w:color="auto"/>
            <w:right w:val="none" w:sz="0" w:space="0" w:color="auto"/>
          </w:divBdr>
          <w:divsChild>
            <w:div w:id="873076242">
              <w:marLeft w:val="0"/>
              <w:marRight w:val="0"/>
              <w:marTop w:val="0"/>
              <w:marBottom w:val="0"/>
              <w:divBdr>
                <w:top w:val="none" w:sz="0" w:space="0" w:color="auto"/>
                <w:left w:val="none" w:sz="0" w:space="0" w:color="auto"/>
                <w:bottom w:val="none" w:sz="0" w:space="0" w:color="auto"/>
                <w:right w:val="none" w:sz="0" w:space="0" w:color="auto"/>
              </w:divBdr>
            </w:div>
          </w:divsChild>
        </w:div>
        <w:div w:id="1835147581">
          <w:marLeft w:val="0"/>
          <w:marRight w:val="0"/>
          <w:marTop w:val="0"/>
          <w:marBottom w:val="0"/>
          <w:divBdr>
            <w:top w:val="none" w:sz="0" w:space="0" w:color="auto"/>
            <w:left w:val="none" w:sz="0" w:space="0" w:color="auto"/>
            <w:bottom w:val="none" w:sz="0" w:space="0" w:color="auto"/>
            <w:right w:val="none" w:sz="0" w:space="0" w:color="auto"/>
          </w:divBdr>
          <w:divsChild>
            <w:div w:id="1315909948">
              <w:marLeft w:val="0"/>
              <w:marRight w:val="0"/>
              <w:marTop w:val="0"/>
              <w:marBottom w:val="0"/>
              <w:divBdr>
                <w:top w:val="none" w:sz="0" w:space="0" w:color="auto"/>
                <w:left w:val="none" w:sz="0" w:space="0" w:color="auto"/>
                <w:bottom w:val="none" w:sz="0" w:space="0" w:color="auto"/>
                <w:right w:val="none" w:sz="0" w:space="0" w:color="auto"/>
              </w:divBdr>
            </w:div>
          </w:divsChild>
        </w:div>
        <w:div w:id="338892434">
          <w:marLeft w:val="0"/>
          <w:marRight w:val="0"/>
          <w:marTop w:val="0"/>
          <w:marBottom w:val="0"/>
          <w:divBdr>
            <w:top w:val="none" w:sz="0" w:space="0" w:color="auto"/>
            <w:left w:val="none" w:sz="0" w:space="0" w:color="auto"/>
            <w:bottom w:val="none" w:sz="0" w:space="0" w:color="auto"/>
            <w:right w:val="none" w:sz="0" w:space="0" w:color="auto"/>
          </w:divBdr>
          <w:divsChild>
            <w:div w:id="622158111">
              <w:marLeft w:val="0"/>
              <w:marRight w:val="0"/>
              <w:marTop w:val="0"/>
              <w:marBottom w:val="0"/>
              <w:divBdr>
                <w:top w:val="none" w:sz="0" w:space="0" w:color="auto"/>
                <w:left w:val="none" w:sz="0" w:space="0" w:color="auto"/>
                <w:bottom w:val="none" w:sz="0" w:space="0" w:color="auto"/>
                <w:right w:val="none" w:sz="0" w:space="0" w:color="auto"/>
              </w:divBdr>
            </w:div>
          </w:divsChild>
        </w:div>
        <w:div w:id="731781518">
          <w:marLeft w:val="0"/>
          <w:marRight w:val="0"/>
          <w:marTop w:val="0"/>
          <w:marBottom w:val="0"/>
          <w:divBdr>
            <w:top w:val="none" w:sz="0" w:space="0" w:color="auto"/>
            <w:left w:val="none" w:sz="0" w:space="0" w:color="auto"/>
            <w:bottom w:val="none" w:sz="0" w:space="0" w:color="auto"/>
            <w:right w:val="none" w:sz="0" w:space="0" w:color="auto"/>
          </w:divBdr>
          <w:divsChild>
            <w:div w:id="1663318408">
              <w:marLeft w:val="0"/>
              <w:marRight w:val="0"/>
              <w:marTop w:val="0"/>
              <w:marBottom w:val="0"/>
              <w:divBdr>
                <w:top w:val="none" w:sz="0" w:space="0" w:color="auto"/>
                <w:left w:val="none" w:sz="0" w:space="0" w:color="auto"/>
                <w:bottom w:val="none" w:sz="0" w:space="0" w:color="auto"/>
                <w:right w:val="none" w:sz="0" w:space="0" w:color="auto"/>
              </w:divBdr>
            </w:div>
          </w:divsChild>
        </w:div>
        <w:div w:id="1051346660">
          <w:marLeft w:val="0"/>
          <w:marRight w:val="0"/>
          <w:marTop w:val="0"/>
          <w:marBottom w:val="0"/>
          <w:divBdr>
            <w:top w:val="none" w:sz="0" w:space="0" w:color="auto"/>
            <w:left w:val="none" w:sz="0" w:space="0" w:color="auto"/>
            <w:bottom w:val="none" w:sz="0" w:space="0" w:color="auto"/>
            <w:right w:val="none" w:sz="0" w:space="0" w:color="auto"/>
          </w:divBdr>
          <w:divsChild>
            <w:div w:id="1667055001">
              <w:marLeft w:val="0"/>
              <w:marRight w:val="0"/>
              <w:marTop w:val="0"/>
              <w:marBottom w:val="0"/>
              <w:divBdr>
                <w:top w:val="none" w:sz="0" w:space="0" w:color="auto"/>
                <w:left w:val="none" w:sz="0" w:space="0" w:color="auto"/>
                <w:bottom w:val="none" w:sz="0" w:space="0" w:color="auto"/>
                <w:right w:val="none" w:sz="0" w:space="0" w:color="auto"/>
              </w:divBdr>
            </w:div>
          </w:divsChild>
        </w:div>
        <w:div w:id="1157454232">
          <w:marLeft w:val="0"/>
          <w:marRight w:val="0"/>
          <w:marTop w:val="0"/>
          <w:marBottom w:val="0"/>
          <w:divBdr>
            <w:top w:val="none" w:sz="0" w:space="0" w:color="auto"/>
            <w:left w:val="none" w:sz="0" w:space="0" w:color="auto"/>
            <w:bottom w:val="none" w:sz="0" w:space="0" w:color="auto"/>
            <w:right w:val="none" w:sz="0" w:space="0" w:color="auto"/>
          </w:divBdr>
          <w:divsChild>
            <w:div w:id="844127490">
              <w:marLeft w:val="0"/>
              <w:marRight w:val="0"/>
              <w:marTop w:val="0"/>
              <w:marBottom w:val="0"/>
              <w:divBdr>
                <w:top w:val="none" w:sz="0" w:space="0" w:color="auto"/>
                <w:left w:val="none" w:sz="0" w:space="0" w:color="auto"/>
                <w:bottom w:val="none" w:sz="0" w:space="0" w:color="auto"/>
                <w:right w:val="none" w:sz="0" w:space="0" w:color="auto"/>
              </w:divBdr>
            </w:div>
          </w:divsChild>
        </w:div>
        <w:div w:id="1026295599">
          <w:marLeft w:val="0"/>
          <w:marRight w:val="0"/>
          <w:marTop w:val="0"/>
          <w:marBottom w:val="0"/>
          <w:divBdr>
            <w:top w:val="none" w:sz="0" w:space="0" w:color="auto"/>
            <w:left w:val="none" w:sz="0" w:space="0" w:color="auto"/>
            <w:bottom w:val="none" w:sz="0" w:space="0" w:color="auto"/>
            <w:right w:val="none" w:sz="0" w:space="0" w:color="auto"/>
          </w:divBdr>
          <w:divsChild>
            <w:div w:id="1310090052">
              <w:marLeft w:val="0"/>
              <w:marRight w:val="0"/>
              <w:marTop w:val="0"/>
              <w:marBottom w:val="0"/>
              <w:divBdr>
                <w:top w:val="none" w:sz="0" w:space="0" w:color="auto"/>
                <w:left w:val="none" w:sz="0" w:space="0" w:color="auto"/>
                <w:bottom w:val="none" w:sz="0" w:space="0" w:color="auto"/>
                <w:right w:val="none" w:sz="0" w:space="0" w:color="auto"/>
              </w:divBdr>
            </w:div>
          </w:divsChild>
        </w:div>
        <w:div w:id="1614241500">
          <w:marLeft w:val="0"/>
          <w:marRight w:val="0"/>
          <w:marTop w:val="0"/>
          <w:marBottom w:val="0"/>
          <w:divBdr>
            <w:top w:val="none" w:sz="0" w:space="0" w:color="auto"/>
            <w:left w:val="none" w:sz="0" w:space="0" w:color="auto"/>
            <w:bottom w:val="none" w:sz="0" w:space="0" w:color="auto"/>
            <w:right w:val="none" w:sz="0" w:space="0" w:color="auto"/>
          </w:divBdr>
          <w:divsChild>
            <w:div w:id="418059098">
              <w:marLeft w:val="0"/>
              <w:marRight w:val="0"/>
              <w:marTop w:val="0"/>
              <w:marBottom w:val="0"/>
              <w:divBdr>
                <w:top w:val="none" w:sz="0" w:space="0" w:color="auto"/>
                <w:left w:val="none" w:sz="0" w:space="0" w:color="auto"/>
                <w:bottom w:val="none" w:sz="0" w:space="0" w:color="auto"/>
                <w:right w:val="none" w:sz="0" w:space="0" w:color="auto"/>
              </w:divBdr>
            </w:div>
          </w:divsChild>
        </w:div>
        <w:div w:id="689726392">
          <w:marLeft w:val="0"/>
          <w:marRight w:val="0"/>
          <w:marTop w:val="0"/>
          <w:marBottom w:val="0"/>
          <w:divBdr>
            <w:top w:val="none" w:sz="0" w:space="0" w:color="auto"/>
            <w:left w:val="none" w:sz="0" w:space="0" w:color="auto"/>
            <w:bottom w:val="none" w:sz="0" w:space="0" w:color="auto"/>
            <w:right w:val="none" w:sz="0" w:space="0" w:color="auto"/>
          </w:divBdr>
          <w:divsChild>
            <w:div w:id="981740014">
              <w:marLeft w:val="0"/>
              <w:marRight w:val="0"/>
              <w:marTop w:val="0"/>
              <w:marBottom w:val="0"/>
              <w:divBdr>
                <w:top w:val="none" w:sz="0" w:space="0" w:color="auto"/>
                <w:left w:val="none" w:sz="0" w:space="0" w:color="auto"/>
                <w:bottom w:val="none" w:sz="0" w:space="0" w:color="auto"/>
                <w:right w:val="none" w:sz="0" w:space="0" w:color="auto"/>
              </w:divBdr>
            </w:div>
          </w:divsChild>
        </w:div>
        <w:div w:id="1481075823">
          <w:marLeft w:val="0"/>
          <w:marRight w:val="0"/>
          <w:marTop w:val="0"/>
          <w:marBottom w:val="0"/>
          <w:divBdr>
            <w:top w:val="none" w:sz="0" w:space="0" w:color="auto"/>
            <w:left w:val="none" w:sz="0" w:space="0" w:color="auto"/>
            <w:bottom w:val="none" w:sz="0" w:space="0" w:color="auto"/>
            <w:right w:val="none" w:sz="0" w:space="0" w:color="auto"/>
          </w:divBdr>
          <w:divsChild>
            <w:div w:id="791633181">
              <w:marLeft w:val="0"/>
              <w:marRight w:val="0"/>
              <w:marTop w:val="0"/>
              <w:marBottom w:val="0"/>
              <w:divBdr>
                <w:top w:val="none" w:sz="0" w:space="0" w:color="auto"/>
                <w:left w:val="none" w:sz="0" w:space="0" w:color="auto"/>
                <w:bottom w:val="none" w:sz="0" w:space="0" w:color="auto"/>
                <w:right w:val="none" w:sz="0" w:space="0" w:color="auto"/>
              </w:divBdr>
            </w:div>
          </w:divsChild>
        </w:div>
        <w:div w:id="934286843">
          <w:marLeft w:val="0"/>
          <w:marRight w:val="0"/>
          <w:marTop w:val="0"/>
          <w:marBottom w:val="0"/>
          <w:divBdr>
            <w:top w:val="none" w:sz="0" w:space="0" w:color="auto"/>
            <w:left w:val="none" w:sz="0" w:space="0" w:color="auto"/>
            <w:bottom w:val="none" w:sz="0" w:space="0" w:color="auto"/>
            <w:right w:val="none" w:sz="0" w:space="0" w:color="auto"/>
          </w:divBdr>
          <w:divsChild>
            <w:div w:id="127627363">
              <w:marLeft w:val="0"/>
              <w:marRight w:val="0"/>
              <w:marTop w:val="0"/>
              <w:marBottom w:val="0"/>
              <w:divBdr>
                <w:top w:val="none" w:sz="0" w:space="0" w:color="auto"/>
                <w:left w:val="none" w:sz="0" w:space="0" w:color="auto"/>
                <w:bottom w:val="none" w:sz="0" w:space="0" w:color="auto"/>
                <w:right w:val="none" w:sz="0" w:space="0" w:color="auto"/>
              </w:divBdr>
            </w:div>
          </w:divsChild>
        </w:div>
        <w:div w:id="1519461272">
          <w:marLeft w:val="0"/>
          <w:marRight w:val="0"/>
          <w:marTop w:val="0"/>
          <w:marBottom w:val="0"/>
          <w:divBdr>
            <w:top w:val="none" w:sz="0" w:space="0" w:color="auto"/>
            <w:left w:val="none" w:sz="0" w:space="0" w:color="auto"/>
            <w:bottom w:val="none" w:sz="0" w:space="0" w:color="auto"/>
            <w:right w:val="none" w:sz="0" w:space="0" w:color="auto"/>
          </w:divBdr>
          <w:divsChild>
            <w:div w:id="1575774248">
              <w:marLeft w:val="0"/>
              <w:marRight w:val="0"/>
              <w:marTop w:val="0"/>
              <w:marBottom w:val="0"/>
              <w:divBdr>
                <w:top w:val="none" w:sz="0" w:space="0" w:color="auto"/>
                <w:left w:val="none" w:sz="0" w:space="0" w:color="auto"/>
                <w:bottom w:val="none" w:sz="0" w:space="0" w:color="auto"/>
                <w:right w:val="none" w:sz="0" w:space="0" w:color="auto"/>
              </w:divBdr>
            </w:div>
          </w:divsChild>
        </w:div>
        <w:div w:id="655426498">
          <w:marLeft w:val="0"/>
          <w:marRight w:val="0"/>
          <w:marTop w:val="0"/>
          <w:marBottom w:val="0"/>
          <w:divBdr>
            <w:top w:val="none" w:sz="0" w:space="0" w:color="auto"/>
            <w:left w:val="none" w:sz="0" w:space="0" w:color="auto"/>
            <w:bottom w:val="none" w:sz="0" w:space="0" w:color="auto"/>
            <w:right w:val="none" w:sz="0" w:space="0" w:color="auto"/>
          </w:divBdr>
          <w:divsChild>
            <w:div w:id="502210837">
              <w:marLeft w:val="0"/>
              <w:marRight w:val="0"/>
              <w:marTop w:val="0"/>
              <w:marBottom w:val="0"/>
              <w:divBdr>
                <w:top w:val="none" w:sz="0" w:space="0" w:color="auto"/>
                <w:left w:val="none" w:sz="0" w:space="0" w:color="auto"/>
                <w:bottom w:val="none" w:sz="0" w:space="0" w:color="auto"/>
                <w:right w:val="none" w:sz="0" w:space="0" w:color="auto"/>
              </w:divBdr>
            </w:div>
          </w:divsChild>
        </w:div>
        <w:div w:id="544030738">
          <w:marLeft w:val="0"/>
          <w:marRight w:val="0"/>
          <w:marTop w:val="0"/>
          <w:marBottom w:val="0"/>
          <w:divBdr>
            <w:top w:val="none" w:sz="0" w:space="0" w:color="auto"/>
            <w:left w:val="none" w:sz="0" w:space="0" w:color="auto"/>
            <w:bottom w:val="none" w:sz="0" w:space="0" w:color="auto"/>
            <w:right w:val="none" w:sz="0" w:space="0" w:color="auto"/>
          </w:divBdr>
          <w:divsChild>
            <w:div w:id="857700411">
              <w:marLeft w:val="0"/>
              <w:marRight w:val="0"/>
              <w:marTop w:val="0"/>
              <w:marBottom w:val="0"/>
              <w:divBdr>
                <w:top w:val="none" w:sz="0" w:space="0" w:color="auto"/>
                <w:left w:val="none" w:sz="0" w:space="0" w:color="auto"/>
                <w:bottom w:val="none" w:sz="0" w:space="0" w:color="auto"/>
                <w:right w:val="none" w:sz="0" w:space="0" w:color="auto"/>
              </w:divBdr>
            </w:div>
          </w:divsChild>
        </w:div>
        <w:div w:id="1939292086">
          <w:marLeft w:val="0"/>
          <w:marRight w:val="0"/>
          <w:marTop w:val="0"/>
          <w:marBottom w:val="0"/>
          <w:divBdr>
            <w:top w:val="none" w:sz="0" w:space="0" w:color="auto"/>
            <w:left w:val="none" w:sz="0" w:space="0" w:color="auto"/>
            <w:bottom w:val="none" w:sz="0" w:space="0" w:color="auto"/>
            <w:right w:val="none" w:sz="0" w:space="0" w:color="auto"/>
          </w:divBdr>
          <w:divsChild>
            <w:div w:id="510291462">
              <w:marLeft w:val="0"/>
              <w:marRight w:val="0"/>
              <w:marTop w:val="0"/>
              <w:marBottom w:val="0"/>
              <w:divBdr>
                <w:top w:val="none" w:sz="0" w:space="0" w:color="auto"/>
                <w:left w:val="none" w:sz="0" w:space="0" w:color="auto"/>
                <w:bottom w:val="none" w:sz="0" w:space="0" w:color="auto"/>
                <w:right w:val="none" w:sz="0" w:space="0" w:color="auto"/>
              </w:divBdr>
            </w:div>
          </w:divsChild>
        </w:div>
        <w:div w:id="1877153743">
          <w:marLeft w:val="0"/>
          <w:marRight w:val="0"/>
          <w:marTop w:val="0"/>
          <w:marBottom w:val="0"/>
          <w:divBdr>
            <w:top w:val="none" w:sz="0" w:space="0" w:color="auto"/>
            <w:left w:val="none" w:sz="0" w:space="0" w:color="auto"/>
            <w:bottom w:val="none" w:sz="0" w:space="0" w:color="auto"/>
            <w:right w:val="none" w:sz="0" w:space="0" w:color="auto"/>
          </w:divBdr>
          <w:divsChild>
            <w:div w:id="1066303056">
              <w:marLeft w:val="0"/>
              <w:marRight w:val="0"/>
              <w:marTop w:val="0"/>
              <w:marBottom w:val="0"/>
              <w:divBdr>
                <w:top w:val="none" w:sz="0" w:space="0" w:color="auto"/>
                <w:left w:val="none" w:sz="0" w:space="0" w:color="auto"/>
                <w:bottom w:val="none" w:sz="0" w:space="0" w:color="auto"/>
                <w:right w:val="none" w:sz="0" w:space="0" w:color="auto"/>
              </w:divBdr>
            </w:div>
          </w:divsChild>
        </w:div>
        <w:div w:id="1746954891">
          <w:marLeft w:val="0"/>
          <w:marRight w:val="0"/>
          <w:marTop w:val="0"/>
          <w:marBottom w:val="0"/>
          <w:divBdr>
            <w:top w:val="none" w:sz="0" w:space="0" w:color="auto"/>
            <w:left w:val="none" w:sz="0" w:space="0" w:color="auto"/>
            <w:bottom w:val="none" w:sz="0" w:space="0" w:color="auto"/>
            <w:right w:val="none" w:sz="0" w:space="0" w:color="auto"/>
          </w:divBdr>
          <w:divsChild>
            <w:div w:id="1685932423">
              <w:marLeft w:val="0"/>
              <w:marRight w:val="0"/>
              <w:marTop w:val="0"/>
              <w:marBottom w:val="0"/>
              <w:divBdr>
                <w:top w:val="none" w:sz="0" w:space="0" w:color="auto"/>
                <w:left w:val="none" w:sz="0" w:space="0" w:color="auto"/>
                <w:bottom w:val="none" w:sz="0" w:space="0" w:color="auto"/>
                <w:right w:val="none" w:sz="0" w:space="0" w:color="auto"/>
              </w:divBdr>
            </w:div>
          </w:divsChild>
        </w:div>
        <w:div w:id="2142307707">
          <w:marLeft w:val="0"/>
          <w:marRight w:val="0"/>
          <w:marTop w:val="0"/>
          <w:marBottom w:val="0"/>
          <w:divBdr>
            <w:top w:val="none" w:sz="0" w:space="0" w:color="auto"/>
            <w:left w:val="none" w:sz="0" w:space="0" w:color="auto"/>
            <w:bottom w:val="none" w:sz="0" w:space="0" w:color="auto"/>
            <w:right w:val="none" w:sz="0" w:space="0" w:color="auto"/>
          </w:divBdr>
          <w:divsChild>
            <w:div w:id="78674289">
              <w:marLeft w:val="0"/>
              <w:marRight w:val="0"/>
              <w:marTop w:val="0"/>
              <w:marBottom w:val="0"/>
              <w:divBdr>
                <w:top w:val="none" w:sz="0" w:space="0" w:color="auto"/>
                <w:left w:val="none" w:sz="0" w:space="0" w:color="auto"/>
                <w:bottom w:val="none" w:sz="0" w:space="0" w:color="auto"/>
                <w:right w:val="none" w:sz="0" w:space="0" w:color="auto"/>
              </w:divBdr>
            </w:div>
          </w:divsChild>
        </w:div>
        <w:div w:id="539709670">
          <w:marLeft w:val="0"/>
          <w:marRight w:val="0"/>
          <w:marTop w:val="0"/>
          <w:marBottom w:val="0"/>
          <w:divBdr>
            <w:top w:val="none" w:sz="0" w:space="0" w:color="auto"/>
            <w:left w:val="none" w:sz="0" w:space="0" w:color="auto"/>
            <w:bottom w:val="none" w:sz="0" w:space="0" w:color="auto"/>
            <w:right w:val="none" w:sz="0" w:space="0" w:color="auto"/>
          </w:divBdr>
          <w:divsChild>
            <w:div w:id="915825235">
              <w:marLeft w:val="0"/>
              <w:marRight w:val="0"/>
              <w:marTop w:val="0"/>
              <w:marBottom w:val="0"/>
              <w:divBdr>
                <w:top w:val="none" w:sz="0" w:space="0" w:color="auto"/>
                <w:left w:val="none" w:sz="0" w:space="0" w:color="auto"/>
                <w:bottom w:val="none" w:sz="0" w:space="0" w:color="auto"/>
                <w:right w:val="none" w:sz="0" w:space="0" w:color="auto"/>
              </w:divBdr>
            </w:div>
          </w:divsChild>
        </w:div>
        <w:div w:id="914046926">
          <w:marLeft w:val="0"/>
          <w:marRight w:val="0"/>
          <w:marTop w:val="0"/>
          <w:marBottom w:val="0"/>
          <w:divBdr>
            <w:top w:val="none" w:sz="0" w:space="0" w:color="auto"/>
            <w:left w:val="none" w:sz="0" w:space="0" w:color="auto"/>
            <w:bottom w:val="none" w:sz="0" w:space="0" w:color="auto"/>
            <w:right w:val="none" w:sz="0" w:space="0" w:color="auto"/>
          </w:divBdr>
          <w:divsChild>
            <w:div w:id="928661446">
              <w:marLeft w:val="0"/>
              <w:marRight w:val="0"/>
              <w:marTop w:val="0"/>
              <w:marBottom w:val="0"/>
              <w:divBdr>
                <w:top w:val="none" w:sz="0" w:space="0" w:color="auto"/>
                <w:left w:val="none" w:sz="0" w:space="0" w:color="auto"/>
                <w:bottom w:val="none" w:sz="0" w:space="0" w:color="auto"/>
                <w:right w:val="none" w:sz="0" w:space="0" w:color="auto"/>
              </w:divBdr>
            </w:div>
          </w:divsChild>
        </w:div>
        <w:div w:id="1657605276">
          <w:marLeft w:val="0"/>
          <w:marRight w:val="0"/>
          <w:marTop w:val="0"/>
          <w:marBottom w:val="0"/>
          <w:divBdr>
            <w:top w:val="none" w:sz="0" w:space="0" w:color="auto"/>
            <w:left w:val="none" w:sz="0" w:space="0" w:color="auto"/>
            <w:bottom w:val="none" w:sz="0" w:space="0" w:color="auto"/>
            <w:right w:val="none" w:sz="0" w:space="0" w:color="auto"/>
          </w:divBdr>
          <w:divsChild>
            <w:div w:id="1297613196">
              <w:marLeft w:val="0"/>
              <w:marRight w:val="0"/>
              <w:marTop w:val="0"/>
              <w:marBottom w:val="0"/>
              <w:divBdr>
                <w:top w:val="none" w:sz="0" w:space="0" w:color="auto"/>
                <w:left w:val="none" w:sz="0" w:space="0" w:color="auto"/>
                <w:bottom w:val="none" w:sz="0" w:space="0" w:color="auto"/>
                <w:right w:val="none" w:sz="0" w:space="0" w:color="auto"/>
              </w:divBdr>
            </w:div>
          </w:divsChild>
        </w:div>
        <w:div w:id="2127504151">
          <w:marLeft w:val="0"/>
          <w:marRight w:val="0"/>
          <w:marTop w:val="0"/>
          <w:marBottom w:val="0"/>
          <w:divBdr>
            <w:top w:val="none" w:sz="0" w:space="0" w:color="auto"/>
            <w:left w:val="none" w:sz="0" w:space="0" w:color="auto"/>
            <w:bottom w:val="none" w:sz="0" w:space="0" w:color="auto"/>
            <w:right w:val="none" w:sz="0" w:space="0" w:color="auto"/>
          </w:divBdr>
          <w:divsChild>
            <w:div w:id="1451708945">
              <w:marLeft w:val="0"/>
              <w:marRight w:val="0"/>
              <w:marTop w:val="0"/>
              <w:marBottom w:val="0"/>
              <w:divBdr>
                <w:top w:val="none" w:sz="0" w:space="0" w:color="auto"/>
                <w:left w:val="none" w:sz="0" w:space="0" w:color="auto"/>
                <w:bottom w:val="none" w:sz="0" w:space="0" w:color="auto"/>
                <w:right w:val="none" w:sz="0" w:space="0" w:color="auto"/>
              </w:divBdr>
            </w:div>
          </w:divsChild>
        </w:div>
        <w:div w:id="84159514">
          <w:marLeft w:val="0"/>
          <w:marRight w:val="0"/>
          <w:marTop w:val="0"/>
          <w:marBottom w:val="0"/>
          <w:divBdr>
            <w:top w:val="none" w:sz="0" w:space="0" w:color="auto"/>
            <w:left w:val="none" w:sz="0" w:space="0" w:color="auto"/>
            <w:bottom w:val="none" w:sz="0" w:space="0" w:color="auto"/>
            <w:right w:val="none" w:sz="0" w:space="0" w:color="auto"/>
          </w:divBdr>
          <w:divsChild>
            <w:div w:id="964194602">
              <w:marLeft w:val="0"/>
              <w:marRight w:val="0"/>
              <w:marTop w:val="0"/>
              <w:marBottom w:val="0"/>
              <w:divBdr>
                <w:top w:val="none" w:sz="0" w:space="0" w:color="auto"/>
                <w:left w:val="none" w:sz="0" w:space="0" w:color="auto"/>
                <w:bottom w:val="none" w:sz="0" w:space="0" w:color="auto"/>
                <w:right w:val="none" w:sz="0" w:space="0" w:color="auto"/>
              </w:divBdr>
            </w:div>
          </w:divsChild>
        </w:div>
        <w:div w:id="242178951">
          <w:marLeft w:val="0"/>
          <w:marRight w:val="0"/>
          <w:marTop w:val="0"/>
          <w:marBottom w:val="0"/>
          <w:divBdr>
            <w:top w:val="none" w:sz="0" w:space="0" w:color="auto"/>
            <w:left w:val="none" w:sz="0" w:space="0" w:color="auto"/>
            <w:bottom w:val="none" w:sz="0" w:space="0" w:color="auto"/>
            <w:right w:val="none" w:sz="0" w:space="0" w:color="auto"/>
          </w:divBdr>
          <w:divsChild>
            <w:div w:id="1728215526">
              <w:marLeft w:val="0"/>
              <w:marRight w:val="0"/>
              <w:marTop w:val="0"/>
              <w:marBottom w:val="0"/>
              <w:divBdr>
                <w:top w:val="none" w:sz="0" w:space="0" w:color="auto"/>
                <w:left w:val="none" w:sz="0" w:space="0" w:color="auto"/>
                <w:bottom w:val="none" w:sz="0" w:space="0" w:color="auto"/>
                <w:right w:val="none" w:sz="0" w:space="0" w:color="auto"/>
              </w:divBdr>
            </w:div>
          </w:divsChild>
        </w:div>
        <w:div w:id="239489250">
          <w:marLeft w:val="0"/>
          <w:marRight w:val="0"/>
          <w:marTop w:val="0"/>
          <w:marBottom w:val="0"/>
          <w:divBdr>
            <w:top w:val="none" w:sz="0" w:space="0" w:color="auto"/>
            <w:left w:val="none" w:sz="0" w:space="0" w:color="auto"/>
            <w:bottom w:val="none" w:sz="0" w:space="0" w:color="auto"/>
            <w:right w:val="none" w:sz="0" w:space="0" w:color="auto"/>
          </w:divBdr>
          <w:divsChild>
            <w:div w:id="2070037696">
              <w:marLeft w:val="0"/>
              <w:marRight w:val="0"/>
              <w:marTop w:val="0"/>
              <w:marBottom w:val="0"/>
              <w:divBdr>
                <w:top w:val="none" w:sz="0" w:space="0" w:color="auto"/>
                <w:left w:val="none" w:sz="0" w:space="0" w:color="auto"/>
                <w:bottom w:val="none" w:sz="0" w:space="0" w:color="auto"/>
                <w:right w:val="none" w:sz="0" w:space="0" w:color="auto"/>
              </w:divBdr>
            </w:div>
          </w:divsChild>
        </w:div>
        <w:div w:id="1221551561">
          <w:marLeft w:val="0"/>
          <w:marRight w:val="0"/>
          <w:marTop w:val="0"/>
          <w:marBottom w:val="0"/>
          <w:divBdr>
            <w:top w:val="none" w:sz="0" w:space="0" w:color="auto"/>
            <w:left w:val="none" w:sz="0" w:space="0" w:color="auto"/>
            <w:bottom w:val="none" w:sz="0" w:space="0" w:color="auto"/>
            <w:right w:val="none" w:sz="0" w:space="0" w:color="auto"/>
          </w:divBdr>
          <w:divsChild>
            <w:div w:id="123500598">
              <w:marLeft w:val="0"/>
              <w:marRight w:val="0"/>
              <w:marTop w:val="0"/>
              <w:marBottom w:val="0"/>
              <w:divBdr>
                <w:top w:val="none" w:sz="0" w:space="0" w:color="auto"/>
                <w:left w:val="none" w:sz="0" w:space="0" w:color="auto"/>
                <w:bottom w:val="none" w:sz="0" w:space="0" w:color="auto"/>
                <w:right w:val="none" w:sz="0" w:space="0" w:color="auto"/>
              </w:divBdr>
            </w:div>
          </w:divsChild>
        </w:div>
        <w:div w:id="649793937">
          <w:marLeft w:val="0"/>
          <w:marRight w:val="0"/>
          <w:marTop w:val="0"/>
          <w:marBottom w:val="0"/>
          <w:divBdr>
            <w:top w:val="none" w:sz="0" w:space="0" w:color="auto"/>
            <w:left w:val="none" w:sz="0" w:space="0" w:color="auto"/>
            <w:bottom w:val="none" w:sz="0" w:space="0" w:color="auto"/>
            <w:right w:val="none" w:sz="0" w:space="0" w:color="auto"/>
          </w:divBdr>
          <w:divsChild>
            <w:div w:id="1865895819">
              <w:marLeft w:val="0"/>
              <w:marRight w:val="0"/>
              <w:marTop w:val="0"/>
              <w:marBottom w:val="0"/>
              <w:divBdr>
                <w:top w:val="none" w:sz="0" w:space="0" w:color="auto"/>
                <w:left w:val="none" w:sz="0" w:space="0" w:color="auto"/>
                <w:bottom w:val="none" w:sz="0" w:space="0" w:color="auto"/>
                <w:right w:val="none" w:sz="0" w:space="0" w:color="auto"/>
              </w:divBdr>
            </w:div>
          </w:divsChild>
        </w:div>
        <w:div w:id="1516111725">
          <w:marLeft w:val="0"/>
          <w:marRight w:val="0"/>
          <w:marTop w:val="0"/>
          <w:marBottom w:val="0"/>
          <w:divBdr>
            <w:top w:val="none" w:sz="0" w:space="0" w:color="auto"/>
            <w:left w:val="none" w:sz="0" w:space="0" w:color="auto"/>
            <w:bottom w:val="none" w:sz="0" w:space="0" w:color="auto"/>
            <w:right w:val="none" w:sz="0" w:space="0" w:color="auto"/>
          </w:divBdr>
          <w:divsChild>
            <w:div w:id="1881673738">
              <w:marLeft w:val="0"/>
              <w:marRight w:val="0"/>
              <w:marTop w:val="0"/>
              <w:marBottom w:val="0"/>
              <w:divBdr>
                <w:top w:val="none" w:sz="0" w:space="0" w:color="auto"/>
                <w:left w:val="none" w:sz="0" w:space="0" w:color="auto"/>
                <w:bottom w:val="none" w:sz="0" w:space="0" w:color="auto"/>
                <w:right w:val="none" w:sz="0" w:space="0" w:color="auto"/>
              </w:divBdr>
            </w:div>
          </w:divsChild>
        </w:div>
        <w:div w:id="1796025807">
          <w:marLeft w:val="0"/>
          <w:marRight w:val="0"/>
          <w:marTop w:val="0"/>
          <w:marBottom w:val="0"/>
          <w:divBdr>
            <w:top w:val="none" w:sz="0" w:space="0" w:color="auto"/>
            <w:left w:val="none" w:sz="0" w:space="0" w:color="auto"/>
            <w:bottom w:val="none" w:sz="0" w:space="0" w:color="auto"/>
            <w:right w:val="none" w:sz="0" w:space="0" w:color="auto"/>
          </w:divBdr>
          <w:divsChild>
            <w:div w:id="2052151812">
              <w:marLeft w:val="0"/>
              <w:marRight w:val="0"/>
              <w:marTop w:val="0"/>
              <w:marBottom w:val="0"/>
              <w:divBdr>
                <w:top w:val="none" w:sz="0" w:space="0" w:color="auto"/>
                <w:left w:val="none" w:sz="0" w:space="0" w:color="auto"/>
                <w:bottom w:val="none" w:sz="0" w:space="0" w:color="auto"/>
                <w:right w:val="none" w:sz="0" w:space="0" w:color="auto"/>
              </w:divBdr>
            </w:div>
          </w:divsChild>
        </w:div>
        <w:div w:id="1862937781">
          <w:marLeft w:val="0"/>
          <w:marRight w:val="0"/>
          <w:marTop w:val="0"/>
          <w:marBottom w:val="0"/>
          <w:divBdr>
            <w:top w:val="none" w:sz="0" w:space="0" w:color="auto"/>
            <w:left w:val="none" w:sz="0" w:space="0" w:color="auto"/>
            <w:bottom w:val="none" w:sz="0" w:space="0" w:color="auto"/>
            <w:right w:val="none" w:sz="0" w:space="0" w:color="auto"/>
          </w:divBdr>
          <w:divsChild>
            <w:div w:id="1794984805">
              <w:marLeft w:val="0"/>
              <w:marRight w:val="0"/>
              <w:marTop w:val="0"/>
              <w:marBottom w:val="0"/>
              <w:divBdr>
                <w:top w:val="none" w:sz="0" w:space="0" w:color="auto"/>
                <w:left w:val="none" w:sz="0" w:space="0" w:color="auto"/>
                <w:bottom w:val="none" w:sz="0" w:space="0" w:color="auto"/>
                <w:right w:val="none" w:sz="0" w:space="0" w:color="auto"/>
              </w:divBdr>
            </w:div>
          </w:divsChild>
        </w:div>
        <w:div w:id="1067654627">
          <w:marLeft w:val="0"/>
          <w:marRight w:val="0"/>
          <w:marTop w:val="0"/>
          <w:marBottom w:val="0"/>
          <w:divBdr>
            <w:top w:val="none" w:sz="0" w:space="0" w:color="auto"/>
            <w:left w:val="none" w:sz="0" w:space="0" w:color="auto"/>
            <w:bottom w:val="none" w:sz="0" w:space="0" w:color="auto"/>
            <w:right w:val="none" w:sz="0" w:space="0" w:color="auto"/>
          </w:divBdr>
          <w:divsChild>
            <w:div w:id="642080206">
              <w:marLeft w:val="0"/>
              <w:marRight w:val="0"/>
              <w:marTop w:val="0"/>
              <w:marBottom w:val="0"/>
              <w:divBdr>
                <w:top w:val="none" w:sz="0" w:space="0" w:color="auto"/>
                <w:left w:val="none" w:sz="0" w:space="0" w:color="auto"/>
                <w:bottom w:val="none" w:sz="0" w:space="0" w:color="auto"/>
                <w:right w:val="none" w:sz="0" w:space="0" w:color="auto"/>
              </w:divBdr>
            </w:div>
          </w:divsChild>
        </w:div>
        <w:div w:id="238255025">
          <w:marLeft w:val="0"/>
          <w:marRight w:val="0"/>
          <w:marTop w:val="0"/>
          <w:marBottom w:val="0"/>
          <w:divBdr>
            <w:top w:val="none" w:sz="0" w:space="0" w:color="auto"/>
            <w:left w:val="none" w:sz="0" w:space="0" w:color="auto"/>
            <w:bottom w:val="none" w:sz="0" w:space="0" w:color="auto"/>
            <w:right w:val="none" w:sz="0" w:space="0" w:color="auto"/>
          </w:divBdr>
          <w:divsChild>
            <w:div w:id="430978469">
              <w:marLeft w:val="0"/>
              <w:marRight w:val="0"/>
              <w:marTop w:val="0"/>
              <w:marBottom w:val="0"/>
              <w:divBdr>
                <w:top w:val="none" w:sz="0" w:space="0" w:color="auto"/>
                <w:left w:val="none" w:sz="0" w:space="0" w:color="auto"/>
                <w:bottom w:val="none" w:sz="0" w:space="0" w:color="auto"/>
                <w:right w:val="none" w:sz="0" w:space="0" w:color="auto"/>
              </w:divBdr>
            </w:div>
          </w:divsChild>
        </w:div>
        <w:div w:id="1830051474">
          <w:marLeft w:val="0"/>
          <w:marRight w:val="0"/>
          <w:marTop w:val="0"/>
          <w:marBottom w:val="0"/>
          <w:divBdr>
            <w:top w:val="none" w:sz="0" w:space="0" w:color="auto"/>
            <w:left w:val="none" w:sz="0" w:space="0" w:color="auto"/>
            <w:bottom w:val="none" w:sz="0" w:space="0" w:color="auto"/>
            <w:right w:val="none" w:sz="0" w:space="0" w:color="auto"/>
          </w:divBdr>
          <w:divsChild>
            <w:div w:id="1353653179">
              <w:marLeft w:val="0"/>
              <w:marRight w:val="0"/>
              <w:marTop w:val="0"/>
              <w:marBottom w:val="0"/>
              <w:divBdr>
                <w:top w:val="none" w:sz="0" w:space="0" w:color="auto"/>
                <w:left w:val="none" w:sz="0" w:space="0" w:color="auto"/>
                <w:bottom w:val="none" w:sz="0" w:space="0" w:color="auto"/>
                <w:right w:val="none" w:sz="0" w:space="0" w:color="auto"/>
              </w:divBdr>
            </w:div>
          </w:divsChild>
        </w:div>
        <w:div w:id="65610408">
          <w:marLeft w:val="0"/>
          <w:marRight w:val="0"/>
          <w:marTop w:val="0"/>
          <w:marBottom w:val="0"/>
          <w:divBdr>
            <w:top w:val="none" w:sz="0" w:space="0" w:color="auto"/>
            <w:left w:val="none" w:sz="0" w:space="0" w:color="auto"/>
            <w:bottom w:val="none" w:sz="0" w:space="0" w:color="auto"/>
            <w:right w:val="none" w:sz="0" w:space="0" w:color="auto"/>
          </w:divBdr>
          <w:divsChild>
            <w:div w:id="850142534">
              <w:marLeft w:val="0"/>
              <w:marRight w:val="0"/>
              <w:marTop w:val="0"/>
              <w:marBottom w:val="0"/>
              <w:divBdr>
                <w:top w:val="none" w:sz="0" w:space="0" w:color="auto"/>
                <w:left w:val="none" w:sz="0" w:space="0" w:color="auto"/>
                <w:bottom w:val="none" w:sz="0" w:space="0" w:color="auto"/>
                <w:right w:val="none" w:sz="0" w:space="0" w:color="auto"/>
              </w:divBdr>
            </w:div>
          </w:divsChild>
        </w:div>
        <w:div w:id="387847296">
          <w:marLeft w:val="0"/>
          <w:marRight w:val="0"/>
          <w:marTop w:val="0"/>
          <w:marBottom w:val="0"/>
          <w:divBdr>
            <w:top w:val="none" w:sz="0" w:space="0" w:color="auto"/>
            <w:left w:val="none" w:sz="0" w:space="0" w:color="auto"/>
            <w:bottom w:val="none" w:sz="0" w:space="0" w:color="auto"/>
            <w:right w:val="none" w:sz="0" w:space="0" w:color="auto"/>
          </w:divBdr>
          <w:divsChild>
            <w:div w:id="323364657">
              <w:marLeft w:val="0"/>
              <w:marRight w:val="0"/>
              <w:marTop w:val="0"/>
              <w:marBottom w:val="0"/>
              <w:divBdr>
                <w:top w:val="none" w:sz="0" w:space="0" w:color="auto"/>
                <w:left w:val="none" w:sz="0" w:space="0" w:color="auto"/>
                <w:bottom w:val="none" w:sz="0" w:space="0" w:color="auto"/>
                <w:right w:val="none" w:sz="0" w:space="0" w:color="auto"/>
              </w:divBdr>
            </w:div>
          </w:divsChild>
        </w:div>
        <w:div w:id="1930306565">
          <w:marLeft w:val="0"/>
          <w:marRight w:val="0"/>
          <w:marTop w:val="300"/>
          <w:marBottom w:val="300"/>
          <w:divBdr>
            <w:top w:val="none" w:sz="0" w:space="0" w:color="auto"/>
            <w:left w:val="none" w:sz="0" w:space="0" w:color="auto"/>
            <w:bottom w:val="none" w:sz="0" w:space="0" w:color="auto"/>
            <w:right w:val="none" w:sz="0" w:space="0" w:color="auto"/>
          </w:divBdr>
        </w:div>
        <w:div w:id="622006484">
          <w:marLeft w:val="0"/>
          <w:marRight w:val="0"/>
          <w:marTop w:val="0"/>
          <w:marBottom w:val="0"/>
          <w:divBdr>
            <w:top w:val="none" w:sz="0" w:space="0" w:color="auto"/>
            <w:left w:val="none" w:sz="0" w:space="0" w:color="auto"/>
            <w:bottom w:val="none" w:sz="0" w:space="0" w:color="auto"/>
            <w:right w:val="none" w:sz="0" w:space="0" w:color="auto"/>
          </w:divBdr>
          <w:divsChild>
            <w:div w:id="1505898350">
              <w:marLeft w:val="0"/>
              <w:marRight w:val="0"/>
              <w:marTop w:val="0"/>
              <w:marBottom w:val="0"/>
              <w:divBdr>
                <w:top w:val="none" w:sz="0" w:space="0" w:color="auto"/>
                <w:left w:val="none" w:sz="0" w:space="0" w:color="auto"/>
                <w:bottom w:val="none" w:sz="0" w:space="0" w:color="auto"/>
                <w:right w:val="none" w:sz="0" w:space="0" w:color="auto"/>
              </w:divBdr>
            </w:div>
          </w:divsChild>
        </w:div>
        <w:div w:id="426315574">
          <w:marLeft w:val="0"/>
          <w:marRight w:val="0"/>
          <w:marTop w:val="0"/>
          <w:marBottom w:val="0"/>
          <w:divBdr>
            <w:top w:val="none" w:sz="0" w:space="0" w:color="auto"/>
            <w:left w:val="none" w:sz="0" w:space="0" w:color="auto"/>
            <w:bottom w:val="none" w:sz="0" w:space="0" w:color="auto"/>
            <w:right w:val="none" w:sz="0" w:space="0" w:color="auto"/>
          </w:divBdr>
          <w:divsChild>
            <w:div w:id="836649199">
              <w:marLeft w:val="0"/>
              <w:marRight w:val="0"/>
              <w:marTop w:val="0"/>
              <w:marBottom w:val="0"/>
              <w:divBdr>
                <w:top w:val="none" w:sz="0" w:space="0" w:color="auto"/>
                <w:left w:val="none" w:sz="0" w:space="0" w:color="auto"/>
                <w:bottom w:val="none" w:sz="0" w:space="0" w:color="auto"/>
                <w:right w:val="none" w:sz="0" w:space="0" w:color="auto"/>
              </w:divBdr>
            </w:div>
          </w:divsChild>
        </w:div>
        <w:div w:id="463503038">
          <w:marLeft w:val="0"/>
          <w:marRight w:val="0"/>
          <w:marTop w:val="0"/>
          <w:marBottom w:val="0"/>
          <w:divBdr>
            <w:top w:val="none" w:sz="0" w:space="0" w:color="auto"/>
            <w:left w:val="none" w:sz="0" w:space="0" w:color="auto"/>
            <w:bottom w:val="none" w:sz="0" w:space="0" w:color="auto"/>
            <w:right w:val="none" w:sz="0" w:space="0" w:color="auto"/>
          </w:divBdr>
          <w:divsChild>
            <w:div w:id="675303267">
              <w:marLeft w:val="0"/>
              <w:marRight w:val="0"/>
              <w:marTop w:val="0"/>
              <w:marBottom w:val="0"/>
              <w:divBdr>
                <w:top w:val="none" w:sz="0" w:space="0" w:color="auto"/>
                <w:left w:val="none" w:sz="0" w:space="0" w:color="auto"/>
                <w:bottom w:val="none" w:sz="0" w:space="0" w:color="auto"/>
                <w:right w:val="none" w:sz="0" w:space="0" w:color="auto"/>
              </w:divBdr>
            </w:div>
          </w:divsChild>
        </w:div>
        <w:div w:id="96221851">
          <w:marLeft w:val="0"/>
          <w:marRight w:val="0"/>
          <w:marTop w:val="0"/>
          <w:marBottom w:val="0"/>
          <w:divBdr>
            <w:top w:val="none" w:sz="0" w:space="0" w:color="auto"/>
            <w:left w:val="none" w:sz="0" w:space="0" w:color="auto"/>
            <w:bottom w:val="none" w:sz="0" w:space="0" w:color="auto"/>
            <w:right w:val="none" w:sz="0" w:space="0" w:color="auto"/>
          </w:divBdr>
          <w:divsChild>
            <w:div w:id="1900823357">
              <w:marLeft w:val="0"/>
              <w:marRight w:val="0"/>
              <w:marTop w:val="0"/>
              <w:marBottom w:val="0"/>
              <w:divBdr>
                <w:top w:val="none" w:sz="0" w:space="0" w:color="auto"/>
                <w:left w:val="none" w:sz="0" w:space="0" w:color="auto"/>
                <w:bottom w:val="none" w:sz="0" w:space="0" w:color="auto"/>
                <w:right w:val="none" w:sz="0" w:space="0" w:color="auto"/>
              </w:divBdr>
            </w:div>
          </w:divsChild>
        </w:div>
        <w:div w:id="1280918361">
          <w:marLeft w:val="0"/>
          <w:marRight w:val="0"/>
          <w:marTop w:val="0"/>
          <w:marBottom w:val="0"/>
          <w:divBdr>
            <w:top w:val="none" w:sz="0" w:space="0" w:color="auto"/>
            <w:left w:val="none" w:sz="0" w:space="0" w:color="auto"/>
            <w:bottom w:val="none" w:sz="0" w:space="0" w:color="auto"/>
            <w:right w:val="none" w:sz="0" w:space="0" w:color="auto"/>
          </w:divBdr>
          <w:divsChild>
            <w:div w:id="1618098562">
              <w:marLeft w:val="0"/>
              <w:marRight w:val="0"/>
              <w:marTop w:val="0"/>
              <w:marBottom w:val="0"/>
              <w:divBdr>
                <w:top w:val="none" w:sz="0" w:space="0" w:color="auto"/>
                <w:left w:val="none" w:sz="0" w:space="0" w:color="auto"/>
                <w:bottom w:val="none" w:sz="0" w:space="0" w:color="auto"/>
                <w:right w:val="none" w:sz="0" w:space="0" w:color="auto"/>
              </w:divBdr>
            </w:div>
          </w:divsChild>
        </w:div>
        <w:div w:id="1383094845">
          <w:marLeft w:val="0"/>
          <w:marRight w:val="0"/>
          <w:marTop w:val="300"/>
          <w:marBottom w:val="300"/>
          <w:divBdr>
            <w:top w:val="none" w:sz="0" w:space="0" w:color="auto"/>
            <w:left w:val="none" w:sz="0" w:space="0" w:color="auto"/>
            <w:bottom w:val="none" w:sz="0" w:space="0" w:color="auto"/>
            <w:right w:val="none" w:sz="0" w:space="0" w:color="auto"/>
          </w:divBdr>
        </w:div>
        <w:div w:id="934901382">
          <w:marLeft w:val="0"/>
          <w:marRight w:val="0"/>
          <w:marTop w:val="0"/>
          <w:marBottom w:val="0"/>
          <w:divBdr>
            <w:top w:val="none" w:sz="0" w:space="0" w:color="auto"/>
            <w:left w:val="none" w:sz="0" w:space="0" w:color="auto"/>
            <w:bottom w:val="none" w:sz="0" w:space="0" w:color="auto"/>
            <w:right w:val="none" w:sz="0" w:space="0" w:color="auto"/>
          </w:divBdr>
          <w:divsChild>
            <w:div w:id="169412807">
              <w:marLeft w:val="0"/>
              <w:marRight w:val="0"/>
              <w:marTop w:val="0"/>
              <w:marBottom w:val="0"/>
              <w:divBdr>
                <w:top w:val="none" w:sz="0" w:space="0" w:color="auto"/>
                <w:left w:val="none" w:sz="0" w:space="0" w:color="auto"/>
                <w:bottom w:val="none" w:sz="0" w:space="0" w:color="auto"/>
                <w:right w:val="none" w:sz="0" w:space="0" w:color="auto"/>
              </w:divBdr>
            </w:div>
          </w:divsChild>
        </w:div>
        <w:div w:id="1376540884">
          <w:marLeft w:val="0"/>
          <w:marRight w:val="0"/>
          <w:marTop w:val="0"/>
          <w:marBottom w:val="0"/>
          <w:divBdr>
            <w:top w:val="none" w:sz="0" w:space="0" w:color="auto"/>
            <w:left w:val="none" w:sz="0" w:space="0" w:color="auto"/>
            <w:bottom w:val="none" w:sz="0" w:space="0" w:color="auto"/>
            <w:right w:val="none" w:sz="0" w:space="0" w:color="auto"/>
          </w:divBdr>
          <w:divsChild>
            <w:div w:id="435515388">
              <w:marLeft w:val="0"/>
              <w:marRight w:val="0"/>
              <w:marTop w:val="0"/>
              <w:marBottom w:val="0"/>
              <w:divBdr>
                <w:top w:val="none" w:sz="0" w:space="0" w:color="auto"/>
                <w:left w:val="none" w:sz="0" w:space="0" w:color="auto"/>
                <w:bottom w:val="none" w:sz="0" w:space="0" w:color="auto"/>
                <w:right w:val="none" w:sz="0" w:space="0" w:color="auto"/>
              </w:divBdr>
            </w:div>
          </w:divsChild>
        </w:div>
        <w:div w:id="843011698">
          <w:marLeft w:val="0"/>
          <w:marRight w:val="0"/>
          <w:marTop w:val="0"/>
          <w:marBottom w:val="0"/>
          <w:divBdr>
            <w:top w:val="none" w:sz="0" w:space="0" w:color="auto"/>
            <w:left w:val="none" w:sz="0" w:space="0" w:color="auto"/>
            <w:bottom w:val="none" w:sz="0" w:space="0" w:color="auto"/>
            <w:right w:val="none" w:sz="0" w:space="0" w:color="auto"/>
          </w:divBdr>
          <w:divsChild>
            <w:div w:id="1555893964">
              <w:marLeft w:val="0"/>
              <w:marRight w:val="0"/>
              <w:marTop w:val="0"/>
              <w:marBottom w:val="0"/>
              <w:divBdr>
                <w:top w:val="none" w:sz="0" w:space="0" w:color="auto"/>
                <w:left w:val="none" w:sz="0" w:space="0" w:color="auto"/>
                <w:bottom w:val="none" w:sz="0" w:space="0" w:color="auto"/>
                <w:right w:val="none" w:sz="0" w:space="0" w:color="auto"/>
              </w:divBdr>
            </w:div>
          </w:divsChild>
        </w:div>
        <w:div w:id="72631719">
          <w:marLeft w:val="0"/>
          <w:marRight w:val="0"/>
          <w:marTop w:val="0"/>
          <w:marBottom w:val="0"/>
          <w:divBdr>
            <w:top w:val="none" w:sz="0" w:space="0" w:color="auto"/>
            <w:left w:val="none" w:sz="0" w:space="0" w:color="auto"/>
            <w:bottom w:val="none" w:sz="0" w:space="0" w:color="auto"/>
            <w:right w:val="none" w:sz="0" w:space="0" w:color="auto"/>
          </w:divBdr>
          <w:divsChild>
            <w:div w:id="1907953809">
              <w:marLeft w:val="0"/>
              <w:marRight w:val="0"/>
              <w:marTop w:val="0"/>
              <w:marBottom w:val="0"/>
              <w:divBdr>
                <w:top w:val="none" w:sz="0" w:space="0" w:color="auto"/>
                <w:left w:val="none" w:sz="0" w:space="0" w:color="auto"/>
                <w:bottom w:val="none" w:sz="0" w:space="0" w:color="auto"/>
                <w:right w:val="none" w:sz="0" w:space="0" w:color="auto"/>
              </w:divBdr>
            </w:div>
          </w:divsChild>
        </w:div>
        <w:div w:id="1360471592">
          <w:marLeft w:val="0"/>
          <w:marRight w:val="0"/>
          <w:marTop w:val="0"/>
          <w:marBottom w:val="0"/>
          <w:divBdr>
            <w:top w:val="none" w:sz="0" w:space="0" w:color="auto"/>
            <w:left w:val="none" w:sz="0" w:space="0" w:color="auto"/>
            <w:bottom w:val="none" w:sz="0" w:space="0" w:color="auto"/>
            <w:right w:val="none" w:sz="0" w:space="0" w:color="auto"/>
          </w:divBdr>
          <w:divsChild>
            <w:div w:id="966206672">
              <w:marLeft w:val="0"/>
              <w:marRight w:val="0"/>
              <w:marTop w:val="0"/>
              <w:marBottom w:val="0"/>
              <w:divBdr>
                <w:top w:val="none" w:sz="0" w:space="0" w:color="auto"/>
                <w:left w:val="none" w:sz="0" w:space="0" w:color="auto"/>
                <w:bottom w:val="none" w:sz="0" w:space="0" w:color="auto"/>
                <w:right w:val="none" w:sz="0" w:space="0" w:color="auto"/>
              </w:divBdr>
            </w:div>
          </w:divsChild>
        </w:div>
        <w:div w:id="1578396198">
          <w:marLeft w:val="0"/>
          <w:marRight w:val="0"/>
          <w:marTop w:val="0"/>
          <w:marBottom w:val="0"/>
          <w:divBdr>
            <w:top w:val="none" w:sz="0" w:space="0" w:color="auto"/>
            <w:left w:val="none" w:sz="0" w:space="0" w:color="auto"/>
            <w:bottom w:val="none" w:sz="0" w:space="0" w:color="auto"/>
            <w:right w:val="none" w:sz="0" w:space="0" w:color="auto"/>
          </w:divBdr>
          <w:divsChild>
            <w:div w:id="1654798299">
              <w:marLeft w:val="0"/>
              <w:marRight w:val="0"/>
              <w:marTop w:val="0"/>
              <w:marBottom w:val="0"/>
              <w:divBdr>
                <w:top w:val="none" w:sz="0" w:space="0" w:color="auto"/>
                <w:left w:val="none" w:sz="0" w:space="0" w:color="auto"/>
                <w:bottom w:val="none" w:sz="0" w:space="0" w:color="auto"/>
                <w:right w:val="none" w:sz="0" w:space="0" w:color="auto"/>
              </w:divBdr>
            </w:div>
          </w:divsChild>
        </w:div>
        <w:div w:id="985622634">
          <w:marLeft w:val="0"/>
          <w:marRight w:val="0"/>
          <w:marTop w:val="0"/>
          <w:marBottom w:val="0"/>
          <w:divBdr>
            <w:top w:val="none" w:sz="0" w:space="0" w:color="auto"/>
            <w:left w:val="none" w:sz="0" w:space="0" w:color="auto"/>
            <w:bottom w:val="none" w:sz="0" w:space="0" w:color="auto"/>
            <w:right w:val="none" w:sz="0" w:space="0" w:color="auto"/>
          </w:divBdr>
          <w:divsChild>
            <w:div w:id="1264612595">
              <w:marLeft w:val="0"/>
              <w:marRight w:val="0"/>
              <w:marTop w:val="0"/>
              <w:marBottom w:val="0"/>
              <w:divBdr>
                <w:top w:val="none" w:sz="0" w:space="0" w:color="auto"/>
                <w:left w:val="none" w:sz="0" w:space="0" w:color="auto"/>
                <w:bottom w:val="none" w:sz="0" w:space="0" w:color="auto"/>
                <w:right w:val="none" w:sz="0" w:space="0" w:color="auto"/>
              </w:divBdr>
            </w:div>
          </w:divsChild>
        </w:div>
        <w:div w:id="80420352">
          <w:marLeft w:val="0"/>
          <w:marRight w:val="0"/>
          <w:marTop w:val="0"/>
          <w:marBottom w:val="0"/>
          <w:divBdr>
            <w:top w:val="none" w:sz="0" w:space="0" w:color="auto"/>
            <w:left w:val="none" w:sz="0" w:space="0" w:color="auto"/>
            <w:bottom w:val="none" w:sz="0" w:space="0" w:color="auto"/>
            <w:right w:val="none" w:sz="0" w:space="0" w:color="auto"/>
          </w:divBdr>
          <w:divsChild>
            <w:div w:id="1418789958">
              <w:marLeft w:val="0"/>
              <w:marRight w:val="0"/>
              <w:marTop w:val="0"/>
              <w:marBottom w:val="0"/>
              <w:divBdr>
                <w:top w:val="none" w:sz="0" w:space="0" w:color="auto"/>
                <w:left w:val="none" w:sz="0" w:space="0" w:color="auto"/>
                <w:bottom w:val="none" w:sz="0" w:space="0" w:color="auto"/>
                <w:right w:val="none" w:sz="0" w:space="0" w:color="auto"/>
              </w:divBdr>
            </w:div>
          </w:divsChild>
        </w:div>
        <w:div w:id="898326479">
          <w:marLeft w:val="0"/>
          <w:marRight w:val="0"/>
          <w:marTop w:val="0"/>
          <w:marBottom w:val="0"/>
          <w:divBdr>
            <w:top w:val="none" w:sz="0" w:space="0" w:color="auto"/>
            <w:left w:val="none" w:sz="0" w:space="0" w:color="auto"/>
            <w:bottom w:val="none" w:sz="0" w:space="0" w:color="auto"/>
            <w:right w:val="none" w:sz="0" w:space="0" w:color="auto"/>
          </w:divBdr>
          <w:divsChild>
            <w:div w:id="2108961019">
              <w:marLeft w:val="0"/>
              <w:marRight w:val="0"/>
              <w:marTop w:val="0"/>
              <w:marBottom w:val="0"/>
              <w:divBdr>
                <w:top w:val="none" w:sz="0" w:space="0" w:color="auto"/>
                <w:left w:val="none" w:sz="0" w:space="0" w:color="auto"/>
                <w:bottom w:val="none" w:sz="0" w:space="0" w:color="auto"/>
                <w:right w:val="none" w:sz="0" w:space="0" w:color="auto"/>
              </w:divBdr>
            </w:div>
          </w:divsChild>
        </w:div>
        <w:div w:id="764617584">
          <w:marLeft w:val="0"/>
          <w:marRight w:val="0"/>
          <w:marTop w:val="0"/>
          <w:marBottom w:val="0"/>
          <w:divBdr>
            <w:top w:val="none" w:sz="0" w:space="0" w:color="auto"/>
            <w:left w:val="none" w:sz="0" w:space="0" w:color="auto"/>
            <w:bottom w:val="none" w:sz="0" w:space="0" w:color="auto"/>
            <w:right w:val="none" w:sz="0" w:space="0" w:color="auto"/>
          </w:divBdr>
          <w:divsChild>
            <w:div w:id="926307555">
              <w:marLeft w:val="0"/>
              <w:marRight w:val="0"/>
              <w:marTop w:val="0"/>
              <w:marBottom w:val="0"/>
              <w:divBdr>
                <w:top w:val="none" w:sz="0" w:space="0" w:color="auto"/>
                <w:left w:val="none" w:sz="0" w:space="0" w:color="auto"/>
                <w:bottom w:val="none" w:sz="0" w:space="0" w:color="auto"/>
                <w:right w:val="none" w:sz="0" w:space="0" w:color="auto"/>
              </w:divBdr>
            </w:div>
          </w:divsChild>
        </w:div>
        <w:div w:id="1445081336">
          <w:marLeft w:val="0"/>
          <w:marRight w:val="0"/>
          <w:marTop w:val="0"/>
          <w:marBottom w:val="0"/>
          <w:divBdr>
            <w:top w:val="none" w:sz="0" w:space="0" w:color="auto"/>
            <w:left w:val="none" w:sz="0" w:space="0" w:color="auto"/>
            <w:bottom w:val="none" w:sz="0" w:space="0" w:color="auto"/>
            <w:right w:val="none" w:sz="0" w:space="0" w:color="auto"/>
          </w:divBdr>
          <w:divsChild>
            <w:div w:id="47068393">
              <w:marLeft w:val="0"/>
              <w:marRight w:val="0"/>
              <w:marTop w:val="0"/>
              <w:marBottom w:val="0"/>
              <w:divBdr>
                <w:top w:val="none" w:sz="0" w:space="0" w:color="auto"/>
                <w:left w:val="none" w:sz="0" w:space="0" w:color="auto"/>
                <w:bottom w:val="none" w:sz="0" w:space="0" w:color="auto"/>
                <w:right w:val="none" w:sz="0" w:space="0" w:color="auto"/>
              </w:divBdr>
            </w:div>
          </w:divsChild>
        </w:div>
        <w:div w:id="480852691">
          <w:marLeft w:val="0"/>
          <w:marRight w:val="0"/>
          <w:marTop w:val="0"/>
          <w:marBottom w:val="0"/>
          <w:divBdr>
            <w:top w:val="none" w:sz="0" w:space="0" w:color="auto"/>
            <w:left w:val="none" w:sz="0" w:space="0" w:color="auto"/>
            <w:bottom w:val="none" w:sz="0" w:space="0" w:color="auto"/>
            <w:right w:val="none" w:sz="0" w:space="0" w:color="auto"/>
          </w:divBdr>
          <w:divsChild>
            <w:div w:id="973562053">
              <w:marLeft w:val="0"/>
              <w:marRight w:val="0"/>
              <w:marTop w:val="0"/>
              <w:marBottom w:val="0"/>
              <w:divBdr>
                <w:top w:val="none" w:sz="0" w:space="0" w:color="auto"/>
                <w:left w:val="none" w:sz="0" w:space="0" w:color="auto"/>
                <w:bottom w:val="none" w:sz="0" w:space="0" w:color="auto"/>
                <w:right w:val="none" w:sz="0" w:space="0" w:color="auto"/>
              </w:divBdr>
            </w:div>
          </w:divsChild>
        </w:div>
        <w:div w:id="1502162951">
          <w:marLeft w:val="0"/>
          <w:marRight w:val="0"/>
          <w:marTop w:val="300"/>
          <w:marBottom w:val="300"/>
          <w:divBdr>
            <w:top w:val="none" w:sz="0" w:space="0" w:color="auto"/>
            <w:left w:val="none" w:sz="0" w:space="0" w:color="auto"/>
            <w:bottom w:val="none" w:sz="0" w:space="0" w:color="auto"/>
            <w:right w:val="none" w:sz="0" w:space="0" w:color="auto"/>
          </w:divBdr>
        </w:div>
        <w:div w:id="1775395211">
          <w:marLeft w:val="0"/>
          <w:marRight w:val="0"/>
          <w:marTop w:val="0"/>
          <w:marBottom w:val="0"/>
          <w:divBdr>
            <w:top w:val="none" w:sz="0" w:space="0" w:color="auto"/>
            <w:left w:val="none" w:sz="0" w:space="0" w:color="auto"/>
            <w:bottom w:val="none" w:sz="0" w:space="0" w:color="auto"/>
            <w:right w:val="none" w:sz="0" w:space="0" w:color="auto"/>
          </w:divBdr>
          <w:divsChild>
            <w:div w:id="530728858">
              <w:marLeft w:val="0"/>
              <w:marRight w:val="0"/>
              <w:marTop w:val="0"/>
              <w:marBottom w:val="0"/>
              <w:divBdr>
                <w:top w:val="none" w:sz="0" w:space="0" w:color="auto"/>
                <w:left w:val="none" w:sz="0" w:space="0" w:color="auto"/>
                <w:bottom w:val="none" w:sz="0" w:space="0" w:color="auto"/>
                <w:right w:val="none" w:sz="0" w:space="0" w:color="auto"/>
              </w:divBdr>
            </w:div>
          </w:divsChild>
        </w:div>
        <w:div w:id="900137067">
          <w:marLeft w:val="0"/>
          <w:marRight w:val="0"/>
          <w:marTop w:val="0"/>
          <w:marBottom w:val="0"/>
          <w:divBdr>
            <w:top w:val="none" w:sz="0" w:space="0" w:color="auto"/>
            <w:left w:val="none" w:sz="0" w:space="0" w:color="auto"/>
            <w:bottom w:val="none" w:sz="0" w:space="0" w:color="auto"/>
            <w:right w:val="none" w:sz="0" w:space="0" w:color="auto"/>
          </w:divBdr>
          <w:divsChild>
            <w:div w:id="1056667441">
              <w:marLeft w:val="0"/>
              <w:marRight w:val="0"/>
              <w:marTop w:val="0"/>
              <w:marBottom w:val="0"/>
              <w:divBdr>
                <w:top w:val="none" w:sz="0" w:space="0" w:color="auto"/>
                <w:left w:val="none" w:sz="0" w:space="0" w:color="auto"/>
                <w:bottom w:val="none" w:sz="0" w:space="0" w:color="auto"/>
                <w:right w:val="none" w:sz="0" w:space="0" w:color="auto"/>
              </w:divBdr>
            </w:div>
          </w:divsChild>
        </w:div>
        <w:div w:id="1178621423">
          <w:marLeft w:val="0"/>
          <w:marRight w:val="0"/>
          <w:marTop w:val="0"/>
          <w:marBottom w:val="0"/>
          <w:divBdr>
            <w:top w:val="none" w:sz="0" w:space="0" w:color="auto"/>
            <w:left w:val="none" w:sz="0" w:space="0" w:color="auto"/>
            <w:bottom w:val="none" w:sz="0" w:space="0" w:color="auto"/>
            <w:right w:val="none" w:sz="0" w:space="0" w:color="auto"/>
          </w:divBdr>
          <w:divsChild>
            <w:div w:id="177282692">
              <w:marLeft w:val="0"/>
              <w:marRight w:val="0"/>
              <w:marTop w:val="0"/>
              <w:marBottom w:val="0"/>
              <w:divBdr>
                <w:top w:val="none" w:sz="0" w:space="0" w:color="auto"/>
                <w:left w:val="none" w:sz="0" w:space="0" w:color="auto"/>
                <w:bottom w:val="none" w:sz="0" w:space="0" w:color="auto"/>
                <w:right w:val="none" w:sz="0" w:space="0" w:color="auto"/>
              </w:divBdr>
            </w:div>
          </w:divsChild>
        </w:div>
        <w:div w:id="1811287698">
          <w:marLeft w:val="0"/>
          <w:marRight w:val="0"/>
          <w:marTop w:val="0"/>
          <w:marBottom w:val="0"/>
          <w:divBdr>
            <w:top w:val="none" w:sz="0" w:space="0" w:color="auto"/>
            <w:left w:val="none" w:sz="0" w:space="0" w:color="auto"/>
            <w:bottom w:val="none" w:sz="0" w:space="0" w:color="auto"/>
            <w:right w:val="none" w:sz="0" w:space="0" w:color="auto"/>
          </w:divBdr>
          <w:divsChild>
            <w:div w:id="1105729851">
              <w:marLeft w:val="0"/>
              <w:marRight w:val="0"/>
              <w:marTop w:val="0"/>
              <w:marBottom w:val="0"/>
              <w:divBdr>
                <w:top w:val="none" w:sz="0" w:space="0" w:color="auto"/>
                <w:left w:val="none" w:sz="0" w:space="0" w:color="auto"/>
                <w:bottom w:val="none" w:sz="0" w:space="0" w:color="auto"/>
                <w:right w:val="none" w:sz="0" w:space="0" w:color="auto"/>
              </w:divBdr>
            </w:div>
          </w:divsChild>
        </w:div>
        <w:div w:id="1079517787">
          <w:marLeft w:val="0"/>
          <w:marRight w:val="0"/>
          <w:marTop w:val="0"/>
          <w:marBottom w:val="0"/>
          <w:divBdr>
            <w:top w:val="none" w:sz="0" w:space="0" w:color="auto"/>
            <w:left w:val="none" w:sz="0" w:space="0" w:color="auto"/>
            <w:bottom w:val="none" w:sz="0" w:space="0" w:color="auto"/>
            <w:right w:val="none" w:sz="0" w:space="0" w:color="auto"/>
          </w:divBdr>
          <w:divsChild>
            <w:div w:id="58671500">
              <w:marLeft w:val="0"/>
              <w:marRight w:val="0"/>
              <w:marTop w:val="0"/>
              <w:marBottom w:val="0"/>
              <w:divBdr>
                <w:top w:val="none" w:sz="0" w:space="0" w:color="auto"/>
                <w:left w:val="none" w:sz="0" w:space="0" w:color="auto"/>
                <w:bottom w:val="none" w:sz="0" w:space="0" w:color="auto"/>
                <w:right w:val="none" w:sz="0" w:space="0" w:color="auto"/>
              </w:divBdr>
            </w:div>
          </w:divsChild>
        </w:div>
        <w:div w:id="404379529">
          <w:marLeft w:val="0"/>
          <w:marRight w:val="0"/>
          <w:marTop w:val="0"/>
          <w:marBottom w:val="0"/>
          <w:divBdr>
            <w:top w:val="none" w:sz="0" w:space="0" w:color="auto"/>
            <w:left w:val="none" w:sz="0" w:space="0" w:color="auto"/>
            <w:bottom w:val="none" w:sz="0" w:space="0" w:color="auto"/>
            <w:right w:val="none" w:sz="0" w:space="0" w:color="auto"/>
          </w:divBdr>
          <w:divsChild>
            <w:div w:id="2143307381">
              <w:marLeft w:val="0"/>
              <w:marRight w:val="0"/>
              <w:marTop w:val="0"/>
              <w:marBottom w:val="0"/>
              <w:divBdr>
                <w:top w:val="none" w:sz="0" w:space="0" w:color="auto"/>
                <w:left w:val="none" w:sz="0" w:space="0" w:color="auto"/>
                <w:bottom w:val="none" w:sz="0" w:space="0" w:color="auto"/>
                <w:right w:val="none" w:sz="0" w:space="0" w:color="auto"/>
              </w:divBdr>
            </w:div>
          </w:divsChild>
        </w:div>
        <w:div w:id="2043897897">
          <w:marLeft w:val="0"/>
          <w:marRight w:val="0"/>
          <w:marTop w:val="0"/>
          <w:marBottom w:val="0"/>
          <w:divBdr>
            <w:top w:val="none" w:sz="0" w:space="0" w:color="auto"/>
            <w:left w:val="none" w:sz="0" w:space="0" w:color="auto"/>
            <w:bottom w:val="none" w:sz="0" w:space="0" w:color="auto"/>
            <w:right w:val="none" w:sz="0" w:space="0" w:color="auto"/>
          </w:divBdr>
          <w:divsChild>
            <w:div w:id="1325620277">
              <w:marLeft w:val="0"/>
              <w:marRight w:val="0"/>
              <w:marTop w:val="0"/>
              <w:marBottom w:val="0"/>
              <w:divBdr>
                <w:top w:val="none" w:sz="0" w:space="0" w:color="auto"/>
                <w:left w:val="none" w:sz="0" w:space="0" w:color="auto"/>
                <w:bottom w:val="none" w:sz="0" w:space="0" w:color="auto"/>
                <w:right w:val="none" w:sz="0" w:space="0" w:color="auto"/>
              </w:divBdr>
            </w:div>
          </w:divsChild>
        </w:div>
        <w:div w:id="555161060">
          <w:marLeft w:val="0"/>
          <w:marRight w:val="0"/>
          <w:marTop w:val="0"/>
          <w:marBottom w:val="0"/>
          <w:divBdr>
            <w:top w:val="none" w:sz="0" w:space="0" w:color="auto"/>
            <w:left w:val="none" w:sz="0" w:space="0" w:color="auto"/>
            <w:bottom w:val="none" w:sz="0" w:space="0" w:color="auto"/>
            <w:right w:val="none" w:sz="0" w:space="0" w:color="auto"/>
          </w:divBdr>
          <w:divsChild>
            <w:div w:id="207692239">
              <w:marLeft w:val="0"/>
              <w:marRight w:val="0"/>
              <w:marTop w:val="0"/>
              <w:marBottom w:val="0"/>
              <w:divBdr>
                <w:top w:val="none" w:sz="0" w:space="0" w:color="auto"/>
                <w:left w:val="none" w:sz="0" w:space="0" w:color="auto"/>
                <w:bottom w:val="none" w:sz="0" w:space="0" w:color="auto"/>
                <w:right w:val="none" w:sz="0" w:space="0" w:color="auto"/>
              </w:divBdr>
            </w:div>
          </w:divsChild>
        </w:div>
        <w:div w:id="230819025">
          <w:marLeft w:val="0"/>
          <w:marRight w:val="0"/>
          <w:marTop w:val="0"/>
          <w:marBottom w:val="0"/>
          <w:divBdr>
            <w:top w:val="none" w:sz="0" w:space="0" w:color="auto"/>
            <w:left w:val="none" w:sz="0" w:space="0" w:color="auto"/>
            <w:bottom w:val="none" w:sz="0" w:space="0" w:color="auto"/>
            <w:right w:val="none" w:sz="0" w:space="0" w:color="auto"/>
          </w:divBdr>
          <w:divsChild>
            <w:div w:id="1206524847">
              <w:marLeft w:val="0"/>
              <w:marRight w:val="0"/>
              <w:marTop w:val="0"/>
              <w:marBottom w:val="0"/>
              <w:divBdr>
                <w:top w:val="none" w:sz="0" w:space="0" w:color="auto"/>
                <w:left w:val="none" w:sz="0" w:space="0" w:color="auto"/>
                <w:bottom w:val="none" w:sz="0" w:space="0" w:color="auto"/>
                <w:right w:val="none" w:sz="0" w:space="0" w:color="auto"/>
              </w:divBdr>
            </w:div>
          </w:divsChild>
        </w:div>
        <w:div w:id="193230698">
          <w:marLeft w:val="0"/>
          <w:marRight w:val="0"/>
          <w:marTop w:val="0"/>
          <w:marBottom w:val="0"/>
          <w:divBdr>
            <w:top w:val="none" w:sz="0" w:space="0" w:color="auto"/>
            <w:left w:val="none" w:sz="0" w:space="0" w:color="auto"/>
            <w:bottom w:val="none" w:sz="0" w:space="0" w:color="auto"/>
            <w:right w:val="none" w:sz="0" w:space="0" w:color="auto"/>
          </w:divBdr>
          <w:divsChild>
            <w:div w:id="1383670950">
              <w:marLeft w:val="0"/>
              <w:marRight w:val="0"/>
              <w:marTop w:val="0"/>
              <w:marBottom w:val="0"/>
              <w:divBdr>
                <w:top w:val="none" w:sz="0" w:space="0" w:color="auto"/>
                <w:left w:val="none" w:sz="0" w:space="0" w:color="auto"/>
                <w:bottom w:val="none" w:sz="0" w:space="0" w:color="auto"/>
                <w:right w:val="none" w:sz="0" w:space="0" w:color="auto"/>
              </w:divBdr>
            </w:div>
          </w:divsChild>
        </w:div>
        <w:div w:id="817455789">
          <w:marLeft w:val="0"/>
          <w:marRight w:val="0"/>
          <w:marTop w:val="0"/>
          <w:marBottom w:val="0"/>
          <w:divBdr>
            <w:top w:val="none" w:sz="0" w:space="0" w:color="auto"/>
            <w:left w:val="none" w:sz="0" w:space="0" w:color="auto"/>
            <w:bottom w:val="none" w:sz="0" w:space="0" w:color="auto"/>
            <w:right w:val="none" w:sz="0" w:space="0" w:color="auto"/>
          </w:divBdr>
          <w:divsChild>
            <w:div w:id="983001440">
              <w:marLeft w:val="0"/>
              <w:marRight w:val="0"/>
              <w:marTop w:val="0"/>
              <w:marBottom w:val="0"/>
              <w:divBdr>
                <w:top w:val="none" w:sz="0" w:space="0" w:color="auto"/>
                <w:left w:val="none" w:sz="0" w:space="0" w:color="auto"/>
                <w:bottom w:val="none" w:sz="0" w:space="0" w:color="auto"/>
                <w:right w:val="none" w:sz="0" w:space="0" w:color="auto"/>
              </w:divBdr>
            </w:div>
          </w:divsChild>
        </w:div>
        <w:div w:id="1879194832">
          <w:marLeft w:val="0"/>
          <w:marRight w:val="0"/>
          <w:marTop w:val="0"/>
          <w:marBottom w:val="0"/>
          <w:divBdr>
            <w:top w:val="none" w:sz="0" w:space="0" w:color="auto"/>
            <w:left w:val="none" w:sz="0" w:space="0" w:color="auto"/>
            <w:bottom w:val="none" w:sz="0" w:space="0" w:color="auto"/>
            <w:right w:val="none" w:sz="0" w:space="0" w:color="auto"/>
          </w:divBdr>
          <w:divsChild>
            <w:div w:id="989480637">
              <w:marLeft w:val="0"/>
              <w:marRight w:val="0"/>
              <w:marTop w:val="0"/>
              <w:marBottom w:val="0"/>
              <w:divBdr>
                <w:top w:val="none" w:sz="0" w:space="0" w:color="auto"/>
                <w:left w:val="none" w:sz="0" w:space="0" w:color="auto"/>
                <w:bottom w:val="none" w:sz="0" w:space="0" w:color="auto"/>
                <w:right w:val="none" w:sz="0" w:space="0" w:color="auto"/>
              </w:divBdr>
            </w:div>
          </w:divsChild>
        </w:div>
        <w:div w:id="788470687">
          <w:marLeft w:val="0"/>
          <w:marRight w:val="0"/>
          <w:marTop w:val="0"/>
          <w:marBottom w:val="0"/>
          <w:divBdr>
            <w:top w:val="none" w:sz="0" w:space="0" w:color="auto"/>
            <w:left w:val="none" w:sz="0" w:space="0" w:color="auto"/>
            <w:bottom w:val="none" w:sz="0" w:space="0" w:color="auto"/>
            <w:right w:val="none" w:sz="0" w:space="0" w:color="auto"/>
          </w:divBdr>
          <w:divsChild>
            <w:div w:id="183524453">
              <w:marLeft w:val="0"/>
              <w:marRight w:val="0"/>
              <w:marTop w:val="0"/>
              <w:marBottom w:val="0"/>
              <w:divBdr>
                <w:top w:val="none" w:sz="0" w:space="0" w:color="auto"/>
                <w:left w:val="none" w:sz="0" w:space="0" w:color="auto"/>
                <w:bottom w:val="none" w:sz="0" w:space="0" w:color="auto"/>
                <w:right w:val="none" w:sz="0" w:space="0" w:color="auto"/>
              </w:divBdr>
            </w:div>
          </w:divsChild>
        </w:div>
        <w:div w:id="366411780">
          <w:marLeft w:val="0"/>
          <w:marRight w:val="0"/>
          <w:marTop w:val="0"/>
          <w:marBottom w:val="0"/>
          <w:divBdr>
            <w:top w:val="none" w:sz="0" w:space="0" w:color="auto"/>
            <w:left w:val="none" w:sz="0" w:space="0" w:color="auto"/>
            <w:bottom w:val="none" w:sz="0" w:space="0" w:color="auto"/>
            <w:right w:val="none" w:sz="0" w:space="0" w:color="auto"/>
          </w:divBdr>
          <w:divsChild>
            <w:div w:id="877661155">
              <w:marLeft w:val="0"/>
              <w:marRight w:val="0"/>
              <w:marTop w:val="0"/>
              <w:marBottom w:val="0"/>
              <w:divBdr>
                <w:top w:val="none" w:sz="0" w:space="0" w:color="auto"/>
                <w:left w:val="none" w:sz="0" w:space="0" w:color="auto"/>
                <w:bottom w:val="none" w:sz="0" w:space="0" w:color="auto"/>
                <w:right w:val="none" w:sz="0" w:space="0" w:color="auto"/>
              </w:divBdr>
            </w:div>
          </w:divsChild>
        </w:div>
        <w:div w:id="1728605664">
          <w:marLeft w:val="0"/>
          <w:marRight w:val="0"/>
          <w:marTop w:val="0"/>
          <w:marBottom w:val="0"/>
          <w:divBdr>
            <w:top w:val="none" w:sz="0" w:space="0" w:color="auto"/>
            <w:left w:val="none" w:sz="0" w:space="0" w:color="auto"/>
            <w:bottom w:val="none" w:sz="0" w:space="0" w:color="auto"/>
            <w:right w:val="none" w:sz="0" w:space="0" w:color="auto"/>
          </w:divBdr>
          <w:divsChild>
            <w:div w:id="568659408">
              <w:marLeft w:val="0"/>
              <w:marRight w:val="0"/>
              <w:marTop w:val="0"/>
              <w:marBottom w:val="0"/>
              <w:divBdr>
                <w:top w:val="none" w:sz="0" w:space="0" w:color="auto"/>
                <w:left w:val="none" w:sz="0" w:space="0" w:color="auto"/>
                <w:bottom w:val="none" w:sz="0" w:space="0" w:color="auto"/>
                <w:right w:val="none" w:sz="0" w:space="0" w:color="auto"/>
              </w:divBdr>
            </w:div>
          </w:divsChild>
        </w:div>
        <w:div w:id="1871336235">
          <w:marLeft w:val="0"/>
          <w:marRight w:val="0"/>
          <w:marTop w:val="0"/>
          <w:marBottom w:val="0"/>
          <w:divBdr>
            <w:top w:val="none" w:sz="0" w:space="0" w:color="auto"/>
            <w:left w:val="none" w:sz="0" w:space="0" w:color="auto"/>
            <w:bottom w:val="none" w:sz="0" w:space="0" w:color="auto"/>
            <w:right w:val="none" w:sz="0" w:space="0" w:color="auto"/>
          </w:divBdr>
          <w:divsChild>
            <w:div w:id="1716923978">
              <w:marLeft w:val="0"/>
              <w:marRight w:val="0"/>
              <w:marTop w:val="0"/>
              <w:marBottom w:val="0"/>
              <w:divBdr>
                <w:top w:val="none" w:sz="0" w:space="0" w:color="auto"/>
                <w:left w:val="none" w:sz="0" w:space="0" w:color="auto"/>
                <w:bottom w:val="none" w:sz="0" w:space="0" w:color="auto"/>
                <w:right w:val="none" w:sz="0" w:space="0" w:color="auto"/>
              </w:divBdr>
            </w:div>
          </w:divsChild>
        </w:div>
        <w:div w:id="1265528076">
          <w:marLeft w:val="0"/>
          <w:marRight w:val="0"/>
          <w:marTop w:val="0"/>
          <w:marBottom w:val="0"/>
          <w:divBdr>
            <w:top w:val="none" w:sz="0" w:space="0" w:color="auto"/>
            <w:left w:val="none" w:sz="0" w:space="0" w:color="auto"/>
            <w:bottom w:val="none" w:sz="0" w:space="0" w:color="auto"/>
            <w:right w:val="none" w:sz="0" w:space="0" w:color="auto"/>
          </w:divBdr>
          <w:divsChild>
            <w:div w:id="706762249">
              <w:marLeft w:val="0"/>
              <w:marRight w:val="0"/>
              <w:marTop w:val="0"/>
              <w:marBottom w:val="0"/>
              <w:divBdr>
                <w:top w:val="none" w:sz="0" w:space="0" w:color="auto"/>
                <w:left w:val="none" w:sz="0" w:space="0" w:color="auto"/>
                <w:bottom w:val="none" w:sz="0" w:space="0" w:color="auto"/>
                <w:right w:val="none" w:sz="0" w:space="0" w:color="auto"/>
              </w:divBdr>
            </w:div>
          </w:divsChild>
        </w:div>
        <w:div w:id="1339770883">
          <w:marLeft w:val="0"/>
          <w:marRight w:val="0"/>
          <w:marTop w:val="0"/>
          <w:marBottom w:val="0"/>
          <w:divBdr>
            <w:top w:val="none" w:sz="0" w:space="0" w:color="auto"/>
            <w:left w:val="none" w:sz="0" w:space="0" w:color="auto"/>
            <w:bottom w:val="none" w:sz="0" w:space="0" w:color="auto"/>
            <w:right w:val="none" w:sz="0" w:space="0" w:color="auto"/>
          </w:divBdr>
          <w:divsChild>
            <w:div w:id="250510760">
              <w:marLeft w:val="0"/>
              <w:marRight w:val="0"/>
              <w:marTop w:val="0"/>
              <w:marBottom w:val="0"/>
              <w:divBdr>
                <w:top w:val="none" w:sz="0" w:space="0" w:color="auto"/>
                <w:left w:val="none" w:sz="0" w:space="0" w:color="auto"/>
                <w:bottom w:val="none" w:sz="0" w:space="0" w:color="auto"/>
                <w:right w:val="none" w:sz="0" w:space="0" w:color="auto"/>
              </w:divBdr>
            </w:div>
          </w:divsChild>
        </w:div>
        <w:div w:id="1378507560">
          <w:marLeft w:val="0"/>
          <w:marRight w:val="0"/>
          <w:marTop w:val="0"/>
          <w:marBottom w:val="0"/>
          <w:divBdr>
            <w:top w:val="none" w:sz="0" w:space="0" w:color="auto"/>
            <w:left w:val="none" w:sz="0" w:space="0" w:color="auto"/>
            <w:bottom w:val="none" w:sz="0" w:space="0" w:color="auto"/>
            <w:right w:val="none" w:sz="0" w:space="0" w:color="auto"/>
          </w:divBdr>
          <w:divsChild>
            <w:div w:id="766116336">
              <w:marLeft w:val="0"/>
              <w:marRight w:val="0"/>
              <w:marTop w:val="0"/>
              <w:marBottom w:val="0"/>
              <w:divBdr>
                <w:top w:val="none" w:sz="0" w:space="0" w:color="auto"/>
                <w:left w:val="none" w:sz="0" w:space="0" w:color="auto"/>
                <w:bottom w:val="none" w:sz="0" w:space="0" w:color="auto"/>
                <w:right w:val="none" w:sz="0" w:space="0" w:color="auto"/>
              </w:divBdr>
            </w:div>
          </w:divsChild>
        </w:div>
        <w:div w:id="1044527628">
          <w:marLeft w:val="0"/>
          <w:marRight w:val="0"/>
          <w:marTop w:val="0"/>
          <w:marBottom w:val="0"/>
          <w:divBdr>
            <w:top w:val="none" w:sz="0" w:space="0" w:color="auto"/>
            <w:left w:val="none" w:sz="0" w:space="0" w:color="auto"/>
            <w:bottom w:val="none" w:sz="0" w:space="0" w:color="auto"/>
            <w:right w:val="none" w:sz="0" w:space="0" w:color="auto"/>
          </w:divBdr>
          <w:divsChild>
            <w:div w:id="773017807">
              <w:marLeft w:val="0"/>
              <w:marRight w:val="0"/>
              <w:marTop w:val="0"/>
              <w:marBottom w:val="0"/>
              <w:divBdr>
                <w:top w:val="none" w:sz="0" w:space="0" w:color="auto"/>
                <w:left w:val="none" w:sz="0" w:space="0" w:color="auto"/>
                <w:bottom w:val="none" w:sz="0" w:space="0" w:color="auto"/>
                <w:right w:val="none" w:sz="0" w:space="0" w:color="auto"/>
              </w:divBdr>
            </w:div>
          </w:divsChild>
        </w:div>
        <w:div w:id="1087386942">
          <w:marLeft w:val="0"/>
          <w:marRight w:val="0"/>
          <w:marTop w:val="0"/>
          <w:marBottom w:val="0"/>
          <w:divBdr>
            <w:top w:val="none" w:sz="0" w:space="0" w:color="auto"/>
            <w:left w:val="none" w:sz="0" w:space="0" w:color="auto"/>
            <w:bottom w:val="none" w:sz="0" w:space="0" w:color="auto"/>
            <w:right w:val="none" w:sz="0" w:space="0" w:color="auto"/>
          </w:divBdr>
          <w:divsChild>
            <w:div w:id="1913468536">
              <w:marLeft w:val="0"/>
              <w:marRight w:val="0"/>
              <w:marTop w:val="0"/>
              <w:marBottom w:val="0"/>
              <w:divBdr>
                <w:top w:val="none" w:sz="0" w:space="0" w:color="auto"/>
                <w:left w:val="none" w:sz="0" w:space="0" w:color="auto"/>
                <w:bottom w:val="none" w:sz="0" w:space="0" w:color="auto"/>
                <w:right w:val="none" w:sz="0" w:space="0" w:color="auto"/>
              </w:divBdr>
            </w:div>
          </w:divsChild>
        </w:div>
        <w:div w:id="1116876643">
          <w:marLeft w:val="0"/>
          <w:marRight w:val="0"/>
          <w:marTop w:val="0"/>
          <w:marBottom w:val="0"/>
          <w:divBdr>
            <w:top w:val="none" w:sz="0" w:space="0" w:color="auto"/>
            <w:left w:val="none" w:sz="0" w:space="0" w:color="auto"/>
            <w:bottom w:val="none" w:sz="0" w:space="0" w:color="auto"/>
            <w:right w:val="none" w:sz="0" w:space="0" w:color="auto"/>
          </w:divBdr>
          <w:divsChild>
            <w:div w:id="350911635">
              <w:marLeft w:val="0"/>
              <w:marRight w:val="0"/>
              <w:marTop w:val="0"/>
              <w:marBottom w:val="0"/>
              <w:divBdr>
                <w:top w:val="none" w:sz="0" w:space="0" w:color="auto"/>
                <w:left w:val="none" w:sz="0" w:space="0" w:color="auto"/>
                <w:bottom w:val="none" w:sz="0" w:space="0" w:color="auto"/>
                <w:right w:val="none" w:sz="0" w:space="0" w:color="auto"/>
              </w:divBdr>
            </w:div>
          </w:divsChild>
        </w:div>
        <w:div w:id="1060445540">
          <w:marLeft w:val="0"/>
          <w:marRight w:val="0"/>
          <w:marTop w:val="0"/>
          <w:marBottom w:val="0"/>
          <w:divBdr>
            <w:top w:val="none" w:sz="0" w:space="0" w:color="auto"/>
            <w:left w:val="none" w:sz="0" w:space="0" w:color="auto"/>
            <w:bottom w:val="none" w:sz="0" w:space="0" w:color="auto"/>
            <w:right w:val="none" w:sz="0" w:space="0" w:color="auto"/>
          </w:divBdr>
          <w:divsChild>
            <w:div w:id="169956106">
              <w:marLeft w:val="0"/>
              <w:marRight w:val="0"/>
              <w:marTop w:val="0"/>
              <w:marBottom w:val="0"/>
              <w:divBdr>
                <w:top w:val="none" w:sz="0" w:space="0" w:color="auto"/>
                <w:left w:val="none" w:sz="0" w:space="0" w:color="auto"/>
                <w:bottom w:val="none" w:sz="0" w:space="0" w:color="auto"/>
                <w:right w:val="none" w:sz="0" w:space="0" w:color="auto"/>
              </w:divBdr>
            </w:div>
          </w:divsChild>
        </w:div>
        <w:div w:id="510294423">
          <w:marLeft w:val="0"/>
          <w:marRight w:val="0"/>
          <w:marTop w:val="0"/>
          <w:marBottom w:val="0"/>
          <w:divBdr>
            <w:top w:val="none" w:sz="0" w:space="0" w:color="auto"/>
            <w:left w:val="none" w:sz="0" w:space="0" w:color="auto"/>
            <w:bottom w:val="none" w:sz="0" w:space="0" w:color="auto"/>
            <w:right w:val="none" w:sz="0" w:space="0" w:color="auto"/>
          </w:divBdr>
          <w:divsChild>
            <w:div w:id="347221032">
              <w:marLeft w:val="0"/>
              <w:marRight w:val="0"/>
              <w:marTop w:val="0"/>
              <w:marBottom w:val="0"/>
              <w:divBdr>
                <w:top w:val="none" w:sz="0" w:space="0" w:color="auto"/>
                <w:left w:val="none" w:sz="0" w:space="0" w:color="auto"/>
                <w:bottom w:val="none" w:sz="0" w:space="0" w:color="auto"/>
                <w:right w:val="none" w:sz="0" w:space="0" w:color="auto"/>
              </w:divBdr>
            </w:div>
          </w:divsChild>
        </w:div>
        <w:div w:id="1834683583">
          <w:marLeft w:val="0"/>
          <w:marRight w:val="0"/>
          <w:marTop w:val="0"/>
          <w:marBottom w:val="0"/>
          <w:divBdr>
            <w:top w:val="none" w:sz="0" w:space="0" w:color="auto"/>
            <w:left w:val="none" w:sz="0" w:space="0" w:color="auto"/>
            <w:bottom w:val="none" w:sz="0" w:space="0" w:color="auto"/>
            <w:right w:val="none" w:sz="0" w:space="0" w:color="auto"/>
          </w:divBdr>
          <w:divsChild>
            <w:div w:id="1155947933">
              <w:marLeft w:val="0"/>
              <w:marRight w:val="0"/>
              <w:marTop w:val="0"/>
              <w:marBottom w:val="0"/>
              <w:divBdr>
                <w:top w:val="none" w:sz="0" w:space="0" w:color="auto"/>
                <w:left w:val="none" w:sz="0" w:space="0" w:color="auto"/>
                <w:bottom w:val="none" w:sz="0" w:space="0" w:color="auto"/>
                <w:right w:val="none" w:sz="0" w:space="0" w:color="auto"/>
              </w:divBdr>
            </w:div>
          </w:divsChild>
        </w:div>
        <w:div w:id="941260148">
          <w:marLeft w:val="0"/>
          <w:marRight w:val="0"/>
          <w:marTop w:val="0"/>
          <w:marBottom w:val="0"/>
          <w:divBdr>
            <w:top w:val="none" w:sz="0" w:space="0" w:color="auto"/>
            <w:left w:val="none" w:sz="0" w:space="0" w:color="auto"/>
            <w:bottom w:val="none" w:sz="0" w:space="0" w:color="auto"/>
            <w:right w:val="none" w:sz="0" w:space="0" w:color="auto"/>
          </w:divBdr>
          <w:divsChild>
            <w:div w:id="390231113">
              <w:marLeft w:val="0"/>
              <w:marRight w:val="0"/>
              <w:marTop w:val="0"/>
              <w:marBottom w:val="0"/>
              <w:divBdr>
                <w:top w:val="none" w:sz="0" w:space="0" w:color="auto"/>
                <w:left w:val="none" w:sz="0" w:space="0" w:color="auto"/>
                <w:bottom w:val="none" w:sz="0" w:space="0" w:color="auto"/>
                <w:right w:val="none" w:sz="0" w:space="0" w:color="auto"/>
              </w:divBdr>
            </w:div>
          </w:divsChild>
        </w:div>
        <w:div w:id="1340545221">
          <w:marLeft w:val="0"/>
          <w:marRight w:val="0"/>
          <w:marTop w:val="0"/>
          <w:marBottom w:val="0"/>
          <w:divBdr>
            <w:top w:val="none" w:sz="0" w:space="0" w:color="auto"/>
            <w:left w:val="none" w:sz="0" w:space="0" w:color="auto"/>
            <w:bottom w:val="none" w:sz="0" w:space="0" w:color="auto"/>
            <w:right w:val="none" w:sz="0" w:space="0" w:color="auto"/>
          </w:divBdr>
          <w:divsChild>
            <w:div w:id="1956793284">
              <w:marLeft w:val="0"/>
              <w:marRight w:val="0"/>
              <w:marTop w:val="0"/>
              <w:marBottom w:val="0"/>
              <w:divBdr>
                <w:top w:val="none" w:sz="0" w:space="0" w:color="auto"/>
                <w:left w:val="none" w:sz="0" w:space="0" w:color="auto"/>
                <w:bottom w:val="none" w:sz="0" w:space="0" w:color="auto"/>
                <w:right w:val="none" w:sz="0" w:space="0" w:color="auto"/>
              </w:divBdr>
            </w:div>
          </w:divsChild>
        </w:div>
        <w:div w:id="1808164274">
          <w:marLeft w:val="0"/>
          <w:marRight w:val="0"/>
          <w:marTop w:val="0"/>
          <w:marBottom w:val="0"/>
          <w:divBdr>
            <w:top w:val="none" w:sz="0" w:space="0" w:color="auto"/>
            <w:left w:val="none" w:sz="0" w:space="0" w:color="auto"/>
            <w:bottom w:val="none" w:sz="0" w:space="0" w:color="auto"/>
            <w:right w:val="none" w:sz="0" w:space="0" w:color="auto"/>
          </w:divBdr>
          <w:divsChild>
            <w:div w:id="1342850279">
              <w:marLeft w:val="0"/>
              <w:marRight w:val="0"/>
              <w:marTop w:val="0"/>
              <w:marBottom w:val="0"/>
              <w:divBdr>
                <w:top w:val="none" w:sz="0" w:space="0" w:color="auto"/>
                <w:left w:val="none" w:sz="0" w:space="0" w:color="auto"/>
                <w:bottom w:val="none" w:sz="0" w:space="0" w:color="auto"/>
                <w:right w:val="none" w:sz="0" w:space="0" w:color="auto"/>
              </w:divBdr>
            </w:div>
          </w:divsChild>
        </w:div>
        <w:div w:id="1255554307">
          <w:marLeft w:val="0"/>
          <w:marRight w:val="0"/>
          <w:marTop w:val="0"/>
          <w:marBottom w:val="0"/>
          <w:divBdr>
            <w:top w:val="none" w:sz="0" w:space="0" w:color="auto"/>
            <w:left w:val="none" w:sz="0" w:space="0" w:color="auto"/>
            <w:bottom w:val="none" w:sz="0" w:space="0" w:color="auto"/>
            <w:right w:val="none" w:sz="0" w:space="0" w:color="auto"/>
          </w:divBdr>
          <w:divsChild>
            <w:div w:id="1961378956">
              <w:marLeft w:val="0"/>
              <w:marRight w:val="0"/>
              <w:marTop w:val="0"/>
              <w:marBottom w:val="0"/>
              <w:divBdr>
                <w:top w:val="none" w:sz="0" w:space="0" w:color="auto"/>
                <w:left w:val="none" w:sz="0" w:space="0" w:color="auto"/>
                <w:bottom w:val="none" w:sz="0" w:space="0" w:color="auto"/>
                <w:right w:val="none" w:sz="0" w:space="0" w:color="auto"/>
              </w:divBdr>
            </w:div>
          </w:divsChild>
        </w:div>
        <w:div w:id="682125309">
          <w:marLeft w:val="0"/>
          <w:marRight w:val="0"/>
          <w:marTop w:val="0"/>
          <w:marBottom w:val="0"/>
          <w:divBdr>
            <w:top w:val="none" w:sz="0" w:space="0" w:color="auto"/>
            <w:left w:val="none" w:sz="0" w:space="0" w:color="auto"/>
            <w:bottom w:val="none" w:sz="0" w:space="0" w:color="auto"/>
            <w:right w:val="none" w:sz="0" w:space="0" w:color="auto"/>
          </w:divBdr>
          <w:divsChild>
            <w:div w:id="1229152731">
              <w:marLeft w:val="0"/>
              <w:marRight w:val="0"/>
              <w:marTop w:val="0"/>
              <w:marBottom w:val="0"/>
              <w:divBdr>
                <w:top w:val="none" w:sz="0" w:space="0" w:color="auto"/>
                <w:left w:val="none" w:sz="0" w:space="0" w:color="auto"/>
                <w:bottom w:val="none" w:sz="0" w:space="0" w:color="auto"/>
                <w:right w:val="none" w:sz="0" w:space="0" w:color="auto"/>
              </w:divBdr>
            </w:div>
          </w:divsChild>
        </w:div>
        <w:div w:id="1109928709">
          <w:marLeft w:val="0"/>
          <w:marRight w:val="0"/>
          <w:marTop w:val="0"/>
          <w:marBottom w:val="0"/>
          <w:divBdr>
            <w:top w:val="none" w:sz="0" w:space="0" w:color="auto"/>
            <w:left w:val="none" w:sz="0" w:space="0" w:color="auto"/>
            <w:bottom w:val="none" w:sz="0" w:space="0" w:color="auto"/>
            <w:right w:val="none" w:sz="0" w:space="0" w:color="auto"/>
          </w:divBdr>
          <w:divsChild>
            <w:div w:id="1994289392">
              <w:marLeft w:val="0"/>
              <w:marRight w:val="0"/>
              <w:marTop w:val="0"/>
              <w:marBottom w:val="0"/>
              <w:divBdr>
                <w:top w:val="none" w:sz="0" w:space="0" w:color="auto"/>
                <w:left w:val="none" w:sz="0" w:space="0" w:color="auto"/>
                <w:bottom w:val="none" w:sz="0" w:space="0" w:color="auto"/>
                <w:right w:val="none" w:sz="0" w:space="0" w:color="auto"/>
              </w:divBdr>
            </w:div>
          </w:divsChild>
        </w:div>
        <w:div w:id="169027096">
          <w:marLeft w:val="0"/>
          <w:marRight w:val="0"/>
          <w:marTop w:val="0"/>
          <w:marBottom w:val="0"/>
          <w:divBdr>
            <w:top w:val="none" w:sz="0" w:space="0" w:color="auto"/>
            <w:left w:val="none" w:sz="0" w:space="0" w:color="auto"/>
            <w:bottom w:val="none" w:sz="0" w:space="0" w:color="auto"/>
            <w:right w:val="none" w:sz="0" w:space="0" w:color="auto"/>
          </w:divBdr>
          <w:divsChild>
            <w:div w:id="1918784488">
              <w:marLeft w:val="0"/>
              <w:marRight w:val="0"/>
              <w:marTop w:val="0"/>
              <w:marBottom w:val="0"/>
              <w:divBdr>
                <w:top w:val="none" w:sz="0" w:space="0" w:color="auto"/>
                <w:left w:val="none" w:sz="0" w:space="0" w:color="auto"/>
                <w:bottom w:val="none" w:sz="0" w:space="0" w:color="auto"/>
                <w:right w:val="none" w:sz="0" w:space="0" w:color="auto"/>
              </w:divBdr>
            </w:div>
          </w:divsChild>
        </w:div>
        <w:div w:id="2123454282">
          <w:marLeft w:val="0"/>
          <w:marRight w:val="0"/>
          <w:marTop w:val="0"/>
          <w:marBottom w:val="0"/>
          <w:divBdr>
            <w:top w:val="none" w:sz="0" w:space="0" w:color="auto"/>
            <w:left w:val="none" w:sz="0" w:space="0" w:color="auto"/>
            <w:bottom w:val="none" w:sz="0" w:space="0" w:color="auto"/>
            <w:right w:val="none" w:sz="0" w:space="0" w:color="auto"/>
          </w:divBdr>
          <w:divsChild>
            <w:div w:id="115375793">
              <w:marLeft w:val="0"/>
              <w:marRight w:val="0"/>
              <w:marTop w:val="0"/>
              <w:marBottom w:val="0"/>
              <w:divBdr>
                <w:top w:val="none" w:sz="0" w:space="0" w:color="auto"/>
                <w:left w:val="none" w:sz="0" w:space="0" w:color="auto"/>
                <w:bottom w:val="none" w:sz="0" w:space="0" w:color="auto"/>
                <w:right w:val="none" w:sz="0" w:space="0" w:color="auto"/>
              </w:divBdr>
            </w:div>
          </w:divsChild>
        </w:div>
        <w:div w:id="241179788">
          <w:marLeft w:val="0"/>
          <w:marRight w:val="0"/>
          <w:marTop w:val="0"/>
          <w:marBottom w:val="0"/>
          <w:divBdr>
            <w:top w:val="none" w:sz="0" w:space="0" w:color="auto"/>
            <w:left w:val="none" w:sz="0" w:space="0" w:color="auto"/>
            <w:bottom w:val="none" w:sz="0" w:space="0" w:color="auto"/>
            <w:right w:val="none" w:sz="0" w:space="0" w:color="auto"/>
          </w:divBdr>
          <w:divsChild>
            <w:div w:id="1672445928">
              <w:marLeft w:val="0"/>
              <w:marRight w:val="0"/>
              <w:marTop w:val="0"/>
              <w:marBottom w:val="0"/>
              <w:divBdr>
                <w:top w:val="none" w:sz="0" w:space="0" w:color="auto"/>
                <w:left w:val="none" w:sz="0" w:space="0" w:color="auto"/>
                <w:bottom w:val="none" w:sz="0" w:space="0" w:color="auto"/>
                <w:right w:val="none" w:sz="0" w:space="0" w:color="auto"/>
              </w:divBdr>
            </w:div>
          </w:divsChild>
        </w:div>
        <w:div w:id="413474970">
          <w:marLeft w:val="0"/>
          <w:marRight w:val="0"/>
          <w:marTop w:val="0"/>
          <w:marBottom w:val="0"/>
          <w:divBdr>
            <w:top w:val="none" w:sz="0" w:space="0" w:color="auto"/>
            <w:left w:val="none" w:sz="0" w:space="0" w:color="auto"/>
            <w:bottom w:val="none" w:sz="0" w:space="0" w:color="auto"/>
            <w:right w:val="none" w:sz="0" w:space="0" w:color="auto"/>
          </w:divBdr>
          <w:divsChild>
            <w:div w:id="1094011593">
              <w:marLeft w:val="0"/>
              <w:marRight w:val="0"/>
              <w:marTop w:val="0"/>
              <w:marBottom w:val="0"/>
              <w:divBdr>
                <w:top w:val="none" w:sz="0" w:space="0" w:color="auto"/>
                <w:left w:val="none" w:sz="0" w:space="0" w:color="auto"/>
                <w:bottom w:val="none" w:sz="0" w:space="0" w:color="auto"/>
                <w:right w:val="none" w:sz="0" w:space="0" w:color="auto"/>
              </w:divBdr>
            </w:div>
          </w:divsChild>
        </w:div>
        <w:div w:id="2082287966">
          <w:marLeft w:val="0"/>
          <w:marRight w:val="0"/>
          <w:marTop w:val="0"/>
          <w:marBottom w:val="0"/>
          <w:divBdr>
            <w:top w:val="none" w:sz="0" w:space="0" w:color="auto"/>
            <w:left w:val="none" w:sz="0" w:space="0" w:color="auto"/>
            <w:bottom w:val="none" w:sz="0" w:space="0" w:color="auto"/>
            <w:right w:val="none" w:sz="0" w:space="0" w:color="auto"/>
          </w:divBdr>
          <w:divsChild>
            <w:div w:id="877090155">
              <w:marLeft w:val="0"/>
              <w:marRight w:val="0"/>
              <w:marTop w:val="0"/>
              <w:marBottom w:val="0"/>
              <w:divBdr>
                <w:top w:val="none" w:sz="0" w:space="0" w:color="auto"/>
                <w:left w:val="none" w:sz="0" w:space="0" w:color="auto"/>
                <w:bottom w:val="none" w:sz="0" w:space="0" w:color="auto"/>
                <w:right w:val="none" w:sz="0" w:space="0" w:color="auto"/>
              </w:divBdr>
            </w:div>
          </w:divsChild>
        </w:div>
        <w:div w:id="2032025391">
          <w:marLeft w:val="0"/>
          <w:marRight w:val="0"/>
          <w:marTop w:val="300"/>
          <w:marBottom w:val="300"/>
          <w:divBdr>
            <w:top w:val="none" w:sz="0" w:space="0" w:color="auto"/>
            <w:left w:val="none" w:sz="0" w:space="0" w:color="auto"/>
            <w:bottom w:val="none" w:sz="0" w:space="0" w:color="auto"/>
            <w:right w:val="none" w:sz="0" w:space="0" w:color="auto"/>
          </w:divBdr>
        </w:div>
        <w:div w:id="2025672729">
          <w:marLeft w:val="0"/>
          <w:marRight w:val="0"/>
          <w:marTop w:val="0"/>
          <w:marBottom w:val="0"/>
          <w:divBdr>
            <w:top w:val="none" w:sz="0" w:space="0" w:color="auto"/>
            <w:left w:val="none" w:sz="0" w:space="0" w:color="auto"/>
            <w:bottom w:val="none" w:sz="0" w:space="0" w:color="auto"/>
            <w:right w:val="none" w:sz="0" w:space="0" w:color="auto"/>
          </w:divBdr>
          <w:divsChild>
            <w:div w:id="129058737">
              <w:marLeft w:val="0"/>
              <w:marRight w:val="0"/>
              <w:marTop w:val="0"/>
              <w:marBottom w:val="0"/>
              <w:divBdr>
                <w:top w:val="none" w:sz="0" w:space="0" w:color="auto"/>
                <w:left w:val="none" w:sz="0" w:space="0" w:color="auto"/>
                <w:bottom w:val="none" w:sz="0" w:space="0" w:color="auto"/>
                <w:right w:val="none" w:sz="0" w:space="0" w:color="auto"/>
              </w:divBdr>
            </w:div>
          </w:divsChild>
        </w:div>
        <w:div w:id="2028291393">
          <w:marLeft w:val="0"/>
          <w:marRight w:val="0"/>
          <w:marTop w:val="300"/>
          <w:marBottom w:val="300"/>
          <w:divBdr>
            <w:top w:val="none" w:sz="0" w:space="0" w:color="auto"/>
            <w:left w:val="none" w:sz="0" w:space="0" w:color="auto"/>
            <w:bottom w:val="none" w:sz="0" w:space="0" w:color="auto"/>
            <w:right w:val="none" w:sz="0" w:space="0" w:color="auto"/>
          </w:divBdr>
        </w:div>
        <w:div w:id="308093231">
          <w:marLeft w:val="0"/>
          <w:marRight w:val="0"/>
          <w:marTop w:val="0"/>
          <w:marBottom w:val="0"/>
          <w:divBdr>
            <w:top w:val="none" w:sz="0" w:space="0" w:color="auto"/>
            <w:left w:val="none" w:sz="0" w:space="0" w:color="auto"/>
            <w:bottom w:val="none" w:sz="0" w:space="0" w:color="auto"/>
            <w:right w:val="none" w:sz="0" w:space="0" w:color="auto"/>
          </w:divBdr>
          <w:divsChild>
            <w:div w:id="1870292432">
              <w:marLeft w:val="0"/>
              <w:marRight w:val="0"/>
              <w:marTop w:val="0"/>
              <w:marBottom w:val="0"/>
              <w:divBdr>
                <w:top w:val="none" w:sz="0" w:space="0" w:color="auto"/>
                <w:left w:val="none" w:sz="0" w:space="0" w:color="auto"/>
                <w:bottom w:val="none" w:sz="0" w:space="0" w:color="auto"/>
                <w:right w:val="none" w:sz="0" w:space="0" w:color="auto"/>
              </w:divBdr>
            </w:div>
          </w:divsChild>
        </w:div>
        <w:div w:id="229848003">
          <w:marLeft w:val="0"/>
          <w:marRight w:val="0"/>
          <w:marTop w:val="300"/>
          <w:marBottom w:val="300"/>
          <w:divBdr>
            <w:top w:val="none" w:sz="0" w:space="0" w:color="auto"/>
            <w:left w:val="none" w:sz="0" w:space="0" w:color="auto"/>
            <w:bottom w:val="none" w:sz="0" w:space="0" w:color="auto"/>
            <w:right w:val="none" w:sz="0" w:space="0" w:color="auto"/>
          </w:divBdr>
        </w:div>
        <w:div w:id="941382622">
          <w:marLeft w:val="0"/>
          <w:marRight w:val="0"/>
          <w:marTop w:val="0"/>
          <w:marBottom w:val="0"/>
          <w:divBdr>
            <w:top w:val="none" w:sz="0" w:space="0" w:color="auto"/>
            <w:left w:val="none" w:sz="0" w:space="0" w:color="auto"/>
            <w:bottom w:val="none" w:sz="0" w:space="0" w:color="auto"/>
            <w:right w:val="none" w:sz="0" w:space="0" w:color="auto"/>
          </w:divBdr>
          <w:divsChild>
            <w:div w:id="1445417861">
              <w:marLeft w:val="0"/>
              <w:marRight w:val="0"/>
              <w:marTop w:val="0"/>
              <w:marBottom w:val="0"/>
              <w:divBdr>
                <w:top w:val="none" w:sz="0" w:space="0" w:color="auto"/>
                <w:left w:val="none" w:sz="0" w:space="0" w:color="auto"/>
                <w:bottom w:val="none" w:sz="0" w:space="0" w:color="auto"/>
                <w:right w:val="none" w:sz="0" w:space="0" w:color="auto"/>
              </w:divBdr>
            </w:div>
          </w:divsChild>
        </w:div>
        <w:div w:id="185024554">
          <w:marLeft w:val="0"/>
          <w:marRight w:val="0"/>
          <w:marTop w:val="0"/>
          <w:marBottom w:val="0"/>
          <w:divBdr>
            <w:top w:val="none" w:sz="0" w:space="0" w:color="auto"/>
            <w:left w:val="none" w:sz="0" w:space="0" w:color="auto"/>
            <w:bottom w:val="none" w:sz="0" w:space="0" w:color="auto"/>
            <w:right w:val="none" w:sz="0" w:space="0" w:color="auto"/>
          </w:divBdr>
          <w:divsChild>
            <w:div w:id="19671860">
              <w:marLeft w:val="0"/>
              <w:marRight w:val="0"/>
              <w:marTop w:val="0"/>
              <w:marBottom w:val="0"/>
              <w:divBdr>
                <w:top w:val="none" w:sz="0" w:space="0" w:color="auto"/>
                <w:left w:val="none" w:sz="0" w:space="0" w:color="auto"/>
                <w:bottom w:val="none" w:sz="0" w:space="0" w:color="auto"/>
                <w:right w:val="none" w:sz="0" w:space="0" w:color="auto"/>
              </w:divBdr>
            </w:div>
          </w:divsChild>
        </w:div>
        <w:div w:id="598562714">
          <w:marLeft w:val="0"/>
          <w:marRight w:val="0"/>
          <w:marTop w:val="0"/>
          <w:marBottom w:val="0"/>
          <w:divBdr>
            <w:top w:val="none" w:sz="0" w:space="0" w:color="auto"/>
            <w:left w:val="none" w:sz="0" w:space="0" w:color="auto"/>
            <w:bottom w:val="none" w:sz="0" w:space="0" w:color="auto"/>
            <w:right w:val="none" w:sz="0" w:space="0" w:color="auto"/>
          </w:divBdr>
          <w:divsChild>
            <w:div w:id="743527417">
              <w:marLeft w:val="0"/>
              <w:marRight w:val="0"/>
              <w:marTop w:val="0"/>
              <w:marBottom w:val="0"/>
              <w:divBdr>
                <w:top w:val="none" w:sz="0" w:space="0" w:color="auto"/>
                <w:left w:val="none" w:sz="0" w:space="0" w:color="auto"/>
                <w:bottom w:val="none" w:sz="0" w:space="0" w:color="auto"/>
                <w:right w:val="none" w:sz="0" w:space="0" w:color="auto"/>
              </w:divBdr>
            </w:div>
          </w:divsChild>
        </w:div>
        <w:div w:id="1212303345">
          <w:marLeft w:val="0"/>
          <w:marRight w:val="0"/>
          <w:marTop w:val="0"/>
          <w:marBottom w:val="0"/>
          <w:divBdr>
            <w:top w:val="none" w:sz="0" w:space="0" w:color="auto"/>
            <w:left w:val="none" w:sz="0" w:space="0" w:color="auto"/>
            <w:bottom w:val="none" w:sz="0" w:space="0" w:color="auto"/>
            <w:right w:val="none" w:sz="0" w:space="0" w:color="auto"/>
          </w:divBdr>
          <w:divsChild>
            <w:div w:id="1403600889">
              <w:marLeft w:val="0"/>
              <w:marRight w:val="0"/>
              <w:marTop w:val="0"/>
              <w:marBottom w:val="0"/>
              <w:divBdr>
                <w:top w:val="none" w:sz="0" w:space="0" w:color="auto"/>
                <w:left w:val="none" w:sz="0" w:space="0" w:color="auto"/>
                <w:bottom w:val="none" w:sz="0" w:space="0" w:color="auto"/>
                <w:right w:val="none" w:sz="0" w:space="0" w:color="auto"/>
              </w:divBdr>
            </w:div>
          </w:divsChild>
        </w:div>
        <w:div w:id="303201650">
          <w:marLeft w:val="0"/>
          <w:marRight w:val="0"/>
          <w:marTop w:val="0"/>
          <w:marBottom w:val="0"/>
          <w:divBdr>
            <w:top w:val="none" w:sz="0" w:space="0" w:color="auto"/>
            <w:left w:val="none" w:sz="0" w:space="0" w:color="auto"/>
            <w:bottom w:val="none" w:sz="0" w:space="0" w:color="auto"/>
            <w:right w:val="none" w:sz="0" w:space="0" w:color="auto"/>
          </w:divBdr>
          <w:divsChild>
            <w:div w:id="2030599067">
              <w:marLeft w:val="0"/>
              <w:marRight w:val="0"/>
              <w:marTop w:val="0"/>
              <w:marBottom w:val="0"/>
              <w:divBdr>
                <w:top w:val="none" w:sz="0" w:space="0" w:color="auto"/>
                <w:left w:val="none" w:sz="0" w:space="0" w:color="auto"/>
                <w:bottom w:val="none" w:sz="0" w:space="0" w:color="auto"/>
                <w:right w:val="none" w:sz="0" w:space="0" w:color="auto"/>
              </w:divBdr>
            </w:div>
          </w:divsChild>
        </w:div>
        <w:div w:id="616373991">
          <w:marLeft w:val="0"/>
          <w:marRight w:val="0"/>
          <w:marTop w:val="0"/>
          <w:marBottom w:val="0"/>
          <w:divBdr>
            <w:top w:val="none" w:sz="0" w:space="0" w:color="auto"/>
            <w:left w:val="none" w:sz="0" w:space="0" w:color="auto"/>
            <w:bottom w:val="none" w:sz="0" w:space="0" w:color="auto"/>
            <w:right w:val="none" w:sz="0" w:space="0" w:color="auto"/>
          </w:divBdr>
          <w:divsChild>
            <w:div w:id="534347245">
              <w:marLeft w:val="0"/>
              <w:marRight w:val="0"/>
              <w:marTop w:val="0"/>
              <w:marBottom w:val="0"/>
              <w:divBdr>
                <w:top w:val="none" w:sz="0" w:space="0" w:color="auto"/>
                <w:left w:val="none" w:sz="0" w:space="0" w:color="auto"/>
                <w:bottom w:val="none" w:sz="0" w:space="0" w:color="auto"/>
                <w:right w:val="none" w:sz="0" w:space="0" w:color="auto"/>
              </w:divBdr>
            </w:div>
          </w:divsChild>
        </w:div>
        <w:div w:id="1312447196">
          <w:marLeft w:val="0"/>
          <w:marRight w:val="0"/>
          <w:marTop w:val="0"/>
          <w:marBottom w:val="0"/>
          <w:divBdr>
            <w:top w:val="none" w:sz="0" w:space="0" w:color="auto"/>
            <w:left w:val="none" w:sz="0" w:space="0" w:color="auto"/>
            <w:bottom w:val="none" w:sz="0" w:space="0" w:color="auto"/>
            <w:right w:val="none" w:sz="0" w:space="0" w:color="auto"/>
          </w:divBdr>
          <w:divsChild>
            <w:div w:id="432939362">
              <w:marLeft w:val="0"/>
              <w:marRight w:val="0"/>
              <w:marTop w:val="0"/>
              <w:marBottom w:val="0"/>
              <w:divBdr>
                <w:top w:val="none" w:sz="0" w:space="0" w:color="auto"/>
                <w:left w:val="none" w:sz="0" w:space="0" w:color="auto"/>
                <w:bottom w:val="none" w:sz="0" w:space="0" w:color="auto"/>
                <w:right w:val="none" w:sz="0" w:space="0" w:color="auto"/>
              </w:divBdr>
            </w:div>
          </w:divsChild>
        </w:div>
        <w:div w:id="1066494929">
          <w:marLeft w:val="0"/>
          <w:marRight w:val="0"/>
          <w:marTop w:val="0"/>
          <w:marBottom w:val="0"/>
          <w:divBdr>
            <w:top w:val="none" w:sz="0" w:space="0" w:color="auto"/>
            <w:left w:val="none" w:sz="0" w:space="0" w:color="auto"/>
            <w:bottom w:val="none" w:sz="0" w:space="0" w:color="auto"/>
            <w:right w:val="none" w:sz="0" w:space="0" w:color="auto"/>
          </w:divBdr>
          <w:divsChild>
            <w:div w:id="535579758">
              <w:marLeft w:val="0"/>
              <w:marRight w:val="0"/>
              <w:marTop w:val="0"/>
              <w:marBottom w:val="0"/>
              <w:divBdr>
                <w:top w:val="none" w:sz="0" w:space="0" w:color="auto"/>
                <w:left w:val="none" w:sz="0" w:space="0" w:color="auto"/>
                <w:bottom w:val="none" w:sz="0" w:space="0" w:color="auto"/>
                <w:right w:val="none" w:sz="0" w:space="0" w:color="auto"/>
              </w:divBdr>
            </w:div>
          </w:divsChild>
        </w:div>
        <w:div w:id="1493642211">
          <w:marLeft w:val="0"/>
          <w:marRight w:val="0"/>
          <w:marTop w:val="300"/>
          <w:marBottom w:val="300"/>
          <w:divBdr>
            <w:top w:val="none" w:sz="0" w:space="0" w:color="auto"/>
            <w:left w:val="none" w:sz="0" w:space="0" w:color="auto"/>
            <w:bottom w:val="none" w:sz="0" w:space="0" w:color="auto"/>
            <w:right w:val="none" w:sz="0" w:space="0" w:color="auto"/>
          </w:divBdr>
        </w:div>
        <w:div w:id="1814105220">
          <w:marLeft w:val="0"/>
          <w:marRight w:val="0"/>
          <w:marTop w:val="0"/>
          <w:marBottom w:val="0"/>
          <w:divBdr>
            <w:top w:val="none" w:sz="0" w:space="0" w:color="auto"/>
            <w:left w:val="none" w:sz="0" w:space="0" w:color="auto"/>
            <w:bottom w:val="none" w:sz="0" w:space="0" w:color="auto"/>
            <w:right w:val="none" w:sz="0" w:space="0" w:color="auto"/>
          </w:divBdr>
          <w:divsChild>
            <w:div w:id="1087652341">
              <w:marLeft w:val="0"/>
              <w:marRight w:val="0"/>
              <w:marTop w:val="0"/>
              <w:marBottom w:val="0"/>
              <w:divBdr>
                <w:top w:val="none" w:sz="0" w:space="0" w:color="auto"/>
                <w:left w:val="none" w:sz="0" w:space="0" w:color="auto"/>
                <w:bottom w:val="none" w:sz="0" w:space="0" w:color="auto"/>
                <w:right w:val="none" w:sz="0" w:space="0" w:color="auto"/>
              </w:divBdr>
            </w:div>
          </w:divsChild>
        </w:div>
        <w:div w:id="164512769">
          <w:marLeft w:val="0"/>
          <w:marRight w:val="0"/>
          <w:marTop w:val="0"/>
          <w:marBottom w:val="0"/>
          <w:divBdr>
            <w:top w:val="none" w:sz="0" w:space="0" w:color="auto"/>
            <w:left w:val="none" w:sz="0" w:space="0" w:color="auto"/>
            <w:bottom w:val="none" w:sz="0" w:space="0" w:color="auto"/>
            <w:right w:val="none" w:sz="0" w:space="0" w:color="auto"/>
          </w:divBdr>
          <w:divsChild>
            <w:div w:id="878470451">
              <w:marLeft w:val="0"/>
              <w:marRight w:val="0"/>
              <w:marTop w:val="0"/>
              <w:marBottom w:val="0"/>
              <w:divBdr>
                <w:top w:val="none" w:sz="0" w:space="0" w:color="auto"/>
                <w:left w:val="none" w:sz="0" w:space="0" w:color="auto"/>
                <w:bottom w:val="none" w:sz="0" w:space="0" w:color="auto"/>
                <w:right w:val="none" w:sz="0" w:space="0" w:color="auto"/>
              </w:divBdr>
            </w:div>
          </w:divsChild>
        </w:div>
        <w:div w:id="957486846">
          <w:marLeft w:val="0"/>
          <w:marRight w:val="0"/>
          <w:marTop w:val="0"/>
          <w:marBottom w:val="0"/>
          <w:divBdr>
            <w:top w:val="none" w:sz="0" w:space="0" w:color="auto"/>
            <w:left w:val="none" w:sz="0" w:space="0" w:color="auto"/>
            <w:bottom w:val="none" w:sz="0" w:space="0" w:color="auto"/>
            <w:right w:val="none" w:sz="0" w:space="0" w:color="auto"/>
          </w:divBdr>
          <w:divsChild>
            <w:div w:id="1747727799">
              <w:marLeft w:val="0"/>
              <w:marRight w:val="0"/>
              <w:marTop w:val="0"/>
              <w:marBottom w:val="0"/>
              <w:divBdr>
                <w:top w:val="none" w:sz="0" w:space="0" w:color="auto"/>
                <w:left w:val="none" w:sz="0" w:space="0" w:color="auto"/>
                <w:bottom w:val="none" w:sz="0" w:space="0" w:color="auto"/>
                <w:right w:val="none" w:sz="0" w:space="0" w:color="auto"/>
              </w:divBdr>
            </w:div>
          </w:divsChild>
        </w:div>
        <w:div w:id="2025591201">
          <w:marLeft w:val="0"/>
          <w:marRight w:val="0"/>
          <w:marTop w:val="0"/>
          <w:marBottom w:val="0"/>
          <w:divBdr>
            <w:top w:val="none" w:sz="0" w:space="0" w:color="auto"/>
            <w:left w:val="none" w:sz="0" w:space="0" w:color="auto"/>
            <w:bottom w:val="none" w:sz="0" w:space="0" w:color="auto"/>
            <w:right w:val="none" w:sz="0" w:space="0" w:color="auto"/>
          </w:divBdr>
          <w:divsChild>
            <w:div w:id="329333040">
              <w:marLeft w:val="0"/>
              <w:marRight w:val="0"/>
              <w:marTop w:val="0"/>
              <w:marBottom w:val="0"/>
              <w:divBdr>
                <w:top w:val="none" w:sz="0" w:space="0" w:color="auto"/>
                <w:left w:val="none" w:sz="0" w:space="0" w:color="auto"/>
                <w:bottom w:val="none" w:sz="0" w:space="0" w:color="auto"/>
                <w:right w:val="none" w:sz="0" w:space="0" w:color="auto"/>
              </w:divBdr>
            </w:div>
          </w:divsChild>
        </w:div>
        <w:div w:id="1094791035">
          <w:marLeft w:val="0"/>
          <w:marRight w:val="0"/>
          <w:marTop w:val="0"/>
          <w:marBottom w:val="0"/>
          <w:divBdr>
            <w:top w:val="none" w:sz="0" w:space="0" w:color="auto"/>
            <w:left w:val="none" w:sz="0" w:space="0" w:color="auto"/>
            <w:bottom w:val="none" w:sz="0" w:space="0" w:color="auto"/>
            <w:right w:val="none" w:sz="0" w:space="0" w:color="auto"/>
          </w:divBdr>
          <w:divsChild>
            <w:div w:id="1790002453">
              <w:marLeft w:val="0"/>
              <w:marRight w:val="0"/>
              <w:marTop w:val="0"/>
              <w:marBottom w:val="0"/>
              <w:divBdr>
                <w:top w:val="none" w:sz="0" w:space="0" w:color="auto"/>
                <w:left w:val="none" w:sz="0" w:space="0" w:color="auto"/>
                <w:bottom w:val="none" w:sz="0" w:space="0" w:color="auto"/>
                <w:right w:val="none" w:sz="0" w:space="0" w:color="auto"/>
              </w:divBdr>
            </w:div>
          </w:divsChild>
        </w:div>
        <w:div w:id="1970083290">
          <w:marLeft w:val="0"/>
          <w:marRight w:val="0"/>
          <w:marTop w:val="0"/>
          <w:marBottom w:val="0"/>
          <w:divBdr>
            <w:top w:val="none" w:sz="0" w:space="0" w:color="auto"/>
            <w:left w:val="none" w:sz="0" w:space="0" w:color="auto"/>
            <w:bottom w:val="none" w:sz="0" w:space="0" w:color="auto"/>
            <w:right w:val="none" w:sz="0" w:space="0" w:color="auto"/>
          </w:divBdr>
          <w:divsChild>
            <w:div w:id="528376478">
              <w:marLeft w:val="0"/>
              <w:marRight w:val="0"/>
              <w:marTop w:val="0"/>
              <w:marBottom w:val="0"/>
              <w:divBdr>
                <w:top w:val="none" w:sz="0" w:space="0" w:color="auto"/>
                <w:left w:val="none" w:sz="0" w:space="0" w:color="auto"/>
                <w:bottom w:val="none" w:sz="0" w:space="0" w:color="auto"/>
                <w:right w:val="none" w:sz="0" w:space="0" w:color="auto"/>
              </w:divBdr>
            </w:div>
          </w:divsChild>
        </w:div>
        <w:div w:id="1335961797">
          <w:marLeft w:val="0"/>
          <w:marRight w:val="0"/>
          <w:marTop w:val="0"/>
          <w:marBottom w:val="0"/>
          <w:divBdr>
            <w:top w:val="none" w:sz="0" w:space="0" w:color="auto"/>
            <w:left w:val="none" w:sz="0" w:space="0" w:color="auto"/>
            <w:bottom w:val="none" w:sz="0" w:space="0" w:color="auto"/>
            <w:right w:val="none" w:sz="0" w:space="0" w:color="auto"/>
          </w:divBdr>
          <w:divsChild>
            <w:div w:id="1634797887">
              <w:marLeft w:val="0"/>
              <w:marRight w:val="0"/>
              <w:marTop w:val="0"/>
              <w:marBottom w:val="0"/>
              <w:divBdr>
                <w:top w:val="none" w:sz="0" w:space="0" w:color="auto"/>
                <w:left w:val="none" w:sz="0" w:space="0" w:color="auto"/>
                <w:bottom w:val="none" w:sz="0" w:space="0" w:color="auto"/>
                <w:right w:val="none" w:sz="0" w:space="0" w:color="auto"/>
              </w:divBdr>
            </w:div>
          </w:divsChild>
        </w:div>
        <w:div w:id="1229681898">
          <w:marLeft w:val="0"/>
          <w:marRight w:val="0"/>
          <w:marTop w:val="0"/>
          <w:marBottom w:val="0"/>
          <w:divBdr>
            <w:top w:val="none" w:sz="0" w:space="0" w:color="auto"/>
            <w:left w:val="none" w:sz="0" w:space="0" w:color="auto"/>
            <w:bottom w:val="none" w:sz="0" w:space="0" w:color="auto"/>
            <w:right w:val="none" w:sz="0" w:space="0" w:color="auto"/>
          </w:divBdr>
          <w:divsChild>
            <w:div w:id="328413356">
              <w:marLeft w:val="0"/>
              <w:marRight w:val="0"/>
              <w:marTop w:val="0"/>
              <w:marBottom w:val="0"/>
              <w:divBdr>
                <w:top w:val="none" w:sz="0" w:space="0" w:color="auto"/>
                <w:left w:val="none" w:sz="0" w:space="0" w:color="auto"/>
                <w:bottom w:val="none" w:sz="0" w:space="0" w:color="auto"/>
                <w:right w:val="none" w:sz="0" w:space="0" w:color="auto"/>
              </w:divBdr>
            </w:div>
          </w:divsChild>
        </w:div>
        <w:div w:id="1880897472">
          <w:marLeft w:val="0"/>
          <w:marRight w:val="0"/>
          <w:marTop w:val="0"/>
          <w:marBottom w:val="0"/>
          <w:divBdr>
            <w:top w:val="none" w:sz="0" w:space="0" w:color="auto"/>
            <w:left w:val="none" w:sz="0" w:space="0" w:color="auto"/>
            <w:bottom w:val="none" w:sz="0" w:space="0" w:color="auto"/>
            <w:right w:val="none" w:sz="0" w:space="0" w:color="auto"/>
          </w:divBdr>
          <w:divsChild>
            <w:div w:id="1439911654">
              <w:marLeft w:val="0"/>
              <w:marRight w:val="0"/>
              <w:marTop w:val="0"/>
              <w:marBottom w:val="0"/>
              <w:divBdr>
                <w:top w:val="none" w:sz="0" w:space="0" w:color="auto"/>
                <w:left w:val="none" w:sz="0" w:space="0" w:color="auto"/>
                <w:bottom w:val="none" w:sz="0" w:space="0" w:color="auto"/>
                <w:right w:val="none" w:sz="0" w:space="0" w:color="auto"/>
              </w:divBdr>
            </w:div>
          </w:divsChild>
        </w:div>
        <w:div w:id="913710547">
          <w:marLeft w:val="0"/>
          <w:marRight w:val="0"/>
          <w:marTop w:val="0"/>
          <w:marBottom w:val="0"/>
          <w:divBdr>
            <w:top w:val="none" w:sz="0" w:space="0" w:color="auto"/>
            <w:left w:val="none" w:sz="0" w:space="0" w:color="auto"/>
            <w:bottom w:val="none" w:sz="0" w:space="0" w:color="auto"/>
            <w:right w:val="none" w:sz="0" w:space="0" w:color="auto"/>
          </w:divBdr>
          <w:divsChild>
            <w:div w:id="1519344354">
              <w:marLeft w:val="0"/>
              <w:marRight w:val="0"/>
              <w:marTop w:val="0"/>
              <w:marBottom w:val="0"/>
              <w:divBdr>
                <w:top w:val="none" w:sz="0" w:space="0" w:color="auto"/>
                <w:left w:val="none" w:sz="0" w:space="0" w:color="auto"/>
                <w:bottom w:val="none" w:sz="0" w:space="0" w:color="auto"/>
                <w:right w:val="none" w:sz="0" w:space="0" w:color="auto"/>
              </w:divBdr>
            </w:div>
          </w:divsChild>
        </w:div>
        <w:div w:id="53748448">
          <w:marLeft w:val="0"/>
          <w:marRight w:val="0"/>
          <w:marTop w:val="0"/>
          <w:marBottom w:val="0"/>
          <w:divBdr>
            <w:top w:val="none" w:sz="0" w:space="0" w:color="auto"/>
            <w:left w:val="none" w:sz="0" w:space="0" w:color="auto"/>
            <w:bottom w:val="none" w:sz="0" w:space="0" w:color="auto"/>
            <w:right w:val="none" w:sz="0" w:space="0" w:color="auto"/>
          </w:divBdr>
          <w:divsChild>
            <w:div w:id="753010618">
              <w:marLeft w:val="0"/>
              <w:marRight w:val="0"/>
              <w:marTop w:val="0"/>
              <w:marBottom w:val="0"/>
              <w:divBdr>
                <w:top w:val="none" w:sz="0" w:space="0" w:color="auto"/>
                <w:left w:val="none" w:sz="0" w:space="0" w:color="auto"/>
                <w:bottom w:val="none" w:sz="0" w:space="0" w:color="auto"/>
                <w:right w:val="none" w:sz="0" w:space="0" w:color="auto"/>
              </w:divBdr>
            </w:div>
          </w:divsChild>
        </w:div>
        <w:div w:id="1236552466">
          <w:marLeft w:val="0"/>
          <w:marRight w:val="0"/>
          <w:marTop w:val="0"/>
          <w:marBottom w:val="0"/>
          <w:divBdr>
            <w:top w:val="none" w:sz="0" w:space="0" w:color="auto"/>
            <w:left w:val="none" w:sz="0" w:space="0" w:color="auto"/>
            <w:bottom w:val="none" w:sz="0" w:space="0" w:color="auto"/>
            <w:right w:val="none" w:sz="0" w:space="0" w:color="auto"/>
          </w:divBdr>
          <w:divsChild>
            <w:div w:id="2124768688">
              <w:marLeft w:val="0"/>
              <w:marRight w:val="0"/>
              <w:marTop w:val="0"/>
              <w:marBottom w:val="0"/>
              <w:divBdr>
                <w:top w:val="none" w:sz="0" w:space="0" w:color="auto"/>
                <w:left w:val="none" w:sz="0" w:space="0" w:color="auto"/>
                <w:bottom w:val="none" w:sz="0" w:space="0" w:color="auto"/>
                <w:right w:val="none" w:sz="0" w:space="0" w:color="auto"/>
              </w:divBdr>
            </w:div>
          </w:divsChild>
        </w:div>
        <w:div w:id="644162087">
          <w:marLeft w:val="0"/>
          <w:marRight w:val="0"/>
          <w:marTop w:val="0"/>
          <w:marBottom w:val="0"/>
          <w:divBdr>
            <w:top w:val="none" w:sz="0" w:space="0" w:color="auto"/>
            <w:left w:val="none" w:sz="0" w:space="0" w:color="auto"/>
            <w:bottom w:val="none" w:sz="0" w:space="0" w:color="auto"/>
            <w:right w:val="none" w:sz="0" w:space="0" w:color="auto"/>
          </w:divBdr>
          <w:divsChild>
            <w:div w:id="39793952">
              <w:marLeft w:val="0"/>
              <w:marRight w:val="0"/>
              <w:marTop w:val="0"/>
              <w:marBottom w:val="0"/>
              <w:divBdr>
                <w:top w:val="none" w:sz="0" w:space="0" w:color="auto"/>
                <w:left w:val="none" w:sz="0" w:space="0" w:color="auto"/>
                <w:bottom w:val="none" w:sz="0" w:space="0" w:color="auto"/>
                <w:right w:val="none" w:sz="0" w:space="0" w:color="auto"/>
              </w:divBdr>
            </w:div>
          </w:divsChild>
        </w:div>
        <w:div w:id="989333491">
          <w:marLeft w:val="0"/>
          <w:marRight w:val="0"/>
          <w:marTop w:val="0"/>
          <w:marBottom w:val="0"/>
          <w:divBdr>
            <w:top w:val="none" w:sz="0" w:space="0" w:color="auto"/>
            <w:left w:val="none" w:sz="0" w:space="0" w:color="auto"/>
            <w:bottom w:val="none" w:sz="0" w:space="0" w:color="auto"/>
            <w:right w:val="none" w:sz="0" w:space="0" w:color="auto"/>
          </w:divBdr>
          <w:divsChild>
            <w:div w:id="858541363">
              <w:marLeft w:val="0"/>
              <w:marRight w:val="0"/>
              <w:marTop w:val="0"/>
              <w:marBottom w:val="0"/>
              <w:divBdr>
                <w:top w:val="none" w:sz="0" w:space="0" w:color="auto"/>
                <w:left w:val="none" w:sz="0" w:space="0" w:color="auto"/>
                <w:bottom w:val="none" w:sz="0" w:space="0" w:color="auto"/>
                <w:right w:val="none" w:sz="0" w:space="0" w:color="auto"/>
              </w:divBdr>
            </w:div>
          </w:divsChild>
        </w:div>
        <w:div w:id="1775712330">
          <w:marLeft w:val="0"/>
          <w:marRight w:val="0"/>
          <w:marTop w:val="0"/>
          <w:marBottom w:val="0"/>
          <w:divBdr>
            <w:top w:val="none" w:sz="0" w:space="0" w:color="auto"/>
            <w:left w:val="none" w:sz="0" w:space="0" w:color="auto"/>
            <w:bottom w:val="none" w:sz="0" w:space="0" w:color="auto"/>
            <w:right w:val="none" w:sz="0" w:space="0" w:color="auto"/>
          </w:divBdr>
          <w:divsChild>
            <w:div w:id="1927766115">
              <w:marLeft w:val="0"/>
              <w:marRight w:val="0"/>
              <w:marTop w:val="0"/>
              <w:marBottom w:val="0"/>
              <w:divBdr>
                <w:top w:val="none" w:sz="0" w:space="0" w:color="auto"/>
                <w:left w:val="none" w:sz="0" w:space="0" w:color="auto"/>
                <w:bottom w:val="none" w:sz="0" w:space="0" w:color="auto"/>
                <w:right w:val="none" w:sz="0" w:space="0" w:color="auto"/>
              </w:divBdr>
            </w:div>
          </w:divsChild>
        </w:div>
        <w:div w:id="177161426">
          <w:marLeft w:val="0"/>
          <w:marRight w:val="0"/>
          <w:marTop w:val="0"/>
          <w:marBottom w:val="0"/>
          <w:divBdr>
            <w:top w:val="none" w:sz="0" w:space="0" w:color="auto"/>
            <w:left w:val="none" w:sz="0" w:space="0" w:color="auto"/>
            <w:bottom w:val="none" w:sz="0" w:space="0" w:color="auto"/>
            <w:right w:val="none" w:sz="0" w:space="0" w:color="auto"/>
          </w:divBdr>
          <w:divsChild>
            <w:div w:id="2009863363">
              <w:marLeft w:val="0"/>
              <w:marRight w:val="0"/>
              <w:marTop w:val="0"/>
              <w:marBottom w:val="0"/>
              <w:divBdr>
                <w:top w:val="none" w:sz="0" w:space="0" w:color="auto"/>
                <w:left w:val="none" w:sz="0" w:space="0" w:color="auto"/>
                <w:bottom w:val="none" w:sz="0" w:space="0" w:color="auto"/>
                <w:right w:val="none" w:sz="0" w:space="0" w:color="auto"/>
              </w:divBdr>
            </w:div>
          </w:divsChild>
        </w:div>
        <w:div w:id="1372683759">
          <w:marLeft w:val="0"/>
          <w:marRight w:val="0"/>
          <w:marTop w:val="300"/>
          <w:marBottom w:val="300"/>
          <w:divBdr>
            <w:top w:val="none" w:sz="0" w:space="0" w:color="auto"/>
            <w:left w:val="none" w:sz="0" w:space="0" w:color="auto"/>
            <w:bottom w:val="none" w:sz="0" w:space="0" w:color="auto"/>
            <w:right w:val="none" w:sz="0" w:space="0" w:color="auto"/>
          </w:divBdr>
        </w:div>
        <w:div w:id="467480319">
          <w:marLeft w:val="0"/>
          <w:marRight w:val="0"/>
          <w:marTop w:val="0"/>
          <w:marBottom w:val="0"/>
          <w:divBdr>
            <w:top w:val="none" w:sz="0" w:space="0" w:color="auto"/>
            <w:left w:val="none" w:sz="0" w:space="0" w:color="auto"/>
            <w:bottom w:val="none" w:sz="0" w:space="0" w:color="auto"/>
            <w:right w:val="none" w:sz="0" w:space="0" w:color="auto"/>
          </w:divBdr>
          <w:divsChild>
            <w:div w:id="1826581779">
              <w:marLeft w:val="0"/>
              <w:marRight w:val="0"/>
              <w:marTop w:val="0"/>
              <w:marBottom w:val="0"/>
              <w:divBdr>
                <w:top w:val="none" w:sz="0" w:space="0" w:color="auto"/>
                <w:left w:val="none" w:sz="0" w:space="0" w:color="auto"/>
                <w:bottom w:val="none" w:sz="0" w:space="0" w:color="auto"/>
                <w:right w:val="none" w:sz="0" w:space="0" w:color="auto"/>
              </w:divBdr>
            </w:div>
          </w:divsChild>
        </w:div>
        <w:div w:id="1828741673">
          <w:marLeft w:val="0"/>
          <w:marRight w:val="0"/>
          <w:marTop w:val="0"/>
          <w:marBottom w:val="0"/>
          <w:divBdr>
            <w:top w:val="none" w:sz="0" w:space="0" w:color="auto"/>
            <w:left w:val="none" w:sz="0" w:space="0" w:color="auto"/>
            <w:bottom w:val="none" w:sz="0" w:space="0" w:color="auto"/>
            <w:right w:val="none" w:sz="0" w:space="0" w:color="auto"/>
          </w:divBdr>
          <w:divsChild>
            <w:div w:id="289634559">
              <w:marLeft w:val="0"/>
              <w:marRight w:val="0"/>
              <w:marTop w:val="0"/>
              <w:marBottom w:val="0"/>
              <w:divBdr>
                <w:top w:val="none" w:sz="0" w:space="0" w:color="auto"/>
                <w:left w:val="none" w:sz="0" w:space="0" w:color="auto"/>
                <w:bottom w:val="none" w:sz="0" w:space="0" w:color="auto"/>
                <w:right w:val="none" w:sz="0" w:space="0" w:color="auto"/>
              </w:divBdr>
            </w:div>
          </w:divsChild>
        </w:div>
        <w:div w:id="2008513826">
          <w:marLeft w:val="0"/>
          <w:marRight w:val="0"/>
          <w:marTop w:val="0"/>
          <w:marBottom w:val="0"/>
          <w:divBdr>
            <w:top w:val="none" w:sz="0" w:space="0" w:color="auto"/>
            <w:left w:val="none" w:sz="0" w:space="0" w:color="auto"/>
            <w:bottom w:val="none" w:sz="0" w:space="0" w:color="auto"/>
            <w:right w:val="none" w:sz="0" w:space="0" w:color="auto"/>
          </w:divBdr>
          <w:divsChild>
            <w:div w:id="1682313941">
              <w:marLeft w:val="0"/>
              <w:marRight w:val="0"/>
              <w:marTop w:val="0"/>
              <w:marBottom w:val="0"/>
              <w:divBdr>
                <w:top w:val="none" w:sz="0" w:space="0" w:color="auto"/>
                <w:left w:val="none" w:sz="0" w:space="0" w:color="auto"/>
                <w:bottom w:val="none" w:sz="0" w:space="0" w:color="auto"/>
                <w:right w:val="none" w:sz="0" w:space="0" w:color="auto"/>
              </w:divBdr>
            </w:div>
          </w:divsChild>
        </w:div>
        <w:div w:id="1885291512">
          <w:marLeft w:val="0"/>
          <w:marRight w:val="0"/>
          <w:marTop w:val="0"/>
          <w:marBottom w:val="0"/>
          <w:divBdr>
            <w:top w:val="none" w:sz="0" w:space="0" w:color="auto"/>
            <w:left w:val="none" w:sz="0" w:space="0" w:color="auto"/>
            <w:bottom w:val="none" w:sz="0" w:space="0" w:color="auto"/>
            <w:right w:val="none" w:sz="0" w:space="0" w:color="auto"/>
          </w:divBdr>
          <w:divsChild>
            <w:div w:id="540048692">
              <w:marLeft w:val="0"/>
              <w:marRight w:val="0"/>
              <w:marTop w:val="0"/>
              <w:marBottom w:val="0"/>
              <w:divBdr>
                <w:top w:val="none" w:sz="0" w:space="0" w:color="auto"/>
                <w:left w:val="none" w:sz="0" w:space="0" w:color="auto"/>
                <w:bottom w:val="none" w:sz="0" w:space="0" w:color="auto"/>
                <w:right w:val="none" w:sz="0" w:space="0" w:color="auto"/>
              </w:divBdr>
            </w:div>
          </w:divsChild>
        </w:div>
        <w:div w:id="1228149031">
          <w:marLeft w:val="0"/>
          <w:marRight w:val="0"/>
          <w:marTop w:val="0"/>
          <w:marBottom w:val="0"/>
          <w:divBdr>
            <w:top w:val="none" w:sz="0" w:space="0" w:color="auto"/>
            <w:left w:val="none" w:sz="0" w:space="0" w:color="auto"/>
            <w:bottom w:val="none" w:sz="0" w:space="0" w:color="auto"/>
            <w:right w:val="none" w:sz="0" w:space="0" w:color="auto"/>
          </w:divBdr>
          <w:divsChild>
            <w:div w:id="763570781">
              <w:marLeft w:val="0"/>
              <w:marRight w:val="0"/>
              <w:marTop w:val="0"/>
              <w:marBottom w:val="0"/>
              <w:divBdr>
                <w:top w:val="none" w:sz="0" w:space="0" w:color="auto"/>
                <w:left w:val="none" w:sz="0" w:space="0" w:color="auto"/>
                <w:bottom w:val="none" w:sz="0" w:space="0" w:color="auto"/>
                <w:right w:val="none" w:sz="0" w:space="0" w:color="auto"/>
              </w:divBdr>
            </w:div>
          </w:divsChild>
        </w:div>
        <w:div w:id="354424523">
          <w:marLeft w:val="0"/>
          <w:marRight w:val="0"/>
          <w:marTop w:val="0"/>
          <w:marBottom w:val="0"/>
          <w:divBdr>
            <w:top w:val="none" w:sz="0" w:space="0" w:color="auto"/>
            <w:left w:val="none" w:sz="0" w:space="0" w:color="auto"/>
            <w:bottom w:val="none" w:sz="0" w:space="0" w:color="auto"/>
            <w:right w:val="none" w:sz="0" w:space="0" w:color="auto"/>
          </w:divBdr>
          <w:divsChild>
            <w:div w:id="424304247">
              <w:marLeft w:val="0"/>
              <w:marRight w:val="0"/>
              <w:marTop w:val="0"/>
              <w:marBottom w:val="0"/>
              <w:divBdr>
                <w:top w:val="none" w:sz="0" w:space="0" w:color="auto"/>
                <w:left w:val="none" w:sz="0" w:space="0" w:color="auto"/>
                <w:bottom w:val="none" w:sz="0" w:space="0" w:color="auto"/>
                <w:right w:val="none" w:sz="0" w:space="0" w:color="auto"/>
              </w:divBdr>
            </w:div>
          </w:divsChild>
        </w:div>
        <w:div w:id="130251714">
          <w:marLeft w:val="0"/>
          <w:marRight w:val="0"/>
          <w:marTop w:val="300"/>
          <w:marBottom w:val="300"/>
          <w:divBdr>
            <w:top w:val="none" w:sz="0" w:space="0" w:color="auto"/>
            <w:left w:val="none" w:sz="0" w:space="0" w:color="auto"/>
            <w:bottom w:val="none" w:sz="0" w:space="0" w:color="auto"/>
            <w:right w:val="none" w:sz="0" w:space="0" w:color="auto"/>
          </w:divBdr>
        </w:div>
        <w:div w:id="350030170">
          <w:marLeft w:val="0"/>
          <w:marRight w:val="0"/>
          <w:marTop w:val="0"/>
          <w:marBottom w:val="0"/>
          <w:divBdr>
            <w:top w:val="none" w:sz="0" w:space="0" w:color="auto"/>
            <w:left w:val="none" w:sz="0" w:space="0" w:color="auto"/>
            <w:bottom w:val="none" w:sz="0" w:space="0" w:color="auto"/>
            <w:right w:val="none" w:sz="0" w:space="0" w:color="auto"/>
          </w:divBdr>
          <w:divsChild>
            <w:div w:id="1734816895">
              <w:marLeft w:val="0"/>
              <w:marRight w:val="0"/>
              <w:marTop w:val="0"/>
              <w:marBottom w:val="0"/>
              <w:divBdr>
                <w:top w:val="none" w:sz="0" w:space="0" w:color="auto"/>
                <w:left w:val="none" w:sz="0" w:space="0" w:color="auto"/>
                <w:bottom w:val="none" w:sz="0" w:space="0" w:color="auto"/>
                <w:right w:val="none" w:sz="0" w:space="0" w:color="auto"/>
              </w:divBdr>
            </w:div>
          </w:divsChild>
        </w:div>
        <w:div w:id="2097241981">
          <w:marLeft w:val="0"/>
          <w:marRight w:val="0"/>
          <w:marTop w:val="0"/>
          <w:marBottom w:val="0"/>
          <w:divBdr>
            <w:top w:val="none" w:sz="0" w:space="0" w:color="auto"/>
            <w:left w:val="none" w:sz="0" w:space="0" w:color="auto"/>
            <w:bottom w:val="none" w:sz="0" w:space="0" w:color="auto"/>
            <w:right w:val="none" w:sz="0" w:space="0" w:color="auto"/>
          </w:divBdr>
          <w:divsChild>
            <w:div w:id="1065447508">
              <w:marLeft w:val="0"/>
              <w:marRight w:val="0"/>
              <w:marTop w:val="0"/>
              <w:marBottom w:val="0"/>
              <w:divBdr>
                <w:top w:val="none" w:sz="0" w:space="0" w:color="auto"/>
                <w:left w:val="none" w:sz="0" w:space="0" w:color="auto"/>
                <w:bottom w:val="none" w:sz="0" w:space="0" w:color="auto"/>
                <w:right w:val="none" w:sz="0" w:space="0" w:color="auto"/>
              </w:divBdr>
            </w:div>
          </w:divsChild>
        </w:div>
        <w:div w:id="533232044">
          <w:marLeft w:val="0"/>
          <w:marRight w:val="0"/>
          <w:marTop w:val="0"/>
          <w:marBottom w:val="0"/>
          <w:divBdr>
            <w:top w:val="none" w:sz="0" w:space="0" w:color="auto"/>
            <w:left w:val="none" w:sz="0" w:space="0" w:color="auto"/>
            <w:bottom w:val="none" w:sz="0" w:space="0" w:color="auto"/>
            <w:right w:val="none" w:sz="0" w:space="0" w:color="auto"/>
          </w:divBdr>
          <w:divsChild>
            <w:div w:id="1635259164">
              <w:marLeft w:val="0"/>
              <w:marRight w:val="0"/>
              <w:marTop w:val="0"/>
              <w:marBottom w:val="0"/>
              <w:divBdr>
                <w:top w:val="none" w:sz="0" w:space="0" w:color="auto"/>
                <w:left w:val="none" w:sz="0" w:space="0" w:color="auto"/>
                <w:bottom w:val="none" w:sz="0" w:space="0" w:color="auto"/>
                <w:right w:val="none" w:sz="0" w:space="0" w:color="auto"/>
              </w:divBdr>
            </w:div>
          </w:divsChild>
        </w:div>
        <w:div w:id="2071611936">
          <w:marLeft w:val="0"/>
          <w:marRight w:val="0"/>
          <w:marTop w:val="0"/>
          <w:marBottom w:val="0"/>
          <w:divBdr>
            <w:top w:val="none" w:sz="0" w:space="0" w:color="auto"/>
            <w:left w:val="none" w:sz="0" w:space="0" w:color="auto"/>
            <w:bottom w:val="none" w:sz="0" w:space="0" w:color="auto"/>
            <w:right w:val="none" w:sz="0" w:space="0" w:color="auto"/>
          </w:divBdr>
          <w:divsChild>
            <w:div w:id="2045934267">
              <w:marLeft w:val="0"/>
              <w:marRight w:val="0"/>
              <w:marTop w:val="0"/>
              <w:marBottom w:val="0"/>
              <w:divBdr>
                <w:top w:val="none" w:sz="0" w:space="0" w:color="auto"/>
                <w:left w:val="none" w:sz="0" w:space="0" w:color="auto"/>
                <w:bottom w:val="none" w:sz="0" w:space="0" w:color="auto"/>
                <w:right w:val="none" w:sz="0" w:space="0" w:color="auto"/>
              </w:divBdr>
            </w:div>
          </w:divsChild>
        </w:div>
        <w:div w:id="661351791">
          <w:marLeft w:val="0"/>
          <w:marRight w:val="0"/>
          <w:marTop w:val="0"/>
          <w:marBottom w:val="0"/>
          <w:divBdr>
            <w:top w:val="none" w:sz="0" w:space="0" w:color="auto"/>
            <w:left w:val="none" w:sz="0" w:space="0" w:color="auto"/>
            <w:bottom w:val="none" w:sz="0" w:space="0" w:color="auto"/>
            <w:right w:val="none" w:sz="0" w:space="0" w:color="auto"/>
          </w:divBdr>
          <w:divsChild>
            <w:div w:id="1406489350">
              <w:marLeft w:val="0"/>
              <w:marRight w:val="0"/>
              <w:marTop w:val="0"/>
              <w:marBottom w:val="0"/>
              <w:divBdr>
                <w:top w:val="none" w:sz="0" w:space="0" w:color="auto"/>
                <w:left w:val="none" w:sz="0" w:space="0" w:color="auto"/>
                <w:bottom w:val="none" w:sz="0" w:space="0" w:color="auto"/>
                <w:right w:val="none" w:sz="0" w:space="0" w:color="auto"/>
              </w:divBdr>
            </w:div>
          </w:divsChild>
        </w:div>
        <w:div w:id="1985773045">
          <w:marLeft w:val="0"/>
          <w:marRight w:val="0"/>
          <w:marTop w:val="0"/>
          <w:marBottom w:val="0"/>
          <w:divBdr>
            <w:top w:val="none" w:sz="0" w:space="0" w:color="auto"/>
            <w:left w:val="none" w:sz="0" w:space="0" w:color="auto"/>
            <w:bottom w:val="none" w:sz="0" w:space="0" w:color="auto"/>
            <w:right w:val="none" w:sz="0" w:space="0" w:color="auto"/>
          </w:divBdr>
          <w:divsChild>
            <w:div w:id="1769033953">
              <w:marLeft w:val="0"/>
              <w:marRight w:val="0"/>
              <w:marTop w:val="0"/>
              <w:marBottom w:val="0"/>
              <w:divBdr>
                <w:top w:val="none" w:sz="0" w:space="0" w:color="auto"/>
                <w:left w:val="none" w:sz="0" w:space="0" w:color="auto"/>
                <w:bottom w:val="none" w:sz="0" w:space="0" w:color="auto"/>
                <w:right w:val="none" w:sz="0" w:space="0" w:color="auto"/>
              </w:divBdr>
            </w:div>
          </w:divsChild>
        </w:div>
        <w:div w:id="1720011597">
          <w:marLeft w:val="0"/>
          <w:marRight w:val="0"/>
          <w:marTop w:val="0"/>
          <w:marBottom w:val="0"/>
          <w:divBdr>
            <w:top w:val="none" w:sz="0" w:space="0" w:color="auto"/>
            <w:left w:val="none" w:sz="0" w:space="0" w:color="auto"/>
            <w:bottom w:val="none" w:sz="0" w:space="0" w:color="auto"/>
            <w:right w:val="none" w:sz="0" w:space="0" w:color="auto"/>
          </w:divBdr>
          <w:divsChild>
            <w:div w:id="1521698246">
              <w:marLeft w:val="0"/>
              <w:marRight w:val="0"/>
              <w:marTop w:val="0"/>
              <w:marBottom w:val="0"/>
              <w:divBdr>
                <w:top w:val="none" w:sz="0" w:space="0" w:color="auto"/>
                <w:left w:val="none" w:sz="0" w:space="0" w:color="auto"/>
                <w:bottom w:val="none" w:sz="0" w:space="0" w:color="auto"/>
                <w:right w:val="none" w:sz="0" w:space="0" w:color="auto"/>
              </w:divBdr>
            </w:div>
          </w:divsChild>
        </w:div>
        <w:div w:id="1675959603">
          <w:marLeft w:val="0"/>
          <w:marRight w:val="0"/>
          <w:marTop w:val="300"/>
          <w:marBottom w:val="300"/>
          <w:divBdr>
            <w:top w:val="none" w:sz="0" w:space="0" w:color="auto"/>
            <w:left w:val="none" w:sz="0" w:space="0" w:color="auto"/>
            <w:bottom w:val="none" w:sz="0" w:space="0" w:color="auto"/>
            <w:right w:val="none" w:sz="0" w:space="0" w:color="auto"/>
          </w:divBdr>
        </w:div>
        <w:div w:id="152988947">
          <w:marLeft w:val="0"/>
          <w:marRight w:val="0"/>
          <w:marTop w:val="0"/>
          <w:marBottom w:val="0"/>
          <w:divBdr>
            <w:top w:val="none" w:sz="0" w:space="0" w:color="auto"/>
            <w:left w:val="none" w:sz="0" w:space="0" w:color="auto"/>
            <w:bottom w:val="none" w:sz="0" w:space="0" w:color="auto"/>
            <w:right w:val="none" w:sz="0" w:space="0" w:color="auto"/>
          </w:divBdr>
          <w:divsChild>
            <w:div w:id="952663593">
              <w:marLeft w:val="0"/>
              <w:marRight w:val="0"/>
              <w:marTop w:val="0"/>
              <w:marBottom w:val="0"/>
              <w:divBdr>
                <w:top w:val="none" w:sz="0" w:space="0" w:color="auto"/>
                <w:left w:val="none" w:sz="0" w:space="0" w:color="auto"/>
                <w:bottom w:val="none" w:sz="0" w:space="0" w:color="auto"/>
                <w:right w:val="none" w:sz="0" w:space="0" w:color="auto"/>
              </w:divBdr>
            </w:div>
          </w:divsChild>
        </w:div>
        <w:div w:id="1352758912">
          <w:marLeft w:val="0"/>
          <w:marRight w:val="0"/>
          <w:marTop w:val="0"/>
          <w:marBottom w:val="0"/>
          <w:divBdr>
            <w:top w:val="none" w:sz="0" w:space="0" w:color="auto"/>
            <w:left w:val="none" w:sz="0" w:space="0" w:color="auto"/>
            <w:bottom w:val="none" w:sz="0" w:space="0" w:color="auto"/>
            <w:right w:val="none" w:sz="0" w:space="0" w:color="auto"/>
          </w:divBdr>
          <w:divsChild>
            <w:div w:id="600064030">
              <w:marLeft w:val="0"/>
              <w:marRight w:val="0"/>
              <w:marTop w:val="0"/>
              <w:marBottom w:val="0"/>
              <w:divBdr>
                <w:top w:val="none" w:sz="0" w:space="0" w:color="auto"/>
                <w:left w:val="none" w:sz="0" w:space="0" w:color="auto"/>
                <w:bottom w:val="none" w:sz="0" w:space="0" w:color="auto"/>
                <w:right w:val="none" w:sz="0" w:space="0" w:color="auto"/>
              </w:divBdr>
            </w:div>
          </w:divsChild>
        </w:div>
        <w:div w:id="682712011">
          <w:marLeft w:val="0"/>
          <w:marRight w:val="0"/>
          <w:marTop w:val="300"/>
          <w:marBottom w:val="300"/>
          <w:divBdr>
            <w:top w:val="none" w:sz="0" w:space="0" w:color="auto"/>
            <w:left w:val="none" w:sz="0" w:space="0" w:color="auto"/>
            <w:bottom w:val="none" w:sz="0" w:space="0" w:color="auto"/>
            <w:right w:val="none" w:sz="0" w:space="0" w:color="auto"/>
          </w:divBdr>
        </w:div>
        <w:div w:id="955260529">
          <w:marLeft w:val="0"/>
          <w:marRight w:val="0"/>
          <w:marTop w:val="0"/>
          <w:marBottom w:val="0"/>
          <w:divBdr>
            <w:top w:val="none" w:sz="0" w:space="0" w:color="auto"/>
            <w:left w:val="none" w:sz="0" w:space="0" w:color="auto"/>
            <w:bottom w:val="none" w:sz="0" w:space="0" w:color="auto"/>
            <w:right w:val="none" w:sz="0" w:space="0" w:color="auto"/>
          </w:divBdr>
          <w:divsChild>
            <w:div w:id="512301513">
              <w:marLeft w:val="0"/>
              <w:marRight w:val="0"/>
              <w:marTop w:val="0"/>
              <w:marBottom w:val="0"/>
              <w:divBdr>
                <w:top w:val="none" w:sz="0" w:space="0" w:color="auto"/>
                <w:left w:val="none" w:sz="0" w:space="0" w:color="auto"/>
                <w:bottom w:val="none" w:sz="0" w:space="0" w:color="auto"/>
                <w:right w:val="none" w:sz="0" w:space="0" w:color="auto"/>
              </w:divBdr>
            </w:div>
          </w:divsChild>
        </w:div>
        <w:div w:id="81880559">
          <w:marLeft w:val="0"/>
          <w:marRight w:val="0"/>
          <w:marTop w:val="0"/>
          <w:marBottom w:val="0"/>
          <w:divBdr>
            <w:top w:val="none" w:sz="0" w:space="0" w:color="auto"/>
            <w:left w:val="none" w:sz="0" w:space="0" w:color="auto"/>
            <w:bottom w:val="none" w:sz="0" w:space="0" w:color="auto"/>
            <w:right w:val="none" w:sz="0" w:space="0" w:color="auto"/>
          </w:divBdr>
          <w:divsChild>
            <w:div w:id="1963462597">
              <w:marLeft w:val="0"/>
              <w:marRight w:val="0"/>
              <w:marTop w:val="0"/>
              <w:marBottom w:val="0"/>
              <w:divBdr>
                <w:top w:val="none" w:sz="0" w:space="0" w:color="auto"/>
                <w:left w:val="none" w:sz="0" w:space="0" w:color="auto"/>
                <w:bottom w:val="none" w:sz="0" w:space="0" w:color="auto"/>
                <w:right w:val="none" w:sz="0" w:space="0" w:color="auto"/>
              </w:divBdr>
            </w:div>
          </w:divsChild>
        </w:div>
        <w:div w:id="1384063323">
          <w:marLeft w:val="0"/>
          <w:marRight w:val="0"/>
          <w:marTop w:val="0"/>
          <w:marBottom w:val="0"/>
          <w:divBdr>
            <w:top w:val="none" w:sz="0" w:space="0" w:color="auto"/>
            <w:left w:val="none" w:sz="0" w:space="0" w:color="auto"/>
            <w:bottom w:val="none" w:sz="0" w:space="0" w:color="auto"/>
            <w:right w:val="none" w:sz="0" w:space="0" w:color="auto"/>
          </w:divBdr>
          <w:divsChild>
            <w:div w:id="575819136">
              <w:marLeft w:val="0"/>
              <w:marRight w:val="0"/>
              <w:marTop w:val="0"/>
              <w:marBottom w:val="0"/>
              <w:divBdr>
                <w:top w:val="none" w:sz="0" w:space="0" w:color="auto"/>
                <w:left w:val="none" w:sz="0" w:space="0" w:color="auto"/>
                <w:bottom w:val="none" w:sz="0" w:space="0" w:color="auto"/>
                <w:right w:val="none" w:sz="0" w:space="0" w:color="auto"/>
              </w:divBdr>
            </w:div>
          </w:divsChild>
        </w:div>
        <w:div w:id="1010060281">
          <w:marLeft w:val="0"/>
          <w:marRight w:val="0"/>
          <w:marTop w:val="0"/>
          <w:marBottom w:val="0"/>
          <w:divBdr>
            <w:top w:val="none" w:sz="0" w:space="0" w:color="auto"/>
            <w:left w:val="none" w:sz="0" w:space="0" w:color="auto"/>
            <w:bottom w:val="none" w:sz="0" w:space="0" w:color="auto"/>
            <w:right w:val="none" w:sz="0" w:space="0" w:color="auto"/>
          </w:divBdr>
          <w:divsChild>
            <w:div w:id="993529261">
              <w:marLeft w:val="0"/>
              <w:marRight w:val="0"/>
              <w:marTop w:val="0"/>
              <w:marBottom w:val="0"/>
              <w:divBdr>
                <w:top w:val="none" w:sz="0" w:space="0" w:color="auto"/>
                <w:left w:val="none" w:sz="0" w:space="0" w:color="auto"/>
                <w:bottom w:val="none" w:sz="0" w:space="0" w:color="auto"/>
                <w:right w:val="none" w:sz="0" w:space="0" w:color="auto"/>
              </w:divBdr>
            </w:div>
          </w:divsChild>
        </w:div>
        <w:div w:id="413401472">
          <w:marLeft w:val="0"/>
          <w:marRight w:val="0"/>
          <w:marTop w:val="0"/>
          <w:marBottom w:val="0"/>
          <w:divBdr>
            <w:top w:val="none" w:sz="0" w:space="0" w:color="auto"/>
            <w:left w:val="none" w:sz="0" w:space="0" w:color="auto"/>
            <w:bottom w:val="none" w:sz="0" w:space="0" w:color="auto"/>
            <w:right w:val="none" w:sz="0" w:space="0" w:color="auto"/>
          </w:divBdr>
          <w:divsChild>
            <w:div w:id="608902056">
              <w:marLeft w:val="0"/>
              <w:marRight w:val="0"/>
              <w:marTop w:val="0"/>
              <w:marBottom w:val="0"/>
              <w:divBdr>
                <w:top w:val="none" w:sz="0" w:space="0" w:color="auto"/>
                <w:left w:val="none" w:sz="0" w:space="0" w:color="auto"/>
                <w:bottom w:val="none" w:sz="0" w:space="0" w:color="auto"/>
                <w:right w:val="none" w:sz="0" w:space="0" w:color="auto"/>
              </w:divBdr>
            </w:div>
          </w:divsChild>
        </w:div>
        <w:div w:id="211112708">
          <w:marLeft w:val="0"/>
          <w:marRight w:val="0"/>
          <w:marTop w:val="0"/>
          <w:marBottom w:val="0"/>
          <w:divBdr>
            <w:top w:val="none" w:sz="0" w:space="0" w:color="auto"/>
            <w:left w:val="none" w:sz="0" w:space="0" w:color="auto"/>
            <w:bottom w:val="none" w:sz="0" w:space="0" w:color="auto"/>
            <w:right w:val="none" w:sz="0" w:space="0" w:color="auto"/>
          </w:divBdr>
          <w:divsChild>
            <w:div w:id="635061887">
              <w:marLeft w:val="0"/>
              <w:marRight w:val="0"/>
              <w:marTop w:val="0"/>
              <w:marBottom w:val="0"/>
              <w:divBdr>
                <w:top w:val="none" w:sz="0" w:space="0" w:color="auto"/>
                <w:left w:val="none" w:sz="0" w:space="0" w:color="auto"/>
                <w:bottom w:val="none" w:sz="0" w:space="0" w:color="auto"/>
                <w:right w:val="none" w:sz="0" w:space="0" w:color="auto"/>
              </w:divBdr>
            </w:div>
          </w:divsChild>
        </w:div>
        <w:div w:id="1468937278">
          <w:marLeft w:val="0"/>
          <w:marRight w:val="0"/>
          <w:marTop w:val="0"/>
          <w:marBottom w:val="0"/>
          <w:divBdr>
            <w:top w:val="none" w:sz="0" w:space="0" w:color="auto"/>
            <w:left w:val="none" w:sz="0" w:space="0" w:color="auto"/>
            <w:bottom w:val="none" w:sz="0" w:space="0" w:color="auto"/>
            <w:right w:val="none" w:sz="0" w:space="0" w:color="auto"/>
          </w:divBdr>
          <w:divsChild>
            <w:div w:id="1709799134">
              <w:marLeft w:val="0"/>
              <w:marRight w:val="0"/>
              <w:marTop w:val="0"/>
              <w:marBottom w:val="0"/>
              <w:divBdr>
                <w:top w:val="none" w:sz="0" w:space="0" w:color="auto"/>
                <w:left w:val="none" w:sz="0" w:space="0" w:color="auto"/>
                <w:bottom w:val="none" w:sz="0" w:space="0" w:color="auto"/>
                <w:right w:val="none" w:sz="0" w:space="0" w:color="auto"/>
              </w:divBdr>
            </w:div>
          </w:divsChild>
        </w:div>
        <w:div w:id="534346500">
          <w:marLeft w:val="0"/>
          <w:marRight w:val="0"/>
          <w:marTop w:val="0"/>
          <w:marBottom w:val="0"/>
          <w:divBdr>
            <w:top w:val="none" w:sz="0" w:space="0" w:color="auto"/>
            <w:left w:val="none" w:sz="0" w:space="0" w:color="auto"/>
            <w:bottom w:val="none" w:sz="0" w:space="0" w:color="auto"/>
            <w:right w:val="none" w:sz="0" w:space="0" w:color="auto"/>
          </w:divBdr>
          <w:divsChild>
            <w:div w:id="940529514">
              <w:marLeft w:val="0"/>
              <w:marRight w:val="0"/>
              <w:marTop w:val="0"/>
              <w:marBottom w:val="0"/>
              <w:divBdr>
                <w:top w:val="none" w:sz="0" w:space="0" w:color="auto"/>
                <w:left w:val="none" w:sz="0" w:space="0" w:color="auto"/>
                <w:bottom w:val="none" w:sz="0" w:space="0" w:color="auto"/>
                <w:right w:val="none" w:sz="0" w:space="0" w:color="auto"/>
              </w:divBdr>
            </w:div>
          </w:divsChild>
        </w:div>
        <w:div w:id="1724526709">
          <w:marLeft w:val="0"/>
          <w:marRight w:val="0"/>
          <w:marTop w:val="0"/>
          <w:marBottom w:val="0"/>
          <w:divBdr>
            <w:top w:val="none" w:sz="0" w:space="0" w:color="auto"/>
            <w:left w:val="none" w:sz="0" w:space="0" w:color="auto"/>
            <w:bottom w:val="none" w:sz="0" w:space="0" w:color="auto"/>
            <w:right w:val="none" w:sz="0" w:space="0" w:color="auto"/>
          </w:divBdr>
          <w:divsChild>
            <w:div w:id="1955596525">
              <w:marLeft w:val="0"/>
              <w:marRight w:val="0"/>
              <w:marTop w:val="0"/>
              <w:marBottom w:val="0"/>
              <w:divBdr>
                <w:top w:val="none" w:sz="0" w:space="0" w:color="auto"/>
                <w:left w:val="none" w:sz="0" w:space="0" w:color="auto"/>
                <w:bottom w:val="none" w:sz="0" w:space="0" w:color="auto"/>
                <w:right w:val="none" w:sz="0" w:space="0" w:color="auto"/>
              </w:divBdr>
            </w:div>
          </w:divsChild>
        </w:div>
        <w:div w:id="1636788351">
          <w:marLeft w:val="0"/>
          <w:marRight w:val="0"/>
          <w:marTop w:val="0"/>
          <w:marBottom w:val="0"/>
          <w:divBdr>
            <w:top w:val="none" w:sz="0" w:space="0" w:color="auto"/>
            <w:left w:val="none" w:sz="0" w:space="0" w:color="auto"/>
            <w:bottom w:val="none" w:sz="0" w:space="0" w:color="auto"/>
            <w:right w:val="none" w:sz="0" w:space="0" w:color="auto"/>
          </w:divBdr>
          <w:divsChild>
            <w:div w:id="191385531">
              <w:marLeft w:val="0"/>
              <w:marRight w:val="0"/>
              <w:marTop w:val="0"/>
              <w:marBottom w:val="0"/>
              <w:divBdr>
                <w:top w:val="none" w:sz="0" w:space="0" w:color="auto"/>
                <w:left w:val="none" w:sz="0" w:space="0" w:color="auto"/>
                <w:bottom w:val="none" w:sz="0" w:space="0" w:color="auto"/>
                <w:right w:val="none" w:sz="0" w:space="0" w:color="auto"/>
              </w:divBdr>
            </w:div>
          </w:divsChild>
        </w:div>
        <w:div w:id="471212998">
          <w:marLeft w:val="0"/>
          <w:marRight w:val="0"/>
          <w:marTop w:val="0"/>
          <w:marBottom w:val="0"/>
          <w:divBdr>
            <w:top w:val="none" w:sz="0" w:space="0" w:color="auto"/>
            <w:left w:val="none" w:sz="0" w:space="0" w:color="auto"/>
            <w:bottom w:val="none" w:sz="0" w:space="0" w:color="auto"/>
            <w:right w:val="none" w:sz="0" w:space="0" w:color="auto"/>
          </w:divBdr>
          <w:divsChild>
            <w:div w:id="118762930">
              <w:marLeft w:val="0"/>
              <w:marRight w:val="0"/>
              <w:marTop w:val="0"/>
              <w:marBottom w:val="0"/>
              <w:divBdr>
                <w:top w:val="none" w:sz="0" w:space="0" w:color="auto"/>
                <w:left w:val="none" w:sz="0" w:space="0" w:color="auto"/>
                <w:bottom w:val="none" w:sz="0" w:space="0" w:color="auto"/>
                <w:right w:val="none" w:sz="0" w:space="0" w:color="auto"/>
              </w:divBdr>
            </w:div>
          </w:divsChild>
        </w:div>
        <w:div w:id="1361852565">
          <w:marLeft w:val="0"/>
          <w:marRight w:val="0"/>
          <w:marTop w:val="0"/>
          <w:marBottom w:val="0"/>
          <w:divBdr>
            <w:top w:val="none" w:sz="0" w:space="0" w:color="auto"/>
            <w:left w:val="none" w:sz="0" w:space="0" w:color="auto"/>
            <w:bottom w:val="none" w:sz="0" w:space="0" w:color="auto"/>
            <w:right w:val="none" w:sz="0" w:space="0" w:color="auto"/>
          </w:divBdr>
          <w:divsChild>
            <w:div w:id="72048662">
              <w:marLeft w:val="0"/>
              <w:marRight w:val="0"/>
              <w:marTop w:val="0"/>
              <w:marBottom w:val="0"/>
              <w:divBdr>
                <w:top w:val="none" w:sz="0" w:space="0" w:color="auto"/>
                <w:left w:val="none" w:sz="0" w:space="0" w:color="auto"/>
                <w:bottom w:val="none" w:sz="0" w:space="0" w:color="auto"/>
                <w:right w:val="none" w:sz="0" w:space="0" w:color="auto"/>
              </w:divBdr>
            </w:div>
          </w:divsChild>
        </w:div>
        <w:div w:id="1601137148">
          <w:marLeft w:val="0"/>
          <w:marRight w:val="0"/>
          <w:marTop w:val="0"/>
          <w:marBottom w:val="0"/>
          <w:divBdr>
            <w:top w:val="none" w:sz="0" w:space="0" w:color="auto"/>
            <w:left w:val="none" w:sz="0" w:space="0" w:color="auto"/>
            <w:bottom w:val="none" w:sz="0" w:space="0" w:color="auto"/>
            <w:right w:val="none" w:sz="0" w:space="0" w:color="auto"/>
          </w:divBdr>
          <w:divsChild>
            <w:div w:id="874149231">
              <w:marLeft w:val="0"/>
              <w:marRight w:val="0"/>
              <w:marTop w:val="0"/>
              <w:marBottom w:val="0"/>
              <w:divBdr>
                <w:top w:val="none" w:sz="0" w:space="0" w:color="auto"/>
                <w:left w:val="none" w:sz="0" w:space="0" w:color="auto"/>
                <w:bottom w:val="none" w:sz="0" w:space="0" w:color="auto"/>
                <w:right w:val="none" w:sz="0" w:space="0" w:color="auto"/>
              </w:divBdr>
            </w:div>
          </w:divsChild>
        </w:div>
        <w:div w:id="1161431368">
          <w:marLeft w:val="0"/>
          <w:marRight w:val="0"/>
          <w:marTop w:val="0"/>
          <w:marBottom w:val="0"/>
          <w:divBdr>
            <w:top w:val="none" w:sz="0" w:space="0" w:color="auto"/>
            <w:left w:val="none" w:sz="0" w:space="0" w:color="auto"/>
            <w:bottom w:val="none" w:sz="0" w:space="0" w:color="auto"/>
            <w:right w:val="none" w:sz="0" w:space="0" w:color="auto"/>
          </w:divBdr>
          <w:divsChild>
            <w:div w:id="473987382">
              <w:marLeft w:val="0"/>
              <w:marRight w:val="0"/>
              <w:marTop w:val="0"/>
              <w:marBottom w:val="0"/>
              <w:divBdr>
                <w:top w:val="none" w:sz="0" w:space="0" w:color="auto"/>
                <w:left w:val="none" w:sz="0" w:space="0" w:color="auto"/>
                <w:bottom w:val="none" w:sz="0" w:space="0" w:color="auto"/>
                <w:right w:val="none" w:sz="0" w:space="0" w:color="auto"/>
              </w:divBdr>
            </w:div>
          </w:divsChild>
        </w:div>
        <w:div w:id="224145437">
          <w:marLeft w:val="0"/>
          <w:marRight w:val="0"/>
          <w:marTop w:val="0"/>
          <w:marBottom w:val="0"/>
          <w:divBdr>
            <w:top w:val="none" w:sz="0" w:space="0" w:color="auto"/>
            <w:left w:val="none" w:sz="0" w:space="0" w:color="auto"/>
            <w:bottom w:val="none" w:sz="0" w:space="0" w:color="auto"/>
            <w:right w:val="none" w:sz="0" w:space="0" w:color="auto"/>
          </w:divBdr>
          <w:divsChild>
            <w:div w:id="640228858">
              <w:marLeft w:val="0"/>
              <w:marRight w:val="0"/>
              <w:marTop w:val="0"/>
              <w:marBottom w:val="0"/>
              <w:divBdr>
                <w:top w:val="none" w:sz="0" w:space="0" w:color="auto"/>
                <w:left w:val="none" w:sz="0" w:space="0" w:color="auto"/>
                <w:bottom w:val="none" w:sz="0" w:space="0" w:color="auto"/>
                <w:right w:val="none" w:sz="0" w:space="0" w:color="auto"/>
              </w:divBdr>
            </w:div>
          </w:divsChild>
        </w:div>
        <w:div w:id="223686585">
          <w:marLeft w:val="0"/>
          <w:marRight w:val="0"/>
          <w:marTop w:val="0"/>
          <w:marBottom w:val="0"/>
          <w:divBdr>
            <w:top w:val="none" w:sz="0" w:space="0" w:color="auto"/>
            <w:left w:val="none" w:sz="0" w:space="0" w:color="auto"/>
            <w:bottom w:val="none" w:sz="0" w:space="0" w:color="auto"/>
            <w:right w:val="none" w:sz="0" w:space="0" w:color="auto"/>
          </w:divBdr>
          <w:divsChild>
            <w:div w:id="1906909940">
              <w:marLeft w:val="0"/>
              <w:marRight w:val="0"/>
              <w:marTop w:val="0"/>
              <w:marBottom w:val="0"/>
              <w:divBdr>
                <w:top w:val="none" w:sz="0" w:space="0" w:color="auto"/>
                <w:left w:val="none" w:sz="0" w:space="0" w:color="auto"/>
                <w:bottom w:val="none" w:sz="0" w:space="0" w:color="auto"/>
                <w:right w:val="none" w:sz="0" w:space="0" w:color="auto"/>
              </w:divBdr>
            </w:div>
          </w:divsChild>
        </w:div>
        <w:div w:id="1687707635">
          <w:marLeft w:val="0"/>
          <w:marRight w:val="0"/>
          <w:marTop w:val="300"/>
          <w:marBottom w:val="300"/>
          <w:divBdr>
            <w:top w:val="none" w:sz="0" w:space="0" w:color="auto"/>
            <w:left w:val="none" w:sz="0" w:space="0" w:color="auto"/>
            <w:bottom w:val="none" w:sz="0" w:space="0" w:color="auto"/>
            <w:right w:val="none" w:sz="0" w:space="0" w:color="auto"/>
          </w:divBdr>
        </w:div>
        <w:div w:id="521358365">
          <w:marLeft w:val="0"/>
          <w:marRight w:val="0"/>
          <w:marTop w:val="0"/>
          <w:marBottom w:val="0"/>
          <w:divBdr>
            <w:top w:val="none" w:sz="0" w:space="0" w:color="auto"/>
            <w:left w:val="none" w:sz="0" w:space="0" w:color="auto"/>
            <w:bottom w:val="none" w:sz="0" w:space="0" w:color="auto"/>
            <w:right w:val="none" w:sz="0" w:space="0" w:color="auto"/>
          </w:divBdr>
          <w:divsChild>
            <w:div w:id="375547101">
              <w:marLeft w:val="0"/>
              <w:marRight w:val="0"/>
              <w:marTop w:val="0"/>
              <w:marBottom w:val="0"/>
              <w:divBdr>
                <w:top w:val="none" w:sz="0" w:space="0" w:color="auto"/>
                <w:left w:val="none" w:sz="0" w:space="0" w:color="auto"/>
                <w:bottom w:val="none" w:sz="0" w:space="0" w:color="auto"/>
                <w:right w:val="none" w:sz="0" w:space="0" w:color="auto"/>
              </w:divBdr>
            </w:div>
          </w:divsChild>
        </w:div>
        <w:div w:id="207496896">
          <w:marLeft w:val="0"/>
          <w:marRight w:val="0"/>
          <w:marTop w:val="300"/>
          <w:marBottom w:val="300"/>
          <w:divBdr>
            <w:top w:val="none" w:sz="0" w:space="0" w:color="auto"/>
            <w:left w:val="none" w:sz="0" w:space="0" w:color="auto"/>
            <w:bottom w:val="none" w:sz="0" w:space="0" w:color="auto"/>
            <w:right w:val="none" w:sz="0" w:space="0" w:color="auto"/>
          </w:divBdr>
        </w:div>
        <w:div w:id="324238288">
          <w:marLeft w:val="0"/>
          <w:marRight w:val="0"/>
          <w:marTop w:val="0"/>
          <w:marBottom w:val="0"/>
          <w:divBdr>
            <w:top w:val="none" w:sz="0" w:space="0" w:color="auto"/>
            <w:left w:val="none" w:sz="0" w:space="0" w:color="auto"/>
            <w:bottom w:val="none" w:sz="0" w:space="0" w:color="auto"/>
            <w:right w:val="none" w:sz="0" w:space="0" w:color="auto"/>
          </w:divBdr>
          <w:divsChild>
            <w:div w:id="420637547">
              <w:marLeft w:val="0"/>
              <w:marRight w:val="0"/>
              <w:marTop w:val="0"/>
              <w:marBottom w:val="0"/>
              <w:divBdr>
                <w:top w:val="none" w:sz="0" w:space="0" w:color="auto"/>
                <w:left w:val="none" w:sz="0" w:space="0" w:color="auto"/>
                <w:bottom w:val="none" w:sz="0" w:space="0" w:color="auto"/>
                <w:right w:val="none" w:sz="0" w:space="0" w:color="auto"/>
              </w:divBdr>
            </w:div>
          </w:divsChild>
        </w:div>
        <w:div w:id="1765999851">
          <w:marLeft w:val="0"/>
          <w:marRight w:val="0"/>
          <w:marTop w:val="0"/>
          <w:marBottom w:val="0"/>
          <w:divBdr>
            <w:top w:val="none" w:sz="0" w:space="0" w:color="auto"/>
            <w:left w:val="none" w:sz="0" w:space="0" w:color="auto"/>
            <w:bottom w:val="none" w:sz="0" w:space="0" w:color="auto"/>
            <w:right w:val="none" w:sz="0" w:space="0" w:color="auto"/>
          </w:divBdr>
          <w:divsChild>
            <w:div w:id="1958024863">
              <w:marLeft w:val="0"/>
              <w:marRight w:val="0"/>
              <w:marTop w:val="0"/>
              <w:marBottom w:val="0"/>
              <w:divBdr>
                <w:top w:val="none" w:sz="0" w:space="0" w:color="auto"/>
                <w:left w:val="none" w:sz="0" w:space="0" w:color="auto"/>
                <w:bottom w:val="none" w:sz="0" w:space="0" w:color="auto"/>
                <w:right w:val="none" w:sz="0" w:space="0" w:color="auto"/>
              </w:divBdr>
            </w:div>
          </w:divsChild>
        </w:div>
        <w:div w:id="1370833050">
          <w:marLeft w:val="0"/>
          <w:marRight w:val="0"/>
          <w:marTop w:val="0"/>
          <w:marBottom w:val="0"/>
          <w:divBdr>
            <w:top w:val="none" w:sz="0" w:space="0" w:color="auto"/>
            <w:left w:val="none" w:sz="0" w:space="0" w:color="auto"/>
            <w:bottom w:val="none" w:sz="0" w:space="0" w:color="auto"/>
            <w:right w:val="none" w:sz="0" w:space="0" w:color="auto"/>
          </w:divBdr>
          <w:divsChild>
            <w:div w:id="1123186662">
              <w:marLeft w:val="0"/>
              <w:marRight w:val="0"/>
              <w:marTop w:val="0"/>
              <w:marBottom w:val="0"/>
              <w:divBdr>
                <w:top w:val="none" w:sz="0" w:space="0" w:color="auto"/>
                <w:left w:val="none" w:sz="0" w:space="0" w:color="auto"/>
                <w:bottom w:val="none" w:sz="0" w:space="0" w:color="auto"/>
                <w:right w:val="none" w:sz="0" w:space="0" w:color="auto"/>
              </w:divBdr>
            </w:div>
          </w:divsChild>
        </w:div>
        <w:div w:id="1271086661">
          <w:marLeft w:val="0"/>
          <w:marRight w:val="0"/>
          <w:marTop w:val="0"/>
          <w:marBottom w:val="0"/>
          <w:divBdr>
            <w:top w:val="none" w:sz="0" w:space="0" w:color="auto"/>
            <w:left w:val="none" w:sz="0" w:space="0" w:color="auto"/>
            <w:bottom w:val="none" w:sz="0" w:space="0" w:color="auto"/>
            <w:right w:val="none" w:sz="0" w:space="0" w:color="auto"/>
          </w:divBdr>
          <w:divsChild>
            <w:div w:id="1670674859">
              <w:marLeft w:val="0"/>
              <w:marRight w:val="0"/>
              <w:marTop w:val="0"/>
              <w:marBottom w:val="0"/>
              <w:divBdr>
                <w:top w:val="none" w:sz="0" w:space="0" w:color="auto"/>
                <w:left w:val="none" w:sz="0" w:space="0" w:color="auto"/>
                <w:bottom w:val="none" w:sz="0" w:space="0" w:color="auto"/>
                <w:right w:val="none" w:sz="0" w:space="0" w:color="auto"/>
              </w:divBdr>
            </w:div>
          </w:divsChild>
        </w:div>
        <w:div w:id="1645814215">
          <w:marLeft w:val="0"/>
          <w:marRight w:val="0"/>
          <w:marTop w:val="0"/>
          <w:marBottom w:val="0"/>
          <w:divBdr>
            <w:top w:val="none" w:sz="0" w:space="0" w:color="auto"/>
            <w:left w:val="none" w:sz="0" w:space="0" w:color="auto"/>
            <w:bottom w:val="none" w:sz="0" w:space="0" w:color="auto"/>
            <w:right w:val="none" w:sz="0" w:space="0" w:color="auto"/>
          </w:divBdr>
          <w:divsChild>
            <w:div w:id="80952226">
              <w:marLeft w:val="0"/>
              <w:marRight w:val="0"/>
              <w:marTop w:val="0"/>
              <w:marBottom w:val="0"/>
              <w:divBdr>
                <w:top w:val="none" w:sz="0" w:space="0" w:color="auto"/>
                <w:left w:val="none" w:sz="0" w:space="0" w:color="auto"/>
                <w:bottom w:val="none" w:sz="0" w:space="0" w:color="auto"/>
                <w:right w:val="none" w:sz="0" w:space="0" w:color="auto"/>
              </w:divBdr>
            </w:div>
          </w:divsChild>
        </w:div>
        <w:div w:id="1603295713">
          <w:marLeft w:val="0"/>
          <w:marRight w:val="0"/>
          <w:marTop w:val="0"/>
          <w:marBottom w:val="0"/>
          <w:divBdr>
            <w:top w:val="none" w:sz="0" w:space="0" w:color="auto"/>
            <w:left w:val="none" w:sz="0" w:space="0" w:color="auto"/>
            <w:bottom w:val="none" w:sz="0" w:space="0" w:color="auto"/>
            <w:right w:val="none" w:sz="0" w:space="0" w:color="auto"/>
          </w:divBdr>
          <w:divsChild>
            <w:div w:id="1528562747">
              <w:marLeft w:val="0"/>
              <w:marRight w:val="0"/>
              <w:marTop w:val="0"/>
              <w:marBottom w:val="0"/>
              <w:divBdr>
                <w:top w:val="none" w:sz="0" w:space="0" w:color="auto"/>
                <w:left w:val="none" w:sz="0" w:space="0" w:color="auto"/>
                <w:bottom w:val="none" w:sz="0" w:space="0" w:color="auto"/>
                <w:right w:val="none" w:sz="0" w:space="0" w:color="auto"/>
              </w:divBdr>
            </w:div>
          </w:divsChild>
        </w:div>
        <w:div w:id="185213707">
          <w:marLeft w:val="0"/>
          <w:marRight w:val="0"/>
          <w:marTop w:val="0"/>
          <w:marBottom w:val="0"/>
          <w:divBdr>
            <w:top w:val="none" w:sz="0" w:space="0" w:color="auto"/>
            <w:left w:val="none" w:sz="0" w:space="0" w:color="auto"/>
            <w:bottom w:val="none" w:sz="0" w:space="0" w:color="auto"/>
            <w:right w:val="none" w:sz="0" w:space="0" w:color="auto"/>
          </w:divBdr>
          <w:divsChild>
            <w:div w:id="1101100678">
              <w:marLeft w:val="0"/>
              <w:marRight w:val="0"/>
              <w:marTop w:val="0"/>
              <w:marBottom w:val="0"/>
              <w:divBdr>
                <w:top w:val="none" w:sz="0" w:space="0" w:color="auto"/>
                <w:left w:val="none" w:sz="0" w:space="0" w:color="auto"/>
                <w:bottom w:val="none" w:sz="0" w:space="0" w:color="auto"/>
                <w:right w:val="none" w:sz="0" w:space="0" w:color="auto"/>
              </w:divBdr>
            </w:div>
          </w:divsChild>
        </w:div>
        <w:div w:id="1911381669">
          <w:marLeft w:val="0"/>
          <w:marRight w:val="0"/>
          <w:marTop w:val="0"/>
          <w:marBottom w:val="0"/>
          <w:divBdr>
            <w:top w:val="none" w:sz="0" w:space="0" w:color="auto"/>
            <w:left w:val="none" w:sz="0" w:space="0" w:color="auto"/>
            <w:bottom w:val="none" w:sz="0" w:space="0" w:color="auto"/>
            <w:right w:val="none" w:sz="0" w:space="0" w:color="auto"/>
          </w:divBdr>
          <w:divsChild>
            <w:div w:id="1549105323">
              <w:marLeft w:val="0"/>
              <w:marRight w:val="0"/>
              <w:marTop w:val="0"/>
              <w:marBottom w:val="0"/>
              <w:divBdr>
                <w:top w:val="none" w:sz="0" w:space="0" w:color="auto"/>
                <w:left w:val="none" w:sz="0" w:space="0" w:color="auto"/>
                <w:bottom w:val="none" w:sz="0" w:space="0" w:color="auto"/>
                <w:right w:val="none" w:sz="0" w:space="0" w:color="auto"/>
              </w:divBdr>
            </w:div>
          </w:divsChild>
        </w:div>
        <w:div w:id="1309167855">
          <w:marLeft w:val="0"/>
          <w:marRight w:val="0"/>
          <w:marTop w:val="0"/>
          <w:marBottom w:val="0"/>
          <w:divBdr>
            <w:top w:val="none" w:sz="0" w:space="0" w:color="auto"/>
            <w:left w:val="none" w:sz="0" w:space="0" w:color="auto"/>
            <w:bottom w:val="none" w:sz="0" w:space="0" w:color="auto"/>
            <w:right w:val="none" w:sz="0" w:space="0" w:color="auto"/>
          </w:divBdr>
          <w:divsChild>
            <w:div w:id="2034377719">
              <w:marLeft w:val="0"/>
              <w:marRight w:val="0"/>
              <w:marTop w:val="0"/>
              <w:marBottom w:val="0"/>
              <w:divBdr>
                <w:top w:val="none" w:sz="0" w:space="0" w:color="auto"/>
                <w:left w:val="none" w:sz="0" w:space="0" w:color="auto"/>
                <w:bottom w:val="none" w:sz="0" w:space="0" w:color="auto"/>
                <w:right w:val="none" w:sz="0" w:space="0" w:color="auto"/>
              </w:divBdr>
            </w:div>
          </w:divsChild>
        </w:div>
        <w:div w:id="229390915">
          <w:marLeft w:val="0"/>
          <w:marRight w:val="0"/>
          <w:marTop w:val="300"/>
          <w:marBottom w:val="300"/>
          <w:divBdr>
            <w:top w:val="none" w:sz="0" w:space="0" w:color="auto"/>
            <w:left w:val="none" w:sz="0" w:space="0" w:color="auto"/>
            <w:bottom w:val="none" w:sz="0" w:space="0" w:color="auto"/>
            <w:right w:val="none" w:sz="0" w:space="0" w:color="auto"/>
          </w:divBdr>
        </w:div>
        <w:div w:id="670988521">
          <w:marLeft w:val="0"/>
          <w:marRight w:val="0"/>
          <w:marTop w:val="0"/>
          <w:marBottom w:val="0"/>
          <w:divBdr>
            <w:top w:val="none" w:sz="0" w:space="0" w:color="auto"/>
            <w:left w:val="none" w:sz="0" w:space="0" w:color="auto"/>
            <w:bottom w:val="none" w:sz="0" w:space="0" w:color="auto"/>
            <w:right w:val="none" w:sz="0" w:space="0" w:color="auto"/>
          </w:divBdr>
          <w:divsChild>
            <w:div w:id="801079096">
              <w:marLeft w:val="0"/>
              <w:marRight w:val="0"/>
              <w:marTop w:val="0"/>
              <w:marBottom w:val="0"/>
              <w:divBdr>
                <w:top w:val="none" w:sz="0" w:space="0" w:color="auto"/>
                <w:left w:val="none" w:sz="0" w:space="0" w:color="auto"/>
                <w:bottom w:val="none" w:sz="0" w:space="0" w:color="auto"/>
                <w:right w:val="none" w:sz="0" w:space="0" w:color="auto"/>
              </w:divBdr>
            </w:div>
          </w:divsChild>
        </w:div>
        <w:div w:id="932281371">
          <w:marLeft w:val="0"/>
          <w:marRight w:val="0"/>
          <w:marTop w:val="0"/>
          <w:marBottom w:val="0"/>
          <w:divBdr>
            <w:top w:val="none" w:sz="0" w:space="0" w:color="auto"/>
            <w:left w:val="none" w:sz="0" w:space="0" w:color="auto"/>
            <w:bottom w:val="none" w:sz="0" w:space="0" w:color="auto"/>
            <w:right w:val="none" w:sz="0" w:space="0" w:color="auto"/>
          </w:divBdr>
          <w:divsChild>
            <w:div w:id="791484192">
              <w:marLeft w:val="0"/>
              <w:marRight w:val="0"/>
              <w:marTop w:val="0"/>
              <w:marBottom w:val="0"/>
              <w:divBdr>
                <w:top w:val="none" w:sz="0" w:space="0" w:color="auto"/>
                <w:left w:val="none" w:sz="0" w:space="0" w:color="auto"/>
                <w:bottom w:val="none" w:sz="0" w:space="0" w:color="auto"/>
                <w:right w:val="none" w:sz="0" w:space="0" w:color="auto"/>
              </w:divBdr>
            </w:div>
          </w:divsChild>
        </w:div>
        <w:div w:id="1425686614">
          <w:marLeft w:val="0"/>
          <w:marRight w:val="0"/>
          <w:marTop w:val="0"/>
          <w:marBottom w:val="0"/>
          <w:divBdr>
            <w:top w:val="none" w:sz="0" w:space="0" w:color="auto"/>
            <w:left w:val="none" w:sz="0" w:space="0" w:color="auto"/>
            <w:bottom w:val="none" w:sz="0" w:space="0" w:color="auto"/>
            <w:right w:val="none" w:sz="0" w:space="0" w:color="auto"/>
          </w:divBdr>
          <w:divsChild>
            <w:div w:id="957565869">
              <w:marLeft w:val="0"/>
              <w:marRight w:val="0"/>
              <w:marTop w:val="0"/>
              <w:marBottom w:val="0"/>
              <w:divBdr>
                <w:top w:val="none" w:sz="0" w:space="0" w:color="auto"/>
                <w:left w:val="none" w:sz="0" w:space="0" w:color="auto"/>
                <w:bottom w:val="none" w:sz="0" w:space="0" w:color="auto"/>
                <w:right w:val="none" w:sz="0" w:space="0" w:color="auto"/>
              </w:divBdr>
            </w:div>
          </w:divsChild>
        </w:div>
        <w:div w:id="1263995207">
          <w:marLeft w:val="0"/>
          <w:marRight w:val="0"/>
          <w:marTop w:val="300"/>
          <w:marBottom w:val="300"/>
          <w:divBdr>
            <w:top w:val="none" w:sz="0" w:space="0" w:color="auto"/>
            <w:left w:val="none" w:sz="0" w:space="0" w:color="auto"/>
            <w:bottom w:val="none" w:sz="0" w:space="0" w:color="auto"/>
            <w:right w:val="none" w:sz="0" w:space="0" w:color="auto"/>
          </w:divBdr>
        </w:div>
        <w:div w:id="215774045">
          <w:marLeft w:val="0"/>
          <w:marRight w:val="0"/>
          <w:marTop w:val="0"/>
          <w:marBottom w:val="0"/>
          <w:divBdr>
            <w:top w:val="none" w:sz="0" w:space="0" w:color="auto"/>
            <w:left w:val="none" w:sz="0" w:space="0" w:color="auto"/>
            <w:bottom w:val="none" w:sz="0" w:space="0" w:color="auto"/>
            <w:right w:val="none" w:sz="0" w:space="0" w:color="auto"/>
          </w:divBdr>
          <w:divsChild>
            <w:div w:id="45763513">
              <w:marLeft w:val="0"/>
              <w:marRight w:val="0"/>
              <w:marTop w:val="0"/>
              <w:marBottom w:val="0"/>
              <w:divBdr>
                <w:top w:val="none" w:sz="0" w:space="0" w:color="auto"/>
                <w:left w:val="none" w:sz="0" w:space="0" w:color="auto"/>
                <w:bottom w:val="none" w:sz="0" w:space="0" w:color="auto"/>
                <w:right w:val="none" w:sz="0" w:space="0" w:color="auto"/>
              </w:divBdr>
            </w:div>
          </w:divsChild>
        </w:div>
        <w:div w:id="376971174">
          <w:marLeft w:val="0"/>
          <w:marRight w:val="0"/>
          <w:marTop w:val="0"/>
          <w:marBottom w:val="0"/>
          <w:divBdr>
            <w:top w:val="none" w:sz="0" w:space="0" w:color="auto"/>
            <w:left w:val="none" w:sz="0" w:space="0" w:color="auto"/>
            <w:bottom w:val="none" w:sz="0" w:space="0" w:color="auto"/>
            <w:right w:val="none" w:sz="0" w:space="0" w:color="auto"/>
          </w:divBdr>
          <w:divsChild>
            <w:div w:id="1411855658">
              <w:marLeft w:val="0"/>
              <w:marRight w:val="0"/>
              <w:marTop w:val="0"/>
              <w:marBottom w:val="0"/>
              <w:divBdr>
                <w:top w:val="none" w:sz="0" w:space="0" w:color="auto"/>
                <w:left w:val="none" w:sz="0" w:space="0" w:color="auto"/>
                <w:bottom w:val="none" w:sz="0" w:space="0" w:color="auto"/>
                <w:right w:val="none" w:sz="0" w:space="0" w:color="auto"/>
              </w:divBdr>
            </w:div>
          </w:divsChild>
        </w:div>
        <w:div w:id="1063482035">
          <w:marLeft w:val="0"/>
          <w:marRight w:val="0"/>
          <w:marTop w:val="0"/>
          <w:marBottom w:val="0"/>
          <w:divBdr>
            <w:top w:val="none" w:sz="0" w:space="0" w:color="auto"/>
            <w:left w:val="none" w:sz="0" w:space="0" w:color="auto"/>
            <w:bottom w:val="none" w:sz="0" w:space="0" w:color="auto"/>
            <w:right w:val="none" w:sz="0" w:space="0" w:color="auto"/>
          </w:divBdr>
          <w:divsChild>
            <w:div w:id="569006471">
              <w:marLeft w:val="0"/>
              <w:marRight w:val="0"/>
              <w:marTop w:val="0"/>
              <w:marBottom w:val="0"/>
              <w:divBdr>
                <w:top w:val="none" w:sz="0" w:space="0" w:color="auto"/>
                <w:left w:val="none" w:sz="0" w:space="0" w:color="auto"/>
                <w:bottom w:val="none" w:sz="0" w:space="0" w:color="auto"/>
                <w:right w:val="none" w:sz="0" w:space="0" w:color="auto"/>
              </w:divBdr>
            </w:div>
          </w:divsChild>
        </w:div>
        <w:div w:id="1676297207">
          <w:marLeft w:val="0"/>
          <w:marRight w:val="0"/>
          <w:marTop w:val="0"/>
          <w:marBottom w:val="0"/>
          <w:divBdr>
            <w:top w:val="none" w:sz="0" w:space="0" w:color="auto"/>
            <w:left w:val="none" w:sz="0" w:space="0" w:color="auto"/>
            <w:bottom w:val="none" w:sz="0" w:space="0" w:color="auto"/>
            <w:right w:val="none" w:sz="0" w:space="0" w:color="auto"/>
          </w:divBdr>
          <w:divsChild>
            <w:div w:id="1839148101">
              <w:marLeft w:val="0"/>
              <w:marRight w:val="0"/>
              <w:marTop w:val="0"/>
              <w:marBottom w:val="0"/>
              <w:divBdr>
                <w:top w:val="none" w:sz="0" w:space="0" w:color="auto"/>
                <w:left w:val="none" w:sz="0" w:space="0" w:color="auto"/>
                <w:bottom w:val="none" w:sz="0" w:space="0" w:color="auto"/>
                <w:right w:val="none" w:sz="0" w:space="0" w:color="auto"/>
              </w:divBdr>
            </w:div>
          </w:divsChild>
        </w:div>
        <w:div w:id="1506943351">
          <w:marLeft w:val="0"/>
          <w:marRight w:val="0"/>
          <w:marTop w:val="0"/>
          <w:marBottom w:val="0"/>
          <w:divBdr>
            <w:top w:val="none" w:sz="0" w:space="0" w:color="auto"/>
            <w:left w:val="none" w:sz="0" w:space="0" w:color="auto"/>
            <w:bottom w:val="none" w:sz="0" w:space="0" w:color="auto"/>
            <w:right w:val="none" w:sz="0" w:space="0" w:color="auto"/>
          </w:divBdr>
          <w:divsChild>
            <w:div w:id="106628929">
              <w:marLeft w:val="0"/>
              <w:marRight w:val="0"/>
              <w:marTop w:val="0"/>
              <w:marBottom w:val="0"/>
              <w:divBdr>
                <w:top w:val="none" w:sz="0" w:space="0" w:color="auto"/>
                <w:left w:val="none" w:sz="0" w:space="0" w:color="auto"/>
                <w:bottom w:val="none" w:sz="0" w:space="0" w:color="auto"/>
                <w:right w:val="none" w:sz="0" w:space="0" w:color="auto"/>
              </w:divBdr>
            </w:div>
          </w:divsChild>
        </w:div>
        <w:div w:id="2007710277">
          <w:marLeft w:val="0"/>
          <w:marRight w:val="0"/>
          <w:marTop w:val="0"/>
          <w:marBottom w:val="0"/>
          <w:divBdr>
            <w:top w:val="none" w:sz="0" w:space="0" w:color="auto"/>
            <w:left w:val="none" w:sz="0" w:space="0" w:color="auto"/>
            <w:bottom w:val="none" w:sz="0" w:space="0" w:color="auto"/>
            <w:right w:val="none" w:sz="0" w:space="0" w:color="auto"/>
          </w:divBdr>
          <w:divsChild>
            <w:div w:id="1866139261">
              <w:marLeft w:val="0"/>
              <w:marRight w:val="0"/>
              <w:marTop w:val="0"/>
              <w:marBottom w:val="0"/>
              <w:divBdr>
                <w:top w:val="none" w:sz="0" w:space="0" w:color="auto"/>
                <w:left w:val="none" w:sz="0" w:space="0" w:color="auto"/>
                <w:bottom w:val="none" w:sz="0" w:space="0" w:color="auto"/>
                <w:right w:val="none" w:sz="0" w:space="0" w:color="auto"/>
              </w:divBdr>
            </w:div>
          </w:divsChild>
        </w:div>
        <w:div w:id="1601176536">
          <w:marLeft w:val="0"/>
          <w:marRight w:val="0"/>
          <w:marTop w:val="0"/>
          <w:marBottom w:val="0"/>
          <w:divBdr>
            <w:top w:val="none" w:sz="0" w:space="0" w:color="auto"/>
            <w:left w:val="none" w:sz="0" w:space="0" w:color="auto"/>
            <w:bottom w:val="none" w:sz="0" w:space="0" w:color="auto"/>
            <w:right w:val="none" w:sz="0" w:space="0" w:color="auto"/>
          </w:divBdr>
          <w:divsChild>
            <w:div w:id="187334157">
              <w:marLeft w:val="0"/>
              <w:marRight w:val="0"/>
              <w:marTop w:val="0"/>
              <w:marBottom w:val="0"/>
              <w:divBdr>
                <w:top w:val="none" w:sz="0" w:space="0" w:color="auto"/>
                <w:left w:val="none" w:sz="0" w:space="0" w:color="auto"/>
                <w:bottom w:val="none" w:sz="0" w:space="0" w:color="auto"/>
                <w:right w:val="none" w:sz="0" w:space="0" w:color="auto"/>
              </w:divBdr>
            </w:div>
          </w:divsChild>
        </w:div>
        <w:div w:id="2122918480">
          <w:marLeft w:val="0"/>
          <w:marRight w:val="0"/>
          <w:marTop w:val="0"/>
          <w:marBottom w:val="0"/>
          <w:divBdr>
            <w:top w:val="none" w:sz="0" w:space="0" w:color="auto"/>
            <w:left w:val="none" w:sz="0" w:space="0" w:color="auto"/>
            <w:bottom w:val="none" w:sz="0" w:space="0" w:color="auto"/>
            <w:right w:val="none" w:sz="0" w:space="0" w:color="auto"/>
          </w:divBdr>
          <w:divsChild>
            <w:div w:id="104467150">
              <w:marLeft w:val="0"/>
              <w:marRight w:val="0"/>
              <w:marTop w:val="0"/>
              <w:marBottom w:val="0"/>
              <w:divBdr>
                <w:top w:val="none" w:sz="0" w:space="0" w:color="auto"/>
                <w:left w:val="none" w:sz="0" w:space="0" w:color="auto"/>
                <w:bottom w:val="none" w:sz="0" w:space="0" w:color="auto"/>
                <w:right w:val="none" w:sz="0" w:space="0" w:color="auto"/>
              </w:divBdr>
            </w:div>
          </w:divsChild>
        </w:div>
        <w:div w:id="433133567">
          <w:marLeft w:val="0"/>
          <w:marRight w:val="0"/>
          <w:marTop w:val="0"/>
          <w:marBottom w:val="0"/>
          <w:divBdr>
            <w:top w:val="none" w:sz="0" w:space="0" w:color="auto"/>
            <w:left w:val="none" w:sz="0" w:space="0" w:color="auto"/>
            <w:bottom w:val="none" w:sz="0" w:space="0" w:color="auto"/>
            <w:right w:val="none" w:sz="0" w:space="0" w:color="auto"/>
          </w:divBdr>
          <w:divsChild>
            <w:div w:id="1460414304">
              <w:marLeft w:val="0"/>
              <w:marRight w:val="0"/>
              <w:marTop w:val="0"/>
              <w:marBottom w:val="0"/>
              <w:divBdr>
                <w:top w:val="none" w:sz="0" w:space="0" w:color="auto"/>
                <w:left w:val="none" w:sz="0" w:space="0" w:color="auto"/>
                <w:bottom w:val="none" w:sz="0" w:space="0" w:color="auto"/>
                <w:right w:val="none" w:sz="0" w:space="0" w:color="auto"/>
              </w:divBdr>
            </w:div>
          </w:divsChild>
        </w:div>
        <w:div w:id="384644024">
          <w:marLeft w:val="0"/>
          <w:marRight w:val="0"/>
          <w:marTop w:val="0"/>
          <w:marBottom w:val="0"/>
          <w:divBdr>
            <w:top w:val="none" w:sz="0" w:space="0" w:color="auto"/>
            <w:left w:val="none" w:sz="0" w:space="0" w:color="auto"/>
            <w:bottom w:val="none" w:sz="0" w:space="0" w:color="auto"/>
            <w:right w:val="none" w:sz="0" w:space="0" w:color="auto"/>
          </w:divBdr>
          <w:divsChild>
            <w:div w:id="281305005">
              <w:marLeft w:val="0"/>
              <w:marRight w:val="0"/>
              <w:marTop w:val="0"/>
              <w:marBottom w:val="0"/>
              <w:divBdr>
                <w:top w:val="none" w:sz="0" w:space="0" w:color="auto"/>
                <w:left w:val="none" w:sz="0" w:space="0" w:color="auto"/>
                <w:bottom w:val="none" w:sz="0" w:space="0" w:color="auto"/>
                <w:right w:val="none" w:sz="0" w:space="0" w:color="auto"/>
              </w:divBdr>
            </w:div>
          </w:divsChild>
        </w:div>
        <w:div w:id="1053310915">
          <w:marLeft w:val="0"/>
          <w:marRight w:val="0"/>
          <w:marTop w:val="300"/>
          <w:marBottom w:val="300"/>
          <w:divBdr>
            <w:top w:val="none" w:sz="0" w:space="0" w:color="auto"/>
            <w:left w:val="none" w:sz="0" w:space="0" w:color="auto"/>
            <w:bottom w:val="none" w:sz="0" w:space="0" w:color="auto"/>
            <w:right w:val="none" w:sz="0" w:space="0" w:color="auto"/>
          </w:divBdr>
        </w:div>
        <w:div w:id="1258060922">
          <w:marLeft w:val="0"/>
          <w:marRight w:val="0"/>
          <w:marTop w:val="0"/>
          <w:marBottom w:val="0"/>
          <w:divBdr>
            <w:top w:val="none" w:sz="0" w:space="0" w:color="auto"/>
            <w:left w:val="none" w:sz="0" w:space="0" w:color="auto"/>
            <w:bottom w:val="none" w:sz="0" w:space="0" w:color="auto"/>
            <w:right w:val="none" w:sz="0" w:space="0" w:color="auto"/>
          </w:divBdr>
          <w:divsChild>
            <w:div w:id="1021665622">
              <w:marLeft w:val="0"/>
              <w:marRight w:val="0"/>
              <w:marTop w:val="0"/>
              <w:marBottom w:val="0"/>
              <w:divBdr>
                <w:top w:val="none" w:sz="0" w:space="0" w:color="auto"/>
                <w:left w:val="none" w:sz="0" w:space="0" w:color="auto"/>
                <w:bottom w:val="none" w:sz="0" w:space="0" w:color="auto"/>
                <w:right w:val="none" w:sz="0" w:space="0" w:color="auto"/>
              </w:divBdr>
            </w:div>
          </w:divsChild>
        </w:div>
        <w:div w:id="130487616">
          <w:marLeft w:val="0"/>
          <w:marRight w:val="0"/>
          <w:marTop w:val="0"/>
          <w:marBottom w:val="0"/>
          <w:divBdr>
            <w:top w:val="none" w:sz="0" w:space="0" w:color="auto"/>
            <w:left w:val="none" w:sz="0" w:space="0" w:color="auto"/>
            <w:bottom w:val="none" w:sz="0" w:space="0" w:color="auto"/>
            <w:right w:val="none" w:sz="0" w:space="0" w:color="auto"/>
          </w:divBdr>
          <w:divsChild>
            <w:div w:id="265231539">
              <w:marLeft w:val="0"/>
              <w:marRight w:val="0"/>
              <w:marTop w:val="0"/>
              <w:marBottom w:val="0"/>
              <w:divBdr>
                <w:top w:val="none" w:sz="0" w:space="0" w:color="auto"/>
                <w:left w:val="none" w:sz="0" w:space="0" w:color="auto"/>
                <w:bottom w:val="none" w:sz="0" w:space="0" w:color="auto"/>
                <w:right w:val="none" w:sz="0" w:space="0" w:color="auto"/>
              </w:divBdr>
            </w:div>
          </w:divsChild>
        </w:div>
        <w:div w:id="1299991722">
          <w:marLeft w:val="0"/>
          <w:marRight w:val="0"/>
          <w:marTop w:val="0"/>
          <w:marBottom w:val="0"/>
          <w:divBdr>
            <w:top w:val="none" w:sz="0" w:space="0" w:color="auto"/>
            <w:left w:val="none" w:sz="0" w:space="0" w:color="auto"/>
            <w:bottom w:val="none" w:sz="0" w:space="0" w:color="auto"/>
            <w:right w:val="none" w:sz="0" w:space="0" w:color="auto"/>
          </w:divBdr>
          <w:divsChild>
            <w:div w:id="1220822917">
              <w:marLeft w:val="0"/>
              <w:marRight w:val="0"/>
              <w:marTop w:val="0"/>
              <w:marBottom w:val="0"/>
              <w:divBdr>
                <w:top w:val="none" w:sz="0" w:space="0" w:color="auto"/>
                <w:left w:val="none" w:sz="0" w:space="0" w:color="auto"/>
                <w:bottom w:val="none" w:sz="0" w:space="0" w:color="auto"/>
                <w:right w:val="none" w:sz="0" w:space="0" w:color="auto"/>
              </w:divBdr>
            </w:div>
          </w:divsChild>
        </w:div>
        <w:div w:id="795560078">
          <w:marLeft w:val="0"/>
          <w:marRight w:val="0"/>
          <w:marTop w:val="0"/>
          <w:marBottom w:val="0"/>
          <w:divBdr>
            <w:top w:val="none" w:sz="0" w:space="0" w:color="auto"/>
            <w:left w:val="none" w:sz="0" w:space="0" w:color="auto"/>
            <w:bottom w:val="none" w:sz="0" w:space="0" w:color="auto"/>
            <w:right w:val="none" w:sz="0" w:space="0" w:color="auto"/>
          </w:divBdr>
          <w:divsChild>
            <w:div w:id="716852697">
              <w:marLeft w:val="0"/>
              <w:marRight w:val="0"/>
              <w:marTop w:val="0"/>
              <w:marBottom w:val="0"/>
              <w:divBdr>
                <w:top w:val="none" w:sz="0" w:space="0" w:color="auto"/>
                <w:left w:val="none" w:sz="0" w:space="0" w:color="auto"/>
                <w:bottom w:val="none" w:sz="0" w:space="0" w:color="auto"/>
                <w:right w:val="none" w:sz="0" w:space="0" w:color="auto"/>
              </w:divBdr>
            </w:div>
          </w:divsChild>
        </w:div>
        <w:div w:id="998776916">
          <w:marLeft w:val="0"/>
          <w:marRight w:val="0"/>
          <w:marTop w:val="0"/>
          <w:marBottom w:val="0"/>
          <w:divBdr>
            <w:top w:val="none" w:sz="0" w:space="0" w:color="auto"/>
            <w:left w:val="none" w:sz="0" w:space="0" w:color="auto"/>
            <w:bottom w:val="none" w:sz="0" w:space="0" w:color="auto"/>
            <w:right w:val="none" w:sz="0" w:space="0" w:color="auto"/>
          </w:divBdr>
          <w:divsChild>
            <w:div w:id="2118402744">
              <w:marLeft w:val="0"/>
              <w:marRight w:val="0"/>
              <w:marTop w:val="0"/>
              <w:marBottom w:val="0"/>
              <w:divBdr>
                <w:top w:val="none" w:sz="0" w:space="0" w:color="auto"/>
                <w:left w:val="none" w:sz="0" w:space="0" w:color="auto"/>
                <w:bottom w:val="none" w:sz="0" w:space="0" w:color="auto"/>
                <w:right w:val="none" w:sz="0" w:space="0" w:color="auto"/>
              </w:divBdr>
            </w:div>
          </w:divsChild>
        </w:div>
        <w:div w:id="1482114505">
          <w:marLeft w:val="0"/>
          <w:marRight w:val="0"/>
          <w:marTop w:val="0"/>
          <w:marBottom w:val="0"/>
          <w:divBdr>
            <w:top w:val="none" w:sz="0" w:space="0" w:color="auto"/>
            <w:left w:val="none" w:sz="0" w:space="0" w:color="auto"/>
            <w:bottom w:val="none" w:sz="0" w:space="0" w:color="auto"/>
            <w:right w:val="none" w:sz="0" w:space="0" w:color="auto"/>
          </w:divBdr>
          <w:divsChild>
            <w:div w:id="1468623074">
              <w:marLeft w:val="0"/>
              <w:marRight w:val="0"/>
              <w:marTop w:val="0"/>
              <w:marBottom w:val="0"/>
              <w:divBdr>
                <w:top w:val="none" w:sz="0" w:space="0" w:color="auto"/>
                <w:left w:val="none" w:sz="0" w:space="0" w:color="auto"/>
                <w:bottom w:val="none" w:sz="0" w:space="0" w:color="auto"/>
                <w:right w:val="none" w:sz="0" w:space="0" w:color="auto"/>
              </w:divBdr>
            </w:div>
          </w:divsChild>
        </w:div>
        <w:div w:id="711733260">
          <w:marLeft w:val="0"/>
          <w:marRight w:val="0"/>
          <w:marTop w:val="0"/>
          <w:marBottom w:val="0"/>
          <w:divBdr>
            <w:top w:val="none" w:sz="0" w:space="0" w:color="auto"/>
            <w:left w:val="none" w:sz="0" w:space="0" w:color="auto"/>
            <w:bottom w:val="none" w:sz="0" w:space="0" w:color="auto"/>
            <w:right w:val="none" w:sz="0" w:space="0" w:color="auto"/>
          </w:divBdr>
          <w:divsChild>
            <w:div w:id="1423062481">
              <w:marLeft w:val="0"/>
              <w:marRight w:val="0"/>
              <w:marTop w:val="0"/>
              <w:marBottom w:val="0"/>
              <w:divBdr>
                <w:top w:val="none" w:sz="0" w:space="0" w:color="auto"/>
                <w:left w:val="none" w:sz="0" w:space="0" w:color="auto"/>
                <w:bottom w:val="none" w:sz="0" w:space="0" w:color="auto"/>
                <w:right w:val="none" w:sz="0" w:space="0" w:color="auto"/>
              </w:divBdr>
            </w:div>
          </w:divsChild>
        </w:div>
        <w:div w:id="1989823957">
          <w:marLeft w:val="0"/>
          <w:marRight w:val="0"/>
          <w:marTop w:val="0"/>
          <w:marBottom w:val="0"/>
          <w:divBdr>
            <w:top w:val="none" w:sz="0" w:space="0" w:color="auto"/>
            <w:left w:val="none" w:sz="0" w:space="0" w:color="auto"/>
            <w:bottom w:val="none" w:sz="0" w:space="0" w:color="auto"/>
            <w:right w:val="none" w:sz="0" w:space="0" w:color="auto"/>
          </w:divBdr>
          <w:divsChild>
            <w:div w:id="1569221342">
              <w:marLeft w:val="0"/>
              <w:marRight w:val="0"/>
              <w:marTop w:val="0"/>
              <w:marBottom w:val="0"/>
              <w:divBdr>
                <w:top w:val="none" w:sz="0" w:space="0" w:color="auto"/>
                <w:left w:val="none" w:sz="0" w:space="0" w:color="auto"/>
                <w:bottom w:val="none" w:sz="0" w:space="0" w:color="auto"/>
                <w:right w:val="none" w:sz="0" w:space="0" w:color="auto"/>
              </w:divBdr>
            </w:div>
          </w:divsChild>
        </w:div>
        <w:div w:id="233665777">
          <w:marLeft w:val="0"/>
          <w:marRight w:val="0"/>
          <w:marTop w:val="0"/>
          <w:marBottom w:val="0"/>
          <w:divBdr>
            <w:top w:val="none" w:sz="0" w:space="0" w:color="auto"/>
            <w:left w:val="none" w:sz="0" w:space="0" w:color="auto"/>
            <w:bottom w:val="none" w:sz="0" w:space="0" w:color="auto"/>
            <w:right w:val="none" w:sz="0" w:space="0" w:color="auto"/>
          </w:divBdr>
          <w:divsChild>
            <w:div w:id="2070417096">
              <w:marLeft w:val="0"/>
              <w:marRight w:val="0"/>
              <w:marTop w:val="0"/>
              <w:marBottom w:val="0"/>
              <w:divBdr>
                <w:top w:val="none" w:sz="0" w:space="0" w:color="auto"/>
                <w:left w:val="none" w:sz="0" w:space="0" w:color="auto"/>
                <w:bottom w:val="none" w:sz="0" w:space="0" w:color="auto"/>
                <w:right w:val="none" w:sz="0" w:space="0" w:color="auto"/>
              </w:divBdr>
            </w:div>
          </w:divsChild>
        </w:div>
        <w:div w:id="1895578188">
          <w:marLeft w:val="0"/>
          <w:marRight w:val="0"/>
          <w:marTop w:val="0"/>
          <w:marBottom w:val="0"/>
          <w:divBdr>
            <w:top w:val="none" w:sz="0" w:space="0" w:color="auto"/>
            <w:left w:val="none" w:sz="0" w:space="0" w:color="auto"/>
            <w:bottom w:val="none" w:sz="0" w:space="0" w:color="auto"/>
            <w:right w:val="none" w:sz="0" w:space="0" w:color="auto"/>
          </w:divBdr>
          <w:divsChild>
            <w:div w:id="1615404013">
              <w:marLeft w:val="0"/>
              <w:marRight w:val="0"/>
              <w:marTop w:val="0"/>
              <w:marBottom w:val="0"/>
              <w:divBdr>
                <w:top w:val="none" w:sz="0" w:space="0" w:color="auto"/>
                <w:left w:val="none" w:sz="0" w:space="0" w:color="auto"/>
                <w:bottom w:val="none" w:sz="0" w:space="0" w:color="auto"/>
                <w:right w:val="none" w:sz="0" w:space="0" w:color="auto"/>
              </w:divBdr>
            </w:div>
          </w:divsChild>
        </w:div>
        <w:div w:id="831260734">
          <w:marLeft w:val="0"/>
          <w:marRight w:val="0"/>
          <w:marTop w:val="0"/>
          <w:marBottom w:val="0"/>
          <w:divBdr>
            <w:top w:val="none" w:sz="0" w:space="0" w:color="auto"/>
            <w:left w:val="none" w:sz="0" w:space="0" w:color="auto"/>
            <w:bottom w:val="none" w:sz="0" w:space="0" w:color="auto"/>
            <w:right w:val="none" w:sz="0" w:space="0" w:color="auto"/>
          </w:divBdr>
          <w:divsChild>
            <w:div w:id="246811139">
              <w:marLeft w:val="0"/>
              <w:marRight w:val="0"/>
              <w:marTop w:val="0"/>
              <w:marBottom w:val="0"/>
              <w:divBdr>
                <w:top w:val="none" w:sz="0" w:space="0" w:color="auto"/>
                <w:left w:val="none" w:sz="0" w:space="0" w:color="auto"/>
                <w:bottom w:val="none" w:sz="0" w:space="0" w:color="auto"/>
                <w:right w:val="none" w:sz="0" w:space="0" w:color="auto"/>
              </w:divBdr>
            </w:div>
          </w:divsChild>
        </w:div>
        <w:div w:id="645935473">
          <w:marLeft w:val="0"/>
          <w:marRight w:val="0"/>
          <w:marTop w:val="0"/>
          <w:marBottom w:val="0"/>
          <w:divBdr>
            <w:top w:val="none" w:sz="0" w:space="0" w:color="auto"/>
            <w:left w:val="none" w:sz="0" w:space="0" w:color="auto"/>
            <w:bottom w:val="none" w:sz="0" w:space="0" w:color="auto"/>
            <w:right w:val="none" w:sz="0" w:space="0" w:color="auto"/>
          </w:divBdr>
          <w:divsChild>
            <w:div w:id="867062924">
              <w:marLeft w:val="0"/>
              <w:marRight w:val="0"/>
              <w:marTop w:val="0"/>
              <w:marBottom w:val="0"/>
              <w:divBdr>
                <w:top w:val="none" w:sz="0" w:space="0" w:color="auto"/>
                <w:left w:val="none" w:sz="0" w:space="0" w:color="auto"/>
                <w:bottom w:val="none" w:sz="0" w:space="0" w:color="auto"/>
                <w:right w:val="none" w:sz="0" w:space="0" w:color="auto"/>
              </w:divBdr>
            </w:div>
          </w:divsChild>
        </w:div>
        <w:div w:id="1474368230">
          <w:marLeft w:val="0"/>
          <w:marRight w:val="0"/>
          <w:marTop w:val="0"/>
          <w:marBottom w:val="0"/>
          <w:divBdr>
            <w:top w:val="none" w:sz="0" w:space="0" w:color="auto"/>
            <w:left w:val="none" w:sz="0" w:space="0" w:color="auto"/>
            <w:bottom w:val="none" w:sz="0" w:space="0" w:color="auto"/>
            <w:right w:val="none" w:sz="0" w:space="0" w:color="auto"/>
          </w:divBdr>
          <w:divsChild>
            <w:div w:id="1342315184">
              <w:marLeft w:val="0"/>
              <w:marRight w:val="0"/>
              <w:marTop w:val="0"/>
              <w:marBottom w:val="0"/>
              <w:divBdr>
                <w:top w:val="none" w:sz="0" w:space="0" w:color="auto"/>
                <w:left w:val="none" w:sz="0" w:space="0" w:color="auto"/>
                <w:bottom w:val="none" w:sz="0" w:space="0" w:color="auto"/>
                <w:right w:val="none" w:sz="0" w:space="0" w:color="auto"/>
              </w:divBdr>
            </w:div>
          </w:divsChild>
        </w:div>
        <w:div w:id="707068521">
          <w:marLeft w:val="0"/>
          <w:marRight w:val="0"/>
          <w:marTop w:val="0"/>
          <w:marBottom w:val="0"/>
          <w:divBdr>
            <w:top w:val="none" w:sz="0" w:space="0" w:color="auto"/>
            <w:left w:val="none" w:sz="0" w:space="0" w:color="auto"/>
            <w:bottom w:val="none" w:sz="0" w:space="0" w:color="auto"/>
            <w:right w:val="none" w:sz="0" w:space="0" w:color="auto"/>
          </w:divBdr>
          <w:divsChild>
            <w:div w:id="461852302">
              <w:marLeft w:val="0"/>
              <w:marRight w:val="0"/>
              <w:marTop w:val="0"/>
              <w:marBottom w:val="0"/>
              <w:divBdr>
                <w:top w:val="none" w:sz="0" w:space="0" w:color="auto"/>
                <w:left w:val="none" w:sz="0" w:space="0" w:color="auto"/>
                <w:bottom w:val="none" w:sz="0" w:space="0" w:color="auto"/>
                <w:right w:val="none" w:sz="0" w:space="0" w:color="auto"/>
              </w:divBdr>
            </w:div>
          </w:divsChild>
        </w:div>
        <w:div w:id="367532575">
          <w:marLeft w:val="0"/>
          <w:marRight w:val="0"/>
          <w:marTop w:val="0"/>
          <w:marBottom w:val="0"/>
          <w:divBdr>
            <w:top w:val="none" w:sz="0" w:space="0" w:color="auto"/>
            <w:left w:val="none" w:sz="0" w:space="0" w:color="auto"/>
            <w:bottom w:val="none" w:sz="0" w:space="0" w:color="auto"/>
            <w:right w:val="none" w:sz="0" w:space="0" w:color="auto"/>
          </w:divBdr>
          <w:divsChild>
            <w:div w:id="1882160194">
              <w:marLeft w:val="0"/>
              <w:marRight w:val="0"/>
              <w:marTop w:val="0"/>
              <w:marBottom w:val="0"/>
              <w:divBdr>
                <w:top w:val="none" w:sz="0" w:space="0" w:color="auto"/>
                <w:left w:val="none" w:sz="0" w:space="0" w:color="auto"/>
                <w:bottom w:val="none" w:sz="0" w:space="0" w:color="auto"/>
                <w:right w:val="none" w:sz="0" w:space="0" w:color="auto"/>
              </w:divBdr>
            </w:div>
          </w:divsChild>
        </w:div>
        <w:div w:id="1289045191">
          <w:marLeft w:val="0"/>
          <w:marRight w:val="0"/>
          <w:marTop w:val="0"/>
          <w:marBottom w:val="0"/>
          <w:divBdr>
            <w:top w:val="none" w:sz="0" w:space="0" w:color="auto"/>
            <w:left w:val="none" w:sz="0" w:space="0" w:color="auto"/>
            <w:bottom w:val="none" w:sz="0" w:space="0" w:color="auto"/>
            <w:right w:val="none" w:sz="0" w:space="0" w:color="auto"/>
          </w:divBdr>
          <w:divsChild>
            <w:div w:id="719207337">
              <w:marLeft w:val="0"/>
              <w:marRight w:val="0"/>
              <w:marTop w:val="0"/>
              <w:marBottom w:val="0"/>
              <w:divBdr>
                <w:top w:val="none" w:sz="0" w:space="0" w:color="auto"/>
                <w:left w:val="none" w:sz="0" w:space="0" w:color="auto"/>
                <w:bottom w:val="none" w:sz="0" w:space="0" w:color="auto"/>
                <w:right w:val="none" w:sz="0" w:space="0" w:color="auto"/>
              </w:divBdr>
            </w:div>
          </w:divsChild>
        </w:div>
        <w:div w:id="608389492">
          <w:marLeft w:val="0"/>
          <w:marRight w:val="0"/>
          <w:marTop w:val="0"/>
          <w:marBottom w:val="0"/>
          <w:divBdr>
            <w:top w:val="none" w:sz="0" w:space="0" w:color="auto"/>
            <w:left w:val="none" w:sz="0" w:space="0" w:color="auto"/>
            <w:bottom w:val="none" w:sz="0" w:space="0" w:color="auto"/>
            <w:right w:val="none" w:sz="0" w:space="0" w:color="auto"/>
          </w:divBdr>
          <w:divsChild>
            <w:div w:id="463274525">
              <w:marLeft w:val="0"/>
              <w:marRight w:val="0"/>
              <w:marTop w:val="0"/>
              <w:marBottom w:val="0"/>
              <w:divBdr>
                <w:top w:val="none" w:sz="0" w:space="0" w:color="auto"/>
                <w:left w:val="none" w:sz="0" w:space="0" w:color="auto"/>
                <w:bottom w:val="none" w:sz="0" w:space="0" w:color="auto"/>
                <w:right w:val="none" w:sz="0" w:space="0" w:color="auto"/>
              </w:divBdr>
            </w:div>
          </w:divsChild>
        </w:div>
        <w:div w:id="1047756428">
          <w:marLeft w:val="0"/>
          <w:marRight w:val="0"/>
          <w:marTop w:val="0"/>
          <w:marBottom w:val="0"/>
          <w:divBdr>
            <w:top w:val="none" w:sz="0" w:space="0" w:color="auto"/>
            <w:left w:val="none" w:sz="0" w:space="0" w:color="auto"/>
            <w:bottom w:val="none" w:sz="0" w:space="0" w:color="auto"/>
            <w:right w:val="none" w:sz="0" w:space="0" w:color="auto"/>
          </w:divBdr>
          <w:divsChild>
            <w:div w:id="336689375">
              <w:marLeft w:val="0"/>
              <w:marRight w:val="0"/>
              <w:marTop w:val="0"/>
              <w:marBottom w:val="0"/>
              <w:divBdr>
                <w:top w:val="none" w:sz="0" w:space="0" w:color="auto"/>
                <w:left w:val="none" w:sz="0" w:space="0" w:color="auto"/>
                <w:bottom w:val="none" w:sz="0" w:space="0" w:color="auto"/>
                <w:right w:val="none" w:sz="0" w:space="0" w:color="auto"/>
              </w:divBdr>
            </w:div>
          </w:divsChild>
        </w:div>
        <w:div w:id="380247726">
          <w:marLeft w:val="0"/>
          <w:marRight w:val="0"/>
          <w:marTop w:val="0"/>
          <w:marBottom w:val="0"/>
          <w:divBdr>
            <w:top w:val="none" w:sz="0" w:space="0" w:color="auto"/>
            <w:left w:val="none" w:sz="0" w:space="0" w:color="auto"/>
            <w:bottom w:val="none" w:sz="0" w:space="0" w:color="auto"/>
            <w:right w:val="none" w:sz="0" w:space="0" w:color="auto"/>
          </w:divBdr>
          <w:divsChild>
            <w:div w:id="1940285655">
              <w:marLeft w:val="0"/>
              <w:marRight w:val="0"/>
              <w:marTop w:val="0"/>
              <w:marBottom w:val="0"/>
              <w:divBdr>
                <w:top w:val="none" w:sz="0" w:space="0" w:color="auto"/>
                <w:left w:val="none" w:sz="0" w:space="0" w:color="auto"/>
                <w:bottom w:val="none" w:sz="0" w:space="0" w:color="auto"/>
                <w:right w:val="none" w:sz="0" w:space="0" w:color="auto"/>
              </w:divBdr>
            </w:div>
          </w:divsChild>
        </w:div>
        <w:div w:id="1052204">
          <w:marLeft w:val="0"/>
          <w:marRight w:val="0"/>
          <w:marTop w:val="300"/>
          <w:marBottom w:val="300"/>
          <w:divBdr>
            <w:top w:val="none" w:sz="0" w:space="0" w:color="auto"/>
            <w:left w:val="none" w:sz="0" w:space="0" w:color="auto"/>
            <w:bottom w:val="none" w:sz="0" w:space="0" w:color="auto"/>
            <w:right w:val="none" w:sz="0" w:space="0" w:color="auto"/>
          </w:divBdr>
        </w:div>
        <w:div w:id="418907404">
          <w:marLeft w:val="0"/>
          <w:marRight w:val="0"/>
          <w:marTop w:val="0"/>
          <w:marBottom w:val="0"/>
          <w:divBdr>
            <w:top w:val="none" w:sz="0" w:space="0" w:color="auto"/>
            <w:left w:val="none" w:sz="0" w:space="0" w:color="auto"/>
            <w:bottom w:val="none" w:sz="0" w:space="0" w:color="auto"/>
            <w:right w:val="none" w:sz="0" w:space="0" w:color="auto"/>
          </w:divBdr>
          <w:divsChild>
            <w:div w:id="830101981">
              <w:marLeft w:val="0"/>
              <w:marRight w:val="0"/>
              <w:marTop w:val="0"/>
              <w:marBottom w:val="0"/>
              <w:divBdr>
                <w:top w:val="none" w:sz="0" w:space="0" w:color="auto"/>
                <w:left w:val="none" w:sz="0" w:space="0" w:color="auto"/>
                <w:bottom w:val="none" w:sz="0" w:space="0" w:color="auto"/>
                <w:right w:val="none" w:sz="0" w:space="0" w:color="auto"/>
              </w:divBdr>
            </w:div>
          </w:divsChild>
        </w:div>
        <w:div w:id="1863319584">
          <w:marLeft w:val="0"/>
          <w:marRight w:val="0"/>
          <w:marTop w:val="0"/>
          <w:marBottom w:val="0"/>
          <w:divBdr>
            <w:top w:val="none" w:sz="0" w:space="0" w:color="auto"/>
            <w:left w:val="none" w:sz="0" w:space="0" w:color="auto"/>
            <w:bottom w:val="none" w:sz="0" w:space="0" w:color="auto"/>
            <w:right w:val="none" w:sz="0" w:space="0" w:color="auto"/>
          </w:divBdr>
          <w:divsChild>
            <w:div w:id="446431612">
              <w:marLeft w:val="0"/>
              <w:marRight w:val="0"/>
              <w:marTop w:val="0"/>
              <w:marBottom w:val="0"/>
              <w:divBdr>
                <w:top w:val="none" w:sz="0" w:space="0" w:color="auto"/>
                <w:left w:val="none" w:sz="0" w:space="0" w:color="auto"/>
                <w:bottom w:val="none" w:sz="0" w:space="0" w:color="auto"/>
                <w:right w:val="none" w:sz="0" w:space="0" w:color="auto"/>
              </w:divBdr>
            </w:div>
          </w:divsChild>
        </w:div>
        <w:div w:id="1403716478">
          <w:marLeft w:val="0"/>
          <w:marRight w:val="0"/>
          <w:marTop w:val="0"/>
          <w:marBottom w:val="0"/>
          <w:divBdr>
            <w:top w:val="none" w:sz="0" w:space="0" w:color="auto"/>
            <w:left w:val="none" w:sz="0" w:space="0" w:color="auto"/>
            <w:bottom w:val="none" w:sz="0" w:space="0" w:color="auto"/>
            <w:right w:val="none" w:sz="0" w:space="0" w:color="auto"/>
          </w:divBdr>
          <w:divsChild>
            <w:div w:id="1352221873">
              <w:marLeft w:val="0"/>
              <w:marRight w:val="0"/>
              <w:marTop w:val="0"/>
              <w:marBottom w:val="0"/>
              <w:divBdr>
                <w:top w:val="none" w:sz="0" w:space="0" w:color="auto"/>
                <w:left w:val="none" w:sz="0" w:space="0" w:color="auto"/>
                <w:bottom w:val="none" w:sz="0" w:space="0" w:color="auto"/>
                <w:right w:val="none" w:sz="0" w:space="0" w:color="auto"/>
              </w:divBdr>
            </w:div>
          </w:divsChild>
        </w:div>
        <w:div w:id="1177157911">
          <w:marLeft w:val="0"/>
          <w:marRight w:val="0"/>
          <w:marTop w:val="0"/>
          <w:marBottom w:val="0"/>
          <w:divBdr>
            <w:top w:val="none" w:sz="0" w:space="0" w:color="auto"/>
            <w:left w:val="none" w:sz="0" w:space="0" w:color="auto"/>
            <w:bottom w:val="none" w:sz="0" w:space="0" w:color="auto"/>
            <w:right w:val="none" w:sz="0" w:space="0" w:color="auto"/>
          </w:divBdr>
          <w:divsChild>
            <w:div w:id="183133937">
              <w:marLeft w:val="0"/>
              <w:marRight w:val="0"/>
              <w:marTop w:val="0"/>
              <w:marBottom w:val="0"/>
              <w:divBdr>
                <w:top w:val="none" w:sz="0" w:space="0" w:color="auto"/>
                <w:left w:val="none" w:sz="0" w:space="0" w:color="auto"/>
                <w:bottom w:val="none" w:sz="0" w:space="0" w:color="auto"/>
                <w:right w:val="none" w:sz="0" w:space="0" w:color="auto"/>
              </w:divBdr>
            </w:div>
          </w:divsChild>
        </w:div>
        <w:div w:id="854997664">
          <w:marLeft w:val="0"/>
          <w:marRight w:val="0"/>
          <w:marTop w:val="0"/>
          <w:marBottom w:val="0"/>
          <w:divBdr>
            <w:top w:val="none" w:sz="0" w:space="0" w:color="auto"/>
            <w:left w:val="none" w:sz="0" w:space="0" w:color="auto"/>
            <w:bottom w:val="none" w:sz="0" w:space="0" w:color="auto"/>
            <w:right w:val="none" w:sz="0" w:space="0" w:color="auto"/>
          </w:divBdr>
          <w:divsChild>
            <w:div w:id="1244338673">
              <w:marLeft w:val="0"/>
              <w:marRight w:val="0"/>
              <w:marTop w:val="0"/>
              <w:marBottom w:val="0"/>
              <w:divBdr>
                <w:top w:val="none" w:sz="0" w:space="0" w:color="auto"/>
                <w:left w:val="none" w:sz="0" w:space="0" w:color="auto"/>
                <w:bottom w:val="none" w:sz="0" w:space="0" w:color="auto"/>
                <w:right w:val="none" w:sz="0" w:space="0" w:color="auto"/>
              </w:divBdr>
            </w:div>
          </w:divsChild>
        </w:div>
        <w:div w:id="595672712">
          <w:marLeft w:val="0"/>
          <w:marRight w:val="0"/>
          <w:marTop w:val="0"/>
          <w:marBottom w:val="0"/>
          <w:divBdr>
            <w:top w:val="none" w:sz="0" w:space="0" w:color="auto"/>
            <w:left w:val="none" w:sz="0" w:space="0" w:color="auto"/>
            <w:bottom w:val="none" w:sz="0" w:space="0" w:color="auto"/>
            <w:right w:val="none" w:sz="0" w:space="0" w:color="auto"/>
          </w:divBdr>
          <w:divsChild>
            <w:div w:id="938367013">
              <w:marLeft w:val="0"/>
              <w:marRight w:val="0"/>
              <w:marTop w:val="0"/>
              <w:marBottom w:val="0"/>
              <w:divBdr>
                <w:top w:val="none" w:sz="0" w:space="0" w:color="auto"/>
                <w:left w:val="none" w:sz="0" w:space="0" w:color="auto"/>
                <w:bottom w:val="none" w:sz="0" w:space="0" w:color="auto"/>
                <w:right w:val="none" w:sz="0" w:space="0" w:color="auto"/>
              </w:divBdr>
            </w:div>
          </w:divsChild>
        </w:div>
        <w:div w:id="90859497">
          <w:marLeft w:val="0"/>
          <w:marRight w:val="0"/>
          <w:marTop w:val="0"/>
          <w:marBottom w:val="0"/>
          <w:divBdr>
            <w:top w:val="none" w:sz="0" w:space="0" w:color="auto"/>
            <w:left w:val="none" w:sz="0" w:space="0" w:color="auto"/>
            <w:bottom w:val="none" w:sz="0" w:space="0" w:color="auto"/>
            <w:right w:val="none" w:sz="0" w:space="0" w:color="auto"/>
          </w:divBdr>
          <w:divsChild>
            <w:div w:id="184943730">
              <w:marLeft w:val="0"/>
              <w:marRight w:val="0"/>
              <w:marTop w:val="0"/>
              <w:marBottom w:val="0"/>
              <w:divBdr>
                <w:top w:val="none" w:sz="0" w:space="0" w:color="auto"/>
                <w:left w:val="none" w:sz="0" w:space="0" w:color="auto"/>
                <w:bottom w:val="none" w:sz="0" w:space="0" w:color="auto"/>
                <w:right w:val="none" w:sz="0" w:space="0" w:color="auto"/>
              </w:divBdr>
            </w:div>
          </w:divsChild>
        </w:div>
        <w:div w:id="1308585517">
          <w:marLeft w:val="0"/>
          <w:marRight w:val="0"/>
          <w:marTop w:val="0"/>
          <w:marBottom w:val="0"/>
          <w:divBdr>
            <w:top w:val="none" w:sz="0" w:space="0" w:color="auto"/>
            <w:left w:val="none" w:sz="0" w:space="0" w:color="auto"/>
            <w:bottom w:val="none" w:sz="0" w:space="0" w:color="auto"/>
            <w:right w:val="none" w:sz="0" w:space="0" w:color="auto"/>
          </w:divBdr>
          <w:divsChild>
            <w:div w:id="1912544220">
              <w:marLeft w:val="0"/>
              <w:marRight w:val="0"/>
              <w:marTop w:val="0"/>
              <w:marBottom w:val="0"/>
              <w:divBdr>
                <w:top w:val="none" w:sz="0" w:space="0" w:color="auto"/>
                <w:left w:val="none" w:sz="0" w:space="0" w:color="auto"/>
                <w:bottom w:val="none" w:sz="0" w:space="0" w:color="auto"/>
                <w:right w:val="none" w:sz="0" w:space="0" w:color="auto"/>
              </w:divBdr>
            </w:div>
          </w:divsChild>
        </w:div>
        <w:div w:id="1010831733">
          <w:marLeft w:val="0"/>
          <w:marRight w:val="0"/>
          <w:marTop w:val="0"/>
          <w:marBottom w:val="0"/>
          <w:divBdr>
            <w:top w:val="none" w:sz="0" w:space="0" w:color="auto"/>
            <w:left w:val="none" w:sz="0" w:space="0" w:color="auto"/>
            <w:bottom w:val="none" w:sz="0" w:space="0" w:color="auto"/>
            <w:right w:val="none" w:sz="0" w:space="0" w:color="auto"/>
          </w:divBdr>
          <w:divsChild>
            <w:div w:id="1818720002">
              <w:marLeft w:val="0"/>
              <w:marRight w:val="0"/>
              <w:marTop w:val="0"/>
              <w:marBottom w:val="0"/>
              <w:divBdr>
                <w:top w:val="none" w:sz="0" w:space="0" w:color="auto"/>
                <w:left w:val="none" w:sz="0" w:space="0" w:color="auto"/>
                <w:bottom w:val="none" w:sz="0" w:space="0" w:color="auto"/>
                <w:right w:val="none" w:sz="0" w:space="0" w:color="auto"/>
              </w:divBdr>
            </w:div>
          </w:divsChild>
        </w:div>
        <w:div w:id="846748667">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 w:id="1077943792">
          <w:marLeft w:val="0"/>
          <w:marRight w:val="0"/>
          <w:marTop w:val="0"/>
          <w:marBottom w:val="0"/>
          <w:divBdr>
            <w:top w:val="none" w:sz="0" w:space="0" w:color="auto"/>
            <w:left w:val="none" w:sz="0" w:space="0" w:color="auto"/>
            <w:bottom w:val="none" w:sz="0" w:space="0" w:color="auto"/>
            <w:right w:val="none" w:sz="0" w:space="0" w:color="auto"/>
          </w:divBdr>
          <w:divsChild>
            <w:div w:id="1334339586">
              <w:marLeft w:val="0"/>
              <w:marRight w:val="0"/>
              <w:marTop w:val="0"/>
              <w:marBottom w:val="0"/>
              <w:divBdr>
                <w:top w:val="none" w:sz="0" w:space="0" w:color="auto"/>
                <w:left w:val="none" w:sz="0" w:space="0" w:color="auto"/>
                <w:bottom w:val="none" w:sz="0" w:space="0" w:color="auto"/>
                <w:right w:val="none" w:sz="0" w:space="0" w:color="auto"/>
              </w:divBdr>
            </w:div>
          </w:divsChild>
        </w:div>
        <w:div w:id="1718702512">
          <w:marLeft w:val="0"/>
          <w:marRight w:val="0"/>
          <w:marTop w:val="0"/>
          <w:marBottom w:val="0"/>
          <w:divBdr>
            <w:top w:val="none" w:sz="0" w:space="0" w:color="auto"/>
            <w:left w:val="none" w:sz="0" w:space="0" w:color="auto"/>
            <w:bottom w:val="none" w:sz="0" w:space="0" w:color="auto"/>
            <w:right w:val="none" w:sz="0" w:space="0" w:color="auto"/>
          </w:divBdr>
          <w:divsChild>
            <w:div w:id="2123331491">
              <w:marLeft w:val="0"/>
              <w:marRight w:val="0"/>
              <w:marTop w:val="0"/>
              <w:marBottom w:val="0"/>
              <w:divBdr>
                <w:top w:val="none" w:sz="0" w:space="0" w:color="auto"/>
                <w:left w:val="none" w:sz="0" w:space="0" w:color="auto"/>
                <w:bottom w:val="none" w:sz="0" w:space="0" w:color="auto"/>
                <w:right w:val="none" w:sz="0" w:space="0" w:color="auto"/>
              </w:divBdr>
            </w:div>
          </w:divsChild>
        </w:div>
        <w:div w:id="403528877">
          <w:marLeft w:val="0"/>
          <w:marRight w:val="0"/>
          <w:marTop w:val="0"/>
          <w:marBottom w:val="0"/>
          <w:divBdr>
            <w:top w:val="none" w:sz="0" w:space="0" w:color="auto"/>
            <w:left w:val="none" w:sz="0" w:space="0" w:color="auto"/>
            <w:bottom w:val="none" w:sz="0" w:space="0" w:color="auto"/>
            <w:right w:val="none" w:sz="0" w:space="0" w:color="auto"/>
          </w:divBdr>
          <w:divsChild>
            <w:div w:id="1702434898">
              <w:marLeft w:val="0"/>
              <w:marRight w:val="0"/>
              <w:marTop w:val="0"/>
              <w:marBottom w:val="0"/>
              <w:divBdr>
                <w:top w:val="none" w:sz="0" w:space="0" w:color="auto"/>
                <w:left w:val="none" w:sz="0" w:space="0" w:color="auto"/>
                <w:bottom w:val="none" w:sz="0" w:space="0" w:color="auto"/>
                <w:right w:val="none" w:sz="0" w:space="0" w:color="auto"/>
              </w:divBdr>
            </w:div>
          </w:divsChild>
        </w:div>
        <w:div w:id="1407340898">
          <w:marLeft w:val="0"/>
          <w:marRight w:val="0"/>
          <w:marTop w:val="0"/>
          <w:marBottom w:val="0"/>
          <w:divBdr>
            <w:top w:val="none" w:sz="0" w:space="0" w:color="auto"/>
            <w:left w:val="none" w:sz="0" w:space="0" w:color="auto"/>
            <w:bottom w:val="none" w:sz="0" w:space="0" w:color="auto"/>
            <w:right w:val="none" w:sz="0" w:space="0" w:color="auto"/>
          </w:divBdr>
          <w:divsChild>
            <w:div w:id="1962226096">
              <w:marLeft w:val="0"/>
              <w:marRight w:val="0"/>
              <w:marTop w:val="0"/>
              <w:marBottom w:val="0"/>
              <w:divBdr>
                <w:top w:val="none" w:sz="0" w:space="0" w:color="auto"/>
                <w:left w:val="none" w:sz="0" w:space="0" w:color="auto"/>
                <w:bottom w:val="none" w:sz="0" w:space="0" w:color="auto"/>
                <w:right w:val="none" w:sz="0" w:space="0" w:color="auto"/>
              </w:divBdr>
            </w:div>
          </w:divsChild>
        </w:div>
        <w:div w:id="620385602">
          <w:marLeft w:val="0"/>
          <w:marRight w:val="0"/>
          <w:marTop w:val="0"/>
          <w:marBottom w:val="0"/>
          <w:divBdr>
            <w:top w:val="none" w:sz="0" w:space="0" w:color="auto"/>
            <w:left w:val="none" w:sz="0" w:space="0" w:color="auto"/>
            <w:bottom w:val="none" w:sz="0" w:space="0" w:color="auto"/>
            <w:right w:val="none" w:sz="0" w:space="0" w:color="auto"/>
          </w:divBdr>
          <w:divsChild>
            <w:div w:id="1250389644">
              <w:marLeft w:val="0"/>
              <w:marRight w:val="0"/>
              <w:marTop w:val="0"/>
              <w:marBottom w:val="0"/>
              <w:divBdr>
                <w:top w:val="none" w:sz="0" w:space="0" w:color="auto"/>
                <w:left w:val="none" w:sz="0" w:space="0" w:color="auto"/>
                <w:bottom w:val="none" w:sz="0" w:space="0" w:color="auto"/>
                <w:right w:val="none" w:sz="0" w:space="0" w:color="auto"/>
              </w:divBdr>
            </w:div>
          </w:divsChild>
        </w:div>
        <w:div w:id="1246380733">
          <w:marLeft w:val="0"/>
          <w:marRight w:val="0"/>
          <w:marTop w:val="0"/>
          <w:marBottom w:val="0"/>
          <w:divBdr>
            <w:top w:val="none" w:sz="0" w:space="0" w:color="auto"/>
            <w:left w:val="none" w:sz="0" w:space="0" w:color="auto"/>
            <w:bottom w:val="none" w:sz="0" w:space="0" w:color="auto"/>
            <w:right w:val="none" w:sz="0" w:space="0" w:color="auto"/>
          </w:divBdr>
          <w:divsChild>
            <w:div w:id="1623418115">
              <w:marLeft w:val="0"/>
              <w:marRight w:val="0"/>
              <w:marTop w:val="0"/>
              <w:marBottom w:val="0"/>
              <w:divBdr>
                <w:top w:val="none" w:sz="0" w:space="0" w:color="auto"/>
                <w:left w:val="none" w:sz="0" w:space="0" w:color="auto"/>
                <w:bottom w:val="none" w:sz="0" w:space="0" w:color="auto"/>
                <w:right w:val="none" w:sz="0" w:space="0" w:color="auto"/>
              </w:divBdr>
            </w:div>
          </w:divsChild>
        </w:div>
        <w:div w:id="1370838811">
          <w:marLeft w:val="0"/>
          <w:marRight w:val="0"/>
          <w:marTop w:val="0"/>
          <w:marBottom w:val="0"/>
          <w:divBdr>
            <w:top w:val="none" w:sz="0" w:space="0" w:color="auto"/>
            <w:left w:val="none" w:sz="0" w:space="0" w:color="auto"/>
            <w:bottom w:val="none" w:sz="0" w:space="0" w:color="auto"/>
            <w:right w:val="none" w:sz="0" w:space="0" w:color="auto"/>
          </w:divBdr>
          <w:divsChild>
            <w:div w:id="1509178955">
              <w:marLeft w:val="0"/>
              <w:marRight w:val="0"/>
              <w:marTop w:val="0"/>
              <w:marBottom w:val="0"/>
              <w:divBdr>
                <w:top w:val="none" w:sz="0" w:space="0" w:color="auto"/>
                <w:left w:val="none" w:sz="0" w:space="0" w:color="auto"/>
                <w:bottom w:val="none" w:sz="0" w:space="0" w:color="auto"/>
                <w:right w:val="none" w:sz="0" w:space="0" w:color="auto"/>
              </w:divBdr>
            </w:div>
          </w:divsChild>
        </w:div>
        <w:div w:id="37584267">
          <w:marLeft w:val="0"/>
          <w:marRight w:val="0"/>
          <w:marTop w:val="0"/>
          <w:marBottom w:val="0"/>
          <w:divBdr>
            <w:top w:val="none" w:sz="0" w:space="0" w:color="auto"/>
            <w:left w:val="none" w:sz="0" w:space="0" w:color="auto"/>
            <w:bottom w:val="none" w:sz="0" w:space="0" w:color="auto"/>
            <w:right w:val="none" w:sz="0" w:space="0" w:color="auto"/>
          </w:divBdr>
          <w:divsChild>
            <w:div w:id="1100181825">
              <w:marLeft w:val="0"/>
              <w:marRight w:val="0"/>
              <w:marTop w:val="0"/>
              <w:marBottom w:val="0"/>
              <w:divBdr>
                <w:top w:val="none" w:sz="0" w:space="0" w:color="auto"/>
                <w:left w:val="none" w:sz="0" w:space="0" w:color="auto"/>
                <w:bottom w:val="none" w:sz="0" w:space="0" w:color="auto"/>
                <w:right w:val="none" w:sz="0" w:space="0" w:color="auto"/>
              </w:divBdr>
            </w:div>
          </w:divsChild>
        </w:div>
        <w:div w:id="490996581">
          <w:marLeft w:val="0"/>
          <w:marRight w:val="0"/>
          <w:marTop w:val="0"/>
          <w:marBottom w:val="0"/>
          <w:divBdr>
            <w:top w:val="none" w:sz="0" w:space="0" w:color="auto"/>
            <w:left w:val="none" w:sz="0" w:space="0" w:color="auto"/>
            <w:bottom w:val="none" w:sz="0" w:space="0" w:color="auto"/>
            <w:right w:val="none" w:sz="0" w:space="0" w:color="auto"/>
          </w:divBdr>
          <w:divsChild>
            <w:div w:id="2056814375">
              <w:marLeft w:val="0"/>
              <w:marRight w:val="0"/>
              <w:marTop w:val="0"/>
              <w:marBottom w:val="0"/>
              <w:divBdr>
                <w:top w:val="none" w:sz="0" w:space="0" w:color="auto"/>
                <w:left w:val="none" w:sz="0" w:space="0" w:color="auto"/>
                <w:bottom w:val="none" w:sz="0" w:space="0" w:color="auto"/>
                <w:right w:val="none" w:sz="0" w:space="0" w:color="auto"/>
              </w:divBdr>
            </w:div>
          </w:divsChild>
        </w:div>
        <w:div w:id="1139111979">
          <w:marLeft w:val="0"/>
          <w:marRight w:val="0"/>
          <w:marTop w:val="0"/>
          <w:marBottom w:val="0"/>
          <w:divBdr>
            <w:top w:val="none" w:sz="0" w:space="0" w:color="auto"/>
            <w:left w:val="none" w:sz="0" w:space="0" w:color="auto"/>
            <w:bottom w:val="none" w:sz="0" w:space="0" w:color="auto"/>
            <w:right w:val="none" w:sz="0" w:space="0" w:color="auto"/>
          </w:divBdr>
          <w:divsChild>
            <w:div w:id="1144470507">
              <w:marLeft w:val="0"/>
              <w:marRight w:val="0"/>
              <w:marTop w:val="0"/>
              <w:marBottom w:val="0"/>
              <w:divBdr>
                <w:top w:val="none" w:sz="0" w:space="0" w:color="auto"/>
                <w:left w:val="none" w:sz="0" w:space="0" w:color="auto"/>
                <w:bottom w:val="none" w:sz="0" w:space="0" w:color="auto"/>
                <w:right w:val="none" w:sz="0" w:space="0" w:color="auto"/>
              </w:divBdr>
            </w:div>
          </w:divsChild>
        </w:div>
        <w:div w:id="1068380055">
          <w:marLeft w:val="0"/>
          <w:marRight w:val="0"/>
          <w:marTop w:val="0"/>
          <w:marBottom w:val="0"/>
          <w:divBdr>
            <w:top w:val="none" w:sz="0" w:space="0" w:color="auto"/>
            <w:left w:val="none" w:sz="0" w:space="0" w:color="auto"/>
            <w:bottom w:val="none" w:sz="0" w:space="0" w:color="auto"/>
            <w:right w:val="none" w:sz="0" w:space="0" w:color="auto"/>
          </w:divBdr>
          <w:divsChild>
            <w:div w:id="809329229">
              <w:marLeft w:val="0"/>
              <w:marRight w:val="0"/>
              <w:marTop w:val="0"/>
              <w:marBottom w:val="0"/>
              <w:divBdr>
                <w:top w:val="none" w:sz="0" w:space="0" w:color="auto"/>
                <w:left w:val="none" w:sz="0" w:space="0" w:color="auto"/>
                <w:bottom w:val="none" w:sz="0" w:space="0" w:color="auto"/>
                <w:right w:val="none" w:sz="0" w:space="0" w:color="auto"/>
              </w:divBdr>
            </w:div>
          </w:divsChild>
        </w:div>
        <w:div w:id="1834223586">
          <w:marLeft w:val="0"/>
          <w:marRight w:val="0"/>
          <w:marTop w:val="0"/>
          <w:marBottom w:val="0"/>
          <w:divBdr>
            <w:top w:val="none" w:sz="0" w:space="0" w:color="auto"/>
            <w:left w:val="none" w:sz="0" w:space="0" w:color="auto"/>
            <w:bottom w:val="none" w:sz="0" w:space="0" w:color="auto"/>
            <w:right w:val="none" w:sz="0" w:space="0" w:color="auto"/>
          </w:divBdr>
          <w:divsChild>
            <w:div w:id="941649667">
              <w:marLeft w:val="0"/>
              <w:marRight w:val="0"/>
              <w:marTop w:val="0"/>
              <w:marBottom w:val="0"/>
              <w:divBdr>
                <w:top w:val="none" w:sz="0" w:space="0" w:color="auto"/>
                <w:left w:val="none" w:sz="0" w:space="0" w:color="auto"/>
                <w:bottom w:val="none" w:sz="0" w:space="0" w:color="auto"/>
                <w:right w:val="none" w:sz="0" w:space="0" w:color="auto"/>
              </w:divBdr>
            </w:div>
          </w:divsChild>
        </w:div>
        <w:div w:id="1814519540">
          <w:marLeft w:val="0"/>
          <w:marRight w:val="0"/>
          <w:marTop w:val="300"/>
          <w:marBottom w:val="300"/>
          <w:divBdr>
            <w:top w:val="none" w:sz="0" w:space="0" w:color="auto"/>
            <w:left w:val="none" w:sz="0" w:space="0" w:color="auto"/>
            <w:bottom w:val="none" w:sz="0" w:space="0" w:color="auto"/>
            <w:right w:val="none" w:sz="0" w:space="0" w:color="auto"/>
          </w:divBdr>
        </w:div>
        <w:div w:id="641229942">
          <w:marLeft w:val="0"/>
          <w:marRight w:val="0"/>
          <w:marTop w:val="0"/>
          <w:marBottom w:val="0"/>
          <w:divBdr>
            <w:top w:val="none" w:sz="0" w:space="0" w:color="auto"/>
            <w:left w:val="none" w:sz="0" w:space="0" w:color="auto"/>
            <w:bottom w:val="none" w:sz="0" w:space="0" w:color="auto"/>
            <w:right w:val="none" w:sz="0" w:space="0" w:color="auto"/>
          </w:divBdr>
          <w:divsChild>
            <w:div w:id="1357930490">
              <w:marLeft w:val="0"/>
              <w:marRight w:val="0"/>
              <w:marTop w:val="0"/>
              <w:marBottom w:val="0"/>
              <w:divBdr>
                <w:top w:val="none" w:sz="0" w:space="0" w:color="auto"/>
                <w:left w:val="none" w:sz="0" w:space="0" w:color="auto"/>
                <w:bottom w:val="none" w:sz="0" w:space="0" w:color="auto"/>
                <w:right w:val="none" w:sz="0" w:space="0" w:color="auto"/>
              </w:divBdr>
            </w:div>
          </w:divsChild>
        </w:div>
        <w:div w:id="426776115">
          <w:marLeft w:val="0"/>
          <w:marRight w:val="0"/>
          <w:marTop w:val="0"/>
          <w:marBottom w:val="0"/>
          <w:divBdr>
            <w:top w:val="none" w:sz="0" w:space="0" w:color="auto"/>
            <w:left w:val="none" w:sz="0" w:space="0" w:color="auto"/>
            <w:bottom w:val="none" w:sz="0" w:space="0" w:color="auto"/>
            <w:right w:val="none" w:sz="0" w:space="0" w:color="auto"/>
          </w:divBdr>
          <w:divsChild>
            <w:div w:id="939415722">
              <w:marLeft w:val="0"/>
              <w:marRight w:val="0"/>
              <w:marTop w:val="0"/>
              <w:marBottom w:val="0"/>
              <w:divBdr>
                <w:top w:val="none" w:sz="0" w:space="0" w:color="auto"/>
                <w:left w:val="none" w:sz="0" w:space="0" w:color="auto"/>
                <w:bottom w:val="none" w:sz="0" w:space="0" w:color="auto"/>
                <w:right w:val="none" w:sz="0" w:space="0" w:color="auto"/>
              </w:divBdr>
            </w:div>
          </w:divsChild>
        </w:div>
        <w:div w:id="159008960">
          <w:marLeft w:val="0"/>
          <w:marRight w:val="0"/>
          <w:marTop w:val="0"/>
          <w:marBottom w:val="0"/>
          <w:divBdr>
            <w:top w:val="none" w:sz="0" w:space="0" w:color="auto"/>
            <w:left w:val="none" w:sz="0" w:space="0" w:color="auto"/>
            <w:bottom w:val="none" w:sz="0" w:space="0" w:color="auto"/>
            <w:right w:val="none" w:sz="0" w:space="0" w:color="auto"/>
          </w:divBdr>
          <w:divsChild>
            <w:div w:id="965233873">
              <w:marLeft w:val="0"/>
              <w:marRight w:val="0"/>
              <w:marTop w:val="0"/>
              <w:marBottom w:val="0"/>
              <w:divBdr>
                <w:top w:val="none" w:sz="0" w:space="0" w:color="auto"/>
                <w:left w:val="none" w:sz="0" w:space="0" w:color="auto"/>
                <w:bottom w:val="none" w:sz="0" w:space="0" w:color="auto"/>
                <w:right w:val="none" w:sz="0" w:space="0" w:color="auto"/>
              </w:divBdr>
            </w:div>
          </w:divsChild>
        </w:div>
        <w:div w:id="1046835273">
          <w:marLeft w:val="0"/>
          <w:marRight w:val="0"/>
          <w:marTop w:val="0"/>
          <w:marBottom w:val="0"/>
          <w:divBdr>
            <w:top w:val="none" w:sz="0" w:space="0" w:color="auto"/>
            <w:left w:val="none" w:sz="0" w:space="0" w:color="auto"/>
            <w:bottom w:val="none" w:sz="0" w:space="0" w:color="auto"/>
            <w:right w:val="none" w:sz="0" w:space="0" w:color="auto"/>
          </w:divBdr>
          <w:divsChild>
            <w:div w:id="455684341">
              <w:marLeft w:val="0"/>
              <w:marRight w:val="0"/>
              <w:marTop w:val="0"/>
              <w:marBottom w:val="0"/>
              <w:divBdr>
                <w:top w:val="none" w:sz="0" w:space="0" w:color="auto"/>
                <w:left w:val="none" w:sz="0" w:space="0" w:color="auto"/>
                <w:bottom w:val="none" w:sz="0" w:space="0" w:color="auto"/>
                <w:right w:val="none" w:sz="0" w:space="0" w:color="auto"/>
              </w:divBdr>
            </w:div>
          </w:divsChild>
        </w:div>
        <w:div w:id="807238082">
          <w:marLeft w:val="0"/>
          <w:marRight w:val="0"/>
          <w:marTop w:val="0"/>
          <w:marBottom w:val="0"/>
          <w:divBdr>
            <w:top w:val="none" w:sz="0" w:space="0" w:color="auto"/>
            <w:left w:val="none" w:sz="0" w:space="0" w:color="auto"/>
            <w:bottom w:val="none" w:sz="0" w:space="0" w:color="auto"/>
            <w:right w:val="none" w:sz="0" w:space="0" w:color="auto"/>
          </w:divBdr>
          <w:divsChild>
            <w:div w:id="1396051803">
              <w:marLeft w:val="0"/>
              <w:marRight w:val="0"/>
              <w:marTop w:val="0"/>
              <w:marBottom w:val="0"/>
              <w:divBdr>
                <w:top w:val="none" w:sz="0" w:space="0" w:color="auto"/>
                <w:left w:val="none" w:sz="0" w:space="0" w:color="auto"/>
                <w:bottom w:val="none" w:sz="0" w:space="0" w:color="auto"/>
                <w:right w:val="none" w:sz="0" w:space="0" w:color="auto"/>
              </w:divBdr>
            </w:div>
          </w:divsChild>
        </w:div>
        <w:div w:id="1308897832">
          <w:marLeft w:val="0"/>
          <w:marRight w:val="0"/>
          <w:marTop w:val="0"/>
          <w:marBottom w:val="0"/>
          <w:divBdr>
            <w:top w:val="none" w:sz="0" w:space="0" w:color="auto"/>
            <w:left w:val="none" w:sz="0" w:space="0" w:color="auto"/>
            <w:bottom w:val="none" w:sz="0" w:space="0" w:color="auto"/>
            <w:right w:val="none" w:sz="0" w:space="0" w:color="auto"/>
          </w:divBdr>
          <w:divsChild>
            <w:div w:id="816802325">
              <w:marLeft w:val="0"/>
              <w:marRight w:val="0"/>
              <w:marTop w:val="0"/>
              <w:marBottom w:val="0"/>
              <w:divBdr>
                <w:top w:val="none" w:sz="0" w:space="0" w:color="auto"/>
                <w:left w:val="none" w:sz="0" w:space="0" w:color="auto"/>
                <w:bottom w:val="none" w:sz="0" w:space="0" w:color="auto"/>
                <w:right w:val="none" w:sz="0" w:space="0" w:color="auto"/>
              </w:divBdr>
            </w:div>
          </w:divsChild>
        </w:div>
        <w:div w:id="1748458851">
          <w:marLeft w:val="0"/>
          <w:marRight w:val="0"/>
          <w:marTop w:val="0"/>
          <w:marBottom w:val="0"/>
          <w:divBdr>
            <w:top w:val="none" w:sz="0" w:space="0" w:color="auto"/>
            <w:left w:val="none" w:sz="0" w:space="0" w:color="auto"/>
            <w:bottom w:val="none" w:sz="0" w:space="0" w:color="auto"/>
            <w:right w:val="none" w:sz="0" w:space="0" w:color="auto"/>
          </w:divBdr>
          <w:divsChild>
            <w:div w:id="1208105320">
              <w:marLeft w:val="0"/>
              <w:marRight w:val="0"/>
              <w:marTop w:val="0"/>
              <w:marBottom w:val="0"/>
              <w:divBdr>
                <w:top w:val="none" w:sz="0" w:space="0" w:color="auto"/>
                <w:left w:val="none" w:sz="0" w:space="0" w:color="auto"/>
                <w:bottom w:val="none" w:sz="0" w:space="0" w:color="auto"/>
                <w:right w:val="none" w:sz="0" w:space="0" w:color="auto"/>
              </w:divBdr>
            </w:div>
          </w:divsChild>
        </w:div>
        <w:div w:id="1012296446">
          <w:marLeft w:val="0"/>
          <w:marRight w:val="0"/>
          <w:marTop w:val="0"/>
          <w:marBottom w:val="0"/>
          <w:divBdr>
            <w:top w:val="none" w:sz="0" w:space="0" w:color="auto"/>
            <w:left w:val="none" w:sz="0" w:space="0" w:color="auto"/>
            <w:bottom w:val="none" w:sz="0" w:space="0" w:color="auto"/>
            <w:right w:val="none" w:sz="0" w:space="0" w:color="auto"/>
          </w:divBdr>
          <w:divsChild>
            <w:div w:id="1401439358">
              <w:marLeft w:val="0"/>
              <w:marRight w:val="0"/>
              <w:marTop w:val="0"/>
              <w:marBottom w:val="0"/>
              <w:divBdr>
                <w:top w:val="none" w:sz="0" w:space="0" w:color="auto"/>
                <w:left w:val="none" w:sz="0" w:space="0" w:color="auto"/>
                <w:bottom w:val="none" w:sz="0" w:space="0" w:color="auto"/>
                <w:right w:val="none" w:sz="0" w:space="0" w:color="auto"/>
              </w:divBdr>
            </w:div>
          </w:divsChild>
        </w:div>
        <w:div w:id="1248464743">
          <w:marLeft w:val="0"/>
          <w:marRight w:val="0"/>
          <w:marTop w:val="300"/>
          <w:marBottom w:val="300"/>
          <w:divBdr>
            <w:top w:val="none" w:sz="0" w:space="0" w:color="auto"/>
            <w:left w:val="none" w:sz="0" w:space="0" w:color="auto"/>
            <w:bottom w:val="none" w:sz="0" w:space="0" w:color="auto"/>
            <w:right w:val="none" w:sz="0" w:space="0" w:color="auto"/>
          </w:divBdr>
        </w:div>
        <w:div w:id="1497305326">
          <w:marLeft w:val="0"/>
          <w:marRight w:val="0"/>
          <w:marTop w:val="0"/>
          <w:marBottom w:val="0"/>
          <w:divBdr>
            <w:top w:val="none" w:sz="0" w:space="0" w:color="auto"/>
            <w:left w:val="none" w:sz="0" w:space="0" w:color="auto"/>
            <w:bottom w:val="none" w:sz="0" w:space="0" w:color="auto"/>
            <w:right w:val="none" w:sz="0" w:space="0" w:color="auto"/>
          </w:divBdr>
          <w:divsChild>
            <w:div w:id="2007249385">
              <w:marLeft w:val="0"/>
              <w:marRight w:val="0"/>
              <w:marTop w:val="0"/>
              <w:marBottom w:val="0"/>
              <w:divBdr>
                <w:top w:val="none" w:sz="0" w:space="0" w:color="auto"/>
                <w:left w:val="none" w:sz="0" w:space="0" w:color="auto"/>
                <w:bottom w:val="none" w:sz="0" w:space="0" w:color="auto"/>
                <w:right w:val="none" w:sz="0" w:space="0" w:color="auto"/>
              </w:divBdr>
            </w:div>
          </w:divsChild>
        </w:div>
        <w:div w:id="791168574">
          <w:marLeft w:val="0"/>
          <w:marRight w:val="0"/>
          <w:marTop w:val="0"/>
          <w:marBottom w:val="0"/>
          <w:divBdr>
            <w:top w:val="none" w:sz="0" w:space="0" w:color="auto"/>
            <w:left w:val="none" w:sz="0" w:space="0" w:color="auto"/>
            <w:bottom w:val="none" w:sz="0" w:space="0" w:color="auto"/>
            <w:right w:val="none" w:sz="0" w:space="0" w:color="auto"/>
          </w:divBdr>
          <w:divsChild>
            <w:div w:id="1999648856">
              <w:marLeft w:val="0"/>
              <w:marRight w:val="0"/>
              <w:marTop w:val="0"/>
              <w:marBottom w:val="0"/>
              <w:divBdr>
                <w:top w:val="none" w:sz="0" w:space="0" w:color="auto"/>
                <w:left w:val="none" w:sz="0" w:space="0" w:color="auto"/>
                <w:bottom w:val="none" w:sz="0" w:space="0" w:color="auto"/>
                <w:right w:val="none" w:sz="0" w:space="0" w:color="auto"/>
              </w:divBdr>
            </w:div>
          </w:divsChild>
        </w:div>
        <w:div w:id="1962757652">
          <w:marLeft w:val="0"/>
          <w:marRight w:val="0"/>
          <w:marTop w:val="0"/>
          <w:marBottom w:val="0"/>
          <w:divBdr>
            <w:top w:val="none" w:sz="0" w:space="0" w:color="auto"/>
            <w:left w:val="none" w:sz="0" w:space="0" w:color="auto"/>
            <w:bottom w:val="none" w:sz="0" w:space="0" w:color="auto"/>
            <w:right w:val="none" w:sz="0" w:space="0" w:color="auto"/>
          </w:divBdr>
          <w:divsChild>
            <w:div w:id="1589343223">
              <w:marLeft w:val="0"/>
              <w:marRight w:val="0"/>
              <w:marTop w:val="0"/>
              <w:marBottom w:val="0"/>
              <w:divBdr>
                <w:top w:val="none" w:sz="0" w:space="0" w:color="auto"/>
                <w:left w:val="none" w:sz="0" w:space="0" w:color="auto"/>
                <w:bottom w:val="none" w:sz="0" w:space="0" w:color="auto"/>
                <w:right w:val="none" w:sz="0" w:space="0" w:color="auto"/>
              </w:divBdr>
            </w:div>
          </w:divsChild>
        </w:div>
        <w:div w:id="1654871281">
          <w:marLeft w:val="0"/>
          <w:marRight w:val="0"/>
          <w:marTop w:val="300"/>
          <w:marBottom w:val="300"/>
          <w:divBdr>
            <w:top w:val="none" w:sz="0" w:space="0" w:color="auto"/>
            <w:left w:val="none" w:sz="0" w:space="0" w:color="auto"/>
            <w:bottom w:val="none" w:sz="0" w:space="0" w:color="auto"/>
            <w:right w:val="none" w:sz="0" w:space="0" w:color="auto"/>
          </w:divBdr>
        </w:div>
        <w:div w:id="802885600">
          <w:marLeft w:val="0"/>
          <w:marRight w:val="0"/>
          <w:marTop w:val="0"/>
          <w:marBottom w:val="0"/>
          <w:divBdr>
            <w:top w:val="none" w:sz="0" w:space="0" w:color="auto"/>
            <w:left w:val="none" w:sz="0" w:space="0" w:color="auto"/>
            <w:bottom w:val="none" w:sz="0" w:space="0" w:color="auto"/>
            <w:right w:val="none" w:sz="0" w:space="0" w:color="auto"/>
          </w:divBdr>
          <w:divsChild>
            <w:div w:id="867722949">
              <w:marLeft w:val="0"/>
              <w:marRight w:val="0"/>
              <w:marTop w:val="0"/>
              <w:marBottom w:val="0"/>
              <w:divBdr>
                <w:top w:val="none" w:sz="0" w:space="0" w:color="auto"/>
                <w:left w:val="none" w:sz="0" w:space="0" w:color="auto"/>
                <w:bottom w:val="none" w:sz="0" w:space="0" w:color="auto"/>
                <w:right w:val="none" w:sz="0" w:space="0" w:color="auto"/>
              </w:divBdr>
            </w:div>
          </w:divsChild>
        </w:div>
        <w:div w:id="258147577">
          <w:marLeft w:val="0"/>
          <w:marRight w:val="0"/>
          <w:marTop w:val="0"/>
          <w:marBottom w:val="0"/>
          <w:divBdr>
            <w:top w:val="none" w:sz="0" w:space="0" w:color="auto"/>
            <w:left w:val="none" w:sz="0" w:space="0" w:color="auto"/>
            <w:bottom w:val="none" w:sz="0" w:space="0" w:color="auto"/>
            <w:right w:val="none" w:sz="0" w:space="0" w:color="auto"/>
          </w:divBdr>
          <w:divsChild>
            <w:div w:id="38484176">
              <w:marLeft w:val="0"/>
              <w:marRight w:val="0"/>
              <w:marTop w:val="0"/>
              <w:marBottom w:val="0"/>
              <w:divBdr>
                <w:top w:val="none" w:sz="0" w:space="0" w:color="auto"/>
                <w:left w:val="none" w:sz="0" w:space="0" w:color="auto"/>
                <w:bottom w:val="none" w:sz="0" w:space="0" w:color="auto"/>
                <w:right w:val="none" w:sz="0" w:space="0" w:color="auto"/>
              </w:divBdr>
            </w:div>
          </w:divsChild>
        </w:div>
        <w:div w:id="1308512237">
          <w:marLeft w:val="0"/>
          <w:marRight w:val="0"/>
          <w:marTop w:val="0"/>
          <w:marBottom w:val="0"/>
          <w:divBdr>
            <w:top w:val="none" w:sz="0" w:space="0" w:color="auto"/>
            <w:left w:val="none" w:sz="0" w:space="0" w:color="auto"/>
            <w:bottom w:val="none" w:sz="0" w:space="0" w:color="auto"/>
            <w:right w:val="none" w:sz="0" w:space="0" w:color="auto"/>
          </w:divBdr>
          <w:divsChild>
            <w:div w:id="1055159903">
              <w:marLeft w:val="0"/>
              <w:marRight w:val="0"/>
              <w:marTop w:val="0"/>
              <w:marBottom w:val="0"/>
              <w:divBdr>
                <w:top w:val="none" w:sz="0" w:space="0" w:color="auto"/>
                <w:left w:val="none" w:sz="0" w:space="0" w:color="auto"/>
                <w:bottom w:val="none" w:sz="0" w:space="0" w:color="auto"/>
                <w:right w:val="none" w:sz="0" w:space="0" w:color="auto"/>
              </w:divBdr>
            </w:div>
          </w:divsChild>
        </w:div>
        <w:div w:id="30302609">
          <w:marLeft w:val="0"/>
          <w:marRight w:val="0"/>
          <w:marTop w:val="0"/>
          <w:marBottom w:val="0"/>
          <w:divBdr>
            <w:top w:val="none" w:sz="0" w:space="0" w:color="auto"/>
            <w:left w:val="none" w:sz="0" w:space="0" w:color="auto"/>
            <w:bottom w:val="none" w:sz="0" w:space="0" w:color="auto"/>
            <w:right w:val="none" w:sz="0" w:space="0" w:color="auto"/>
          </w:divBdr>
          <w:divsChild>
            <w:div w:id="1315178773">
              <w:marLeft w:val="0"/>
              <w:marRight w:val="0"/>
              <w:marTop w:val="0"/>
              <w:marBottom w:val="0"/>
              <w:divBdr>
                <w:top w:val="none" w:sz="0" w:space="0" w:color="auto"/>
                <w:left w:val="none" w:sz="0" w:space="0" w:color="auto"/>
                <w:bottom w:val="none" w:sz="0" w:space="0" w:color="auto"/>
                <w:right w:val="none" w:sz="0" w:space="0" w:color="auto"/>
              </w:divBdr>
            </w:div>
          </w:divsChild>
        </w:div>
        <w:div w:id="439491271">
          <w:marLeft w:val="0"/>
          <w:marRight w:val="0"/>
          <w:marTop w:val="300"/>
          <w:marBottom w:val="300"/>
          <w:divBdr>
            <w:top w:val="none" w:sz="0" w:space="0" w:color="auto"/>
            <w:left w:val="none" w:sz="0" w:space="0" w:color="auto"/>
            <w:bottom w:val="none" w:sz="0" w:space="0" w:color="auto"/>
            <w:right w:val="none" w:sz="0" w:space="0" w:color="auto"/>
          </w:divBdr>
        </w:div>
        <w:div w:id="1566792815">
          <w:marLeft w:val="0"/>
          <w:marRight w:val="0"/>
          <w:marTop w:val="0"/>
          <w:marBottom w:val="0"/>
          <w:divBdr>
            <w:top w:val="none" w:sz="0" w:space="0" w:color="auto"/>
            <w:left w:val="none" w:sz="0" w:space="0" w:color="auto"/>
            <w:bottom w:val="none" w:sz="0" w:space="0" w:color="auto"/>
            <w:right w:val="none" w:sz="0" w:space="0" w:color="auto"/>
          </w:divBdr>
          <w:divsChild>
            <w:div w:id="1293562075">
              <w:marLeft w:val="0"/>
              <w:marRight w:val="0"/>
              <w:marTop w:val="0"/>
              <w:marBottom w:val="0"/>
              <w:divBdr>
                <w:top w:val="none" w:sz="0" w:space="0" w:color="auto"/>
                <w:left w:val="none" w:sz="0" w:space="0" w:color="auto"/>
                <w:bottom w:val="none" w:sz="0" w:space="0" w:color="auto"/>
                <w:right w:val="none" w:sz="0" w:space="0" w:color="auto"/>
              </w:divBdr>
            </w:div>
          </w:divsChild>
        </w:div>
        <w:div w:id="778985929">
          <w:marLeft w:val="0"/>
          <w:marRight w:val="0"/>
          <w:marTop w:val="0"/>
          <w:marBottom w:val="0"/>
          <w:divBdr>
            <w:top w:val="none" w:sz="0" w:space="0" w:color="auto"/>
            <w:left w:val="none" w:sz="0" w:space="0" w:color="auto"/>
            <w:bottom w:val="none" w:sz="0" w:space="0" w:color="auto"/>
            <w:right w:val="none" w:sz="0" w:space="0" w:color="auto"/>
          </w:divBdr>
          <w:divsChild>
            <w:div w:id="592013717">
              <w:marLeft w:val="0"/>
              <w:marRight w:val="0"/>
              <w:marTop w:val="0"/>
              <w:marBottom w:val="0"/>
              <w:divBdr>
                <w:top w:val="none" w:sz="0" w:space="0" w:color="auto"/>
                <w:left w:val="none" w:sz="0" w:space="0" w:color="auto"/>
                <w:bottom w:val="none" w:sz="0" w:space="0" w:color="auto"/>
                <w:right w:val="none" w:sz="0" w:space="0" w:color="auto"/>
              </w:divBdr>
            </w:div>
          </w:divsChild>
        </w:div>
        <w:div w:id="1444223130">
          <w:marLeft w:val="0"/>
          <w:marRight w:val="0"/>
          <w:marTop w:val="0"/>
          <w:marBottom w:val="0"/>
          <w:divBdr>
            <w:top w:val="none" w:sz="0" w:space="0" w:color="auto"/>
            <w:left w:val="none" w:sz="0" w:space="0" w:color="auto"/>
            <w:bottom w:val="none" w:sz="0" w:space="0" w:color="auto"/>
            <w:right w:val="none" w:sz="0" w:space="0" w:color="auto"/>
          </w:divBdr>
          <w:divsChild>
            <w:div w:id="326177385">
              <w:marLeft w:val="0"/>
              <w:marRight w:val="0"/>
              <w:marTop w:val="0"/>
              <w:marBottom w:val="0"/>
              <w:divBdr>
                <w:top w:val="none" w:sz="0" w:space="0" w:color="auto"/>
                <w:left w:val="none" w:sz="0" w:space="0" w:color="auto"/>
                <w:bottom w:val="none" w:sz="0" w:space="0" w:color="auto"/>
                <w:right w:val="none" w:sz="0" w:space="0" w:color="auto"/>
              </w:divBdr>
            </w:div>
          </w:divsChild>
        </w:div>
        <w:div w:id="667100795">
          <w:marLeft w:val="0"/>
          <w:marRight w:val="0"/>
          <w:marTop w:val="0"/>
          <w:marBottom w:val="0"/>
          <w:divBdr>
            <w:top w:val="none" w:sz="0" w:space="0" w:color="auto"/>
            <w:left w:val="none" w:sz="0" w:space="0" w:color="auto"/>
            <w:bottom w:val="none" w:sz="0" w:space="0" w:color="auto"/>
            <w:right w:val="none" w:sz="0" w:space="0" w:color="auto"/>
          </w:divBdr>
          <w:divsChild>
            <w:div w:id="1826585680">
              <w:marLeft w:val="0"/>
              <w:marRight w:val="0"/>
              <w:marTop w:val="0"/>
              <w:marBottom w:val="0"/>
              <w:divBdr>
                <w:top w:val="none" w:sz="0" w:space="0" w:color="auto"/>
                <w:left w:val="none" w:sz="0" w:space="0" w:color="auto"/>
                <w:bottom w:val="none" w:sz="0" w:space="0" w:color="auto"/>
                <w:right w:val="none" w:sz="0" w:space="0" w:color="auto"/>
              </w:divBdr>
            </w:div>
          </w:divsChild>
        </w:div>
        <w:div w:id="1204514650">
          <w:marLeft w:val="0"/>
          <w:marRight w:val="0"/>
          <w:marTop w:val="0"/>
          <w:marBottom w:val="0"/>
          <w:divBdr>
            <w:top w:val="none" w:sz="0" w:space="0" w:color="auto"/>
            <w:left w:val="none" w:sz="0" w:space="0" w:color="auto"/>
            <w:bottom w:val="none" w:sz="0" w:space="0" w:color="auto"/>
            <w:right w:val="none" w:sz="0" w:space="0" w:color="auto"/>
          </w:divBdr>
          <w:divsChild>
            <w:div w:id="1634288333">
              <w:marLeft w:val="0"/>
              <w:marRight w:val="0"/>
              <w:marTop w:val="0"/>
              <w:marBottom w:val="0"/>
              <w:divBdr>
                <w:top w:val="none" w:sz="0" w:space="0" w:color="auto"/>
                <w:left w:val="none" w:sz="0" w:space="0" w:color="auto"/>
                <w:bottom w:val="none" w:sz="0" w:space="0" w:color="auto"/>
                <w:right w:val="none" w:sz="0" w:space="0" w:color="auto"/>
              </w:divBdr>
            </w:div>
          </w:divsChild>
        </w:div>
        <w:div w:id="214900316">
          <w:marLeft w:val="0"/>
          <w:marRight w:val="0"/>
          <w:marTop w:val="0"/>
          <w:marBottom w:val="0"/>
          <w:divBdr>
            <w:top w:val="none" w:sz="0" w:space="0" w:color="auto"/>
            <w:left w:val="none" w:sz="0" w:space="0" w:color="auto"/>
            <w:bottom w:val="none" w:sz="0" w:space="0" w:color="auto"/>
            <w:right w:val="none" w:sz="0" w:space="0" w:color="auto"/>
          </w:divBdr>
          <w:divsChild>
            <w:div w:id="89552648">
              <w:marLeft w:val="0"/>
              <w:marRight w:val="0"/>
              <w:marTop w:val="0"/>
              <w:marBottom w:val="0"/>
              <w:divBdr>
                <w:top w:val="none" w:sz="0" w:space="0" w:color="auto"/>
                <w:left w:val="none" w:sz="0" w:space="0" w:color="auto"/>
                <w:bottom w:val="none" w:sz="0" w:space="0" w:color="auto"/>
                <w:right w:val="none" w:sz="0" w:space="0" w:color="auto"/>
              </w:divBdr>
            </w:div>
          </w:divsChild>
        </w:div>
        <w:div w:id="1712152575">
          <w:marLeft w:val="0"/>
          <w:marRight w:val="0"/>
          <w:marTop w:val="0"/>
          <w:marBottom w:val="0"/>
          <w:divBdr>
            <w:top w:val="none" w:sz="0" w:space="0" w:color="auto"/>
            <w:left w:val="none" w:sz="0" w:space="0" w:color="auto"/>
            <w:bottom w:val="none" w:sz="0" w:space="0" w:color="auto"/>
            <w:right w:val="none" w:sz="0" w:space="0" w:color="auto"/>
          </w:divBdr>
          <w:divsChild>
            <w:div w:id="1167359474">
              <w:marLeft w:val="0"/>
              <w:marRight w:val="0"/>
              <w:marTop w:val="0"/>
              <w:marBottom w:val="0"/>
              <w:divBdr>
                <w:top w:val="none" w:sz="0" w:space="0" w:color="auto"/>
                <w:left w:val="none" w:sz="0" w:space="0" w:color="auto"/>
                <w:bottom w:val="none" w:sz="0" w:space="0" w:color="auto"/>
                <w:right w:val="none" w:sz="0" w:space="0" w:color="auto"/>
              </w:divBdr>
            </w:div>
          </w:divsChild>
        </w:div>
        <w:div w:id="1362441500">
          <w:marLeft w:val="0"/>
          <w:marRight w:val="0"/>
          <w:marTop w:val="0"/>
          <w:marBottom w:val="0"/>
          <w:divBdr>
            <w:top w:val="none" w:sz="0" w:space="0" w:color="auto"/>
            <w:left w:val="none" w:sz="0" w:space="0" w:color="auto"/>
            <w:bottom w:val="none" w:sz="0" w:space="0" w:color="auto"/>
            <w:right w:val="none" w:sz="0" w:space="0" w:color="auto"/>
          </w:divBdr>
          <w:divsChild>
            <w:div w:id="1293712812">
              <w:marLeft w:val="0"/>
              <w:marRight w:val="0"/>
              <w:marTop w:val="0"/>
              <w:marBottom w:val="0"/>
              <w:divBdr>
                <w:top w:val="none" w:sz="0" w:space="0" w:color="auto"/>
                <w:left w:val="none" w:sz="0" w:space="0" w:color="auto"/>
                <w:bottom w:val="none" w:sz="0" w:space="0" w:color="auto"/>
                <w:right w:val="none" w:sz="0" w:space="0" w:color="auto"/>
              </w:divBdr>
            </w:div>
          </w:divsChild>
        </w:div>
        <w:div w:id="378895649">
          <w:marLeft w:val="0"/>
          <w:marRight w:val="0"/>
          <w:marTop w:val="0"/>
          <w:marBottom w:val="0"/>
          <w:divBdr>
            <w:top w:val="none" w:sz="0" w:space="0" w:color="auto"/>
            <w:left w:val="none" w:sz="0" w:space="0" w:color="auto"/>
            <w:bottom w:val="none" w:sz="0" w:space="0" w:color="auto"/>
            <w:right w:val="none" w:sz="0" w:space="0" w:color="auto"/>
          </w:divBdr>
          <w:divsChild>
            <w:div w:id="429857608">
              <w:marLeft w:val="0"/>
              <w:marRight w:val="0"/>
              <w:marTop w:val="0"/>
              <w:marBottom w:val="0"/>
              <w:divBdr>
                <w:top w:val="none" w:sz="0" w:space="0" w:color="auto"/>
                <w:left w:val="none" w:sz="0" w:space="0" w:color="auto"/>
                <w:bottom w:val="none" w:sz="0" w:space="0" w:color="auto"/>
                <w:right w:val="none" w:sz="0" w:space="0" w:color="auto"/>
              </w:divBdr>
            </w:div>
          </w:divsChild>
        </w:div>
        <w:div w:id="1984850810">
          <w:marLeft w:val="0"/>
          <w:marRight w:val="0"/>
          <w:marTop w:val="0"/>
          <w:marBottom w:val="0"/>
          <w:divBdr>
            <w:top w:val="none" w:sz="0" w:space="0" w:color="auto"/>
            <w:left w:val="none" w:sz="0" w:space="0" w:color="auto"/>
            <w:bottom w:val="none" w:sz="0" w:space="0" w:color="auto"/>
            <w:right w:val="none" w:sz="0" w:space="0" w:color="auto"/>
          </w:divBdr>
          <w:divsChild>
            <w:div w:id="295382489">
              <w:marLeft w:val="0"/>
              <w:marRight w:val="0"/>
              <w:marTop w:val="0"/>
              <w:marBottom w:val="0"/>
              <w:divBdr>
                <w:top w:val="none" w:sz="0" w:space="0" w:color="auto"/>
                <w:left w:val="none" w:sz="0" w:space="0" w:color="auto"/>
                <w:bottom w:val="none" w:sz="0" w:space="0" w:color="auto"/>
                <w:right w:val="none" w:sz="0" w:space="0" w:color="auto"/>
              </w:divBdr>
            </w:div>
          </w:divsChild>
        </w:div>
        <w:div w:id="1107580038">
          <w:marLeft w:val="0"/>
          <w:marRight w:val="0"/>
          <w:marTop w:val="0"/>
          <w:marBottom w:val="0"/>
          <w:divBdr>
            <w:top w:val="none" w:sz="0" w:space="0" w:color="auto"/>
            <w:left w:val="none" w:sz="0" w:space="0" w:color="auto"/>
            <w:bottom w:val="none" w:sz="0" w:space="0" w:color="auto"/>
            <w:right w:val="none" w:sz="0" w:space="0" w:color="auto"/>
          </w:divBdr>
          <w:divsChild>
            <w:div w:id="1062870186">
              <w:marLeft w:val="0"/>
              <w:marRight w:val="0"/>
              <w:marTop w:val="0"/>
              <w:marBottom w:val="0"/>
              <w:divBdr>
                <w:top w:val="none" w:sz="0" w:space="0" w:color="auto"/>
                <w:left w:val="none" w:sz="0" w:space="0" w:color="auto"/>
                <w:bottom w:val="none" w:sz="0" w:space="0" w:color="auto"/>
                <w:right w:val="none" w:sz="0" w:space="0" w:color="auto"/>
              </w:divBdr>
            </w:div>
          </w:divsChild>
        </w:div>
        <w:div w:id="1154101389">
          <w:marLeft w:val="0"/>
          <w:marRight w:val="0"/>
          <w:marTop w:val="300"/>
          <w:marBottom w:val="300"/>
          <w:divBdr>
            <w:top w:val="none" w:sz="0" w:space="0" w:color="auto"/>
            <w:left w:val="none" w:sz="0" w:space="0" w:color="auto"/>
            <w:bottom w:val="none" w:sz="0" w:space="0" w:color="auto"/>
            <w:right w:val="none" w:sz="0" w:space="0" w:color="auto"/>
          </w:divBdr>
        </w:div>
        <w:div w:id="1187598581">
          <w:marLeft w:val="0"/>
          <w:marRight w:val="0"/>
          <w:marTop w:val="0"/>
          <w:marBottom w:val="0"/>
          <w:divBdr>
            <w:top w:val="none" w:sz="0" w:space="0" w:color="auto"/>
            <w:left w:val="none" w:sz="0" w:space="0" w:color="auto"/>
            <w:bottom w:val="none" w:sz="0" w:space="0" w:color="auto"/>
            <w:right w:val="none" w:sz="0" w:space="0" w:color="auto"/>
          </w:divBdr>
          <w:divsChild>
            <w:div w:id="454058006">
              <w:marLeft w:val="0"/>
              <w:marRight w:val="0"/>
              <w:marTop w:val="0"/>
              <w:marBottom w:val="0"/>
              <w:divBdr>
                <w:top w:val="none" w:sz="0" w:space="0" w:color="auto"/>
                <w:left w:val="none" w:sz="0" w:space="0" w:color="auto"/>
                <w:bottom w:val="none" w:sz="0" w:space="0" w:color="auto"/>
                <w:right w:val="none" w:sz="0" w:space="0" w:color="auto"/>
              </w:divBdr>
            </w:div>
          </w:divsChild>
        </w:div>
        <w:div w:id="1244534629">
          <w:marLeft w:val="0"/>
          <w:marRight w:val="0"/>
          <w:marTop w:val="0"/>
          <w:marBottom w:val="0"/>
          <w:divBdr>
            <w:top w:val="none" w:sz="0" w:space="0" w:color="auto"/>
            <w:left w:val="none" w:sz="0" w:space="0" w:color="auto"/>
            <w:bottom w:val="none" w:sz="0" w:space="0" w:color="auto"/>
            <w:right w:val="none" w:sz="0" w:space="0" w:color="auto"/>
          </w:divBdr>
          <w:divsChild>
            <w:div w:id="1525363227">
              <w:marLeft w:val="0"/>
              <w:marRight w:val="0"/>
              <w:marTop w:val="0"/>
              <w:marBottom w:val="0"/>
              <w:divBdr>
                <w:top w:val="none" w:sz="0" w:space="0" w:color="auto"/>
                <w:left w:val="none" w:sz="0" w:space="0" w:color="auto"/>
                <w:bottom w:val="none" w:sz="0" w:space="0" w:color="auto"/>
                <w:right w:val="none" w:sz="0" w:space="0" w:color="auto"/>
              </w:divBdr>
            </w:div>
          </w:divsChild>
        </w:div>
        <w:div w:id="778767596">
          <w:marLeft w:val="0"/>
          <w:marRight w:val="0"/>
          <w:marTop w:val="0"/>
          <w:marBottom w:val="0"/>
          <w:divBdr>
            <w:top w:val="none" w:sz="0" w:space="0" w:color="auto"/>
            <w:left w:val="none" w:sz="0" w:space="0" w:color="auto"/>
            <w:bottom w:val="none" w:sz="0" w:space="0" w:color="auto"/>
            <w:right w:val="none" w:sz="0" w:space="0" w:color="auto"/>
          </w:divBdr>
          <w:divsChild>
            <w:div w:id="2097169684">
              <w:marLeft w:val="0"/>
              <w:marRight w:val="0"/>
              <w:marTop w:val="0"/>
              <w:marBottom w:val="0"/>
              <w:divBdr>
                <w:top w:val="none" w:sz="0" w:space="0" w:color="auto"/>
                <w:left w:val="none" w:sz="0" w:space="0" w:color="auto"/>
                <w:bottom w:val="none" w:sz="0" w:space="0" w:color="auto"/>
                <w:right w:val="none" w:sz="0" w:space="0" w:color="auto"/>
              </w:divBdr>
            </w:div>
          </w:divsChild>
        </w:div>
        <w:div w:id="1343969177">
          <w:marLeft w:val="0"/>
          <w:marRight w:val="0"/>
          <w:marTop w:val="300"/>
          <w:marBottom w:val="300"/>
          <w:divBdr>
            <w:top w:val="none" w:sz="0" w:space="0" w:color="auto"/>
            <w:left w:val="none" w:sz="0" w:space="0" w:color="auto"/>
            <w:bottom w:val="none" w:sz="0" w:space="0" w:color="auto"/>
            <w:right w:val="none" w:sz="0" w:space="0" w:color="auto"/>
          </w:divBdr>
        </w:div>
        <w:div w:id="2077630599">
          <w:marLeft w:val="0"/>
          <w:marRight w:val="0"/>
          <w:marTop w:val="0"/>
          <w:marBottom w:val="0"/>
          <w:divBdr>
            <w:top w:val="none" w:sz="0" w:space="0" w:color="auto"/>
            <w:left w:val="none" w:sz="0" w:space="0" w:color="auto"/>
            <w:bottom w:val="none" w:sz="0" w:space="0" w:color="auto"/>
            <w:right w:val="none" w:sz="0" w:space="0" w:color="auto"/>
          </w:divBdr>
          <w:divsChild>
            <w:div w:id="1004673836">
              <w:marLeft w:val="0"/>
              <w:marRight w:val="0"/>
              <w:marTop w:val="0"/>
              <w:marBottom w:val="0"/>
              <w:divBdr>
                <w:top w:val="none" w:sz="0" w:space="0" w:color="auto"/>
                <w:left w:val="none" w:sz="0" w:space="0" w:color="auto"/>
                <w:bottom w:val="none" w:sz="0" w:space="0" w:color="auto"/>
                <w:right w:val="none" w:sz="0" w:space="0" w:color="auto"/>
              </w:divBdr>
            </w:div>
          </w:divsChild>
        </w:div>
        <w:div w:id="243027473">
          <w:marLeft w:val="0"/>
          <w:marRight w:val="0"/>
          <w:marTop w:val="0"/>
          <w:marBottom w:val="0"/>
          <w:divBdr>
            <w:top w:val="none" w:sz="0" w:space="0" w:color="auto"/>
            <w:left w:val="none" w:sz="0" w:space="0" w:color="auto"/>
            <w:bottom w:val="none" w:sz="0" w:space="0" w:color="auto"/>
            <w:right w:val="none" w:sz="0" w:space="0" w:color="auto"/>
          </w:divBdr>
          <w:divsChild>
            <w:div w:id="1933002377">
              <w:marLeft w:val="0"/>
              <w:marRight w:val="0"/>
              <w:marTop w:val="0"/>
              <w:marBottom w:val="0"/>
              <w:divBdr>
                <w:top w:val="none" w:sz="0" w:space="0" w:color="auto"/>
                <w:left w:val="none" w:sz="0" w:space="0" w:color="auto"/>
                <w:bottom w:val="none" w:sz="0" w:space="0" w:color="auto"/>
                <w:right w:val="none" w:sz="0" w:space="0" w:color="auto"/>
              </w:divBdr>
            </w:div>
          </w:divsChild>
        </w:div>
        <w:div w:id="166291819">
          <w:marLeft w:val="0"/>
          <w:marRight w:val="0"/>
          <w:marTop w:val="0"/>
          <w:marBottom w:val="0"/>
          <w:divBdr>
            <w:top w:val="none" w:sz="0" w:space="0" w:color="auto"/>
            <w:left w:val="none" w:sz="0" w:space="0" w:color="auto"/>
            <w:bottom w:val="none" w:sz="0" w:space="0" w:color="auto"/>
            <w:right w:val="none" w:sz="0" w:space="0" w:color="auto"/>
          </w:divBdr>
          <w:divsChild>
            <w:div w:id="2036231770">
              <w:marLeft w:val="0"/>
              <w:marRight w:val="0"/>
              <w:marTop w:val="0"/>
              <w:marBottom w:val="0"/>
              <w:divBdr>
                <w:top w:val="none" w:sz="0" w:space="0" w:color="auto"/>
                <w:left w:val="none" w:sz="0" w:space="0" w:color="auto"/>
                <w:bottom w:val="none" w:sz="0" w:space="0" w:color="auto"/>
                <w:right w:val="none" w:sz="0" w:space="0" w:color="auto"/>
              </w:divBdr>
            </w:div>
          </w:divsChild>
        </w:div>
        <w:div w:id="1325278037">
          <w:marLeft w:val="0"/>
          <w:marRight w:val="0"/>
          <w:marTop w:val="300"/>
          <w:marBottom w:val="300"/>
          <w:divBdr>
            <w:top w:val="none" w:sz="0" w:space="0" w:color="auto"/>
            <w:left w:val="none" w:sz="0" w:space="0" w:color="auto"/>
            <w:bottom w:val="none" w:sz="0" w:space="0" w:color="auto"/>
            <w:right w:val="none" w:sz="0" w:space="0" w:color="auto"/>
          </w:divBdr>
        </w:div>
        <w:div w:id="33778531">
          <w:marLeft w:val="0"/>
          <w:marRight w:val="0"/>
          <w:marTop w:val="0"/>
          <w:marBottom w:val="0"/>
          <w:divBdr>
            <w:top w:val="none" w:sz="0" w:space="0" w:color="auto"/>
            <w:left w:val="none" w:sz="0" w:space="0" w:color="auto"/>
            <w:bottom w:val="none" w:sz="0" w:space="0" w:color="auto"/>
            <w:right w:val="none" w:sz="0" w:space="0" w:color="auto"/>
          </w:divBdr>
          <w:divsChild>
            <w:div w:id="257637814">
              <w:marLeft w:val="0"/>
              <w:marRight w:val="0"/>
              <w:marTop w:val="0"/>
              <w:marBottom w:val="0"/>
              <w:divBdr>
                <w:top w:val="none" w:sz="0" w:space="0" w:color="auto"/>
                <w:left w:val="none" w:sz="0" w:space="0" w:color="auto"/>
                <w:bottom w:val="none" w:sz="0" w:space="0" w:color="auto"/>
                <w:right w:val="none" w:sz="0" w:space="0" w:color="auto"/>
              </w:divBdr>
            </w:div>
          </w:divsChild>
        </w:div>
        <w:div w:id="1474054988">
          <w:marLeft w:val="0"/>
          <w:marRight w:val="0"/>
          <w:marTop w:val="0"/>
          <w:marBottom w:val="0"/>
          <w:divBdr>
            <w:top w:val="none" w:sz="0" w:space="0" w:color="auto"/>
            <w:left w:val="none" w:sz="0" w:space="0" w:color="auto"/>
            <w:bottom w:val="none" w:sz="0" w:space="0" w:color="auto"/>
            <w:right w:val="none" w:sz="0" w:space="0" w:color="auto"/>
          </w:divBdr>
          <w:divsChild>
            <w:div w:id="1683697790">
              <w:marLeft w:val="0"/>
              <w:marRight w:val="0"/>
              <w:marTop w:val="0"/>
              <w:marBottom w:val="0"/>
              <w:divBdr>
                <w:top w:val="none" w:sz="0" w:space="0" w:color="auto"/>
                <w:left w:val="none" w:sz="0" w:space="0" w:color="auto"/>
                <w:bottom w:val="none" w:sz="0" w:space="0" w:color="auto"/>
                <w:right w:val="none" w:sz="0" w:space="0" w:color="auto"/>
              </w:divBdr>
            </w:div>
          </w:divsChild>
        </w:div>
        <w:div w:id="1151481814">
          <w:marLeft w:val="0"/>
          <w:marRight w:val="0"/>
          <w:marTop w:val="0"/>
          <w:marBottom w:val="0"/>
          <w:divBdr>
            <w:top w:val="none" w:sz="0" w:space="0" w:color="auto"/>
            <w:left w:val="none" w:sz="0" w:space="0" w:color="auto"/>
            <w:bottom w:val="none" w:sz="0" w:space="0" w:color="auto"/>
            <w:right w:val="none" w:sz="0" w:space="0" w:color="auto"/>
          </w:divBdr>
          <w:divsChild>
            <w:div w:id="1250307587">
              <w:marLeft w:val="0"/>
              <w:marRight w:val="0"/>
              <w:marTop w:val="0"/>
              <w:marBottom w:val="0"/>
              <w:divBdr>
                <w:top w:val="none" w:sz="0" w:space="0" w:color="auto"/>
                <w:left w:val="none" w:sz="0" w:space="0" w:color="auto"/>
                <w:bottom w:val="none" w:sz="0" w:space="0" w:color="auto"/>
                <w:right w:val="none" w:sz="0" w:space="0" w:color="auto"/>
              </w:divBdr>
            </w:div>
          </w:divsChild>
        </w:div>
        <w:div w:id="424616908">
          <w:marLeft w:val="0"/>
          <w:marRight w:val="0"/>
          <w:marTop w:val="0"/>
          <w:marBottom w:val="0"/>
          <w:divBdr>
            <w:top w:val="none" w:sz="0" w:space="0" w:color="auto"/>
            <w:left w:val="none" w:sz="0" w:space="0" w:color="auto"/>
            <w:bottom w:val="none" w:sz="0" w:space="0" w:color="auto"/>
            <w:right w:val="none" w:sz="0" w:space="0" w:color="auto"/>
          </w:divBdr>
          <w:divsChild>
            <w:div w:id="497575937">
              <w:marLeft w:val="0"/>
              <w:marRight w:val="0"/>
              <w:marTop w:val="0"/>
              <w:marBottom w:val="0"/>
              <w:divBdr>
                <w:top w:val="none" w:sz="0" w:space="0" w:color="auto"/>
                <w:left w:val="none" w:sz="0" w:space="0" w:color="auto"/>
                <w:bottom w:val="none" w:sz="0" w:space="0" w:color="auto"/>
                <w:right w:val="none" w:sz="0" w:space="0" w:color="auto"/>
              </w:divBdr>
            </w:div>
          </w:divsChild>
        </w:div>
        <w:div w:id="1587763417">
          <w:marLeft w:val="0"/>
          <w:marRight w:val="0"/>
          <w:marTop w:val="300"/>
          <w:marBottom w:val="300"/>
          <w:divBdr>
            <w:top w:val="none" w:sz="0" w:space="0" w:color="auto"/>
            <w:left w:val="none" w:sz="0" w:space="0" w:color="auto"/>
            <w:bottom w:val="none" w:sz="0" w:space="0" w:color="auto"/>
            <w:right w:val="none" w:sz="0" w:space="0" w:color="auto"/>
          </w:divBdr>
        </w:div>
        <w:div w:id="532695043">
          <w:marLeft w:val="0"/>
          <w:marRight w:val="0"/>
          <w:marTop w:val="0"/>
          <w:marBottom w:val="0"/>
          <w:divBdr>
            <w:top w:val="none" w:sz="0" w:space="0" w:color="auto"/>
            <w:left w:val="none" w:sz="0" w:space="0" w:color="auto"/>
            <w:bottom w:val="none" w:sz="0" w:space="0" w:color="auto"/>
            <w:right w:val="none" w:sz="0" w:space="0" w:color="auto"/>
          </w:divBdr>
          <w:divsChild>
            <w:div w:id="805705150">
              <w:marLeft w:val="0"/>
              <w:marRight w:val="0"/>
              <w:marTop w:val="0"/>
              <w:marBottom w:val="0"/>
              <w:divBdr>
                <w:top w:val="none" w:sz="0" w:space="0" w:color="auto"/>
                <w:left w:val="none" w:sz="0" w:space="0" w:color="auto"/>
                <w:bottom w:val="none" w:sz="0" w:space="0" w:color="auto"/>
                <w:right w:val="none" w:sz="0" w:space="0" w:color="auto"/>
              </w:divBdr>
            </w:div>
          </w:divsChild>
        </w:div>
        <w:div w:id="1722746724">
          <w:marLeft w:val="0"/>
          <w:marRight w:val="0"/>
          <w:marTop w:val="0"/>
          <w:marBottom w:val="0"/>
          <w:divBdr>
            <w:top w:val="none" w:sz="0" w:space="0" w:color="auto"/>
            <w:left w:val="none" w:sz="0" w:space="0" w:color="auto"/>
            <w:bottom w:val="none" w:sz="0" w:space="0" w:color="auto"/>
            <w:right w:val="none" w:sz="0" w:space="0" w:color="auto"/>
          </w:divBdr>
          <w:divsChild>
            <w:div w:id="951546751">
              <w:marLeft w:val="0"/>
              <w:marRight w:val="0"/>
              <w:marTop w:val="0"/>
              <w:marBottom w:val="0"/>
              <w:divBdr>
                <w:top w:val="none" w:sz="0" w:space="0" w:color="auto"/>
                <w:left w:val="none" w:sz="0" w:space="0" w:color="auto"/>
                <w:bottom w:val="none" w:sz="0" w:space="0" w:color="auto"/>
                <w:right w:val="none" w:sz="0" w:space="0" w:color="auto"/>
              </w:divBdr>
            </w:div>
          </w:divsChild>
        </w:div>
        <w:div w:id="288171472">
          <w:marLeft w:val="0"/>
          <w:marRight w:val="0"/>
          <w:marTop w:val="300"/>
          <w:marBottom w:val="300"/>
          <w:divBdr>
            <w:top w:val="none" w:sz="0" w:space="0" w:color="auto"/>
            <w:left w:val="none" w:sz="0" w:space="0" w:color="auto"/>
            <w:bottom w:val="none" w:sz="0" w:space="0" w:color="auto"/>
            <w:right w:val="none" w:sz="0" w:space="0" w:color="auto"/>
          </w:divBdr>
        </w:div>
        <w:div w:id="680668601">
          <w:marLeft w:val="0"/>
          <w:marRight w:val="0"/>
          <w:marTop w:val="300"/>
          <w:marBottom w:val="300"/>
          <w:divBdr>
            <w:top w:val="none" w:sz="0" w:space="0" w:color="auto"/>
            <w:left w:val="none" w:sz="0" w:space="0" w:color="auto"/>
            <w:bottom w:val="none" w:sz="0" w:space="0" w:color="auto"/>
            <w:right w:val="none" w:sz="0" w:space="0" w:color="auto"/>
          </w:divBdr>
        </w:div>
        <w:div w:id="2019119067">
          <w:marLeft w:val="0"/>
          <w:marRight w:val="0"/>
          <w:marTop w:val="0"/>
          <w:marBottom w:val="0"/>
          <w:divBdr>
            <w:top w:val="none" w:sz="0" w:space="0" w:color="auto"/>
            <w:left w:val="none" w:sz="0" w:space="0" w:color="auto"/>
            <w:bottom w:val="none" w:sz="0" w:space="0" w:color="auto"/>
            <w:right w:val="none" w:sz="0" w:space="0" w:color="auto"/>
          </w:divBdr>
          <w:divsChild>
            <w:div w:id="387805969">
              <w:marLeft w:val="0"/>
              <w:marRight w:val="0"/>
              <w:marTop w:val="0"/>
              <w:marBottom w:val="0"/>
              <w:divBdr>
                <w:top w:val="none" w:sz="0" w:space="0" w:color="auto"/>
                <w:left w:val="none" w:sz="0" w:space="0" w:color="auto"/>
                <w:bottom w:val="none" w:sz="0" w:space="0" w:color="auto"/>
                <w:right w:val="none" w:sz="0" w:space="0" w:color="auto"/>
              </w:divBdr>
            </w:div>
          </w:divsChild>
        </w:div>
        <w:div w:id="783382549">
          <w:marLeft w:val="0"/>
          <w:marRight w:val="0"/>
          <w:marTop w:val="0"/>
          <w:marBottom w:val="0"/>
          <w:divBdr>
            <w:top w:val="none" w:sz="0" w:space="0" w:color="auto"/>
            <w:left w:val="none" w:sz="0" w:space="0" w:color="auto"/>
            <w:bottom w:val="none" w:sz="0" w:space="0" w:color="auto"/>
            <w:right w:val="none" w:sz="0" w:space="0" w:color="auto"/>
          </w:divBdr>
          <w:divsChild>
            <w:div w:id="378018479">
              <w:marLeft w:val="0"/>
              <w:marRight w:val="0"/>
              <w:marTop w:val="0"/>
              <w:marBottom w:val="0"/>
              <w:divBdr>
                <w:top w:val="none" w:sz="0" w:space="0" w:color="auto"/>
                <w:left w:val="none" w:sz="0" w:space="0" w:color="auto"/>
                <w:bottom w:val="none" w:sz="0" w:space="0" w:color="auto"/>
                <w:right w:val="none" w:sz="0" w:space="0" w:color="auto"/>
              </w:divBdr>
            </w:div>
          </w:divsChild>
        </w:div>
        <w:div w:id="2117209557">
          <w:marLeft w:val="0"/>
          <w:marRight w:val="0"/>
          <w:marTop w:val="0"/>
          <w:marBottom w:val="0"/>
          <w:divBdr>
            <w:top w:val="none" w:sz="0" w:space="0" w:color="auto"/>
            <w:left w:val="none" w:sz="0" w:space="0" w:color="auto"/>
            <w:bottom w:val="none" w:sz="0" w:space="0" w:color="auto"/>
            <w:right w:val="none" w:sz="0" w:space="0" w:color="auto"/>
          </w:divBdr>
          <w:divsChild>
            <w:div w:id="1528710716">
              <w:marLeft w:val="0"/>
              <w:marRight w:val="0"/>
              <w:marTop w:val="0"/>
              <w:marBottom w:val="0"/>
              <w:divBdr>
                <w:top w:val="none" w:sz="0" w:space="0" w:color="auto"/>
                <w:left w:val="none" w:sz="0" w:space="0" w:color="auto"/>
                <w:bottom w:val="none" w:sz="0" w:space="0" w:color="auto"/>
                <w:right w:val="none" w:sz="0" w:space="0" w:color="auto"/>
              </w:divBdr>
            </w:div>
          </w:divsChild>
        </w:div>
        <w:div w:id="538860292">
          <w:marLeft w:val="0"/>
          <w:marRight w:val="0"/>
          <w:marTop w:val="0"/>
          <w:marBottom w:val="0"/>
          <w:divBdr>
            <w:top w:val="none" w:sz="0" w:space="0" w:color="auto"/>
            <w:left w:val="none" w:sz="0" w:space="0" w:color="auto"/>
            <w:bottom w:val="none" w:sz="0" w:space="0" w:color="auto"/>
            <w:right w:val="none" w:sz="0" w:space="0" w:color="auto"/>
          </w:divBdr>
          <w:divsChild>
            <w:div w:id="562330143">
              <w:marLeft w:val="0"/>
              <w:marRight w:val="0"/>
              <w:marTop w:val="0"/>
              <w:marBottom w:val="0"/>
              <w:divBdr>
                <w:top w:val="none" w:sz="0" w:space="0" w:color="auto"/>
                <w:left w:val="none" w:sz="0" w:space="0" w:color="auto"/>
                <w:bottom w:val="none" w:sz="0" w:space="0" w:color="auto"/>
                <w:right w:val="none" w:sz="0" w:space="0" w:color="auto"/>
              </w:divBdr>
            </w:div>
          </w:divsChild>
        </w:div>
        <w:div w:id="1427262518">
          <w:marLeft w:val="0"/>
          <w:marRight w:val="0"/>
          <w:marTop w:val="300"/>
          <w:marBottom w:val="300"/>
          <w:divBdr>
            <w:top w:val="none" w:sz="0" w:space="0" w:color="auto"/>
            <w:left w:val="none" w:sz="0" w:space="0" w:color="auto"/>
            <w:bottom w:val="none" w:sz="0" w:space="0" w:color="auto"/>
            <w:right w:val="none" w:sz="0" w:space="0" w:color="auto"/>
          </w:divBdr>
        </w:div>
        <w:div w:id="1065108957">
          <w:marLeft w:val="0"/>
          <w:marRight w:val="0"/>
          <w:marTop w:val="300"/>
          <w:marBottom w:val="300"/>
          <w:divBdr>
            <w:top w:val="none" w:sz="0" w:space="0" w:color="auto"/>
            <w:left w:val="none" w:sz="0" w:space="0" w:color="auto"/>
            <w:bottom w:val="none" w:sz="0" w:space="0" w:color="auto"/>
            <w:right w:val="none" w:sz="0" w:space="0" w:color="auto"/>
          </w:divBdr>
        </w:div>
        <w:div w:id="1342125936">
          <w:marLeft w:val="0"/>
          <w:marRight w:val="0"/>
          <w:marTop w:val="300"/>
          <w:marBottom w:val="300"/>
          <w:divBdr>
            <w:top w:val="none" w:sz="0" w:space="0" w:color="auto"/>
            <w:left w:val="none" w:sz="0" w:space="0" w:color="auto"/>
            <w:bottom w:val="none" w:sz="0" w:space="0" w:color="auto"/>
            <w:right w:val="none" w:sz="0" w:space="0" w:color="auto"/>
          </w:divBdr>
        </w:div>
        <w:div w:id="1581254756">
          <w:marLeft w:val="0"/>
          <w:marRight w:val="0"/>
          <w:marTop w:val="300"/>
          <w:marBottom w:val="300"/>
          <w:divBdr>
            <w:top w:val="none" w:sz="0" w:space="0" w:color="auto"/>
            <w:left w:val="none" w:sz="0" w:space="0" w:color="auto"/>
            <w:bottom w:val="none" w:sz="0" w:space="0" w:color="auto"/>
            <w:right w:val="none" w:sz="0" w:space="0" w:color="auto"/>
          </w:divBdr>
        </w:div>
        <w:div w:id="1862696756">
          <w:marLeft w:val="0"/>
          <w:marRight w:val="0"/>
          <w:marTop w:val="300"/>
          <w:marBottom w:val="300"/>
          <w:divBdr>
            <w:top w:val="none" w:sz="0" w:space="0" w:color="auto"/>
            <w:left w:val="none" w:sz="0" w:space="0" w:color="auto"/>
            <w:bottom w:val="none" w:sz="0" w:space="0" w:color="auto"/>
            <w:right w:val="none" w:sz="0" w:space="0" w:color="auto"/>
          </w:divBdr>
        </w:div>
        <w:div w:id="501966033">
          <w:marLeft w:val="0"/>
          <w:marRight w:val="0"/>
          <w:marTop w:val="300"/>
          <w:marBottom w:val="300"/>
          <w:divBdr>
            <w:top w:val="none" w:sz="0" w:space="0" w:color="auto"/>
            <w:left w:val="none" w:sz="0" w:space="0" w:color="auto"/>
            <w:bottom w:val="none" w:sz="0" w:space="0" w:color="auto"/>
            <w:right w:val="none" w:sz="0" w:space="0" w:color="auto"/>
          </w:divBdr>
        </w:div>
        <w:div w:id="1312520281">
          <w:marLeft w:val="0"/>
          <w:marRight w:val="0"/>
          <w:marTop w:val="300"/>
          <w:marBottom w:val="300"/>
          <w:divBdr>
            <w:top w:val="none" w:sz="0" w:space="0" w:color="auto"/>
            <w:left w:val="none" w:sz="0" w:space="0" w:color="auto"/>
            <w:bottom w:val="none" w:sz="0" w:space="0" w:color="auto"/>
            <w:right w:val="none" w:sz="0" w:space="0" w:color="auto"/>
          </w:divBdr>
        </w:div>
        <w:div w:id="178205885">
          <w:marLeft w:val="0"/>
          <w:marRight w:val="0"/>
          <w:marTop w:val="300"/>
          <w:marBottom w:val="300"/>
          <w:divBdr>
            <w:top w:val="none" w:sz="0" w:space="0" w:color="auto"/>
            <w:left w:val="none" w:sz="0" w:space="0" w:color="auto"/>
            <w:bottom w:val="none" w:sz="0" w:space="0" w:color="auto"/>
            <w:right w:val="none" w:sz="0" w:space="0" w:color="auto"/>
          </w:divBdr>
        </w:div>
        <w:div w:id="1037240873">
          <w:marLeft w:val="0"/>
          <w:marRight w:val="0"/>
          <w:marTop w:val="300"/>
          <w:marBottom w:val="300"/>
          <w:divBdr>
            <w:top w:val="none" w:sz="0" w:space="0" w:color="auto"/>
            <w:left w:val="none" w:sz="0" w:space="0" w:color="auto"/>
            <w:bottom w:val="none" w:sz="0" w:space="0" w:color="auto"/>
            <w:right w:val="none" w:sz="0" w:space="0" w:color="auto"/>
          </w:divBdr>
        </w:div>
        <w:div w:id="1146094692">
          <w:marLeft w:val="0"/>
          <w:marRight w:val="0"/>
          <w:marTop w:val="0"/>
          <w:marBottom w:val="0"/>
          <w:divBdr>
            <w:top w:val="none" w:sz="0" w:space="0" w:color="auto"/>
            <w:left w:val="none" w:sz="0" w:space="0" w:color="auto"/>
            <w:bottom w:val="none" w:sz="0" w:space="0" w:color="auto"/>
            <w:right w:val="none" w:sz="0" w:space="0" w:color="auto"/>
          </w:divBdr>
          <w:divsChild>
            <w:div w:id="1646279969">
              <w:marLeft w:val="0"/>
              <w:marRight w:val="0"/>
              <w:marTop w:val="0"/>
              <w:marBottom w:val="0"/>
              <w:divBdr>
                <w:top w:val="none" w:sz="0" w:space="0" w:color="auto"/>
                <w:left w:val="none" w:sz="0" w:space="0" w:color="auto"/>
                <w:bottom w:val="none" w:sz="0" w:space="0" w:color="auto"/>
                <w:right w:val="none" w:sz="0" w:space="0" w:color="auto"/>
              </w:divBdr>
            </w:div>
          </w:divsChild>
        </w:div>
        <w:div w:id="705526493">
          <w:marLeft w:val="0"/>
          <w:marRight w:val="0"/>
          <w:marTop w:val="0"/>
          <w:marBottom w:val="0"/>
          <w:divBdr>
            <w:top w:val="none" w:sz="0" w:space="0" w:color="auto"/>
            <w:left w:val="none" w:sz="0" w:space="0" w:color="auto"/>
            <w:bottom w:val="none" w:sz="0" w:space="0" w:color="auto"/>
            <w:right w:val="none" w:sz="0" w:space="0" w:color="auto"/>
          </w:divBdr>
          <w:divsChild>
            <w:div w:id="138806236">
              <w:marLeft w:val="0"/>
              <w:marRight w:val="0"/>
              <w:marTop w:val="0"/>
              <w:marBottom w:val="0"/>
              <w:divBdr>
                <w:top w:val="none" w:sz="0" w:space="0" w:color="auto"/>
                <w:left w:val="none" w:sz="0" w:space="0" w:color="auto"/>
                <w:bottom w:val="none" w:sz="0" w:space="0" w:color="auto"/>
                <w:right w:val="none" w:sz="0" w:space="0" w:color="auto"/>
              </w:divBdr>
            </w:div>
          </w:divsChild>
        </w:div>
        <w:div w:id="465240087">
          <w:marLeft w:val="0"/>
          <w:marRight w:val="0"/>
          <w:marTop w:val="0"/>
          <w:marBottom w:val="0"/>
          <w:divBdr>
            <w:top w:val="none" w:sz="0" w:space="0" w:color="auto"/>
            <w:left w:val="none" w:sz="0" w:space="0" w:color="auto"/>
            <w:bottom w:val="none" w:sz="0" w:space="0" w:color="auto"/>
            <w:right w:val="none" w:sz="0" w:space="0" w:color="auto"/>
          </w:divBdr>
          <w:divsChild>
            <w:div w:id="369887477">
              <w:marLeft w:val="0"/>
              <w:marRight w:val="0"/>
              <w:marTop w:val="0"/>
              <w:marBottom w:val="0"/>
              <w:divBdr>
                <w:top w:val="none" w:sz="0" w:space="0" w:color="auto"/>
                <w:left w:val="none" w:sz="0" w:space="0" w:color="auto"/>
                <w:bottom w:val="none" w:sz="0" w:space="0" w:color="auto"/>
                <w:right w:val="none" w:sz="0" w:space="0" w:color="auto"/>
              </w:divBdr>
            </w:div>
          </w:divsChild>
        </w:div>
        <w:div w:id="1995833442">
          <w:marLeft w:val="0"/>
          <w:marRight w:val="0"/>
          <w:marTop w:val="300"/>
          <w:marBottom w:val="300"/>
          <w:divBdr>
            <w:top w:val="none" w:sz="0" w:space="0" w:color="auto"/>
            <w:left w:val="none" w:sz="0" w:space="0" w:color="auto"/>
            <w:bottom w:val="none" w:sz="0" w:space="0" w:color="auto"/>
            <w:right w:val="none" w:sz="0" w:space="0" w:color="auto"/>
          </w:divBdr>
        </w:div>
        <w:div w:id="1244804550">
          <w:marLeft w:val="0"/>
          <w:marRight w:val="0"/>
          <w:marTop w:val="0"/>
          <w:marBottom w:val="0"/>
          <w:divBdr>
            <w:top w:val="none" w:sz="0" w:space="0" w:color="auto"/>
            <w:left w:val="none" w:sz="0" w:space="0" w:color="auto"/>
            <w:bottom w:val="none" w:sz="0" w:space="0" w:color="auto"/>
            <w:right w:val="none" w:sz="0" w:space="0" w:color="auto"/>
          </w:divBdr>
          <w:divsChild>
            <w:div w:id="1039360739">
              <w:marLeft w:val="0"/>
              <w:marRight w:val="0"/>
              <w:marTop w:val="0"/>
              <w:marBottom w:val="0"/>
              <w:divBdr>
                <w:top w:val="none" w:sz="0" w:space="0" w:color="auto"/>
                <w:left w:val="none" w:sz="0" w:space="0" w:color="auto"/>
                <w:bottom w:val="none" w:sz="0" w:space="0" w:color="auto"/>
                <w:right w:val="none" w:sz="0" w:space="0" w:color="auto"/>
              </w:divBdr>
            </w:div>
          </w:divsChild>
        </w:div>
        <w:div w:id="1204832885">
          <w:marLeft w:val="0"/>
          <w:marRight w:val="0"/>
          <w:marTop w:val="0"/>
          <w:marBottom w:val="0"/>
          <w:divBdr>
            <w:top w:val="none" w:sz="0" w:space="0" w:color="auto"/>
            <w:left w:val="none" w:sz="0" w:space="0" w:color="auto"/>
            <w:bottom w:val="none" w:sz="0" w:space="0" w:color="auto"/>
            <w:right w:val="none" w:sz="0" w:space="0" w:color="auto"/>
          </w:divBdr>
          <w:divsChild>
            <w:div w:id="119886652">
              <w:marLeft w:val="0"/>
              <w:marRight w:val="0"/>
              <w:marTop w:val="0"/>
              <w:marBottom w:val="0"/>
              <w:divBdr>
                <w:top w:val="none" w:sz="0" w:space="0" w:color="auto"/>
                <w:left w:val="none" w:sz="0" w:space="0" w:color="auto"/>
                <w:bottom w:val="none" w:sz="0" w:space="0" w:color="auto"/>
                <w:right w:val="none" w:sz="0" w:space="0" w:color="auto"/>
              </w:divBdr>
            </w:div>
          </w:divsChild>
        </w:div>
        <w:div w:id="248776770">
          <w:marLeft w:val="0"/>
          <w:marRight w:val="0"/>
          <w:marTop w:val="0"/>
          <w:marBottom w:val="0"/>
          <w:divBdr>
            <w:top w:val="none" w:sz="0" w:space="0" w:color="auto"/>
            <w:left w:val="none" w:sz="0" w:space="0" w:color="auto"/>
            <w:bottom w:val="none" w:sz="0" w:space="0" w:color="auto"/>
            <w:right w:val="none" w:sz="0" w:space="0" w:color="auto"/>
          </w:divBdr>
          <w:divsChild>
            <w:div w:id="254675605">
              <w:marLeft w:val="0"/>
              <w:marRight w:val="0"/>
              <w:marTop w:val="0"/>
              <w:marBottom w:val="0"/>
              <w:divBdr>
                <w:top w:val="none" w:sz="0" w:space="0" w:color="auto"/>
                <w:left w:val="none" w:sz="0" w:space="0" w:color="auto"/>
                <w:bottom w:val="none" w:sz="0" w:space="0" w:color="auto"/>
                <w:right w:val="none" w:sz="0" w:space="0" w:color="auto"/>
              </w:divBdr>
            </w:div>
          </w:divsChild>
        </w:div>
        <w:div w:id="312100633">
          <w:marLeft w:val="0"/>
          <w:marRight w:val="0"/>
          <w:marTop w:val="0"/>
          <w:marBottom w:val="0"/>
          <w:divBdr>
            <w:top w:val="none" w:sz="0" w:space="0" w:color="auto"/>
            <w:left w:val="none" w:sz="0" w:space="0" w:color="auto"/>
            <w:bottom w:val="none" w:sz="0" w:space="0" w:color="auto"/>
            <w:right w:val="none" w:sz="0" w:space="0" w:color="auto"/>
          </w:divBdr>
          <w:divsChild>
            <w:div w:id="1627814297">
              <w:marLeft w:val="0"/>
              <w:marRight w:val="0"/>
              <w:marTop w:val="0"/>
              <w:marBottom w:val="0"/>
              <w:divBdr>
                <w:top w:val="none" w:sz="0" w:space="0" w:color="auto"/>
                <w:left w:val="none" w:sz="0" w:space="0" w:color="auto"/>
                <w:bottom w:val="none" w:sz="0" w:space="0" w:color="auto"/>
                <w:right w:val="none" w:sz="0" w:space="0" w:color="auto"/>
              </w:divBdr>
            </w:div>
          </w:divsChild>
        </w:div>
        <w:div w:id="1951155833">
          <w:marLeft w:val="0"/>
          <w:marRight w:val="0"/>
          <w:marTop w:val="0"/>
          <w:marBottom w:val="0"/>
          <w:divBdr>
            <w:top w:val="none" w:sz="0" w:space="0" w:color="auto"/>
            <w:left w:val="none" w:sz="0" w:space="0" w:color="auto"/>
            <w:bottom w:val="none" w:sz="0" w:space="0" w:color="auto"/>
            <w:right w:val="none" w:sz="0" w:space="0" w:color="auto"/>
          </w:divBdr>
          <w:divsChild>
            <w:div w:id="839083468">
              <w:marLeft w:val="0"/>
              <w:marRight w:val="0"/>
              <w:marTop w:val="0"/>
              <w:marBottom w:val="0"/>
              <w:divBdr>
                <w:top w:val="none" w:sz="0" w:space="0" w:color="auto"/>
                <w:left w:val="none" w:sz="0" w:space="0" w:color="auto"/>
                <w:bottom w:val="none" w:sz="0" w:space="0" w:color="auto"/>
                <w:right w:val="none" w:sz="0" w:space="0" w:color="auto"/>
              </w:divBdr>
            </w:div>
          </w:divsChild>
        </w:div>
        <w:div w:id="825244774">
          <w:marLeft w:val="0"/>
          <w:marRight w:val="0"/>
          <w:marTop w:val="300"/>
          <w:marBottom w:val="300"/>
          <w:divBdr>
            <w:top w:val="none" w:sz="0" w:space="0" w:color="auto"/>
            <w:left w:val="none" w:sz="0" w:space="0" w:color="auto"/>
            <w:bottom w:val="none" w:sz="0" w:space="0" w:color="auto"/>
            <w:right w:val="none" w:sz="0" w:space="0" w:color="auto"/>
          </w:divBdr>
        </w:div>
        <w:div w:id="1899827175">
          <w:marLeft w:val="0"/>
          <w:marRight w:val="0"/>
          <w:marTop w:val="0"/>
          <w:marBottom w:val="0"/>
          <w:divBdr>
            <w:top w:val="none" w:sz="0" w:space="0" w:color="auto"/>
            <w:left w:val="none" w:sz="0" w:space="0" w:color="auto"/>
            <w:bottom w:val="none" w:sz="0" w:space="0" w:color="auto"/>
            <w:right w:val="none" w:sz="0" w:space="0" w:color="auto"/>
          </w:divBdr>
          <w:divsChild>
            <w:div w:id="496654492">
              <w:marLeft w:val="0"/>
              <w:marRight w:val="0"/>
              <w:marTop w:val="0"/>
              <w:marBottom w:val="0"/>
              <w:divBdr>
                <w:top w:val="none" w:sz="0" w:space="0" w:color="auto"/>
                <w:left w:val="none" w:sz="0" w:space="0" w:color="auto"/>
                <w:bottom w:val="none" w:sz="0" w:space="0" w:color="auto"/>
                <w:right w:val="none" w:sz="0" w:space="0" w:color="auto"/>
              </w:divBdr>
            </w:div>
          </w:divsChild>
        </w:div>
        <w:div w:id="1088379521">
          <w:marLeft w:val="0"/>
          <w:marRight w:val="0"/>
          <w:marTop w:val="0"/>
          <w:marBottom w:val="0"/>
          <w:divBdr>
            <w:top w:val="none" w:sz="0" w:space="0" w:color="auto"/>
            <w:left w:val="none" w:sz="0" w:space="0" w:color="auto"/>
            <w:bottom w:val="none" w:sz="0" w:space="0" w:color="auto"/>
            <w:right w:val="none" w:sz="0" w:space="0" w:color="auto"/>
          </w:divBdr>
          <w:divsChild>
            <w:div w:id="609236994">
              <w:marLeft w:val="0"/>
              <w:marRight w:val="0"/>
              <w:marTop w:val="0"/>
              <w:marBottom w:val="0"/>
              <w:divBdr>
                <w:top w:val="none" w:sz="0" w:space="0" w:color="auto"/>
                <w:left w:val="none" w:sz="0" w:space="0" w:color="auto"/>
                <w:bottom w:val="none" w:sz="0" w:space="0" w:color="auto"/>
                <w:right w:val="none" w:sz="0" w:space="0" w:color="auto"/>
              </w:divBdr>
            </w:div>
          </w:divsChild>
        </w:div>
        <w:div w:id="510068580">
          <w:marLeft w:val="0"/>
          <w:marRight w:val="0"/>
          <w:marTop w:val="0"/>
          <w:marBottom w:val="0"/>
          <w:divBdr>
            <w:top w:val="none" w:sz="0" w:space="0" w:color="auto"/>
            <w:left w:val="none" w:sz="0" w:space="0" w:color="auto"/>
            <w:bottom w:val="none" w:sz="0" w:space="0" w:color="auto"/>
            <w:right w:val="none" w:sz="0" w:space="0" w:color="auto"/>
          </w:divBdr>
          <w:divsChild>
            <w:div w:id="674841509">
              <w:marLeft w:val="0"/>
              <w:marRight w:val="0"/>
              <w:marTop w:val="0"/>
              <w:marBottom w:val="0"/>
              <w:divBdr>
                <w:top w:val="none" w:sz="0" w:space="0" w:color="auto"/>
                <w:left w:val="none" w:sz="0" w:space="0" w:color="auto"/>
                <w:bottom w:val="none" w:sz="0" w:space="0" w:color="auto"/>
                <w:right w:val="none" w:sz="0" w:space="0" w:color="auto"/>
              </w:divBdr>
            </w:div>
          </w:divsChild>
        </w:div>
        <w:div w:id="569773520">
          <w:marLeft w:val="0"/>
          <w:marRight w:val="0"/>
          <w:marTop w:val="0"/>
          <w:marBottom w:val="0"/>
          <w:divBdr>
            <w:top w:val="none" w:sz="0" w:space="0" w:color="auto"/>
            <w:left w:val="none" w:sz="0" w:space="0" w:color="auto"/>
            <w:bottom w:val="none" w:sz="0" w:space="0" w:color="auto"/>
            <w:right w:val="none" w:sz="0" w:space="0" w:color="auto"/>
          </w:divBdr>
          <w:divsChild>
            <w:div w:id="299582323">
              <w:marLeft w:val="0"/>
              <w:marRight w:val="0"/>
              <w:marTop w:val="0"/>
              <w:marBottom w:val="0"/>
              <w:divBdr>
                <w:top w:val="none" w:sz="0" w:space="0" w:color="auto"/>
                <w:left w:val="none" w:sz="0" w:space="0" w:color="auto"/>
                <w:bottom w:val="none" w:sz="0" w:space="0" w:color="auto"/>
                <w:right w:val="none" w:sz="0" w:space="0" w:color="auto"/>
              </w:divBdr>
            </w:div>
          </w:divsChild>
        </w:div>
        <w:div w:id="1108889000">
          <w:marLeft w:val="0"/>
          <w:marRight w:val="0"/>
          <w:marTop w:val="0"/>
          <w:marBottom w:val="0"/>
          <w:divBdr>
            <w:top w:val="none" w:sz="0" w:space="0" w:color="auto"/>
            <w:left w:val="none" w:sz="0" w:space="0" w:color="auto"/>
            <w:bottom w:val="none" w:sz="0" w:space="0" w:color="auto"/>
            <w:right w:val="none" w:sz="0" w:space="0" w:color="auto"/>
          </w:divBdr>
          <w:divsChild>
            <w:div w:id="2037387110">
              <w:marLeft w:val="0"/>
              <w:marRight w:val="0"/>
              <w:marTop w:val="0"/>
              <w:marBottom w:val="0"/>
              <w:divBdr>
                <w:top w:val="none" w:sz="0" w:space="0" w:color="auto"/>
                <w:left w:val="none" w:sz="0" w:space="0" w:color="auto"/>
                <w:bottom w:val="none" w:sz="0" w:space="0" w:color="auto"/>
                <w:right w:val="none" w:sz="0" w:space="0" w:color="auto"/>
              </w:divBdr>
            </w:div>
          </w:divsChild>
        </w:div>
        <w:div w:id="1289436834">
          <w:marLeft w:val="0"/>
          <w:marRight w:val="0"/>
          <w:marTop w:val="300"/>
          <w:marBottom w:val="300"/>
          <w:divBdr>
            <w:top w:val="none" w:sz="0" w:space="0" w:color="auto"/>
            <w:left w:val="none" w:sz="0" w:space="0" w:color="auto"/>
            <w:bottom w:val="none" w:sz="0" w:space="0" w:color="auto"/>
            <w:right w:val="none" w:sz="0" w:space="0" w:color="auto"/>
          </w:divBdr>
        </w:div>
        <w:div w:id="1692956264">
          <w:marLeft w:val="0"/>
          <w:marRight w:val="0"/>
          <w:marTop w:val="0"/>
          <w:marBottom w:val="0"/>
          <w:divBdr>
            <w:top w:val="none" w:sz="0" w:space="0" w:color="auto"/>
            <w:left w:val="none" w:sz="0" w:space="0" w:color="auto"/>
            <w:bottom w:val="none" w:sz="0" w:space="0" w:color="auto"/>
            <w:right w:val="none" w:sz="0" w:space="0" w:color="auto"/>
          </w:divBdr>
          <w:divsChild>
            <w:div w:id="1603143213">
              <w:marLeft w:val="0"/>
              <w:marRight w:val="0"/>
              <w:marTop w:val="0"/>
              <w:marBottom w:val="0"/>
              <w:divBdr>
                <w:top w:val="none" w:sz="0" w:space="0" w:color="auto"/>
                <w:left w:val="none" w:sz="0" w:space="0" w:color="auto"/>
                <w:bottom w:val="none" w:sz="0" w:space="0" w:color="auto"/>
                <w:right w:val="none" w:sz="0" w:space="0" w:color="auto"/>
              </w:divBdr>
            </w:div>
          </w:divsChild>
        </w:div>
        <w:div w:id="495805037">
          <w:marLeft w:val="0"/>
          <w:marRight w:val="0"/>
          <w:marTop w:val="300"/>
          <w:marBottom w:val="300"/>
          <w:divBdr>
            <w:top w:val="none" w:sz="0" w:space="0" w:color="auto"/>
            <w:left w:val="none" w:sz="0" w:space="0" w:color="auto"/>
            <w:bottom w:val="none" w:sz="0" w:space="0" w:color="auto"/>
            <w:right w:val="none" w:sz="0" w:space="0" w:color="auto"/>
          </w:divBdr>
        </w:div>
        <w:div w:id="662048842">
          <w:marLeft w:val="0"/>
          <w:marRight w:val="0"/>
          <w:marTop w:val="300"/>
          <w:marBottom w:val="300"/>
          <w:divBdr>
            <w:top w:val="none" w:sz="0" w:space="0" w:color="auto"/>
            <w:left w:val="none" w:sz="0" w:space="0" w:color="auto"/>
            <w:bottom w:val="none" w:sz="0" w:space="0" w:color="auto"/>
            <w:right w:val="none" w:sz="0" w:space="0" w:color="auto"/>
          </w:divBdr>
        </w:div>
        <w:div w:id="1899900567">
          <w:marLeft w:val="0"/>
          <w:marRight w:val="0"/>
          <w:marTop w:val="300"/>
          <w:marBottom w:val="300"/>
          <w:divBdr>
            <w:top w:val="none" w:sz="0" w:space="0" w:color="auto"/>
            <w:left w:val="none" w:sz="0" w:space="0" w:color="auto"/>
            <w:bottom w:val="none" w:sz="0" w:space="0" w:color="auto"/>
            <w:right w:val="none" w:sz="0" w:space="0" w:color="auto"/>
          </w:divBdr>
        </w:div>
        <w:div w:id="1888910932">
          <w:marLeft w:val="0"/>
          <w:marRight w:val="0"/>
          <w:marTop w:val="300"/>
          <w:marBottom w:val="300"/>
          <w:divBdr>
            <w:top w:val="none" w:sz="0" w:space="0" w:color="auto"/>
            <w:left w:val="none" w:sz="0" w:space="0" w:color="auto"/>
            <w:bottom w:val="none" w:sz="0" w:space="0" w:color="auto"/>
            <w:right w:val="none" w:sz="0" w:space="0" w:color="auto"/>
          </w:divBdr>
        </w:div>
        <w:div w:id="466313694">
          <w:marLeft w:val="0"/>
          <w:marRight w:val="0"/>
          <w:marTop w:val="300"/>
          <w:marBottom w:val="300"/>
          <w:divBdr>
            <w:top w:val="none" w:sz="0" w:space="0" w:color="auto"/>
            <w:left w:val="none" w:sz="0" w:space="0" w:color="auto"/>
            <w:bottom w:val="none" w:sz="0" w:space="0" w:color="auto"/>
            <w:right w:val="none" w:sz="0" w:space="0" w:color="auto"/>
          </w:divBdr>
        </w:div>
        <w:div w:id="124008755">
          <w:marLeft w:val="0"/>
          <w:marRight w:val="0"/>
          <w:marTop w:val="0"/>
          <w:marBottom w:val="0"/>
          <w:divBdr>
            <w:top w:val="none" w:sz="0" w:space="0" w:color="auto"/>
            <w:left w:val="none" w:sz="0" w:space="0" w:color="auto"/>
            <w:bottom w:val="none" w:sz="0" w:space="0" w:color="auto"/>
            <w:right w:val="none" w:sz="0" w:space="0" w:color="auto"/>
          </w:divBdr>
          <w:divsChild>
            <w:div w:id="603459021">
              <w:marLeft w:val="0"/>
              <w:marRight w:val="0"/>
              <w:marTop w:val="0"/>
              <w:marBottom w:val="0"/>
              <w:divBdr>
                <w:top w:val="none" w:sz="0" w:space="0" w:color="auto"/>
                <w:left w:val="none" w:sz="0" w:space="0" w:color="auto"/>
                <w:bottom w:val="none" w:sz="0" w:space="0" w:color="auto"/>
                <w:right w:val="none" w:sz="0" w:space="0" w:color="auto"/>
              </w:divBdr>
            </w:div>
          </w:divsChild>
        </w:div>
        <w:div w:id="422457862">
          <w:marLeft w:val="0"/>
          <w:marRight w:val="0"/>
          <w:marTop w:val="0"/>
          <w:marBottom w:val="0"/>
          <w:divBdr>
            <w:top w:val="none" w:sz="0" w:space="0" w:color="auto"/>
            <w:left w:val="none" w:sz="0" w:space="0" w:color="auto"/>
            <w:bottom w:val="none" w:sz="0" w:space="0" w:color="auto"/>
            <w:right w:val="none" w:sz="0" w:space="0" w:color="auto"/>
          </w:divBdr>
          <w:divsChild>
            <w:div w:id="77989719">
              <w:marLeft w:val="0"/>
              <w:marRight w:val="0"/>
              <w:marTop w:val="0"/>
              <w:marBottom w:val="0"/>
              <w:divBdr>
                <w:top w:val="none" w:sz="0" w:space="0" w:color="auto"/>
                <w:left w:val="none" w:sz="0" w:space="0" w:color="auto"/>
                <w:bottom w:val="none" w:sz="0" w:space="0" w:color="auto"/>
                <w:right w:val="none" w:sz="0" w:space="0" w:color="auto"/>
              </w:divBdr>
            </w:div>
          </w:divsChild>
        </w:div>
        <w:div w:id="814949154">
          <w:marLeft w:val="0"/>
          <w:marRight w:val="0"/>
          <w:marTop w:val="0"/>
          <w:marBottom w:val="0"/>
          <w:divBdr>
            <w:top w:val="none" w:sz="0" w:space="0" w:color="auto"/>
            <w:left w:val="none" w:sz="0" w:space="0" w:color="auto"/>
            <w:bottom w:val="none" w:sz="0" w:space="0" w:color="auto"/>
            <w:right w:val="none" w:sz="0" w:space="0" w:color="auto"/>
          </w:divBdr>
          <w:divsChild>
            <w:div w:id="756438784">
              <w:marLeft w:val="0"/>
              <w:marRight w:val="0"/>
              <w:marTop w:val="0"/>
              <w:marBottom w:val="0"/>
              <w:divBdr>
                <w:top w:val="none" w:sz="0" w:space="0" w:color="auto"/>
                <w:left w:val="none" w:sz="0" w:space="0" w:color="auto"/>
                <w:bottom w:val="none" w:sz="0" w:space="0" w:color="auto"/>
                <w:right w:val="none" w:sz="0" w:space="0" w:color="auto"/>
              </w:divBdr>
            </w:div>
          </w:divsChild>
        </w:div>
        <w:div w:id="76220400">
          <w:marLeft w:val="0"/>
          <w:marRight w:val="0"/>
          <w:marTop w:val="0"/>
          <w:marBottom w:val="0"/>
          <w:divBdr>
            <w:top w:val="none" w:sz="0" w:space="0" w:color="auto"/>
            <w:left w:val="none" w:sz="0" w:space="0" w:color="auto"/>
            <w:bottom w:val="none" w:sz="0" w:space="0" w:color="auto"/>
            <w:right w:val="none" w:sz="0" w:space="0" w:color="auto"/>
          </w:divBdr>
          <w:divsChild>
            <w:div w:id="1516652859">
              <w:marLeft w:val="0"/>
              <w:marRight w:val="0"/>
              <w:marTop w:val="0"/>
              <w:marBottom w:val="0"/>
              <w:divBdr>
                <w:top w:val="none" w:sz="0" w:space="0" w:color="auto"/>
                <w:left w:val="none" w:sz="0" w:space="0" w:color="auto"/>
                <w:bottom w:val="none" w:sz="0" w:space="0" w:color="auto"/>
                <w:right w:val="none" w:sz="0" w:space="0" w:color="auto"/>
              </w:divBdr>
            </w:div>
          </w:divsChild>
        </w:div>
        <w:div w:id="2142114876">
          <w:marLeft w:val="0"/>
          <w:marRight w:val="0"/>
          <w:marTop w:val="0"/>
          <w:marBottom w:val="0"/>
          <w:divBdr>
            <w:top w:val="none" w:sz="0" w:space="0" w:color="auto"/>
            <w:left w:val="none" w:sz="0" w:space="0" w:color="auto"/>
            <w:bottom w:val="none" w:sz="0" w:space="0" w:color="auto"/>
            <w:right w:val="none" w:sz="0" w:space="0" w:color="auto"/>
          </w:divBdr>
          <w:divsChild>
            <w:div w:id="71128166">
              <w:marLeft w:val="0"/>
              <w:marRight w:val="0"/>
              <w:marTop w:val="0"/>
              <w:marBottom w:val="0"/>
              <w:divBdr>
                <w:top w:val="none" w:sz="0" w:space="0" w:color="auto"/>
                <w:left w:val="none" w:sz="0" w:space="0" w:color="auto"/>
                <w:bottom w:val="none" w:sz="0" w:space="0" w:color="auto"/>
                <w:right w:val="none" w:sz="0" w:space="0" w:color="auto"/>
              </w:divBdr>
            </w:div>
          </w:divsChild>
        </w:div>
        <w:div w:id="1604721869">
          <w:marLeft w:val="0"/>
          <w:marRight w:val="0"/>
          <w:marTop w:val="0"/>
          <w:marBottom w:val="0"/>
          <w:divBdr>
            <w:top w:val="none" w:sz="0" w:space="0" w:color="auto"/>
            <w:left w:val="none" w:sz="0" w:space="0" w:color="auto"/>
            <w:bottom w:val="none" w:sz="0" w:space="0" w:color="auto"/>
            <w:right w:val="none" w:sz="0" w:space="0" w:color="auto"/>
          </w:divBdr>
          <w:divsChild>
            <w:div w:id="1617520550">
              <w:marLeft w:val="0"/>
              <w:marRight w:val="0"/>
              <w:marTop w:val="0"/>
              <w:marBottom w:val="0"/>
              <w:divBdr>
                <w:top w:val="none" w:sz="0" w:space="0" w:color="auto"/>
                <w:left w:val="none" w:sz="0" w:space="0" w:color="auto"/>
                <w:bottom w:val="none" w:sz="0" w:space="0" w:color="auto"/>
                <w:right w:val="none" w:sz="0" w:space="0" w:color="auto"/>
              </w:divBdr>
            </w:div>
          </w:divsChild>
        </w:div>
        <w:div w:id="580453672">
          <w:marLeft w:val="0"/>
          <w:marRight w:val="0"/>
          <w:marTop w:val="0"/>
          <w:marBottom w:val="0"/>
          <w:divBdr>
            <w:top w:val="none" w:sz="0" w:space="0" w:color="auto"/>
            <w:left w:val="none" w:sz="0" w:space="0" w:color="auto"/>
            <w:bottom w:val="none" w:sz="0" w:space="0" w:color="auto"/>
            <w:right w:val="none" w:sz="0" w:space="0" w:color="auto"/>
          </w:divBdr>
          <w:divsChild>
            <w:div w:id="9449640">
              <w:marLeft w:val="0"/>
              <w:marRight w:val="0"/>
              <w:marTop w:val="0"/>
              <w:marBottom w:val="0"/>
              <w:divBdr>
                <w:top w:val="none" w:sz="0" w:space="0" w:color="auto"/>
                <w:left w:val="none" w:sz="0" w:space="0" w:color="auto"/>
                <w:bottom w:val="none" w:sz="0" w:space="0" w:color="auto"/>
                <w:right w:val="none" w:sz="0" w:space="0" w:color="auto"/>
              </w:divBdr>
            </w:div>
          </w:divsChild>
        </w:div>
        <w:div w:id="1677922833">
          <w:marLeft w:val="0"/>
          <w:marRight w:val="0"/>
          <w:marTop w:val="300"/>
          <w:marBottom w:val="300"/>
          <w:divBdr>
            <w:top w:val="none" w:sz="0" w:space="0" w:color="auto"/>
            <w:left w:val="none" w:sz="0" w:space="0" w:color="auto"/>
            <w:bottom w:val="none" w:sz="0" w:space="0" w:color="auto"/>
            <w:right w:val="none" w:sz="0" w:space="0" w:color="auto"/>
          </w:divBdr>
        </w:div>
        <w:div w:id="718747288">
          <w:marLeft w:val="0"/>
          <w:marRight w:val="0"/>
          <w:marTop w:val="0"/>
          <w:marBottom w:val="0"/>
          <w:divBdr>
            <w:top w:val="none" w:sz="0" w:space="0" w:color="auto"/>
            <w:left w:val="none" w:sz="0" w:space="0" w:color="auto"/>
            <w:bottom w:val="none" w:sz="0" w:space="0" w:color="auto"/>
            <w:right w:val="none" w:sz="0" w:space="0" w:color="auto"/>
          </w:divBdr>
          <w:divsChild>
            <w:div w:id="274561337">
              <w:marLeft w:val="0"/>
              <w:marRight w:val="0"/>
              <w:marTop w:val="0"/>
              <w:marBottom w:val="0"/>
              <w:divBdr>
                <w:top w:val="none" w:sz="0" w:space="0" w:color="auto"/>
                <w:left w:val="none" w:sz="0" w:space="0" w:color="auto"/>
                <w:bottom w:val="none" w:sz="0" w:space="0" w:color="auto"/>
                <w:right w:val="none" w:sz="0" w:space="0" w:color="auto"/>
              </w:divBdr>
            </w:div>
          </w:divsChild>
        </w:div>
        <w:div w:id="305165218">
          <w:marLeft w:val="0"/>
          <w:marRight w:val="0"/>
          <w:marTop w:val="0"/>
          <w:marBottom w:val="0"/>
          <w:divBdr>
            <w:top w:val="none" w:sz="0" w:space="0" w:color="auto"/>
            <w:left w:val="none" w:sz="0" w:space="0" w:color="auto"/>
            <w:bottom w:val="none" w:sz="0" w:space="0" w:color="auto"/>
            <w:right w:val="none" w:sz="0" w:space="0" w:color="auto"/>
          </w:divBdr>
          <w:divsChild>
            <w:div w:id="204874748">
              <w:marLeft w:val="0"/>
              <w:marRight w:val="0"/>
              <w:marTop w:val="0"/>
              <w:marBottom w:val="0"/>
              <w:divBdr>
                <w:top w:val="none" w:sz="0" w:space="0" w:color="auto"/>
                <w:left w:val="none" w:sz="0" w:space="0" w:color="auto"/>
                <w:bottom w:val="none" w:sz="0" w:space="0" w:color="auto"/>
                <w:right w:val="none" w:sz="0" w:space="0" w:color="auto"/>
              </w:divBdr>
            </w:div>
          </w:divsChild>
        </w:div>
        <w:div w:id="1552841327">
          <w:marLeft w:val="0"/>
          <w:marRight w:val="0"/>
          <w:marTop w:val="0"/>
          <w:marBottom w:val="0"/>
          <w:divBdr>
            <w:top w:val="none" w:sz="0" w:space="0" w:color="auto"/>
            <w:left w:val="none" w:sz="0" w:space="0" w:color="auto"/>
            <w:bottom w:val="none" w:sz="0" w:space="0" w:color="auto"/>
            <w:right w:val="none" w:sz="0" w:space="0" w:color="auto"/>
          </w:divBdr>
          <w:divsChild>
            <w:div w:id="989016130">
              <w:marLeft w:val="0"/>
              <w:marRight w:val="0"/>
              <w:marTop w:val="0"/>
              <w:marBottom w:val="0"/>
              <w:divBdr>
                <w:top w:val="none" w:sz="0" w:space="0" w:color="auto"/>
                <w:left w:val="none" w:sz="0" w:space="0" w:color="auto"/>
                <w:bottom w:val="none" w:sz="0" w:space="0" w:color="auto"/>
                <w:right w:val="none" w:sz="0" w:space="0" w:color="auto"/>
              </w:divBdr>
            </w:div>
          </w:divsChild>
        </w:div>
        <w:div w:id="1941177531">
          <w:marLeft w:val="0"/>
          <w:marRight w:val="0"/>
          <w:marTop w:val="0"/>
          <w:marBottom w:val="0"/>
          <w:divBdr>
            <w:top w:val="none" w:sz="0" w:space="0" w:color="auto"/>
            <w:left w:val="none" w:sz="0" w:space="0" w:color="auto"/>
            <w:bottom w:val="none" w:sz="0" w:space="0" w:color="auto"/>
            <w:right w:val="none" w:sz="0" w:space="0" w:color="auto"/>
          </w:divBdr>
          <w:divsChild>
            <w:div w:id="579215962">
              <w:marLeft w:val="0"/>
              <w:marRight w:val="0"/>
              <w:marTop w:val="0"/>
              <w:marBottom w:val="0"/>
              <w:divBdr>
                <w:top w:val="none" w:sz="0" w:space="0" w:color="auto"/>
                <w:left w:val="none" w:sz="0" w:space="0" w:color="auto"/>
                <w:bottom w:val="none" w:sz="0" w:space="0" w:color="auto"/>
                <w:right w:val="none" w:sz="0" w:space="0" w:color="auto"/>
              </w:divBdr>
            </w:div>
          </w:divsChild>
        </w:div>
        <w:div w:id="1956715246">
          <w:marLeft w:val="0"/>
          <w:marRight w:val="0"/>
          <w:marTop w:val="300"/>
          <w:marBottom w:val="300"/>
          <w:divBdr>
            <w:top w:val="none" w:sz="0" w:space="0" w:color="auto"/>
            <w:left w:val="none" w:sz="0" w:space="0" w:color="auto"/>
            <w:bottom w:val="none" w:sz="0" w:space="0" w:color="auto"/>
            <w:right w:val="none" w:sz="0" w:space="0" w:color="auto"/>
          </w:divBdr>
        </w:div>
        <w:div w:id="1926109309">
          <w:marLeft w:val="0"/>
          <w:marRight w:val="0"/>
          <w:marTop w:val="0"/>
          <w:marBottom w:val="0"/>
          <w:divBdr>
            <w:top w:val="none" w:sz="0" w:space="0" w:color="auto"/>
            <w:left w:val="none" w:sz="0" w:space="0" w:color="auto"/>
            <w:bottom w:val="none" w:sz="0" w:space="0" w:color="auto"/>
            <w:right w:val="none" w:sz="0" w:space="0" w:color="auto"/>
          </w:divBdr>
          <w:divsChild>
            <w:div w:id="1002122583">
              <w:marLeft w:val="0"/>
              <w:marRight w:val="0"/>
              <w:marTop w:val="0"/>
              <w:marBottom w:val="0"/>
              <w:divBdr>
                <w:top w:val="none" w:sz="0" w:space="0" w:color="auto"/>
                <w:left w:val="none" w:sz="0" w:space="0" w:color="auto"/>
                <w:bottom w:val="none" w:sz="0" w:space="0" w:color="auto"/>
                <w:right w:val="none" w:sz="0" w:space="0" w:color="auto"/>
              </w:divBdr>
            </w:div>
          </w:divsChild>
        </w:div>
        <w:div w:id="1361857961">
          <w:marLeft w:val="0"/>
          <w:marRight w:val="0"/>
          <w:marTop w:val="0"/>
          <w:marBottom w:val="0"/>
          <w:divBdr>
            <w:top w:val="none" w:sz="0" w:space="0" w:color="auto"/>
            <w:left w:val="none" w:sz="0" w:space="0" w:color="auto"/>
            <w:bottom w:val="none" w:sz="0" w:space="0" w:color="auto"/>
            <w:right w:val="none" w:sz="0" w:space="0" w:color="auto"/>
          </w:divBdr>
          <w:divsChild>
            <w:div w:id="1946842442">
              <w:marLeft w:val="0"/>
              <w:marRight w:val="0"/>
              <w:marTop w:val="0"/>
              <w:marBottom w:val="0"/>
              <w:divBdr>
                <w:top w:val="none" w:sz="0" w:space="0" w:color="auto"/>
                <w:left w:val="none" w:sz="0" w:space="0" w:color="auto"/>
                <w:bottom w:val="none" w:sz="0" w:space="0" w:color="auto"/>
                <w:right w:val="none" w:sz="0" w:space="0" w:color="auto"/>
              </w:divBdr>
            </w:div>
          </w:divsChild>
        </w:div>
        <w:div w:id="1478492741">
          <w:marLeft w:val="0"/>
          <w:marRight w:val="0"/>
          <w:marTop w:val="0"/>
          <w:marBottom w:val="0"/>
          <w:divBdr>
            <w:top w:val="none" w:sz="0" w:space="0" w:color="auto"/>
            <w:left w:val="none" w:sz="0" w:space="0" w:color="auto"/>
            <w:bottom w:val="none" w:sz="0" w:space="0" w:color="auto"/>
            <w:right w:val="none" w:sz="0" w:space="0" w:color="auto"/>
          </w:divBdr>
          <w:divsChild>
            <w:div w:id="1819573449">
              <w:marLeft w:val="0"/>
              <w:marRight w:val="0"/>
              <w:marTop w:val="0"/>
              <w:marBottom w:val="0"/>
              <w:divBdr>
                <w:top w:val="none" w:sz="0" w:space="0" w:color="auto"/>
                <w:left w:val="none" w:sz="0" w:space="0" w:color="auto"/>
                <w:bottom w:val="none" w:sz="0" w:space="0" w:color="auto"/>
                <w:right w:val="none" w:sz="0" w:space="0" w:color="auto"/>
              </w:divBdr>
            </w:div>
          </w:divsChild>
        </w:div>
        <w:div w:id="1078481143">
          <w:marLeft w:val="0"/>
          <w:marRight w:val="0"/>
          <w:marTop w:val="0"/>
          <w:marBottom w:val="0"/>
          <w:divBdr>
            <w:top w:val="none" w:sz="0" w:space="0" w:color="auto"/>
            <w:left w:val="none" w:sz="0" w:space="0" w:color="auto"/>
            <w:bottom w:val="none" w:sz="0" w:space="0" w:color="auto"/>
            <w:right w:val="none" w:sz="0" w:space="0" w:color="auto"/>
          </w:divBdr>
          <w:divsChild>
            <w:div w:id="554466074">
              <w:marLeft w:val="0"/>
              <w:marRight w:val="0"/>
              <w:marTop w:val="0"/>
              <w:marBottom w:val="0"/>
              <w:divBdr>
                <w:top w:val="none" w:sz="0" w:space="0" w:color="auto"/>
                <w:left w:val="none" w:sz="0" w:space="0" w:color="auto"/>
                <w:bottom w:val="none" w:sz="0" w:space="0" w:color="auto"/>
                <w:right w:val="none" w:sz="0" w:space="0" w:color="auto"/>
              </w:divBdr>
            </w:div>
          </w:divsChild>
        </w:div>
        <w:div w:id="1880707382">
          <w:marLeft w:val="0"/>
          <w:marRight w:val="0"/>
          <w:marTop w:val="0"/>
          <w:marBottom w:val="0"/>
          <w:divBdr>
            <w:top w:val="none" w:sz="0" w:space="0" w:color="auto"/>
            <w:left w:val="none" w:sz="0" w:space="0" w:color="auto"/>
            <w:bottom w:val="none" w:sz="0" w:space="0" w:color="auto"/>
            <w:right w:val="none" w:sz="0" w:space="0" w:color="auto"/>
          </w:divBdr>
          <w:divsChild>
            <w:div w:id="651370378">
              <w:marLeft w:val="0"/>
              <w:marRight w:val="0"/>
              <w:marTop w:val="0"/>
              <w:marBottom w:val="0"/>
              <w:divBdr>
                <w:top w:val="none" w:sz="0" w:space="0" w:color="auto"/>
                <w:left w:val="none" w:sz="0" w:space="0" w:color="auto"/>
                <w:bottom w:val="none" w:sz="0" w:space="0" w:color="auto"/>
                <w:right w:val="none" w:sz="0" w:space="0" w:color="auto"/>
              </w:divBdr>
            </w:div>
          </w:divsChild>
        </w:div>
        <w:div w:id="1473451253">
          <w:marLeft w:val="0"/>
          <w:marRight w:val="0"/>
          <w:marTop w:val="0"/>
          <w:marBottom w:val="0"/>
          <w:divBdr>
            <w:top w:val="none" w:sz="0" w:space="0" w:color="auto"/>
            <w:left w:val="none" w:sz="0" w:space="0" w:color="auto"/>
            <w:bottom w:val="none" w:sz="0" w:space="0" w:color="auto"/>
            <w:right w:val="none" w:sz="0" w:space="0" w:color="auto"/>
          </w:divBdr>
          <w:divsChild>
            <w:div w:id="496766495">
              <w:marLeft w:val="0"/>
              <w:marRight w:val="0"/>
              <w:marTop w:val="0"/>
              <w:marBottom w:val="0"/>
              <w:divBdr>
                <w:top w:val="none" w:sz="0" w:space="0" w:color="auto"/>
                <w:left w:val="none" w:sz="0" w:space="0" w:color="auto"/>
                <w:bottom w:val="none" w:sz="0" w:space="0" w:color="auto"/>
                <w:right w:val="none" w:sz="0" w:space="0" w:color="auto"/>
              </w:divBdr>
            </w:div>
          </w:divsChild>
        </w:div>
        <w:div w:id="216746820">
          <w:marLeft w:val="0"/>
          <w:marRight w:val="0"/>
          <w:marTop w:val="300"/>
          <w:marBottom w:val="300"/>
          <w:divBdr>
            <w:top w:val="none" w:sz="0" w:space="0" w:color="auto"/>
            <w:left w:val="none" w:sz="0" w:space="0" w:color="auto"/>
            <w:bottom w:val="none" w:sz="0" w:space="0" w:color="auto"/>
            <w:right w:val="none" w:sz="0" w:space="0" w:color="auto"/>
          </w:divBdr>
        </w:div>
        <w:div w:id="872957361">
          <w:marLeft w:val="0"/>
          <w:marRight w:val="0"/>
          <w:marTop w:val="0"/>
          <w:marBottom w:val="0"/>
          <w:divBdr>
            <w:top w:val="none" w:sz="0" w:space="0" w:color="auto"/>
            <w:left w:val="none" w:sz="0" w:space="0" w:color="auto"/>
            <w:bottom w:val="none" w:sz="0" w:space="0" w:color="auto"/>
            <w:right w:val="none" w:sz="0" w:space="0" w:color="auto"/>
          </w:divBdr>
          <w:divsChild>
            <w:div w:id="288634705">
              <w:marLeft w:val="0"/>
              <w:marRight w:val="0"/>
              <w:marTop w:val="0"/>
              <w:marBottom w:val="0"/>
              <w:divBdr>
                <w:top w:val="none" w:sz="0" w:space="0" w:color="auto"/>
                <w:left w:val="none" w:sz="0" w:space="0" w:color="auto"/>
                <w:bottom w:val="none" w:sz="0" w:space="0" w:color="auto"/>
                <w:right w:val="none" w:sz="0" w:space="0" w:color="auto"/>
              </w:divBdr>
            </w:div>
          </w:divsChild>
        </w:div>
        <w:div w:id="1767848677">
          <w:marLeft w:val="0"/>
          <w:marRight w:val="0"/>
          <w:marTop w:val="0"/>
          <w:marBottom w:val="0"/>
          <w:divBdr>
            <w:top w:val="none" w:sz="0" w:space="0" w:color="auto"/>
            <w:left w:val="none" w:sz="0" w:space="0" w:color="auto"/>
            <w:bottom w:val="none" w:sz="0" w:space="0" w:color="auto"/>
            <w:right w:val="none" w:sz="0" w:space="0" w:color="auto"/>
          </w:divBdr>
          <w:divsChild>
            <w:div w:id="852764257">
              <w:marLeft w:val="0"/>
              <w:marRight w:val="0"/>
              <w:marTop w:val="0"/>
              <w:marBottom w:val="0"/>
              <w:divBdr>
                <w:top w:val="none" w:sz="0" w:space="0" w:color="auto"/>
                <w:left w:val="none" w:sz="0" w:space="0" w:color="auto"/>
                <w:bottom w:val="none" w:sz="0" w:space="0" w:color="auto"/>
                <w:right w:val="none" w:sz="0" w:space="0" w:color="auto"/>
              </w:divBdr>
            </w:div>
          </w:divsChild>
        </w:div>
        <w:div w:id="949169363">
          <w:marLeft w:val="0"/>
          <w:marRight w:val="0"/>
          <w:marTop w:val="0"/>
          <w:marBottom w:val="0"/>
          <w:divBdr>
            <w:top w:val="none" w:sz="0" w:space="0" w:color="auto"/>
            <w:left w:val="none" w:sz="0" w:space="0" w:color="auto"/>
            <w:bottom w:val="none" w:sz="0" w:space="0" w:color="auto"/>
            <w:right w:val="none" w:sz="0" w:space="0" w:color="auto"/>
          </w:divBdr>
          <w:divsChild>
            <w:div w:id="2121679017">
              <w:marLeft w:val="0"/>
              <w:marRight w:val="0"/>
              <w:marTop w:val="0"/>
              <w:marBottom w:val="0"/>
              <w:divBdr>
                <w:top w:val="none" w:sz="0" w:space="0" w:color="auto"/>
                <w:left w:val="none" w:sz="0" w:space="0" w:color="auto"/>
                <w:bottom w:val="none" w:sz="0" w:space="0" w:color="auto"/>
                <w:right w:val="none" w:sz="0" w:space="0" w:color="auto"/>
              </w:divBdr>
            </w:div>
          </w:divsChild>
        </w:div>
        <w:div w:id="798495764">
          <w:marLeft w:val="0"/>
          <w:marRight w:val="0"/>
          <w:marTop w:val="300"/>
          <w:marBottom w:val="300"/>
          <w:divBdr>
            <w:top w:val="none" w:sz="0" w:space="0" w:color="auto"/>
            <w:left w:val="none" w:sz="0" w:space="0" w:color="auto"/>
            <w:bottom w:val="none" w:sz="0" w:space="0" w:color="auto"/>
            <w:right w:val="none" w:sz="0" w:space="0" w:color="auto"/>
          </w:divBdr>
        </w:div>
        <w:div w:id="867840057">
          <w:marLeft w:val="0"/>
          <w:marRight w:val="0"/>
          <w:marTop w:val="0"/>
          <w:marBottom w:val="0"/>
          <w:divBdr>
            <w:top w:val="none" w:sz="0" w:space="0" w:color="auto"/>
            <w:left w:val="none" w:sz="0" w:space="0" w:color="auto"/>
            <w:bottom w:val="none" w:sz="0" w:space="0" w:color="auto"/>
            <w:right w:val="none" w:sz="0" w:space="0" w:color="auto"/>
          </w:divBdr>
          <w:divsChild>
            <w:div w:id="1217740569">
              <w:marLeft w:val="0"/>
              <w:marRight w:val="0"/>
              <w:marTop w:val="0"/>
              <w:marBottom w:val="0"/>
              <w:divBdr>
                <w:top w:val="none" w:sz="0" w:space="0" w:color="auto"/>
                <w:left w:val="none" w:sz="0" w:space="0" w:color="auto"/>
                <w:bottom w:val="none" w:sz="0" w:space="0" w:color="auto"/>
                <w:right w:val="none" w:sz="0" w:space="0" w:color="auto"/>
              </w:divBdr>
            </w:div>
          </w:divsChild>
        </w:div>
        <w:div w:id="1028989038">
          <w:marLeft w:val="0"/>
          <w:marRight w:val="0"/>
          <w:marTop w:val="0"/>
          <w:marBottom w:val="0"/>
          <w:divBdr>
            <w:top w:val="none" w:sz="0" w:space="0" w:color="auto"/>
            <w:left w:val="none" w:sz="0" w:space="0" w:color="auto"/>
            <w:bottom w:val="none" w:sz="0" w:space="0" w:color="auto"/>
            <w:right w:val="none" w:sz="0" w:space="0" w:color="auto"/>
          </w:divBdr>
          <w:divsChild>
            <w:div w:id="341201587">
              <w:marLeft w:val="0"/>
              <w:marRight w:val="0"/>
              <w:marTop w:val="0"/>
              <w:marBottom w:val="0"/>
              <w:divBdr>
                <w:top w:val="none" w:sz="0" w:space="0" w:color="auto"/>
                <w:left w:val="none" w:sz="0" w:space="0" w:color="auto"/>
                <w:bottom w:val="none" w:sz="0" w:space="0" w:color="auto"/>
                <w:right w:val="none" w:sz="0" w:space="0" w:color="auto"/>
              </w:divBdr>
            </w:div>
          </w:divsChild>
        </w:div>
        <w:div w:id="589580443">
          <w:marLeft w:val="0"/>
          <w:marRight w:val="0"/>
          <w:marTop w:val="300"/>
          <w:marBottom w:val="300"/>
          <w:divBdr>
            <w:top w:val="none" w:sz="0" w:space="0" w:color="auto"/>
            <w:left w:val="none" w:sz="0" w:space="0" w:color="auto"/>
            <w:bottom w:val="none" w:sz="0" w:space="0" w:color="auto"/>
            <w:right w:val="none" w:sz="0" w:space="0" w:color="auto"/>
          </w:divBdr>
        </w:div>
        <w:div w:id="499664367">
          <w:marLeft w:val="0"/>
          <w:marRight w:val="0"/>
          <w:marTop w:val="0"/>
          <w:marBottom w:val="0"/>
          <w:divBdr>
            <w:top w:val="none" w:sz="0" w:space="0" w:color="auto"/>
            <w:left w:val="none" w:sz="0" w:space="0" w:color="auto"/>
            <w:bottom w:val="none" w:sz="0" w:space="0" w:color="auto"/>
            <w:right w:val="none" w:sz="0" w:space="0" w:color="auto"/>
          </w:divBdr>
          <w:divsChild>
            <w:div w:id="254753043">
              <w:marLeft w:val="0"/>
              <w:marRight w:val="0"/>
              <w:marTop w:val="0"/>
              <w:marBottom w:val="0"/>
              <w:divBdr>
                <w:top w:val="none" w:sz="0" w:space="0" w:color="auto"/>
                <w:left w:val="none" w:sz="0" w:space="0" w:color="auto"/>
                <w:bottom w:val="none" w:sz="0" w:space="0" w:color="auto"/>
                <w:right w:val="none" w:sz="0" w:space="0" w:color="auto"/>
              </w:divBdr>
            </w:div>
          </w:divsChild>
        </w:div>
        <w:div w:id="678774190">
          <w:marLeft w:val="0"/>
          <w:marRight w:val="0"/>
          <w:marTop w:val="0"/>
          <w:marBottom w:val="0"/>
          <w:divBdr>
            <w:top w:val="none" w:sz="0" w:space="0" w:color="auto"/>
            <w:left w:val="none" w:sz="0" w:space="0" w:color="auto"/>
            <w:bottom w:val="none" w:sz="0" w:space="0" w:color="auto"/>
            <w:right w:val="none" w:sz="0" w:space="0" w:color="auto"/>
          </w:divBdr>
          <w:divsChild>
            <w:div w:id="14893605">
              <w:marLeft w:val="0"/>
              <w:marRight w:val="0"/>
              <w:marTop w:val="0"/>
              <w:marBottom w:val="0"/>
              <w:divBdr>
                <w:top w:val="none" w:sz="0" w:space="0" w:color="auto"/>
                <w:left w:val="none" w:sz="0" w:space="0" w:color="auto"/>
                <w:bottom w:val="none" w:sz="0" w:space="0" w:color="auto"/>
                <w:right w:val="none" w:sz="0" w:space="0" w:color="auto"/>
              </w:divBdr>
            </w:div>
          </w:divsChild>
        </w:div>
        <w:div w:id="2049334840">
          <w:marLeft w:val="0"/>
          <w:marRight w:val="0"/>
          <w:marTop w:val="0"/>
          <w:marBottom w:val="0"/>
          <w:divBdr>
            <w:top w:val="none" w:sz="0" w:space="0" w:color="auto"/>
            <w:left w:val="none" w:sz="0" w:space="0" w:color="auto"/>
            <w:bottom w:val="none" w:sz="0" w:space="0" w:color="auto"/>
            <w:right w:val="none" w:sz="0" w:space="0" w:color="auto"/>
          </w:divBdr>
          <w:divsChild>
            <w:div w:id="854031946">
              <w:marLeft w:val="0"/>
              <w:marRight w:val="0"/>
              <w:marTop w:val="0"/>
              <w:marBottom w:val="0"/>
              <w:divBdr>
                <w:top w:val="none" w:sz="0" w:space="0" w:color="auto"/>
                <w:left w:val="none" w:sz="0" w:space="0" w:color="auto"/>
                <w:bottom w:val="none" w:sz="0" w:space="0" w:color="auto"/>
                <w:right w:val="none" w:sz="0" w:space="0" w:color="auto"/>
              </w:divBdr>
            </w:div>
          </w:divsChild>
        </w:div>
        <w:div w:id="947661316">
          <w:marLeft w:val="0"/>
          <w:marRight w:val="0"/>
          <w:marTop w:val="300"/>
          <w:marBottom w:val="300"/>
          <w:divBdr>
            <w:top w:val="none" w:sz="0" w:space="0" w:color="auto"/>
            <w:left w:val="none" w:sz="0" w:space="0" w:color="auto"/>
            <w:bottom w:val="none" w:sz="0" w:space="0" w:color="auto"/>
            <w:right w:val="none" w:sz="0" w:space="0" w:color="auto"/>
          </w:divBdr>
        </w:div>
        <w:div w:id="1961104501">
          <w:marLeft w:val="0"/>
          <w:marRight w:val="0"/>
          <w:marTop w:val="0"/>
          <w:marBottom w:val="0"/>
          <w:divBdr>
            <w:top w:val="none" w:sz="0" w:space="0" w:color="auto"/>
            <w:left w:val="none" w:sz="0" w:space="0" w:color="auto"/>
            <w:bottom w:val="none" w:sz="0" w:space="0" w:color="auto"/>
            <w:right w:val="none" w:sz="0" w:space="0" w:color="auto"/>
          </w:divBdr>
          <w:divsChild>
            <w:div w:id="2083210595">
              <w:marLeft w:val="0"/>
              <w:marRight w:val="0"/>
              <w:marTop w:val="0"/>
              <w:marBottom w:val="0"/>
              <w:divBdr>
                <w:top w:val="none" w:sz="0" w:space="0" w:color="auto"/>
                <w:left w:val="none" w:sz="0" w:space="0" w:color="auto"/>
                <w:bottom w:val="none" w:sz="0" w:space="0" w:color="auto"/>
                <w:right w:val="none" w:sz="0" w:space="0" w:color="auto"/>
              </w:divBdr>
            </w:div>
          </w:divsChild>
        </w:div>
        <w:div w:id="1442262292">
          <w:marLeft w:val="0"/>
          <w:marRight w:val="0"/>
          <w:marTop w:val="300"/>
          <w:marBottom w:val="300"/>
          <w:divBdr>
            <w:top w:val="none" w:sz="0" w:space="0" w:color="auto"/>
            <w:left w:val="none" w:sz="0" w:space="0" w:color="auto"/>
            <w:bottom w:val="none" w:sz="0" w:space="0" w:color="auto"/>
            <w:right w:val="none" w:sz="0" w:space="0" w:color="auto"/>
          </w:divBdr>
        </w:div>
        <w:div w:id="2029745522">
          <w:marLeft w:val="0"/>
          <w:marRight w:val="0"/>
          <w:marTop w:val="0"/>
          <w:marBottom w:val="0"/>
          <w:divBdr>
            <w:top w:val="none" w:sz="0" w:space="0" w:color="auto"/>
            <w:left w:val="none" w:sz="0" w:space="0" w:color="auto"/>
            <w:bottom w:val="none" w:sz="0" w:space="0" w:color="auto"/>
            <w:right w:val="none" w:sz="0" w:space="0" w:color="auto"/>
          </w:divBdr>
          <w:divsChild>
            <w:div w:id="1762096439">
              <w:marLeft w:val="0"/>
              <w:marRight w:val="0"/>
              <w:marTop w:val="0"/>
              <w:marBottom w:val="0"/>
              <w:divBdr>
                <w:top w:val="none" w:sz="0" w:space="0" w:color="auto"/>
                <w:left w:val="none" w:sz="0" w:space="0" w:color="auto"/>
                <w:bottom w:val="none" w:sz="0" w:space="0" w:color="auto"/>
                <w:right w:val="none" w:sz="0" w:space="0" w:color="auto"/>
              </w:divBdr>
            </w:div>
          </w:divsChild>
        </w:div>
        <w:div w:id="1674911337">
          <w:marLeft w:val="0"/>
          <w:marRight w:val="0"/>
          <w:marTop w:val="0"/>
          <w:marBottom w:val="0"/>
          <w:divBdr>
            <w:top w:val="none" w:sz="0" w:space="0" w:color="auto"/>
            <w:left w:val="none" w:sz="0" w:space="0" w:color="auto"/>
            <w:bottom w:val="none" w:sz="0" w:space="0" w:color="auto"/>
            <w:right w:val="none" w:sz="0" w:space="0" w:color="auto"/>
          </w:divBdr>
          <w:divsChild>
            <w:div w:id="1073163546">
              <w:marLeft w:val="0"/>
              <w:marRight w:val="0"/>
              <w:marTop w:val="0"/>
              <w:marBottom w:val="0"/>
              <w:divBdr>
                <w:top w:val="none" w:sz="0" w:space="0" w:color="auto"/>
                <w:left w:val="none" w:sz="0" w:space="0" w:color="auto"/>
                <w:bottom w:val="none" w:sz="0" w:space="0" w:color="auto"/>
                <w:right w:val="none" w:sz="0" w:space="0" w:color="auto"/>
              </w:divBdr>
            </w:div>
          </w:divsChild>
        </w:div>
        <w:div w:id="878903887">
          <w:marLeft w:val="0"/>
          <w:marRight w:val="0"/>
          <w:marTop w:val="300"/>
          <w:marBottom w:val="300"/>
          <w:divBdr>
            <w:top w:val="none" w:sz="0" w:space="0" w:color="auto"/>
            <w:left w:val="none" w:sz="0" w:space="0" w:color="auto"/>
            <w:bottom w:val="none" w:sz="0" w:space="0" w:color="auto"/>
            <w:right w:val="none" w:sz="0" w:space="0" w:color="auto"/>
          </w:divBdr>
        </w:div>
        <w:div w:id="1497376983">
          <w:marLeft w:val="0"/>
          <w:marRight w:val="0"/>
          <w:marTop w:val="0"/>
          <w:marBottom w:val="0"/>
          <w:divBdr>
            <w:top w:val="none" w:sz="0" w:space="0" w:color="auto"/>
            <w:left w:val="none" w:sz="0" w:space="0" w:color="auto"/>
            <w:bottom w:val="none" w:sz="0" w:space="0" w:color="auto"/>
            <w:right w:val="none" w:sz="0" w:space="0" w:color="auto"/>
          </w:divBdr>
          <w:divsChild>
            <w:div w:id="135225677">
              <w:marLeft w:val="0"/>
              <w:marRight w:val="0"/>
              <w:marTop w:val="0"/>
              <w:marBottom w:val="0"/>
              <w:divBdr>
                <w:top w:val="none" w:sz="0" w:space="0" w:color="auto"/>
                <w:left w:val="none" w:sz="0" w:space="0" w:color="auto"/>
                <w:bottom w:val="none" w:sz="0" w:space="0" w:color="auto"/>
                <w:right w:val="none" w:sz="0" w:space="0" w:color="auto"/>
              </w:divBdr>
            </w:div>
          </w:divsChild>
        </w:div>
        <w:div w:id="1950315324">
          <w:marLeft w:val="0"/>
          <w:marRight w:val="0"/>
          <w:marTop w:val="0"/>
          <w:marBottom w:val="0"/>
          <w:divBdr>
            <w:top w:val="none" w:sz="0" w:space="0" w:color="auto"/>
            <w:left w:val="none" w:sz="0" w:space="0" w:color="auto"/>
            <w:bottom w:val="none" w:sz="0" w:space="0" w:color="auto"/>
            <w:right w:val="none" w:sz="0" w:space="0" w:color="auto"/>
          </w:divBdr>
          <w:divsChild>
            <w:div w:id="1419864858">
              <w:marLeft w:val="0"/>
              <w:marRight w:val="0"/>
              <w:marTop w:val="0"/>
              <w:marBottom w:val="0"/>
              <w:divBdr>
                <w:top w:val="none" w:sz="0" w:space="0" w:color="auto"/>
                <w:left w:val="none" w:sz="0" w:space="0" w:color="auto"/>
                <w:bottom w:val="none" w:sz="0" w:space="0" w:color="auto"/>
                <w:right w:val="none" w:sz="0" w:space="0" w:color="auto"/>
              </w:divBdr>
            </w:div>
          </w:divsChild>
        </w:div>
        <w:div w:id="30569961">
          <w:marLeft w:val="0"/>
          <w:marRight w:val="0"/>
          <w:marTop w:val="0"/>
          <w:marBottom w:val="0"/>
          <w:divBdr>
            <w:top w:val="none" w:sz="0" w:space="0" w:color="auto"/>
            <w:left w:val="none" w:sz="0" w:space="0" w:color="auto"/>
            <w:bottom w:val="none" w:sz="0" w:space="0" w:color="auto"/>
            <w:right w:val="none" w:sz="0" w:space="0" w:color="auto"/>
          </w:divBdr>
          <w:divsChild>
            <w:div w:id="1993019463">
              <w:marLeft w:val="0"/>
              <w:marRight w:val="0"/>
              <w:marTop w:val="0"/>
              <w:marBottom w:val="0"/>
              <w:divBdr>
                <w:top w:val="none" w:sz="0" w:space="0" w:color="auto"/>
                <w:left w:val="none" w:sz="0" w:space="0" w:color="auto"/>
                <w:bottom w:val="none" w:sz="0" w:space="0" w:color="auto"/>
                <w:right w:val="none" w:sz="0" w:space="0" w:color="auto"/>
              </w:divBdr>
            </w:div>
          </w:divsChild>
        </w:div>
        <w:div w:id="35206503">
          <w:marLeft w:val="0"/>
          <w:marRight w:val="0"/>
          <w:marTop w:val="0"/>
          <w:marBottom w:val="0"/>
          <w:divBdr>
            <w:top w:val="none" w:sz="0" w:space="0" w:color="auto"/>
            <w:left w:val="none" w:sz="0" w:space="0" w:color="auto"/>
            <w:bottom w:val="none" w:sz="0" w:space="0" w:color="auto"/>
            <w:right w:val="none" w:sz="0" w:space="0" w:color="auto"/>
          </w:divBdr>
          <w:divsChild>
            <w:div w:id="325060448">
              <w:marLeft w:val="0"/>
              <w:marRight w:val="0"/>
              <w:marTop w:val="0"/>
              <w:marBottom w:val="0"/>
              <w:divBdr>
                <w:top w:val="none" w:sz="0" w:space="0" w:color="auto"/>
                <w:left w:val="none" w:sz="0" w:space="0" w:color="auto"/>
                <w:bottom w:val="none" w:sz="0" w:space="0" w:color="auto"/>
                <w:right w:val="none" w:sz="0" w:space="0" w:color="auto"/>
              </w:divBdr>
            </w:div>
          </w:divsChild>
        </w:div>
        <w:div w:id="1352754377">
          <w:marLeft w:val="0"/>
          <w:marRight w:val="0"/>
          <w:marTop w:val="0"/>
          <w:marBottom w:val="0"/>
          <w:divBdr>
            <w:top w:val="none" w:sz="0" w:space="0" w:color="auto"/>
            <w:left w:val="none" w:sz="0" w:space="0" w:color="auto"/>
            <w:bottom w:val="none" w:sz="0" w:space="0" w:color="auto"/>
            <w:right w:val="none" w:sz="0" w:space="0" w:color="auto"/>
          </w:divBdr>
          <w:divsChild>
            <w:div w:id="1446848126">
              <w:marLeft w:val="0"/>
              <w:marRight w:val="0"/>
              <w:marTop w:val="0"/>
              <w:marBottom w:val="0"/>
              <w:divBdr>
                <w:top w:val="none" w:sz="0" w:space="0" w:color="auto"/>
                <w:left w:val="none" w:sz="0" w:space="0" w:color="auto"/>
                <w:bottom w:val="none" w:sz="0" w:space="0" w:color="auto"/>
                <w:right w:val="none" w:sz="0" w:space="0" w:color="auto"/>
              </w:divBdr>
            </w:div>
          </w:divsChild>
        </w:div>
        <w:div w:id="1735011557">
          <w:marLeft w:val="0"/>
          <w:marRight w:val="0"/>
          <w:marTop w:val="0"/>
          <w:marBottom w:val="0"/>
          <w:divBdr>
            <w:top w:val="none" w:sz="0" w:space="0" w:color="auto"/>
            <w:left w:val="none" w:sz="0" w:space="0" w:color="auto"/>
            <w:bottom w:val="none" w:sz="0" w:space="0" w:color="auto"/>
            <w:right w:val="none" w:sz="0" w:space="0" w:color="auto"/>
          </w:divBdr>
          <w:divsChild>
            <w:div w:id="492113590">
              <w:marLeft w:val="0"/>
              <w:marRight w:val="0"/>
              <w:marTop w:val="0"/>
              <w:marBottom w:val="0"/>
              <w:divBdr>
                <w:top w:val="none" w:sz="0" w:space="0" w:color="auto"/>
                <w:left w:val="none" w:sz="0" w:space="0" w:color="auto"/>
                <w:bottom w:val="none" w:sz="0" w:space="0" w:color="auto"/>
                <w:right w:val="none" w:sz="0" w:space="0" w:color="auto"/>
              </w:divBdr>
            </w:div>
          </w:divsChild>
        </w:div>
        <w:div w:id="130024602">
          <w:marLeft w:val="0"/>
          <w:marRight w:val="0"/>
          <w:marTop w:val="0"/>
          <w:marBottom w:val="0"/>
          <w:divBdr>
            <w:top w:val="none" w:sz="0" w:space="0" w:color="auto"/>
            <w:left w:val="none" w:sz="0" w:space="0" w:color="auto"/>
            <w:bottom w:val="none" w:sz="0" w:space="0" w:color="auto"/>
            <w:right w:val="none" w:sz="0" w:space="0" w:color="auto"/>
          </w:divBdr>
          <w:divsChild>
            <w:div w:id="1573468321">
              <w:marLeft w:val="0"/>
              <w:marRight w:val="0"/>
              <w:marTop w:val="0"/>
              <w:marBottom w:val="0"/>
              <w:divBdr>
                <w:top w:val="none" w:sz="0" w:space="0" w:color="auto"/>
                <w:left w:val="none" w:sz="0" w:space="0" w:color="auto"/>
                <w:bottom w:val="none" w:sz="0" w:space="0" w:color="auto"/>
                <w:right w:val="none" w:sz="0" w:space="0" w:color="auto"/>
              </w:divBdr>
            </w:div>
          </w:divsChild>
        </w:div>
        <w:div w:id="811289933">
          <w:marLeft w:val="0"/>
          <w:marRight w:val="0"/>
          <w:marTop w:val="0"/>
          <w:marBottom w:val="0"/>
          <w:divBdr>
            <w:top w:val="none" w:sz="0" w:space="0" w:color="auto"/>
            <w:left w:val="none" w:sz="0" w:space="0" w:color="auto"/>
            <w:bottom w:val="none" w:sz="0" w:space="0" w:color="auto"/>
            <w:right w:val="none" w:sz="0" w:space="0" w:color="auto"/>
          </w:divBdr>
          <w:divsChild>
            <w:div w:id="137234527">
              <w:marLeft w:val="0"/>
              <w:marRight w:val="0"/>
              <w:marTop w:val="0"/>
              <w:marBottom w:val="0"/>
              <w:divBdr>
                <w:top w:val="none" w:sz="0" w:space="0" w:color="auto"/>
                <w:left w:val="none" w:sz="0" w:space="0" w:color="auto"/>
                <w:bottom w:val="none" w:sz="0" w:space="0" w:color="auto"/>
                <w:right w:val="none" w:sz="0" w:space="0" w:color="auto"/>
              </w:divBdr>
            </w:div>
          </w:divsChild>
        </w:div>
        <w:div w:id="1128082237">
          <w:marLeft w:val="0"/>
          <w:marRight w:val="0"/>
          <w:marTop w:val="0"/>
          <w:marBottom w:val="0"/>
          <w:divBdr>
            <w:top w:val="none" w:sz="0" w:space="0" w:color="auto"/>
            <w:left w:val="none" w:sz="0" w:space="0" w:color="auto"/>
            <w:bottom w:val="none" w:sz="0" w:space="0" w:color="auto"/>
            <w:right w:val="none" w:sz="0" w:space="0" w:color="auto"/>
          </w:divBdr>
          <w:divsChild>
            <w:div w:id="348800076">
              <w:marLeft w:val="0"/>
              <w:marRight w:val="0"/>
              <w:marTop w:val="0"/>
              <w:marBottom w:val="0"/>
              <w:divBdr>
                <w:top w:val="none" w:sz="0" w:space="0" w:color="auto"/>
                <w:left w:val="none" w:sz="0" w:space="0" w:color="auto"/>
                <w:bottom w:val="none" w:sz="0" w:space="0" w:color="auto"/>
                <w:right w:val="none" w:sz="0" w:space="0" w:color="auto"/>
              </w:divBdr>
            </w:div>
          </w:divsChild>
        </w:div>
        <w:div w:id="106781192">
          <w:marLeft w:val="0"/>
          <w:marRight w:val="0"/>
          <w:marTop w:val="0"/>
          <w:marBottom w:val="0"/>
          <w:divBdr>
            <w:top w:val="none" w:sz="0" w:space="0" w:color="auto"/>
            <w:left w:val="none" w:sz="0" w:space="0" w:color="auto"/>
            <w:bottom w:val="none" w:sz="0" w:space="0" w:color="auto"/>
            <w:right w:val="none" w:sz="0" w:space="0" w:color="auto"/>
          </w:divBdr>
          <w:divsChild>
            <w:div w:id="1768888832">
              <w:marLeft w:val="0"/>
              <w:marRight w:val="0"/>
              <w:marTop w:val="0"/>
              <w:marBottom w:val="0"/>
              <w:divBdr>
                <w:top w:val="none" w:sz="0" w:space="0" w:color="auto"/>
                <w:left w:val="none" w:sz="0" w:space="0" w:color="auto"/>
                <w:bottom w:val="none" w:sz="0" w:space="0" w:color="auto"/>
                <w:right w:val="none" w:sz="0" w:space="0" w:color="auto"/>
              </w:divBdr>
            </w:div>
          </w:divsChild>
        </w:div>
        <w:div w:id="2128353731">
          <w:marLeft w:val="0"/>
          <w:marRight w:val="0"/>
          <w:marTop w:val="0"/>
          <w:marBottom w:val="0"/>
          <w:divBdr>
            <w:top w:val="none" w:sz="0" w:space="0" w:color="auto"/>
            <w:left w:val="none" w:sz="0" w:space="0" w:color="auto"/>
            <w:bottom w:val="none" w:sz="0" w:space="0" w:color="auto"/>
            <w:right w:val="none" w:sz="0" w:space="0" w:color="auto"/>
          </w:divBdr>
          <w:divsChild>
            <w:div w:id="175194006">
              <w:marLeft w:val="0"/>
              <w:marRight w:val="0"/>
              <w:marTop w:val="0"/>
              <w:marBottom w:val="0"/>
              <w:divBdr>
                <w:top w:val="none" w:sz="0" w:space="0" w:color="auto"/>
                <w:left w:val="none" w:sz="0" w:space="0" w:color="auto"/>
                <w:bottom w:val="none" w:sz="0" w:space="0" w:color="auto"/>
                <w:right w:val="none" w:sz="0" w:space="0" w:color="auto"/>
              </w:divBdr>
            </w:div>
          </w:divsChild>
        </w:div>
        <w:div w:id="1446658682">
          <w:marLeft w:val="0"/>
          <w:marRight w:val="0"/>
          <w:marTop w:val="300"/>
          <w:marBottom w:val="300"/>
          <w:divBdr>
            <w:top w:val="none" w:sz="0" w:space="0" w:color="auto"/>
            <w:left w:val="none" w:sz="0" w:space="0" w:color="auto"/>
            <w:bottom w:val="none" w:sz="0" w:space="0" w:color="auto"/>
            <w:right w:val="none" w:sz="0" w:space="0" w:color="auto"/>
          </w:divBdr>
        </w:div>
        <w:div w:id="826551908">
          <w:marLeft w:val="0"/>
          <w:marRight w:val="0"/>
          <w:marTop w:val="0"/>
          <w:marBottom w:val="0"/>
          <w:divBdr>
            <w:top w:val="none" w:sz="0" w:space="0" w:color="auto"/>
            <w:left w:val="none" w:sz="0" w:space="0" w:color="auto"/>
            <w:bottom w:val="none" w:sz="0" w:space="0" w:color="auto"/>
            <w:right w:val="none" w:sz="0" w:space="0" w:color="auto"/>
          </w:divBdr>
          <w:divsChild>
            <w:div w:id="1812939348">
              <w:marLeft w:val="0"/>
              <w:marRight w:val="0"/>
              <w:marTop w:val="0"/>
              <w:marBottom w:val="0"/>
              <w:divBdr>
                <w:top w:val="none" w:sz="0" w:space="0" w:color="auto"/>
                <w:left w:val="none" w:sz="0" w:space="0" w:color="auto"/>
                <w:bottom w:val="none" w:sz="0" w:space="0" w:color="auto"/>
                <w:right w:val="none" w:sz="0" w:space="0" w:color="auto"/>
              </w:divBdr>
            </w:div>
          </w:divsChild>
        </w:div>
        <w:div w:id="135463662">
          <w:marLeft w:val="0"/>
          <w:marRight w:val="0"/>
          <w:marTop w:val="0"/>
          <w:marBottom w:val="0"/>
          <w:divBdr>
            <w:top w:val="none" w:sz="0" w:space="0" w:color="auto"/>
            <w:left w:val="none" w:sz="0" w:space="0" w:color="auto"/>
            <w:bottom w:val="none" w:sz="0" w:space="0" w:color="auto"/>
            <w:right w:val="none" w:sz="0" w:space="0" w:color="auto"/>
          </w:divBdr>
          <w:divsChild>
            <w:div w:id="919947626">
              <w:marLeft w:val="0"/>
              <w:marRight w:val="0"/>
              <w:marTop w:val="0"/>
              <w:marBottom w:val="0"/>
              <w:divBdr>
                <w:top w:val="none" w:sz="0" w:space="0" w:color="auto"/>
                <w:left w:val="none" w:sz="0" w:space="0" w:color="auto"/>
                <w:bottom w:val="none" w:sz="0" w:space="0" w:color="auto"/>
                <w:right w:val="none" w:sz="0" w:space="0" w:color="auto"/>
              </w:divBdr>
            </w:div>
          </w:divsChild>
        </w:div>
        <w:div w:id="122621762">
          <w:marLeft w:val="0"/>
          <w:marRight w:val="0"/>
          <w:marTop w:val="0"/>
          <w:marBottom w:val="0"/>
          <w:divBdr>
            <w:top w:val="none" w:sz="0" w:space="0" w:color="auto"/>
            <w:left w:val="none" w:sz="0" w:space="0" w:color="auto"/>
            <w:bottom w:val="none" w:sz="0" w:space="0" w:color="auto"/>
            <w:right w:val="none" w:sz="0" w:space="0" w:color="auto"/>
          </w:divBdr>
          <w:divsChild>
            <w:div w:id="1659111408">
              <w:marLeft w:val="0"/>
              <w:marRight w:val="0"/>
              <w:marTop w:val="0"/>
              <w:marBottom w:val="0"/>
              <w:divBdr>
                <w:top w:val="none" w:sz="0" w:space="0" w:color="auto"/>
                <w:left w:val="none" w:sz="0" w:space="0" w:color="auto"/>
                <w:bottom w:val="none" w:sz="0" w:space="0" w:color="auto"/>
                <w:right w:val="none" w:sz="0" w:space="0" w:color="auto"/>
              </w:divBdr>
            </w:div>
          </w:divsChild>
        </w:div>
        <w:div w:id="1891111408">
          <w:marLeft w:val="0"/>
          <w:marRight w:val="0"/>
          <w:marTop w:val="0"/>
          <w:marBottom w:val="0"/>
          <w:divBdr>
            <w:top w:val="none" w:sz="0" w:space="0" w:color="auto"/>
            <w:left w:val="none" w:sz="0" w:space="0" w:color="auto"/>
            <w:bottom w:val="none" w:sz="0" w:space="0" w:color="auto"/>
            <w:right w:val="none" w:sz="0" w:space="0" w:color="auto"/>
          </w:divBdr>
          <w:divsChild>
            <w:div w:id="1361470244">
              <w:marLeft w:val="0"/>
              <w:marRight w:val="0"/>
              <w:marTop w:val="0"/>
              <w:marBottom w:val="0"/>
              <w:divBdr>
                <w:top w:val="none" w:sz="0" w:space="0" w:color="auto"/>
                <w:left w:val="none" w:sz="0" w:space="0" w:color="auto"/>
                <w:bottom w:val="none" w:sz="0" w:space="0" w:color="auto"/>
                <w:right w:val="none" w:sz="0" w:space="0" w:color="auto"/>
              </w:divBdr>
            </w:div>
          </w:divsChild>
        </w:div>
        <w:div w:id="903102901">
          <w:marLeft w:val="0"/>
          <w:marRight w:val="0"/>
          <w:marTop w:val="300"/>
          <w:marBottom w:val="300"/>
          <w:divBdr>
            <w:top w:val="none" w:sz="0" w:space="0" w:color="auto"/>
            <w:left w:val="none" w:sz="0" w:space="0" w:color="auto"/>
            <w:bottom w:val="none" w:sz="0" w:space="0" w:color="auto"/>
            <w:right w:val="none" w:sz="0" w:space="0" w:color="auto"/>
          </w:divBdr>
        </w:div>
        <w:div w:id="714080755">
          <w:marLeft w:val="0"/>
          <w:marRight w:val="0"/>
          <w:marTop w:val="0"/>
          <w:marBottom w:val="0"/>
          <w:divBdr>
            <w:top w:val="none" w:sz="0" w:space="0" w:color="auto"/>
            <w:left w:val="none" w:sz="0" w:space="0" w:color="auto"/>
            <w:bottom w:val="none" w:sz="0" w:space="0" w:color="auto"/>
            <w:right w:val="none" w:sz="0" w:space="0" w:color="auto"/>
          </w:divBdr>
          <w:divsChild>
            <w:div w:id="1355377686">
              <w:marLeft w:val="0"/>
              <w:marRight w:val="0"/>
              <w:marTop w:val="0"/>
              <w:marBottom w:val="0"/>
              <w:divBdr>
                <w:top w:val="none" w:sz="0" w:space="0" w:color="auto"/>
                <w:left w:val="none" w:sz="0" w:space="0" w:color="auto"/>
                <w:bottom w:val="none" w:sz="0" w:space="0" w:color="auto"/>
                <w:right w:val="none" w:sz="0" w:space="0" w:color="auto"/>
              </w:divBdr>
            </w:div>
          </w:divsChild>
        </w:div>
        <w:div w:id="846140751">
          <w:marLeft w:val="0"/>
          <w:marRight w:val="0"/>
          <w:marTop w:val="0"/>
          <w:marBottom w:val="0"/>
          <w:divBdr>
            <w:top w:val="none" w:sz="0" w:space="0" w:color="auto"/>
            <w:left w:val="none" w:sz="0" w:space="0" w:color="auto"/>
            <w:bottom w:val="none" w:sz="0" w:space="0" w:color="auto"/>
            <w:right w:val="none" w:sz="0" w:space="0" w:color="auto"/>
          </w:divBdr>
          <w:divsChild>
            <w:div w:id="1376739009">
              <w:marLeft w:val="0"/>
              <w:marRight w:val="0"/>
              <w:marTop w:val="0"/>
              <w:marBottom w:val="0"/>
              <w:divBdr>
                <w:top w:val="none" w:sz="0" w:space="0" w:color="auto"/>
                <w:left w:val="none" w:sz="0" w:space="0" w:color="auto"/>
                <w:bottom w:val="none" w:sz="0" w:space="0" w:color="auto"/>
                <w:right w:val="none" w:sz="0" w:space="0" w:color="auto"/>
              </w:divBdr>
            </w:div>
          </w:divsChild>
        </w:div>
        <w:div w:id="268657462">
          <w:marLeft w:val="0"/>
          <w:marRight w:val="0"/>
          <w:marTop w:val="300"/>
          <w:marBottom w:val="300"/>
          <w:divBdr>
            <w:top w:val="none" w:sz="0" w:space="0" w:color="auto"/>
            <w:left w:val="none" w:sz="0" w:space="0" w:color="auto"/>
            <w:bottom w:val="none" w:sz="0" w:space="0" w:color="auto"/>
            <w:right w:val="none" w:sz="0" w:space="0" w:color="auto"/>
          </w:divBdr>
        </w:div>
        <w:div w:id="551892553">
          <w:marLeft w:val="0"/>
          <w:marRight w:val="0"/>
          <w:marTop w:val="0"/>
          <w:marBottom w:val="0"/>
          <w:divBdr>
            <w:top w:val="none" w:sz="0" w:space="0" w:color="auto"/>
            <w:left w:val="none" w:sz="0" w:space="0" w:color="auto"/>
            <w:bottom w:val="none" w:sz="0" w:space="0" w:color="auto"/>
            <w:right w:val="none" w:sz="0" w:space="0" w:color="auto"/>
          </w:divBdr>
          <w:divsChild>
            <w:div w:id="575167268">
              <w:marLeft w:val="0"/>
              <w:marRight w:val="0"/>
              <w:marTop w:val="0"/>
              <w:marBottom w:val="0"/>
              <w:divBdr>
                <w:top w:val="none" w:sz="0" w:space="0" w:color="auto"/>
                <w:left w:val="none" w:sz="0" w:space="0" w:color="auto"/>
                <w:bottom w:val="none" w:sz="0" w:space="0" w:color="auto"/>
                <w:right w:val="none" w:sz="0" w:space="0" w:color="auto"/>
              </w:divBdr>
            </w:div>
          </w:divsChild>
        </w:div>
        <w:div w:id="528572619">
          <w:marLeft w:val="0"/>
          <w:marRight w:val="0"/>
          <w:marTop w:val="0"/>
          <w:marBottom w:val="0"/>
          <w:divBdr>
            <w:top w:val="none" w:sz="0" w:space="0" w:color="auto"/>
            <w:left w:val="none" w:sz="0" w:space="0" w:color="auto"/>
            <w:bottom w:val="none" w:sz="0" w:space="0" w:color="auto"/>
            <w:right w:val="none" w:sz="0" w:space="0" w:color="auto"/>
          </w:divBdr>
          <w:divsChild>
            <w:div w:id="629627778">
              <w:marLeft w:val="0"/>
              <w:marRight w:val="0"/>
              <w:marTop w:val="0"/>
              <w:marBottom w:val="0"/>
              <w:divBdr>
                <w:top w:val="none" w:sz="0" w:space="0" w:color="auto"/>
                <w:left w:val="none" w:sz="0" w:space="0" w:color="auto"/>
                <w:bottom w:val="none" w:sz="0" w:space="0" w:color="auto"/>
                <w:right w:val="none" w:sz="0" w:space="0" w:color="auto"/>
              </w:divBdr>
            </w:div>
          </w:divsChild>
        </w:div>
        <w:div w:id="1727992692">
          <w:marLeft w:val="0"/>
          <w:marRight w:val="0"/>
          <w:marTop w:val="0"/>
          <w:marBottom w:val="0"/>
          <w:divBdr>
            <w:top w:val="none" w:sz="0" w:space="0" w:color="auto"/>
            <w:left w:val="none" w:sz="0" w:space="0" w:color="auto"/>
            <w:bottom w:val="none" w:sz="0" w:space="0" w:color="auto"/>
            <w:right w:val="none" w:sz="0" w:space="0" w:color="auto"/>
          </w:divBdr>
          <w:divsChild>
            <w:div w:id="1769472203">
              <w:marLeft w:val="0"/>
              <w:marRight w:val="0"/>
              <w:marTop w:val="0"/>
              <w:marBottom w:val="0"/>
              <w:divBdr>
                <w:top w:val="none" w:sz="0" w:space="0" w:color="auto"/>
                <w:left w:val="none" w:sz="0" w:space="0" w:color="auto"/>
                <w:bottom w:val="none" w:sz="0" w:space="0" w:color="auto"/>
                <w:right w:val="none" w:sz="0" w:space="0" w:color="auto"/>
              </w:divBdr>
            </w:div>
          </w:divsChild>
        </w:div>
        <w:div w:id="1572541335">
          <w:marLeft w:val="0"/>
          <w:marRight w:val="0"/>
          <w:marTop w:val="0"/>
          <w:marBottom w:val="0"/>
          <w:divBdr>
            <w:top w:val="none" w:sz="0" w:space="0" w:color="auto"/>
            <w:left w:val="none" w:sz="0" w:space="0" w:color="auto"/>
            <w:bottom w:val="none" w:sz="0" w:space="0" w:color="auto"/>
            <w:right w:val="none" w:sz="0" w:space="0" w:color="auto"/>
          </w:divBdr>
          <w:divsChild>
            <w:div w:id="1778213734">
              <w:marLeft w:val="0"/>
              <w:marRight w:val="0"/>
              <w:marTop w:val="0"/>
              <w:marBottom w:val="0"/>
              <w:divBdr>
                <w:top w:val="none" w:sz="0" w:space="0" w:color="auto"/>
                <w:left w:val="none" w:sz="0" w:space="0" w:color="auto"/>
                <w:bottom w:val="none" w:sz="0" w:space="0" w:color="auto"/>
                <w:right w:val="none" w:sz="0" w:space="0" w:color="auto"/>
              </w:divBdr>
            </w:div>
          </w:divsChild>
        </w:div>
        <w:div w:id="109054613">
          <w:marLeft w:val="0"/>
          <w:marRight w:val="0"/>
          <w:marTop w:val="0"/>
          <w:marBottom w:val="0"/>
          <w:divBdr>
            <w:top w:val="none" w:sz="0" w:space="0" w:color="auto"/>
            <w:left w:val="none" w:sz="0" w:space="0" w:color="auto"/>
            <w:bottom w:val="none" w:sz="0" w:space="0" w:color="auto"/>
            <w:right w:val="none" w:sz="0" w:space="0" w:color="auto"/>
          </w:divBdr>
          <w:divsChild>
            <w:div w:id="342443009">
              <w:marLeft w:val="0"/>
              <w:marRight w:val="0"/>
              <w:marTop w:val="0"/>
              <w:marBottom w:val="0"/>
              <w:divBdr>
                <w:top w:val="none" w:sz="0" w:space="0" w:color="auto"/>
                <w:left w:val="none" w:sz="0" w:space="0" w:color="auto"/>
                <w:bottom w:val="none" w:sz="0" w:space="0" w:color="auto"/>
                <w:right w:val="none" w:sz="0" w:space="0" w:color="auto"/>
              </w:divBdr>
            </w:div>
          </w:divsChild>
        </w:div>
        <w:div w:id="393742919">
          <w:marLeft w:val="0"/>
          <w:marRight w:val="0"/>
          <w:marTop w:val="0"/>
          <w:marBottom w:val="0"/>
          <w:divBdr>
            <w:top w:val="none" w:sz="0" w:space="0" w:color="auto"/>
            <w:left w:val="none" w:sz="0" w:space="0" w:color="auto"/>
            <w:bottom w:val="none" w:sz="0" w:space="0" w:color="auto"/>
            <w:right w:val="none" w:sz="0" w:space="0" w:color="auto"/>
          </w:divBdr>
          <w:divsChild>
            <w:div w:id="2115899821">
              <w:marLeft w:val="0"/>
              <w:marRight w:val="0"/>
              <w:marTop w:val="0"/>
              <w:marBottom w:val="0"/>
              <w:divBdr>
                <w:top w:val="none" w:sz="0" w:space="0" w:color="auto"/>
                <w:left w:val="none" w:sz="0" w:space="0" w:color="auto"/>
                <w:bottom w:val="none" w:sz="0" w:space="0" w:color="auto"/>
                <w:right w:val="none" w:sz="0" w:space="0" w:color="auto"/>
              </w:divBdr>
            </w:div>
          </w:divsChild>
        </w:div>
        <w:div w:id="1469664013">
          <w:marLeft w:val="0"/>
          <w:marRight w:val="0"/>
          <w:marTop w:val="0"/>
          <w:marBottom w:val="0"/>
          <w:divBdr>
            <w:top w:val="none" w:sz="0" w:space="0" w:color="auto"/>
            <w:left w:val="none" w:sz="0" w:space="0" w:color="auto"/>
            <w:bottom w:val="none" w:sz="0" w:space="0" w:color="auto"/>
            <w:right w:val="none" w:sz="0" w:space="0" w:color="auto"/>
          </w:divBdr>
          <w:divsChild>
            <w:div w:id="1401636084">
              <w:marLeft w:val="0"/>
              <w:marRight w:val="0"/>
              <w:marTop w:val="0"/>
              <w:marBottom w:val="0"/>
              <w:divBdr>
                <w:top w:val="none" w:sz="0" w:space="0" w:color="auto"/>
                <w:left w:val="none" w:sz="0" w:space="0" w:color="auto"/>
                <w:bottom w:val="none" w:sz="0" w:space="0" w:color="auto"/>
                <w:right w:val="none" w:sz="0" w:space="0" w:color="auto"/>
              </w:divBdr>
            </w:div>
          </w:divsChild>
        </w:div>
        <w:div w:id="298532001">
          <w:marLeft w:val="0"/>
          <w:marRight w:val="0"/>
          <w:marTop w:val="0"/>
          <w:marBottom w:val="0"/>
          <w:divBdr>
            <w:top w:val="none" w:sz="0" w:space="0" w:color="auto"/>
            <w:left w:val="none" w:sz="0" w:space="0" w:color="auto"/>
            <w:bottom w:val="none" w:sz="0" w:space="0" w:color="auto"/>
            <w:right w:val="none" w:sz="0" w:space="0" w:color="auto"/>
          </w:divBdr>
          <w:divsChild>
            <w:div w:id="1353456018">
              <w:marLeft w:val="0"/>
              <w:marRight w:val="0"/>
              <w:marTop w:val="0"/>
              <w:marBottom w:val="0"/>
              <w:divBdr>
                <w:top w:val="none" w:sz="0" w:space="0" w:color="auto"/>
                <w:left w:val="none" w:sz="0" w:space="0" w:color="auto"/>
                <w:bottom w:val="none" w:sz="0" w:space="0" w:color="auto"/>
                <w:right w:val="none" w:sz="0" w:space="0" w:color="auto"/>
              </w:divBdr>
            </w:div>
          </w:divsChild>
        </w:div>
        <w:div w:id="1053237876">
          <w:marLeft w:val="0"/>
          <w:marRight w:val="0"/>
          <w:marTop w:val="0"/>
          <w:marBottom w:val="0"/>
          <w:divBdr>
            <w:top w:val="none" w:sz="0" w:space="0" w:color="auto"/>
            <w:left w:val="none" w:sz="0" w:space="0" w:color="auto"/>
            <w:bottom w:val="none" w:sz="0" w:space="0" w:color="auto"/>
            <w:right w:val="none" w:sz="0" w:space="0" w:color="auto"/>
          </w:divBdr>
          <w:divsChild>
            <w:div w:id="149904265">
              <w:marLeft w:val="0"/>
              <w:marRight w:val="0"/>
              <w:marTop w:val="0"/>
              <w:marBottom w:val="0"/>
              <w:divBdr>
                <w:top w:val="none" w:sz="0" w:space="0" w:color="auto"/>
                <w:left w:val="none" w:sz="0" w:space="0" w:color="auto"/>
                <w:bottom w:val="none" w:sz="0" w:space="0" w:color="auto"/>
                <w:right w:val="none" w:sz="0" w:space="0" w:color="auto"/>
              </w:divBdr>
            </w:div>
          </w:divsChild>
        </w:div>
        <w:div w:id="1878734501">
          <w:marLeft w:val="0"/>
          <w:marRight w:val="0"/>
          <w:marTop w:val="0"/>
          <w:marBottom w:val="0"/>
          <w:divBdr>
            <w:top w:val="none" w:sz="0" w:space="0" w:color="auto"/>
            <w:left w:val="none" w:sz="0" w:space="0" w:color="auto"/>
            <w:bottom w:val="none" w:sz="0" w:space="0" w:color="auto"/>
            <w:right w:val="none" w:sz="0" w:space="0" w:color="auto"/>
          </w:divBdr>
          <w:divsChild>
            <w:div w:id="1055393038">
              <w:marLeft w:val="0"/>
              <w:marRight w:val="0"/>
              <w:marTop w:val="0"/>
              <w:marBottom w:val="0"/>
              <w:divBdr>
                <w:top w:val="none" w:sz="0" w:space="0" w:color="auto"/>
                <w:left w:val="none" w:sz="0" w:space="0" w:color="auto"/>
                <w:bottom w:val="none" w:sz="0" w:space="0" w:color="auto"/>
                <w:right w:val="none" w:sz="0" w:space="0" w:color="auto"/>
              </w:divBdr>
            </w:div>
          </w:divsChild>
        </w:div>
        <w:div w:id="85197544">
          <w:marLeft w:val="0"/>
          <w:marRight w:val="0"/>
          <w:marTop w:val="0"/>
          <w:marBottom w:val="0"/>
          <w:divBdr>
            <w:top w:val="none" w:sz="0" w:space="0" w:color="auto"/>
            <w:left w:val="none" w:sz="0" w:space="0" w:color="auto"/>
            <w:bottom w:val="none" w:sz="0" w:space="0" w:color="auto"/>
            <w:right w:val="none" w:sz="0" w:space="0" w:color="auto"/>
          </w:divBdr>
          <w:divsChild>
            <w:div w:id="2026012364">
              <w:marLeft w:val="0"/>
              <w:marRight w:val="0"/>
              <w:marTop w:val="0"/>
              <w:marBottom w:val="0"/>
              <w:divBdr>
                <w:top w:val="none" w:sz="0" w:space="0" w:color="auto"/>
                <w:left w:val="none" w:sz="0" w:space="0" w:color="auto"/>
                <w:bottom w:val="none" w:sz="0" w:space="0" w:color="auto"/>
                <w:right w:val="none" w:sz="0" w:space="0" w:color="auto"/>
              </w:divBdr>
            </w:div>
          </w:divsChild>
        </w:div>
        <w:div w:id="2052219033">
          <w:marLeft w:val="0"/>
          <w:marRight w:val="0"/>
          <w:marTop w:val="0"/>
          <w:marBottom w:val="0"/>
          <w:divBdr>
            <w:top w:val="none" w:sz="0" w:space="0" w:color="auto"/>
            <w:left w:val="none" w:sz="0" w:space="0" w:color="auto"/>
            <w:bottom w:val="none" w:sz="0" w:space="0" w:color="auto"/>
            <w:right w:val="none" w:sz="0" w:space="0" w:color="auto"/>
          </w:divBdr>
          <w:divsChild>
            <w:div w:id="367950062">
              <w:marLeft w:val="0"/>
              <w:marRight w:val="0"/>
              <w:marTop w:val="0"/>
              <w:marBottom w:val="0"/>
              <w:divBdr>
                <w:top w:val="none" w:sz="0" w:space="0" w:color="auto"/>
                <w:left w:val="none" w:sz="0" w:space="0" w:color="auto"/>
                <w:bottom w:val="none" w:sz="0" w:space="0" w:color="auto"/>
                <w:right w:val="none" w:sz="0" w:space="0" w:color="auto"/>
              </w:divBdr>
            </w:div>
          </w:divsChild>
        </w:div>
        <w:div w:id="741490182">
          <w:marLeft w:val="0"/>
          <w:marRight w:val="0"/>
          <w:marTop w:val="0"/>
          <w:marBottom w:val="0"/>
          <w:divBdr>
            <w:top w:val="none" w:sz="0" w:space="0" w:color="auto"/>
            <w:left w:val="none" w:sz="0" w:space="0" w:color="auto"/>
            <w:bottom w:val="none" w:sz="0" w:space="0" w:color="auto"/>
            <w:right w:val="none" w:sz="0" w:space="0" w:color="auto"/>
          </w:divBdr>
          <w:divsChild>
            <w:div w:id="2089378240">
              <w:marLeft w:val="0"/>
              <w:marRight w:val="0"/>
              <w:marTop w:val="0"/>
              <w:marBottom w:val="0"/>
              <w:divBdr>
                <w:top w:val="none" w:sz="0" w:space="0" w:color="auto"/>
                <w:left w:val="none" w:sz="0" w:space="0" w:color="auto"/>
                <w:bottom w:val="none" w:sz="0" w:space="0" w:color="auto"/>
                <w:right w:val="none" w:sz="0" w:space="0" w:color="auto"/>
              </w:divBdr>
            </w:div>
          </w:divsChild>
        </w:div>
        <w:div w:id="2053727379">
          <w:marLeft w:val="0"/>
          <w:marRight w:val="0"/>
          <w:marTop w:val="0"/>
          <w:marBottom w:val="0"/>
          <w:divBdr>
            <w:top w:val="none" w:sz="0" w:space="0" w:color="auto"/>
            <w:left w:val="none" w:sz="0" w:space="0" w:color="auto"/>
            <w:bottom w:val="none" w:sz="0" w:space="0" w:color="auto"/>
            <w:right w:val="none" w:sz="0" w:space="0" w:color="auto"/>
          </w:divBdr>
          <w:divsChild>
            <w:div w:id="111093766">
              <w:marLeft w:val="0"/>
              <w:marRight w:val="0"/>
              <w:marTop w:val="0"/>
              <w:marBottom w:val="0"/>
              <w:divBdr>
                <w:top w:val="none" w:sz="0" w:space="0" w:color="auto"/>
                <w:left w:val="none" w:sz="0" w:space="0" w:color="auto"/>
                <w:bottom w:val="none" w:sz="0" w:space="0" w:color="auto"/>
                <w:right w:val="none" w:sz="0" w:space="0" w:color="auto"/>
              </w:divBdr>
            </w:div>
          </w:divsChild>
        </w:div>
        <w:div w:id="76369157">
          <w:marLeft w:val="0"/>
          <w:marRight w:val="0"/>
          <w:marTop w:val="300"/>
          <w:marBottom w:val="300"/>
          <w:divBdr>
            <w:top w:val="none" w:sz="0" w:space="0" w:color="auto"/>
            <w:left w:val="none" w:sz="0" w:space="0" w:color="auto"/>
            <w:bottom w:val="none" w:sz="0" w:space="0" w:color="auto"/>
            <w:right w:val="none" w:sz="0" w:space="0" w:color="auto"/>
          </w:divBdr>
        </w:div>
        <w:div w:id="585581054">
          <w:marLeft w:val="0"/>
          <w:marRight w:val="0"/>
          <w:marTop w:val="0"/>
          <w:marBottom w:val="0"/>
          <w:divBdr>
            <w:top w:val="none" w:sz="0" w:space="0" w:color="auto"/>
            <w:left w:val="none" w:sz="0" w:space="0" w:color="auto"/>
            <w:bottom w:val="none" w:sz="0" w:space="0" w:color="auto"/>
            <w:right w:val="none" w:sz="0" w:space="0" w:color="auto"/>
          </w:divBdr>
          <w:divsChild>
            <w:div w:id="1215577650">
              <w:marLeft w:val="0"/>
              <w:marRight w:val="0"/>
              <w:marTop w:val="0"/>
              <w:marBottom w:val="0"/>
              <w:divBdr>
                <w:top w:val="none" w:sz="0" w:space="0" w:color="auto"/>
                <w:left w:val="none" w:sz="0" w:space="0" w:color="auto"/>
                <w:bottom w:val="none" w:sz="0" w:space="0" w:color="auto"/>
                <w:right w:val="none" w:sz="0" w:space="0" w:color="auto"/>
              </w:divBdr>
            </w:div>
          </w:divsChild>
        </w:div>
        <w:div w:id="2091659298">
          <w:marLeft w:val="0"/>
          <w:marRight w:val="0"/>
          <w:marTop w:val="0"/>
          <w:marBottom w:val="0"/>
          <w:divBdr>
            <w:top w:val="none" w:sz="0" w:space="0" w:color="auto"/>
            <w:left w:val="none" w:sz="0" w:space="0" w:color="auto"/>
            <w:bottom w:val="none" w:sz="0" w:space="0" w:color="auto"/>
            <w:right w:val="none" w:sz="0" w:space="0" w:color="auto"/>
          </w:divBdr>
          <w:divsChild>
            <w:div w:id="1314799160">
              <w:marLeft w:val="0"/>
              <w:marRight w:val="0"/>
              <w:marTop w:val="0"/>
              <w:marBottom w:val="0"/>
              <w:divBdr>
                <w:top w:val="none" w:sz="0" w:space="0" w:color="auto"/>
                <w:left w:val="none" w:sz="0" w:space="0" w:color="auto"/>
                <w:bottom w:val="none" w:sz="0" w:space="0" w:color="auto"/>
                <w:right w:val="none" w:sz="0" w:space="0" w:color="auto"/>
              </w:divBdr>
            </w:div>
          </w:divsChild>
        </w:div>
        <w:div w:id="2014260907">
          <w:marLeft w:val="0"/>
          <w:marRight w:val="0"/>
          <w:marTop w:val="0"/>
          <w:marBottom w:val="0"/>
          <w:divBdr>
            <w:top w:val="none" w:sz="0" w:space="0" w:color="auto"/>
            <w:left w:val="none" w:sz="0" w:space="0" w:color="auto"/>
            <w:bottom w:val="none" w:sz="0" w:space="0" w:color="auto"/>
            <w:right w:val="none" w:sz="0" w:space="0" w:color="auto"/>
          </w:divBdr>
          <w:divsChild>
            <w:div w:id="763917236">
              <w:marLeft w:val="0"/>
              <w:marRight w:val="0"/>
              <w:marTop w:val="0"/>
              <w:marBottom w:val="0"/>
              <w:divBdr>
                <w:top w:val="none" w:sz="0" w:space="0" w:color="auto"/>
                <w:left w:val="none" w:sz="0" w:space="0" w:color="auto"/>
                <w:bottom w:val="none" w:sz="0" w:space="0" w:color="auto"/>
                <w:right w:val="none" w:sz="0" w:space="0" w:color="auto"/>
              </w:divBdr>
            </w:div>
          </w:divsChild>
        </w:div>
        <w:div w:id="268009348">
          <w:marLeft w:val="0"/>
          <w:marRight w:val="0"/>
          <w:marTop w:val="0"/>
          <w:marBottom w:val="0"/>
          <w:divBdr>
            <w:top w:val="none" w:sz="0" w:space="0" w:color="auto"/>
            <w:left w:val="none" w:sz="0" w:space="0" w:color="auto"/>
            <w:bottom w:val="none" w:sz="0" w:space="0" w:color="auto"/>
            <w:right w:val="none" w:sz="0" w:space="0" w:color="auto"/>
          </w:divBdr>
          <w:divsChild>
            <w:div w:id="1907954783">
              <w:marLeft w:val="0"/>
              <w:marRight w:val="0"/>
              <w:marTop w:val="0"/>
              <w:marBottom w:val="0"/>
              <w:divBdr>
                <w:top w:val="none" w:sz="0" w:space="0" w:color="auto"/>
                <w:left w:val="none" w:sz="0" w:space="0" w:color="auto"/>
                <w:bottom w:val="none" w:sz="0" w:space="0" w:color="auto"/>
                <w:right w:val="none" w:sz="0" w:space="0" w:color="auto"/>
              </w:divBdr>
            </w:div>
          </w:divsChild>
        </w:div>
        <w:div w:id="596257168">
          <w:marLeft w:val="0"/>
          <w:marRight w:val="0"/>
          <w:marTop w:val="0"/>
          <w:marBottom w:val="0"/>
          <w:divBdr>
            <w:top w:val="none" w:sz="0" w:space="0" w:color="auto"/>
            <w:left w:val="none" w:sz="0" w:space="0" w:color="auto"/>
            <w:bottom w:val="none" w:sz="0" w:space="0" w:color="auto"/>
            <w:right w:val="none" w:sz="0" w:space="0" w:color="auto"/>
          </w:divBdr>
          <w:divsChild>
            <w:div w:id="522790712">
              <w:marLeft w:val="0"/>
              <w:marRight w:val="0"/>
              <w:marTop w:val="0"/>
              <w:marBottom w:val="0"/>
              <w:divBdr>
                <w:top w:val="none" w:sz="0" w:space="0" w:color="auto"/>
                <w:left w:val="none" w:sz="0" w:space="0" w:color="auto"/>
                <w:bottom w:val="none" w:sz="0" w:space="0" w:color="auto"/>
                <w:right w:val="none" w:sz="0" w:space="0" w:color="auto"/>
              </w:divBdr>
            </w:div>
          </w:divsChild>
        </w:div>
        <w:div w:id="1605189991">
          <w:marLeft w:val="0"/>
          <w:marRight w:val="0"/>
          <w:marTop w:val="0"/>
          <w:marBottom w:val="0"/>
          <w:divBdr>
            <w:top w:val="none" w:sz="0" w:space="0" w:color="auto"/>
            <w:left w:val="none" w:sz="0" w:space="0" w:color="auto"/>
            <w:bottom w:val="none" w:sz="0" w:space="0" w:color="auto"/>
            <w:right w:val="none" w:sz="0" w:space="0" w:color="auto"/>
          </w:divBdr>
          <w:divsChild>
            <w:div w:id="501169596">
              <w:marLeft w:val="0"/>
              <w:marRight w:val="0"/>
              <w:marTop w:val="0"/>
              <w:marBottom w:val="0"/>
              <w:divBdr>
                <w:top w:val="none" w:sz="0" w:space="0" w:color="auto"/>
                <w:left w:val="none" w:sz="0" w:space="0" w:color="auto"/>
                <w:bottom w:val="none" w:sz="0" w:space="0" w:color="auto"/>
                <w:right w:val="none" w:sz="0" w:space="0" w:color="auto"/>
              </w:divBdr>
            </w:div>
          </w:divsChild>
        </w:div>
        <w:div w:id="278221438">
          <w:marLeft w:val="0"/>
          <w:marRight w:val="0"/>
          <w:marTop w:val="0"/>
          <w:marBottom w:val="0"/>
          <w:divBdr>
            <w:top w:val="none" w:sz="0" w:space="0" w:color="auto"/>
            <w:left w:val="none" w:sz="0" w:space="0" w:color="auto"/>
            <w:bottom w:val="none" w:sz="0" w:space="0" w:color="auto"/>
            <w:right w:val="none" w:sz="0" w:space="0" w:color="auto"/>
          </w:divBdr>
          <w:divsChild>
            <w:div w:id="394279026">
              <w:marLeft w:val="0"/>
              <w:marRight w:val="0"/>
              <w:marTop w:val="0"/>
              <w:marBottom w:val="0"/>
              <w:divBdr>
                <w:top w:val="none" w:sz="0" w:space="0" w:color="auto"/>
                <w:left w:val="none" w:sz="0" w:space="0" w:color="auto"/>
                <w:bottom w:val="none" w:sz="0" w:space="0" w:color="auto"/>
                <w:right w:val="none" w:sz="0" w:space="0" w:color="auto"/>
              </w:divBdr>
            </w:div>
          </w:divsChild>
        </w:div>
        <w:div w:id="1510440241">
          <w:marLeft w:val="0"/>
          <w:marRight w:val="0"/>
          <w:marTop w:val="300"/>
          <w:marBottom w:val="300"/>
          <w:divBdr>
            <w:top w:val="none" w:sz="0" w:space="0" w:color="auto"/>
            <w:left w:val="none" w:sz="0" w:space="0" w:color="auto"/>
            <w:bottom w:val="none" w:sz="0" w:space="0" w:color="auto"/>
            <w:right w:val="none" w:sz="0" w:space="0" w:color="auto"/>
          </w:divBdr>
        </w:div>
        <w:div w:id="1160535539">
          <w:marLeft w:val="0"/>
          <w:marRight w:val="0"/>
          <w:marTop w:val="0"/>
          <w:marBottom w:val="0"/>
          <w:divBdr>
            <w:top w:val="none" w:sz="0" w:space="0" w:color="auto"/>
            <w:left w:val="none" w:sz="0" w:space="0" w:color="auto"/>
            <w:bottom w:val="none" w:sz="0" w:space="0" w:color="auto"/>
            <w:right w:val="none" w:sz="0" w:space="0" w:color="auto"/>
          </w:divBdr>
          <w:divsChild>
            <w:div w:id="1633175085">
              <w:marLeft w:val="0"/>
              <w:marRight w:val="0"/>
              <w:marTop w:val="0"/>
              <w:marBottom w:val="0"/>
              <w:divBdr>
                <w:top w:val="none" w:sz="0" w:space="0" w:color="auto"/>
                <w:left w:val="none" w:sz="0" w:space="0" w:color="auto"/>
                <w:bottom w:val="none" w:sz="0" w:space="0" w:color="auto"/>
                <w:right w:val="none" w:sz="0" w:space="0" w:color="auto"/>
              </w:divBdr>
            </w:div>
          </w:divsChild>
        </w:div>
        <w:div w:id="1941839093">
          <w:marLeft w:val="0"/>
          <w:marRight w:val="0"/>
          <w:marTop w:val="0"/>
          <w:marBottom w:val="0"/>
          <w:divBdr>
            <w:top w:val="none" w:sz="0" w:space="0" w:color="auto"/>
            <w:left w:val="none" w:sz="0" w:space="0" w:color="auto"/>
            <w:bottom w:val="none" w:sz="0" w:space="0" w:color="auto"/>
            <w:right w:val="none" w:sz="0" w:space="0" w:color="auto"/>
          </w:divBdr>
          <w:divsChild>
            <w:div w:id="1242836538">
              <w:marLeft w:val="0"/>
              <w:marRight w:val="0"/>
              <w:marTop w:val="0"/>
              <w:marBottom w:val="0"/>
              <w:divBdr>
                <w:top w:val="none" w:sz="0" w:space="0" w:color="auto"/>
                <w:left w:val="none" w:sz="0" w:space="0" w:color="auto"/>
                <w:bottom w:val="none" w:sz="0" w:space="0" w:color="auto"/>
                <w:right w:val="none" w:sz="0" w:space="0" w:color="auto"/>
              </w:divBdr>
            </w:div>
          </w:divsChild>
        </w:div>
        <w:div w:id="1951933074">
          <w:marLeft w:val="0"/>
          <w:marRight w:val="0"/>
          <w:marTop w:val="0"/>
          <w:marBottom w:val="0"/>
          <w:divBdr>
            <w:top w:val="none" w:sz="0" w:space="0" w:color="auto"/>
            <w:left w:val="none" w:sz="0" w:space="0" w:color="auto"/>
            <w:bottom w:val="none" w:sz="0" w:space="0" w:color="auto"/>
            <w:right w:val="none" w:sz="0" w:space="0" w:color="auto"/>
          </w:divBdr>
          <w:divsChild>
            <w:div w:id="71902170">
              <w:marLeft w:val="0"/>
              <w:marRight w:val="0"/>
              <w:marTop w:val="0"/>
              <w:marBottom w:val="0"/>
              <w:divBdr>
                <w:top w:val="none" w:sz="0" w:space="0" w:color="auto"/>
                <w:left w:val="none" w:sz="0" w:space="0" w:color="auto"/>
                <w:bottom w:val="none" w:sz="0" w:space="0" w:color="auto"/>
                <w:right w:val="none" w:sz="0" w:space="0" w:color="auto"/>
              </w:divBdr>
            </w:div>
          </w:divsChild>
        </w:div>
        <w:div w:id="354887612">
          <w:marLeft w:val="0"/>
          <w:marRight w:val="0"/>
          <w:marTop w:val="0"/>
          <w:marBottom w:val="0"/>
          <w:divBdr>
            <w:top w:val="none" w:sz="0" w:space="0" w:color="auto"/>
            <w:left w:val="none" w:sz="0" w:space="0" w:color="auto"/>
            <w:bottom w:val="none" w:sz="0" w:space="0" w:color="auto"/>
            <w:right w:val="none" w:sz="0" w:space="0" w:color="auto"/>
          </w:divBdr>
          <w:divsChild>
            <w:div w:id="1017581853">
              <w:marLeft w:val="0"/>
              <w:marRight w:val="0"/>
              <w:marTop w:val="0"/>
              <w:marBottom w:val="0"/>
              <w:divBdr>
                <w:top w:val="none" w:sz="0" w:space="0" w:color="auto"/>
                <w:left w:val="none" w:sz="0" w:space="0" w:color="auto"/>
                <w:bottom w:val="none" w:sz="0" w:space="0" w:color="auto"/>
                <w:right w:val="none" w:sz="0" w:space="0" w:color="auto"/>
              </w:divBdr>
            </w:div>
          </w:divsChild>
        </w:div>
        <w:div w:id="5790023">
          <w:marLeft w:val="0"/>
          <w:marRight w:val="0"/>
          <w:marTop w:val="0"/>
          <w:marBottom w:val="0"/>
          <w:divBdr>
            <w:top w:val="none" w:sz="0" w:space="0" w:color="auto"/>
            <w:left w:val="none" w:sz="0" w:space="0" w:color="auto"/>
            <w:bottom w:val="none" w:sz="0" w:space="0" w:color="auto"/>
            <w:right w:val="none" w:sz="0" w:space="0" w:color="auto"/>
          </w:divBdr>
          <w:divsChild>
            <w:div w:id="1579360101">
              <w:marLeft w:val="0"/>
              <w:marRight w:val="0"/>
              <w:marTop w:val="0"/>
              <w:marBottom w:val="0"/>
              <w:divBdr>
                <w:top w:val="none" w:sz="0" w:space="0" w:color="auto"/>
                <w:left w:val="none" w:sz="0" w:space="0" w:color="auto"/>
                <w:bottom w:val="none" w:sz="0" w:space="0" w:color="auto"/>
                <w:right w:val="none" w:sz="0" w:space="0" w:color="auto"/>
              </w:divBdr>
            </w:div>
          </w:divsChild>
        </w:div>
        <w:div w:id="1725563704">
          <w:marLeft w:val="0"/>
          <w:marRight w:val="0"/>
          <w:marTop w:val="0"/>
          <w:marBottom w:val="0"/>
          <w:divBdr>
            <w:top w:val="none" w:sz="0" w:space="0" w:color="auto"/>
            <w:left w:val="none" w:sz="0" w:space="0" w:color="auto"/>
            <w:bottom w:val="none" w:sz="0" w:space="0" w:color="auto"/>
            <w:right w:val="none" w:sz="0" w:space="0" w:color="auto"/>
          </w:divBdr>
          <w:divsChild>
            <w:div w:id="508494657">
              <w:marLeft w:val="0"/>
              <w:marRight w:val="0"/>
              <w:marTop w:val="0"/>
              <w:marBottom w:val="0"/>
              <w:divBdr>
                <w:top w:val="none" w:sz="0" w:space="0" w:color="auto"/>
                <w:left w:val="none" w:sz="0" w:space="0" w:color="auto"/>
                <w:bottom w:val="none" w:sz="0" w:space="0" w:color="auto"/>
                <w:right w:val="none" w:sz="0" w:space="0" w:color="auto"/>
              </w:divBdr>
            </w:div>
          </w:divsChild>
        </w:div>
        <w:div w:id="2097939820">
          <w:marLeft w:val="0"/>
          <w:marRight w:val="0"/>
          <w:marTop w:val="0"/>
          <w:marBottom w:val="0"/>
          <w:divBdr>
            <w:top w:val="none" w:sz="0" w:space="0" w:color="auto"/>
            <w:left w:val="none" w:sz="0" w:space="0" w:color="auto"/>
            <w:bottom w:val="none" w:sz="0" w:space="0" w:color="auto"/>
            <w:right w:val="none" w:sz="0" w:space="0" w:color="auto"/>
          </w:divBdr>
          <w:divsChild>
            <w:div w:id="1940720180">
              <w:marLeft w:val="0"/>
              <w:marRight w:val="0"/>
              <w:marTop w:val="0"/>
              <w:marBottom w:val="0"/>
              <w:divBdr>
                <w:top w:val="none" w:sz="0" w:space="0" w:color="auto"/>
                <w:left w:val="none" w:sz="0" w:space="0" w:color="auto"/>
                <w:bottom w:val="none" w:sz="0" w:space="0" w:color="auto"/>
                <w:right w:val="none" w:sz="0" w:space="0" w:color="auto"/>
              </w:divBdr>
            </w:div>
          </w:divsChild>
        </w:div>
        <w:div w:id="1353650113">
          <w:marLeft w:val="0"/>
          <w:marRight w:val="0"/>
          <w:marTop w:val="0"/>
          <w:marBottom w:val="0"/>
          <w:divBdr>
            <w:top w:val="none" w:sz="0" w:space="0" w:color="auto"/>
            <w:left w:val="none" w:sz="0" w:space="0" w:color="auto"/>
            <w:bottom w:val="none" w:sz="0" w:space="0" w:color="auto"/>
            <w:right w:val="none" w:sz="0" w:space="0" w:color="auto"/>
          </w:divBdr>
          <w:divsChild>
            <w:div w:id="154499666">
              <w:marLeft w:val="0"/>
              <w:marRight w:val="0"/>
              <w:marTop w:val="0"/>
              <w:marBottom w:val="0"/>
              <w:divBdr>
                <w:top w:val="none" w:sz="0" w:space="0" w:color="auto"/>
                <w:left w:val="none" w:sz="0" w:space="0" w:color="auto"/>
                <w:bottom w:val="none" w:sz="0" w:space="0" w:color="auto"/>
                <w:right w:val="none" w:sz="0" w:space="0" w:color="auto"/>
              </w:divBdr>
            </w:div>
          </w:divsChild>
        </w:div>
        <w:div w:id="1558977779">
          <w:marLeft w:val="0"/>
          <w:marRight w:val="0"/>
          <w:marTop w:val="300"/>
          <w:marBottom w:val="300"/>
          <w:divBdr>
            <w:top w:val="none" w:sz="0" w:space="0" w:color="auto"/>
            <w:left w:val="none" w:sz="0" w:space="0" w:color="auto"/>
            <w:bottom w:val="none" w:sz="0" w:space="0" w:color="auto"/>
            <w:right w:val="none" w:sz="0" w:space="0" w:color="auto"/>
          </w:divBdr>
        </w:div>
        <w:div w:id="526912171">
          <w:marLeft w:val="0"/>
          <w:marRight w:val="0"/>
          <w:marTop w:val="0"/>
          <w:marBottom w:val="0"/>
          <w:divBdr>
            <w:top w:val="none" w:sz="0" w:space="0" w:color="auto"/>
            <w:left w:val="none" w:sz="0" w:space="0" w:color="auto"/>
            <w:bottom w:val="none" w:sz="0" w:space="0" w:color="auto"/>
            <w:right w:val="none" w:sz="0" w:space="0" w:color="auto"/>
          </w:divBdr>
          <w:divsChild>
            <w:div w:id="674380455">
              <w:marLeft w:val="0"/>
              <w:marRight w:val="0"/>
              <w:marTop w:val="0"/>
              <w:marBottom w:val="0"/>
              <w:divBdr>
                <w:top w:val="none" w:sz="0" w:space="0" w:color="auto"/>
                <w:left w:val="none" w:sz="0" w:space="0" w:color="auto"/>
                <w:bottom w:val="none" w:sz="0" w:space="0" w:color="auto"/>
                <w:right w:val="none" w:sz="0" w:space="0" w:color="auto"/>
              </w:divBdr>
            </w:div>
          </w:divsChild>
        </w:div>
        <w:div w:id="1811824317">
          <w:marLeft w:val="0"/>
          <w:marRight w:val="0"/>
          <w:marTop w:val="0"/>
          <w:marBottom w:val="0"/>
          <w:divBdr>
            <w:top w:val="none" w:sz="0" w:space="0" w:color="auto"/>
            <w:left w:val="none" w:sz="0" w:space="0" w:color="auto"/>
            <w:bottom w:val="none" w:sz="0" w:space="0" w:color="auto"/>
            <w:right w:val="none" w:sz="0" w:space="0" w:color="auto"/>
          </w:divBdr>
          <w:divsChild>
            <w:div w:id="1007177986">
              <w:marLeft w:val="0"/>
              <w:marRight w:val="0"/>
              <w:marTop w:val="0"/>
              <w:marBottom w:val="0"/>
              <w:divBdr>
                <w:top w:val="none" w:sz="0" w:space="0" w:color="auto"/>
                <w:left w:val="none" w:sz="0" w:space="0" w:color="auto"/>
                <w:bottom w:val="none" w:sz="0" w:space="0" w:color="auto"/>
                <w:right w:val="none" w:sz="0" w:space="0" w:color="auto"/>
              </w:divBdr>
            </w:div>
          </w:divsChild>
        </w:div>
        <w:div w:id="1037584736">
          <w:marLeft w:val="0"/>
          <w:marRight w:val="0"/>
          <w:marTop w:val="0"/>
          <w:marBottom w:val="0"/>
          <w:divBdr>
            <w:top w:val="none" w:sz="0" w:space="0" w:color="auto"/>
            <w:left w:val="none" w:sz="0" w:space="0" w:color="auto"/>
            <w:bottom w:val="none" w:sz="0" w:space="0" w:color="auto"/>
            <w:right w:val="none" w:sz="0" w:space="0" w:color="auto"/>
          </w:divBdr>
          <w:divsChild>
            <w:div w:id="1644963808">
              <w:marLeft w:val="0"/>
              <w:marRight w:val="0"/>
              <w:marTop w:val="0"/>
              <w:marBottom w:val="0"/>
              <w:divBdr>
                <w:top w:val="none" w:sz="0" w:space="0" w:color="auto"/>
                <w:left w:val="none" w:sz="0" w:space="0" w:color="auto"/>
                <w:bottom w:val="none" w:sz="0" w:space="0" w:color="auto"/>
                <w:right w:val="none" w:sz="0" w:space="0" w:color="auto"/>
              </w:divBdr>
            </w:div>
          </w:divsChild>
        </w:div>
        <w:div w:id="1957522926">
          <w:marLeft w:val="0"/>
          <w:marRight w:val="0"/>
          <w:marTop w:val="0"/>
          <w:marBottom w:val="0"/>
          <w:divBdr>
            <w:top w:val="none" w:sz="0" w:space="0" w:color="auto"/>
            <w:left w:val="none" w:sz="0" w:space="0" w:color="auto"/>
            <w:bottom w:val="none" w:sz="0" w:space="0" w:color="auto"/>
            <w:right w:val="none" w:sz="0" w:space="0" w:color="auto"/>
          </w:divBdr>
          <w:divsChild>
            <w:div w:id="1976449118">
              <w:marLeft w:val="0"/>
              <w:marRight w:val="0"/>
              <w:marTop w:val="0"/>
              <w:marBottom w:val="0"/>
              <w:divBdr>
                <w:top w:val="none" w:sz="0" w:space="0" w:color="auto"/>
                <w:left w:val="none" w:sz="0" w:space="0" w:color="auto"/>
                <w:bottom w:val="none" w:sz="0" w:space="0" w:color="auto"/>
                <w:right w:val="none" w:sz="0" w:space="0" w:color="auto"/>
              </w:divBdr>
            </w:div>
          </w:divsChild>
        </w:div>
        <w:div w:id="1034961082">
          <w:marLeft w:val="0"/>
          <w:marRight w:val="0"/>
          <w:marTop w:val="0"/>
          <w:marBottom w:val="0"/>
          <w:divBdr>
            <w:top w:val="none" w:sz="0" w:space="0" w:color="auto"/>
            <w:left w:val="none" w:sz="0" w:space="0" w:color="auto"/>
            <w:bottom w:val="none" w:sz="0" w:space="0" w:color="auto"/>
            <w:right w:val="none" w:sz="0" w:space="0" w:color="auto"/>
          </w:divBdr>
          <w:divsChild>
            <w:div w:id="1921138223">
              <w:marLeft w:val="0"/>
              <w:marRight w:val="0"/>
              <w:marTop w:val="0"/>
              <w:marBottom w:val="0"/>
              <w:divBdr>
                <w:top w:val="none" w:sz="0" w:space="0" w:color="auto"/>
                <w:left w:val="none" w:sz="0" w:space="0" w:color="auto"/>
                <w:bottom w:val="none" w:sz="0" w:space="0" w:color="auto"/>
                <w:right w:val="none" w:sz="0" w:space="0" w:color="auto"/>
              </w:divBdr>
            </w:div>
          </w:divsChild>
        </w:div>
        <w:div w:id="888302215">
          <w:marLeft w:val="0"/>
          <w:marRight w:val="0"/>
          <w:marTop w:val="0"/>
          <w:marBottom w:val="0"/>
          <w:divBdr>
            <w:top w:val="none" w:sz="0" w:space="0" w:color="auto"/>
            <w:left w:val="none" w:sz="0" w:space="0" w:color="auto"/>
            <w:bottom w:val="none" w:sz="0" w:space="0" w:color="auto"/>
            <w:right w:val="none" w:sz="0" w:space="0" w:color="auto"/>
          </w:divBdr>
          <w:divsChild>
            <w:div w:id="1141113374">
              <w:marLeft w:val="0"/>
              <w:marRight w:val="0"/>
              <w:marTop w:val="0"/>
              <w:marBottom w:val="0"/>
              <w:divBdr>
                <w:top w:val="none" w:sz="0" w:space="0" w:color="auto"/>
                <w:left w:val="none" w:sz="0" w:space="0" w:color="auto"/>
                <w:bottom w:val="none" w:sz="0" w:space="0" w:color="auto"/>
                <w:right w:val="none" w:sz="0" w:space="0" w:color="auto"/>
              </w:divBdr>
            </w:div>
          </w:divsChild>
        </w:div>
        <w:div w:id="1836871391">
          <w:marLeft w:val="0"/>
          <w:marRight w:val="0"/>
          <w:marTop w:val="300"/>
          <w:marBottom w:val="300"/>
          <w:divBdr>
            <w:top w:val="none" w:sz="0" w:space="0" w:color="auto"/>
            <w:left w:val="none" w:sz="0" w:space="0" w:color="auto"/>
            <w:bottom w:val="none" w:sz="0" w:space="0" w:color="auto"/>
            <w:right w:val="none" w:sz="0" w:space="0" w:color="auto"/>
          </w:divBdr>
        </w:div>
        <w:div w:id="659116051">
          <w:marLeft w:val="0"/>
          <w:marRight w:val="0"/>
          <w:marTop w:val="0"/>
          <w:marBottom w:val="0"/>
          <w:divBdr>
            <w:top w:val="none" w:sz="0" w:space="0" w:color="auto"/>
            <w:left w:val="none" w:sz="0" w:space="0" w:color="auto"/>
            <w:bottom w:val="none" w:sz="0" w:space="0" w:color="auto"/>
            <w:right w:val="none" w:sz="0" w:space="0" w:color="auto"/>
          </w:divBdr>
          <w:divsChild>
            <w:div w:id="87122842">
              <w:marLeft w:val="0"/>
              <w:marRight w:val="0"/>
              <w:marTop w:val="0"/>
              <w:marBottom w:val="0"/>
              <w:divBdr>
                <w:top w:val="none" w:sz="0" w:space="0" w:color="auto"/>
                <w:left w:val="none" w:sz="0" w:space="0" w:color="auto"/>
                <w:bottom w:val="none" w:sz="0" w:space="0" w:color="auto"/>
                <w:right w:val="none" w:sz="0" w:space="0" w:color="auto"/>
              </w:divBdr>
            </w:div>
          </w:divsChild>
        </w:div>
        <w:div w:id="1570723038">
          <w:marLeft w:val="0"/>
          <w:marRight w:val="0"/>
          <w:marTop w:val="0"/>
          <w:marBottom w:val="0"/>
          <w:divBdr>
            <w:top w:val="none" w:sz="0" w:space="0" w:color="auto"/>
            <w:left w:val="none" w:sz="0" w:space="0" w:color="auto"/>
            <w:bottom w:val="none" w:sz="0" w:space="0" w:color="auto"/>
            <w:right w:val="none" w:sz="0" w:space="0" w:color="auto"/>
          </w:divBdr>
          <w:divsChild>
            <w:div w:id="395782246">
              <w:marLeft w:val="0"/>
              <w:marRight w:val="0"/>
              <w:marTop w:val="0"/>
              <w:marBottom w:val="0"/>
              <w:divBdr>
                <w:top w:val="none" w:sz="0" w:space="0" w:color="auto"/>
                <w:left w:val="none" w:sz="0" w:space="0" w:color="auto"/>
                <w:bottom w:val="none" w:sz="0" w:space="0" w:color="auto"/>
                <w:right w:val="none" w:sz="0" w:space="0" w:color="auto"/>
              </w:divBdr>
            </w:div>
          </w:divsChild>
        </w:div>
        <w:div w:id="232816157">
          <w:marLeft w:val="0"/>
          <w:marRight w:val="0"/>
          <w:marTop w:val="0"/>
          <w:marBottom w:val="0"/>
          <w:divBdr>
            <w:top w:val="none" w:sz="0" w:space="0" w:color="auto"/>
            <w:left w:val="none" w:sz="0" w:space="0" w:color="auto"/>
            <w:bottom w:val="none" w:sz="0" w:space="0" w:color="auto"/>
            <w:right w:val="none" w:sz="0" w:space="0" w:color="auto"/>
          </w:divBdr>
          <w:divsChild>
            <w:div w:id="1943757050">
              <w:marLeft w:val="0"/>
              <w:marRight w:val="0"/>
              <w:marTop w:val="0"/>
              <w:marBottom w:val="0"/>
              <w:divBdr>
                <w:top w:val="none" w:sz="0" w:space="0" w:color="auto"/>
                <w:left w:val="none" w:sz="0" w:space="0" w:color="auto"/>
                <w:bottom w:val="none" w:sz="0" w:space="0" w:color="auto"/>
                <w:right w:val="none" w:sz="0" w:space="0" w:color="auto"/>
              </w:divBdr>
            </w:div>
          </w:divsChild>
        </w:div>
        <w:div w:id="1649283463">
          <w:marLeft w:val="0"/>
          <w:marRight w:val="0"/>
          <w:marTop w:val="0"/>
          <w:marBottom w:val="0"/>
          <w:divBdr>
            <w:top w:val="none" w:sz="0" w:space="0" w:color="auto"/>
            <w:left w:val="none" w:sz="0" w:space="0" w:color="auto"/>
            <w:bottom w:val="none" w:sz="0" w:space="0" w:color="auto"/>
            <w:right w:val="none" w:sz="0" w:space="0" w:color="auto"/>
          </w:divBdr>
          <w:divsChild>
            <w:div w:id="1186017346">
              <w:marLeft w:val="0"/>
              <w:marRight w:val="0"/>
              <w:marTop w:val="0"/>
              <w:marBottom w:val="0"/>
              <w:divBdr>
                <w:top w:val="none" w:sz="0" w:space="0" w:color="auto"/>
                <w:left w:val="none" w:sz="0" w:space="0" w:color="auto"/>
                <w:bottom w:val="none" w:sz="0" w:space="0" w:color="auto"/>
                <w:right w:val="none" w:sz="0" w:space="0" w:color="auto"/>
              </w:divBdr>
            </w:div>
          </w:divsChild>
        </w:div>
        <w:div w:id="1786391384">
          <w:marLeft w:val="0"/>
          <w:marRight w:val="0"/>
          <w:marTop w:val="0"/>
          <w:marBottom w:val="0"/>
          <w:divBdr>
            <w:top w:val="none" w:sz="0" w:space="0" w:color="auto"/>
            <w:left w:val="none" w:sz="0" w:space="0" w:color="auto"/>
            <w:bottom w:val="none" w:sz="0" w:space="0" w:color="auto"/>
            <w:right w:val="none" w:sz="0" w:space="0" w:color="auto"/>
          </w:divBdr>
          <w:divsChild>
            <w:div w:id="1921788543">
              <w:marLeft w:val="0"/>
              <w:marRight w:val="0"/>
              <w:marTop w:val="0"/>
              <w:marBottom w:val="0"/>
              <w:divBdr>
                <w:top w:val="none" w:sz="0" w:space="0" w:color="auto"/>
                <w:left w:val="none" w:sz="0" w:space="0" w:color="auto"/>
                <w:bottom w:val="none" w:sz="0" w:space="0" w:color="auto"/>
                <w:right w:val="none" w:sz="0" w:space="0" w:color="auto"/>
              </w:divBdr>
            </w:div>
          </w:divsChild>
        </w:div>
        <w:div w:id="123428840">
          <w:marLeft w:val="0"/>
          <w:marRight w:val="0"/>
          <w:marTop w:val="0"/>
          <w:marBottom w:val="0"/>
          <w:divBdr>
            <w:top w:val="none" w:sz="0" w:space="0" w:color="auto"/>
            <w:left w:val="none" w:sz="0" w:space="0" w:color="auto"/>
            <w:bottom w:val="none" w:sz="0" w:space="0" w:color="auto"/>
            <w:right w:val="none" w:sz="0" w:space="0" w:color="auto"/>
          </w:divBdr>
          <w:divsChild>
            <w:div w:id="1918326266">
              <w:marLeft w:val="0"/>
              <w:marRight w:val="0"/>
              <w:marTop w:val="0"/>
              <w:marBottom w:val="0"/>
              <w:divBdr>
                <w:top w:val="none" w:sz="0" w:space="0" w:color="auto"/>
                <w:left w:val="none" w:sz="0" w:space="0" w:color="auto"/>
                <w:bottom w:val="none" w:sz="0" w:space="0" w:color="auto"/>
                <w:right w:val="none" w:sz="0" w:space="0" w:color="auto"/>
              </w:divBdr>
            </w:div>
          </w:divsChild>
        </w:div>
        <w:div w:id="2123765952">
          <w:marLeft w:val="0"/>
          <w:marRight w:val="0"/>
          <w:marTop w:val="0"/>
          <w:marBottom w:val="0"/>
          <w:divBdr>
            <w:top w:val="none" w:sz="0" w:space="0" w:color="auto"/>
            <w:left w:val="none" w:sz="0" w:space="0" w:color="auto"/>
            <w:bottom w:val="none" w:sz="0" w:space="0" w:color="auto"/>
            <w:right w:val="none" w:sz="0" w:space="0" w:color="auto"/>
          </w:divBdr>
          <w:divsChild>
            <w:div w:id="1950699649">
              <w:marLeft w:val="0"/>
              <w:marRight w:val="0"/>
              <w:marTop w:val="0"/>
              <w:marBottom w:val="0"/>
              <w:divBdr>
                <w:top w:val="none" w:sz="0" w:space="0" w:color="auto"/>
                <w:left w:val="none" w:sz="0" w:space="0" w:color="auto"/>
                <w:bottom w:val="none" w:sz="0" w:space="0" w:color="auto"/>
                <w:right w:val="none" w:sz="0" w:space="0" w:color="auto"/>
              </w:divBdr>
            </w:div>
          </w:divsChild>
        </w:div>
        <w:div w:id="2047098919">
          <w:marLeft w:val="0"/>
          <w:marRight w:val="0"/>
          <w:marTop w:val="300"/>
          <w:marBottom w:val="300"/>
          <w:divBdr>
            <w:top w:val="none" w:sz="0" w:space="0" w:color="auto"/>
            <w:left w:val="none" w:sz="0" w:space="0" w:color="auto"/>
            <w:bottom w:val="none" w:sz="0" w:space="0" w:color="auto"/>
            <w:right w:val="none" w:sz="0" w:space="0" w:color="auto"/>
          </w:divBdr>
        </w:div>
        <w:div w:id="483670783">
          <w:marLeft w:val="0"/>
          <w:marRight w:val="0"/>
          <w:marTop w:val="0"/>
          <w:marBottom w:val="0"/>
          <w:divBdr>
            <w:top w:val="none" w:sz="0" w:space="0" w:color="auto"/>
            <w:left w:val="none" w:sz="0" w:space="0" w:color="auto"/>
            <w:bottom w:val="none" w:sz="0" w:space="0" w:color="auto"/>
            <w:right w:val="none" w:sz="0" w:space="0" w:color="auto"/>
          </w:divBdr>
          <w:divsChild>
            <w:div w:id="594363107">
              <w:marLeft w:val="0"/>
              <w:marRight w:val="0"/>
              <w:marTop w:val="0"/>
              <w:marBottom w:val="0"/>
              <w:divBdr>
                <w:top w:val="none" w:sz="0" w:space="0" w:color="auto"/>
                <w:left w:val="none" w:sz="0" w:space="0" w:color="auto"/>
                <w:bottom w:val="none" w:sz="0" w:space="0" w:color="auto"/>
                <w:right w:val="none" w:sz="0" w:space="0" w:color="auto"/>
              </w:divBdr>
            </w:div>
          </w:divsChild>
        </w:div>
        <w:div w:id="1164056131">
          <w:marLeft w:val="0"/>
          <w:marRight w:val="0"/>
          <w:marTop w:val="0"/>
          <w:marBottom w:val="0"/>
          <w:divBdr>
            <w:top w:val="none" w:sz="0" w:space="0" w:color="auto"/>
            <w:left w:val="none" w:sz="0" w:space="0" w:color="auto"/>
            <w:bottom w:val="none" w:sz="0" w:space="0" w:color="auto"/>
            <w:right w:val="none" w:sz="0" w:space="0" w:color="auto"/>
          </w:divBdr>
          <w:divsChild>
            <w:div w:id="1741558457">
              <w:marLeft w:val="0"/>
              <w:marRight w:val="0"/>
              <w:marTop w:val="0"/>
              <w:marBottom w:val="0"/>
              <w:divBdr>
                <w:top w:val="none" w:sz="0" w:space="0" w:color="auto"/>
                <w:left w:val="none" w:sz="0" w:space="0" w:color="auto"/>
                <w:bottom w:val="none" w:sz="0" w:space="0" w:color="auto"/>
                <w:right w:val="none" w:sz="0" w:space="0" w:color="auto"/>
              </w:divBdr>
            </w:div>
          </w:divsChild>
        </w:div>
        <w:div w:id="1545174739">
          <w:marLeft w:val="0"/>
          <w:marRight w:val="0"/>
          <w:marTop w:val="0"/>
          <w:marBottom w:val="0"/>
          <w:divBdr>
            <w:top w:val="none" w:sz="0" w:space="0" w:color="auto"/>
            <w:left w:val="none" w:sz="0" w:space="0" w:color="auto"/>
            <w:bottom w:val="none" w:sz="0" w:space="0" w:color="auto"/>
            <w:right w:val="none" w:sz="0" w:space="0" w:color="auto"/>
          </w:divBdr>
          <w:divsChild>
            <w:div w:id="506361003">
              <w:marLeft w:val="0"/>
              <w:marRight w:val="0"/>
              <w:marTop w:val="0"/>
              <w:marBottom w:val="0"/>
              <w:divBdr>
                <w:top w:val="none" w:sz="0" w:space="0" w:color="auto"/>
                <w:left w:val="none" w:sz="0" w:space="0" w:color="auto"/>
                <w:bottom w:val="none" w:sz="0" w:space="0" w:color="auto"/>
                <w:right w:val="none" w:sz="0" w:space="0" w:color="auto"/>
              </w:divBdr>
            </w:div>
          </w:divsChild>
        </w:div>
        <w:div w:id="1361055115">
          <w:marLeft w:val="0"/>
          <w:marRight w:val="0"/>
          <w:marTop w:val="0"/>
          <w:marBottom w:val="0"/>
          <w:divBdr>
            <w:top w:val="none" w:sz="0" w:space="0" w:color="auto"/>
            <w:left w:val="none" w:sz="0" w:space="0" w:color="auto"/>
            <w:bottom w:val="none" w:sz="0" w:space="0" w:color="auto"/>
            <w:right w:val="none" w:sz="0" w:space="0" w:color="auto"/>
          </w:divBdr>
          <w:divsChild>
            <w:div w:id="426734185">
              <w:marLeft w:val="0"/>
              <w:marRight w:val="0"/>
              <w:marTop w:val="0"/>
              <w:marBottom w:val="0"/>
              <w:divBdr>
                <w:top w:val="none" w:sz="0" w:space="0" w:color="auto"/>
                <w:left w:val="none" w:sz="0" w:space="0" w:color="auto"/>
                <w:bottom w:val="none" w:sz="0" w:space="0" w:color="auto"/>
                <w:right w:val="none" w:sz="0" w:space="0" w:color="auto"/>
              </w:divBdr>
            </w:div>
          </w:divsChild>
        </w:div>
        <w:div w:id="1424180098">
          <w:marLeft w:val="0"/>
          <w:marRight w:val="0"/>
          <w:marTop w:val="0"/>
          <w:marBottom w:val="0"/>
          <w:divBdr>
            <w:top w:val="none" w:sz="0" w:space="0" w:color="auto"/>
            <w:left w:val="none" w:sz="0" w:space="0" w:color="auto"/>
            <w:bottom w:val="none" w:sz="0" w:space="0" w:color="auto"/>
            <w:right w:val="none" w:sz="0" w:space="0" w:color="auto"/>
          </w:divBdr>
          <w:divsChild>
            <w:div w:id="375276484">
              <w:marLeft w:val="0"/>
              <w:marRight w:val="0"/>
              <w:marTop w:val="0"/>
              <w:marBottom w:val="0"/>
              <w:divBdr>
                <w:top w:val="none" w:sz="0" w:space="0" w:color="auto"/>
                <w:left w:val="none" w:sz="0" w:space="0" w:color="auto"/>
                <w:bottom w:val="none" w:sz="0" w:space="0" w:color="auto"/>
                <w:right w:val="none" w:sz="0" w:space="0" w:color="auto"/>
              </w:divBdr>
            </w:div>
          </w:divsChild>
        </w:div>
        <w:div w:id="1029720482">
          <w:marLeft w:val="0"/>
          <w:marRight w:val="0"/>
          <w:marTop w:val="0"/>
          <w:marBottom w:val="0"/>
          <w:divBdr>
            <w:top w:val="none" w:sz="0" w:space="0" w:color="auto"/>
            <w:left w:val="none" w:sz="0" w:space="0" w:color="auto"/>
            <w:bottom w:val="none" w:sz="0" w:space="0" w:color="auto"/>
            <w:right w:val="none" w:sz="0" w:space="0" w:color="auto"/>
          </w:divBdr>
          <w:divsChild>
            <w:div w:id="2073234841">
              <w:marLeft w:val="0"/>
              <w:marRight w:val="0"/>
              <w:marTop w:val="0"/>
              <w:marBottom w:val="0"/>
              <w:divBdr>
                <w:top w:val="none" w:sz="0" w:space="0" w:color="auto"/>
                <w:left w:val="none" w:sz="0" w:space="0" w:color="auto"/>
                <w:bottom w:val="none" w:sz="0" w:space="0" w:color="auto"/>
                <w:right w:val="none" w:sz="0" w:space="0" w:color="auto"/>
              </w:divBdr>
            </w:div>
          </w:divsChild>
        </w:div>
        <w:div w:id="254823605">
          <w:marLeft w:val="0"/>
          <w:marRight w:val="0"/>
          <w:marTop w:val="0"/>
          <w:marBottom w:val="0"/>
          <w:divBdr>
            <w:top w:val="none" w:sz="0" w:space="0" w:color="auto"/>
            <w:left w:val="none" w:sz="0" w:space="0" w:color="auto"/>
            <w:bottom w:val="none" w:sz="0" w:space="0" w:color="auto"/>
            <w:right w:val="none" w:sz="0" w:space="0" w:color="auto"/>
          </w:divBdr>
          <w:divsChild>
            <w:div w:id="1814057970">
              <w:marLeft w:val="0"/>
              <w:marRight w:val="0"/>
              <w:marTop w:val="0"/>
              <w:marBottom w:val="0"/>
              <w:divBdr>
                <w:top w:val="none" w:sz="0" w:space="0" w:color="auto"/>
                <w:left w:val="none" w:sz="0" w:space="0" w:color="auto"/>
                <w:bottom w:val="none" w:sz="0" w:space="0" w:color="auto"/>
                <w:right w:val="none" w:sz="0" w:space="0" w:color="auto"/>
              </w:divBdr>
            </w:div>
          </w:divsChild>
        </w:div>
        <w:div w:id="1953247311">
          <w:marLeft w:val="0"/>
          <w:marRight w:val="0"/>
          <w:marTop w:val="0"/>
          <w:marBottom w:val="0"/>
          <w:divBdr>
            <w:top w:val="none" w:sz="0" w:space="0" w:color="auto"/>
            <w:left w:val="none" w:sz="0" w:space="0" w:color="auto"/>
            <w:bottom w:val="none" w:sz="0" w:space="0" w:color="auto"/>
            <w:right w:val="none" w:sz="0" w:space="0" w:color="auto"/>
          </w:divBdr>
          <w:divsChild>
            <w:div w:id="1419718389">
              <w:marLeft w:val="0"/>
              <w:marRight w:val="0"/>
              <w:marTop w:val="0"/>
              <w:marBottom w:val="0"/>
              <w:divBdr>
                <w:top w:val="none" w:sz="0" w:space="0" w:color="auto"/>
                <w:left w:val="none" w:sz="0" w:space="0" w:color="auto"/>
                <w:bottom w:val="none" w:sz="0" w:space="0" w:color="auto"/>
                <w:right w:val="none" w:sz="0" w:space="0" w:color="auto"/>
              </w:divBdr>
            </w:div>
          </w:divsChild>
        </w:div>
        <w:div w:id="745298662">
          <w:marLeft w:val="0"/>
          <w:marRight w:val="0"/>
          <w:marTop w:val="0"/>
          <w:marBottom w:val="0"/>
          <w:divBdr>
            <w:top w:val="none" w:sz="0" w:space="0" w:color="auto"/>
            <w:left w:val="none" w:sz="0" w:space="0" w:color="auto"/>
            <w:bottom w:val="none" w:sz="0" w:space="0" w:color="auto"/>
            <w:right w:val="none" w:sz="0" w:space="0" w:color="auto"/>
          </w:divBdr>
          <w:divsChild>
            <w:div w:id="1636638376">
              <w:marLeft w:val="0"/>
              <w:marRight w:val="0"/>
              <w:marTop w:val="0"/>
              <w:marBottom w:val="0"/>
              <w:divBdr>
                <w:top w:val="none" w:sz="0" w:space="0" w:color="auto"/>
                <w:left w:val="none" w:sz="0" w:space="0" w:color="auto"/>
                <w:bottom w:val="none" w:sz="0" w:space="0" w:color="auto"/>
                <w:right w:val="none" w:sz="0" w:space="0" w:color="auto"/>
              </w:divBdr>
            </w:div>
          </w:divsChild>
        </w:div>
        <w:div w:id="1820029675">
          <w:marLeft w:val="0"/>
          <w:marRight w:val="0"/>
          <w:marTop w:val="0"/>
          <w:marBottom w:val="0"/>
          <w:divBdr>
            <w:top w:val="none" w:sz="0" w:space="0" w:color="auto"/>
            <w:left w:val="none" w:sz="0" w:space="0" w:color="auto"/>
            <w:bottom w:val="none" w:sz="0" w:space="0" w:color="auto"/>
            <w:right w:val="none" w:sz="0" w:space="0" w:color="auto"/>
          </w:divBdr>
          <w:divsChild>
            <w:div w:id="1140342828">
              <w:marLeft w:val="0"/>
              <w:marRight w:val="0"/>
              <w:marTop w:val="0"/>
              <w:marBottom w:val="0"/>
              <w:divBdr>
                <w:top w:val="none" w:sz="0" w:space="0" w:color="auto"/>
                <w:left w:val="none" w:sz="0" w:space="0" w:color="auto"/>
                <w:bottom w:val="none" w:sz="0" w:space="0" w:color="auto"/>
                <w:right w:val="none" w:sz="0" w:space="0" w:color="auto"/>
              </w:divBdr>
            </w:div>
          </w:divsChild>
        </w:div>
        <w:div w:id="2094886820">
          <w:marLeft w:val="0"/>
          <w:marRight w:val="0"/>
          <w:marTop w:val="0"/>
          <w:marBottom w:val="0"/>
          <w:divBdr>
            <w:top w:val="none" w:sz="0" w:space="0" w:color="auto"/>
            <w:left w:val="none" w:sz="0" w:space="0" w:color="auto"/>
            <w:bottom w:val="none" w:sz="0" w:space="0" w:color="auto"/>
            <w:right w:val="none" w:sz="0" w:space="0" w:color="auto"/>
          </w:divBdr>
          <w:divsChild>
            <w:div w:id="1045983290">
              <w:marLeft w:val="0"/>
              <w:marRight w:val="0"/>
              <w:marTop w:val="0"/>
              <w:marBottom w:val="0"/>
              <w:divBdr>
                <w:top w:val="none" w:sz="0" w:space="0" w:color="auto"/>
                <w:left w:val="none" w:sz="0" w:space="0" w:color="auto"/>
                <w:bottom w:val="none" w:sz="0" w:space="0" w:color="auto"/>
                <w:right w:val="none" w:sz="0" w:space="0" w:color="auto"/>
              </w:divBdr>
            </w:div>
          </w:divsChild>
        </w:div>
        <w:div w:id="2107843003">
          <w:marLeft w:val="0"/>
          <w:marRight w:val="0"/>
          <w:marTop w:val="300"/>
          <w:marBottom w:val="300"/>
          <w:divBdr>
            <w:top w:val="none" w:sz="0" w:space="0" w:color="auto"/>
            <w:left w:val="none" w:sz="0" w:space="0" w:color="auto"/>
            <w:bottom w:val="none" w:sz="0" w:space="0" w:color="auto"/>
            <w:right w:val="none" w:sz="0" w:space="0" w:color="auto"/>
          </w:divBdr>
        </w:div>
        <w:div w:id="2008438987">
          <w:marLeft w:val="0"/>
          <w:marRight w:val="0"/>
          <w:marTop w:val="0"/>
          <w:marBottom w:val="0"/>
          <w:divBdr>
            <w:top w:val="none" w:sz="0" w:space="0" w:color="auto"/>
            <w:left w:val="none" w:sz="0" w:space="0" w:color="auto"/>
            <w:bottom w:val="none" w:sz="0" w:space="0" w:color="auto"/>
            <w:right w:val="none" w:sz="0" w:space="0" w:color="auto"/>
          </w:divBdr>
          <w:divsChild>
            <w:div w:id="438642273">
              <w:marLeft w:val="0"/>
              <w:marRight w:val="0"/>
              <w:marTop w:val="0"/>
              <w:marBottom w:val="0"/>
              <w:divBdr>
                <w:top w:val="none" w:sz="0" w:space="0" w:color="auto"/>
                <w:left w:val="none" w:sz="0" w:space="0" w:color="auto"/>
                <w:bottom w:val="none" w:sz="0" w:space="0" w:color="auto"/>
                <w:right w:val="none" w:sz="0" w:space="0" w:color="auto"/>
              </w:divBdr>
            </w:div>
          </w:divsChild>
        </w:div>
        <w:div w:id="1427648331">
          <w:marLeft w:val="0"/>
          <w:marRight w:val="0"/>
          <w:marTop w:val="0"/>
          <w:marBottom w:val="0"/>
          <w:divBdr>
            <w:top w:val="none" w:sz="0" w:space="0" w:color="auto"/>
            <w:left w:val="none" w:sz="0" w:space="0" w:color="auto"/>
            <w:bottom w:val="none" w:sz="0" w:space="0" w:color="auto"/>
            <w:right w:val="none" w:sz="0" w:space="0" w:color="auto"/>
          </w:divBdr>
          <w:divsChild>
            <w:div w:id="271859665">
              <w:marLeft w:val="0"/>
              <w:marRight w:val="0"/>
              <w:marTop w:val="0"/>
              <w:marBottom w:val="0"/>
              <w:divBdr>
                <w:top w:val="none" w:sz="0" w:space="0" w:color="auto"/>
                <w:left w:val="none" w:sz="0" w:space="0" w:color="auto"/>
                <w:bottom w:val="none" w:sz="0" w:space="0" w:color="auto"/>
                <w:right w:val="none" w:sz="0" w:space="0" w:color="auto"/>
              </w:divBdr>
            </w:div>
          </w:divsChild>
        </w:div>
        <w:div w:id="2055616622">
          <w:marLeft w:val="0"/>
          <w:marRight w:val="0"/>
          <w:marTop w:val="0"/>
          <w:marBottom w:val="0"/>
          <w:divBdr>
            <w:top w:val="none" w:sz="0" w:space="0" w:color="auto"/>
            <w:left w:val="none" w:sz="0" w:space="0" w:color="auto"/>
            <w:bottom w:val="none" w:sz="0" w:space="0" w:color="auto"/>
            <w:right w:val="none" w:sz="0" w:space="0" w:color="auto"/>
          </w:divBdr>
          <w:divsChild>
            <w:div w:id="1874535703">
              <w:marLeft w:val="0"/>
              <w:marRight w:val="0"/>
              <w:marTop w:val="0"/>
              <w:marBottom w:val="0"/>
              <w:divBdr>
                <w:top w:val="none" w:sz="0" w:space="0" w:color="auto"/>
                <w:left w:val="none" w:sz="0" w:space="0" w:color="auto"/>
                <w:bottom w:val="none" w:sz="0" w:space="0" w:color="auto"/>
                <w:right w:val="none" w:sz="0" w:space="0" w:color="auto"/>
              </w:divBdr>
            </w:div>
          </w:divsChild>
        </w:div>
        <w:div w:id="534512022">
          <w:marLeft w:val="0"/>
          <w:marRight w:val="0"/>
          <w:marTop w:val="0"/>
          <w:marBottom w:val="0"/>
          <w:divBdr>
            <w:top w:val="none" w:sz="0" w:space="0" w:color="auto"/>
            <w:left w:val="none" w:sz="0" w:space="0" w:color="auto"/>
            <w:bottom w:val="none" w:sz="0" w:space="0" w:color="auto"/>
            <w:right w:val="none" w:sz="0" w:space="0" w:color="auto"/>
          </w:divBdr>
          <w:divsChild>
            <w:div w:id="1728069394">
              <w:marLeft w:val="0"/>
              <w:marRight w:val="0"/>
              <w:marTop w:val="0"/>
              <w:marBottom w:val="0"/>
              <w:divBdr>
                <w:top w:val="none" w:sz="0" w:space="0" w:color="auto"/>
                <w:left w:val="none" w:sz="0" w:space="0" w:color="auto"/>
                <w:bottom w:val="none" w:sz="0" w:space="0" w:color="auto"/>
                <w:right w:val="none" w:sz="0" w:space="0" w:color="auto"/>
              </w:divBdr>
            </w:div>
          </w:divsChild>
        </w:div>
        <w:div w:id="1790394955">
          <w:marLeft w:val="0"/>
          <w:marRight w:val="0"/>
          <w:marTop w:val="0"/>
          <w:marBottom w:val="0"/>
          <w:divBdr>
            <w:top w:val="none" w:sz="0" w:space="0" w:color="auto"/>
            <w:left w:val="none" w:sz="0" w:space="0" w:color="auto"/>
            <w:bottom w:val="none" w:sz="0" w:space="0" w:color="auto"/>
            <w:right w:val="none" w:sz="0" w:space="0" w:color="auto"/>
          </w:divBdr>
          <w:divsChild>
            <w:div w:id="1496066621">
              <w:marLeft w:val="0"/>
              <w:marRight w:val="0"/>
              <w:marTop w:val="0"/>
              <w:marBottom w:val="0"/>
              <w:divBdr>
                <w:top w:val="none" w:sz="0" w:space="0" w:color="auto"/>
                <w:left w:val="none" w:sz="0" w:space="0" w:color="auto"/>
                <w:bottom w:val="none" w:sz="0" w:space="0" w:color="auto"/>
                <w:right w:val="none" w:sz="0" w:space="0" w:color="auto"/>
              </w:divBdr>
            </w:div>
          </w:divsChild>
        </w:div>
        <w:div w:id="1181898341">
          <w:marLeft w:val="0"/>
          <w:marRight w:val="0"/>
          <w:marTop w:val="300"/>
          <w:marBottom w:val="300"/>
          <w:divBdr>
            <w:top w:val="none" w:sz="0" w:space="0" w:color="auto"/>
            <w:left w:val="none" w:sz="0" w:space="0" w:color="auto"/>
            <w:bottom w:val="none" w:sz="0" w:space="0" w:color="auto"/>
            <w:right w:val="none" w:sz="0" w:space="0" w:color="auto"/>
          </w:divBdr>
        </w:div>
        <w:div w:id="1628732878">
          <w:marLeft w:val="0"/>
          <w:marRight w:val="0"/>
          <w:marTop w:val="0"/>
          <w:marBottom w:val="0"/>
          <w:divBdr>
            <w:top w:val="none" w:sz="0" w:space="0" w:color="auto"/>
            <w:left w:val="none" w:sz="0" w:space="0" w:color="auto"/>
            <w:bottom w:val="none" w:sz="0" w:space="0" w:color="auto"/>
            <w:right w:val="none" w:sz="0" w:space="0" w:color="auto"/>
          </w:divBdr>
          <w:divsChild>
            <w:div w:id="19547627">
              <w:marLeft w:val="0"/>
              <w:marRight w:val="0"/>
              <w:marTop w:val="0"/>
              <w:marBottom w:val="0"/>
              <w:divBdr>
                <w:top w:val="none" w:sz="0" w:space="0" w:color="auto"/>
                <w:left w:val="none" w:sz="0" w:space="0" w:color="auto"/>
                <w:bottom w:val="none" w:sz="0" w:space="0" w:color="auto"/>
                <w:right w:val="none" w:sz="0" w:space="0" w:color="auto"/>
              </w:divBdr>
            </w:div>
          </w:divsChild>
        </w:div>
        <w:div w:id="1557863074">
          <w:marLeft w:val="0"/>
          <w:marRight w:val="0"/>
          <w:marTop w:val="0"/>
          <w:marBottom w:val="0"/>
          <w:divBdr>
            <w:top w:val="none" w:sz="0" w:space="0" w:color="auto"/>
            <w:left w:val="none" w:sz="0" w:space="0" w:color="auto"/>
            <w:bottom w:val="none" w:sz="0" w:space="0" w:color="auto"/>
            <w:right w:val="none" w:sz="0" w:space="0" w:color="auto"/>
          </w:divBdr>
          <w:divsChild>
            <w:div w:id="1915240388">
              <w:marLeft w:val="0"/>
              <w:marRight w:val="0"/>
              <w:marTop w:val="0"/>
              <w:marBottom w:val="0"/>
              <w:divBdr>
                <w:top w:val="none" w:sz="0" w:space="0" w:color="auto"/>
                <w:left w:val="none" w:sz="0" w:space="0" w:color="auto"/>
                <w:bottom w:val="none" w:sz="0" w:space="0" w:color="auto"/>
                <w:right w:val="none" w:sz="0" w:space="0" w:color="auto"/>
              </w:divBdr>
            </w:div>
          </w:divsChild>
        </w:div>
        <w:div w:id="2097899823">
          <w:marLeft w:val="0"/>
          <w:marRight w:val="0"/>
          <w:marTop w:val="0"/>
          <w:marBottom w:val="0"/>
          <w:divBdr>
            <w:top w:val="none" w:sz="0" w:space="0" w:color="auto"/>
            <w:left w:val="none" w:sz="0" w:space="0" w:color="auto"/>
            <w:bottom w:val="none" w:sz="0" w:space="0" w:color="auto"/>
            <w:right w:val="none" w:sz="0" w:space="0" w:color="auto"/>
          </w:divBdr>
          <w:divsChild>
            <w:div w:id="1210650124">
              <w:marLeft w:val="0"/>
              <w:marRight w:val="0"/>
              <w:marTop w:val="0"/>
              <w:marBottom w:val="0"/>
              <w:divBdr>
                <w:top w:val="none" w:sz="0" w:space="0" w:color="auto"/>
                <w:left w:val="none" w:sz="0" w:space="0" w:color="auto"/>
                <w:bottom w:val="none" w:sz="0" w:space="0" w:color="auto"/>
                <w:right w:val="none" w:sz="0" w:space="0" w:color="auto"/>
              </w:divBdr>
            </w:div>
          </w:divsChild>
        </w:div>
        <w:div w:id="1592279596">
          <w:marLeft w:val="0"/>
          <w:marRight w:val="0"/>
          <w:marTop w:val="300"/>
          <w:marBottom w:val="300"/>
          <w:divBdr>
            <w:top w:val="none" w:sz="0" w:space="0" w:color="auto"/>
            <w:left w:val="none" w:sz="0" w:space="0" w:color="auto"/>
            <w:bottom w:val="none" w:sz="0" w:space="0" w:color="auto"/>
            <w:right w:val="none" w:sz="0" w:space="0" w:color="auto"/>
          </w:divBdr>
        </w:div>
        <w:div w:id="1321546793">
          <w:marLeft w:val="0"/>
          <w:marRight w:val="0"/>
          <w:marTop w:val="0"/>
          <w:marBottom w:val="0"/>
          <w:divBdr>
            <w:top w:val="none" w:sz="0" w:space="0" w:color="auto"/>
            <w:left w:val="none" w:sz="0" w:space="0" w:color="auto"/>
            <w:bottom w:val="none" w:sz="0" w:space="0" w:color="auto"/>
            <w:right w:val="none" w:sz="0" w:space="0" w:color="auto"/>
          </w:divBdr>
          <w:divsChild>
            <w:div w:id="1035695244">
              <w:marLeft w:val="0"/>
              <w:marRight w:val="0"/>
              <w:marTop w:val="0"/>
              <w:marBottom w:val="0"/>
              <w:divBdr>
                <w:top w:val="none" w:sz="0" w:space="0" w:color="auto"/>
                <w:left w:val="none" w:sz="0" w:space="0" w:color="auto"/>
                <w:bottom w:val="none" w:sz="0" w:space="0" w:color="auto"/>
                <w:right w:val="none" w:sz="0" w:space="0" w:color="auto"/>
              </w:divBdr>
            </w:div>
          </w:divsChild>
        </w:div>
        <w:div w:id="818153914">
          <w:marLeft w:val="0"/>
          <w:marRight w:val="0"/>
          <w:marTop w:val="0"/>
          <w:marBottom w:val="0"/>
          <w:divBdr>
            <w:top w:val="none" w:sz="0" w:space="0" w:color="auto"/>
            <w:left w:val="none" w:sz="0" w:space="0" w:color="auto"/>
            <w:bottom w:val="none" w:sz="0" w:space="0" w:color="auto"/>
            <w:right w:val="none" w:sz="0" w:space="0" w:color="auto"/>
          </w:divBdr>
          <w:divsChild>
            <w:div w:id="300155145">
              <w:marLeft w:val="0"/>
              <w:marRight w:val="0"/>
              <w:marTop w:val="0"/>
              <w:marBottom w:val="0"/>
              <w:divBdr>
                <w:top w:val="none" w:sz="0" w:space="0" w:color="auto"/>
                <w:left w:val="none" w:sz="0" w:space="0" w:color="auto"/>
                <w:bottom w:val="none" w:sz="0" w:space="0" w:color="auto"/>
                <w:right w:val="none" w:sz="0" w:space="0" w:color="auto"/>
              </w:divBdr>
            </w:div>
          </w:divsChild>
        </w:div>
        <w:div w:id="22243554">
          <w:marLeft w:val="0"/>
          <w:marRight w:val="0"/>
          <w:marTop w:val="0"/>
          <w:marBottom w:val="0"/>
          <w:divBdr>
            <w:top w:val="none" w:sz="0" w:space="0" w:color="auto"/>
            <w:left w:val="none" w:sz="0" w:space="0" w:color="auto"/>
            <w:bottom w:val="none" w:sz="0" w:space="0" w:color="auto"/>
            <w:right w:val="none" w:sz="0" w:space="0" w:color="auto"/>
          </w:divBdr>
          <w:divsChild>
            <w:div w:id="1078208985">
              <w:marLeft w:val="0"/>
              <w:marRight w:val="0"/>
              <w:marTop w:val="0"/>
              <w:marBottom w:val="0"/>
              <w:divBdr>
                <w:top w:val="none" w:sz="0" w:space="0" w:color="auto"/>
                <w:left w:val="none" w:sz="0" w:space="0" w:color="auto"/>
                <w:bottom w:val="none" w:sz="0" w:space="0" w:color="auto"/>
                <w:right w:val="none" w:sz="0" w:space="0" w:color="auto"/>
              </w:divBdr>
            </w:div>
          </w:divsChild>
        </w:div>
        <w:div w:id="1746611671">
          <w:marLeft w:val="0"/>
          <w:marRight w:val="0"/>
          <w:marTop w:val="0"/>
          <w:marBottom w:val="0"/>
          <w:divBdr>
            <w:top w:val="none" w:sz="0" w:space="0" w:color="auto"/>
            <w:left w:val="none" w:sz="0" w:space="0" w:color="auto"/>
            <w:bottom w:val="none" w:sz="0" w:space="0" w:color="auto"/>
            <w:right w:val="none" w:sz="0" w:space="0" w:color="auto"/>
          </w:divBdr>
          <w:divsChild>
            <w:div w:id="1150294154">
              <w:marLeft w:val="0"/>
              <w:marRight w:val="0"/>
              <w:marTop w:val="0"/>
              <w:marBottom w:val="0"/>
              <w:divBdr>
                <w:top w:val="none" w:sz="0" w:space="0" w:color="auto"/>
                <w:left w:val="none" w:sz="0" w:space="0" w:color="auto"/>
                <w:bottom w:val="none" w:sz="0" w:space="0" w:color="auto"/>
                <w:right w:val="none" w:sz="0" w:space="0" w:color="auto"/>
              </w:divBdr>
            </w:div>
          </w:divsChild>
        </w:div>
        <w:div w:id="527986721">
          <w:marLeft w:val="0"/>
          <w:marRight w:val="0"/>
          <w:marTop w:val="300"/>
          <w:marBottom w:val="300"/>
          <w:divBdr>
            <w:top w:val="none" w:sz="0" w:space="0" w:color="auto"/>
            <w:left w:val="none" w:sz="0" w:space="0" w:color="auto"/>
            <w:bottom w:val="none" w:sz="0" w:space="0" w:color="auto"/>
            <w:right w:val="none" w:sz="0" w:space="0" w:color="auto"/>
          </w:divBdr>
        </w:div>
        <w:div w:id="1397050867">
          <w:marLeft w:val="0"/>
          <w:marRight w:val="0"/>
          <w:marTop w:val="0"/>
          <w:marBottom w:val="0"/>
          <w:divBdr>
            <w:top w:val="none" w:sz="0" w:space="0" w:color="auto"/>
            <w:left w:val="none" w:sz="0" w:space="0" w:color="auto"/>
            <w:bottom w:val="none" w:sz="0" w:space="0" w:color="auto"/>
            <w:right w:val="none" w:sz="0" w:space="0" w:color="auto"/>
          </w:divBdr>
          <w:divsChild>
            <w:div w:id="1271165605">
              <w:marLeft w:val="0"/>
              <w:marRight w:val="0"/>
              <w:marTop w:val="0"/>
              <w:marBottom w:val="0"/>
              <w:divBdr>
                <w:top w:val="none" w:sz="0" w:space="0" w:color="auto"/>
                <w:left w:val="none" w:sz="0" w:space="0" w:color="auto"/>
                <w:bottom w:val="none" w:sz="0" w:space="0" w:color="auto"/>
                <w:right w:val="none" w:sz="0" w:space="0" w:color="auto"/>
              </w:divBdr>
            </w:div>
          </w:divsChild>
        </w:div>
        <w:div w:id="113407064">
          <w:marLeft w:val="0"/>
          <w:marRight w:val="0"/>
          <w:marTop w:val="300"/>
          <w:marBottom w:val="300"/>
          <w:divBdr>
            <w:top w:val="none" w:sz="0" w:space="0" w:color="auto"/>
            <w:left w:val="none" w:sz="0" w:space="0" w:color="auto"/>
            <w:bottom w:val="none" w:sz="0" w:space="0" w:color="auto"/>
            <w:right w:val="none" w:sz="0" w:space="0" w:color="auto"/>
          </w:divBdr>
        </w:div>
        <w:div w:id="635257520">
          <w:marLeft w:val="0"/>
          <w:marRight w:val="0"/>
          <w:marTop w:val="0"/>
          <w:marBottom w:val="0"/>
          <w:divBdr>
            <w:top w:val="none" w:sz="0" w:space="0" w:color="auto"/>
            <w:left w:val="none" w:sz="0" w:space="0" w:color="auto"/>
            <w:bottom w:val="none" w:sz="0" w:space="0" w:color="auto"/>
            <w:right w:val="none" w:sz="0" w:space="0" w:color="auto"/>
          </w:divBdr>
          <w:divsChild>
            <w:div w:id="1813256531">
              <w:marLeft w:val="0"/>
              <w:marRight w:val="0"/>
              <w:marTop w:val="0"/>
              <w:marBottom w:val="0"/>
              <w:divBdr>
                <w:top w:val="none" w:sz="0" w:space="0" w:color="auto"/>
                <w:left w:val="none" w:sz="0" w:space="0" w:color="auto"/>
                <w:bottom w:val="none" w:sz="0" w:space="0" w:color="auto"/>
                <w:right w:val="none" w:sz="0" w:space="0" w:color="auto"/>
              </w:divBdr>
            </w:div>
          </w:divsChild>
        </w:div>
        <w:div w:id="2083136154">
          <w:marLeft w:val="0"/>
          <w:marRight w:val="0"/>
          <w:marTop w:val="0"/>
          <w:marBottom w:val="0"/>
          <w:divBdr>
            <w:top w:val="none" w:sz="0" w:space="0" w:color="auto"/>
            <w:left w:val="none" w:sz="0" w:space="0" w:color="auto"/>
            <w:bottom w:val="none" w:sz="0" w:space="0" w:color="auto"/>
            <w:right w:val="none" w:sz="0" w:space="0" w:color="auto"/>
          </w:divBdr>
          <w:divsChild>
            <w:div w:id="1994873829">
              <w:marLeft w:val="0"/>
              <w:marRight w:val="0"/>
              <w:marTop w:val="0"/>
              <w:marBottom w:val="0"/>
              <w:divBdr>
                <w:top w:val="none" w:sz="0" w:space="0" w:color="auto"/>
                <w:left w:val="none" w:sz="0" w:space="0" w:color="auto"/>
                <w:bottom w:val="none" w:sz="0" w:space="0" w:color="auto"/>
                <w:right w:val="none" w:sz="0" w:space="0" w:color="auto"/>
              </w:divBdr>
            </w:div>
          </w:divsChild>
        </w:div>
        <w:div w:id="1341815610">
          <w:marLeft w:val="0"/>
          <w:marRight w:val="0"/>
          <w:marTop w:val="0"/>
          <w:marBottom w:val="0"/>
          <w:divBdr>
            <w:top w:val="none" w:sz="0" w:space="0" w:color="auto"/>
            <w:left w:val="none" w:sz="0" w:space="0" w:color="auto"/>
            <w:bottom w:val="none" w:sz="0" w:space="0" w:color="auto"/>
            <w:right w:val="none" w:sz="0" w:space="0" w:color="auto"/>
          </w:divBdr>
          <w:divsChild>
            <w:div w:id="218635541">
              <w:marLeft w:val="0"/>
              <w:marRight w:val="0"/>
              <w:marTop w:val="0"/>
              <w:marBottom w:val="0"/>
              <w:divBdr>
                <w:top w:val="none" w:sz="0" w:space="0" w:color="auto"/>
                <w:left w:val="none" w:sz="0" w:space="0" w:color="auto"/>
                <w:bottom w:val="none" w:sz="0" w:space="0" w:color="auto"/>
                <w:right w:val="none" w:sz="0" w:space="0" w:color="auto"/>
              </w:divBdr>
            </w:div>
          </w:divsChild>
        </w:div>
        <w:div w:id="1643382521">
          <w:marLeft w:val="0"/>
          <w:marRight w:val="0"/>
          <w:marTop w:val="0"/>
          <w:marBottom w:val="0"/>
          <w:divBdr>
            <w:top w:val="none" w:sz="0" w:space="0" w:color="auto"/>
            <w:left w:val="none" w:sz="0" w:space="0" w:color="auto"/>
            <w:bottom w:val="none" w:sz="0" w:space="0" w:color="auto"/>
            <w:right w:val="none" w:sz="0" w:space="0" w:color="auto"/>
          </w:divBdr>
          <w:divsChild>
            <w:div w:id="2138251983">
              <w:marLeft w:val="0"/>
              <w:marRight w:val="0"/>
              <w:marTop w:val="0"/>
              <w:marBottom w:val="0"/>
              <w:divBdr>
                <w:top w:val="none" w:sz="0" w:space="0" w:color="auto"/>
                <w:left w:val="none" w:sz="0" w:space="0" w:color="auto"/>
                <w:bottom w:val="none" w:sz="0" w:space="0" w:color="auto"/>
                <w:right w:val="none" w:sz="0" w:space="0" w:color="auto"/>
              </w:divBdr>
            </w:div>
          </w:divsChild>
        </w:div>
        <w:div w:id="1822848533">
          <w:marLeft w:val="0"/>
          <w:marRight w:val="0"/>
          <w:marTop w:val="0"/>
          <w:marBottom w:val="0"/>
          <w:divBdr>
            <w:top w:val="none" w:sz="0" w:space="0" w:color="auto"/>
            <w:left w:val="none" w:sz="0" w:space="0" w:color="auto"/>
            <w:bottom w:val="none" w:sz="0" w:space="0" w:color="auto"/>
            <w:right w:val="none" w:sz="0" w:space="0" w:color="auto"/>
          </w:divBdr>
          <w:divsChild>
            <w:div w:id="390228548">
              <w:marLeft w:val="0"/>
              <w:marRight w:val="0"/>
              <w:marTop w:val="0"/>
              <w:marBottom w:val="0"/>
              <w:divBdr>
                <w:top w:val="none" w:sz="0" w:space="0" w:color="auto"/>
                <w:left w:val="none" w:sz="0" w:space="0" w:color="auto"/>
                <w:bottom w:val="none" w:sz="0" w:space="0" w:color="auto"/>
                <w:right w:val="none" w:sz="0" w:space="0" w:color="auto"/>
              </w:divBdr>
            </w:div>
          </w:divsChild>
        </w:div>
        <w:div w:id="387924486">
          <w:marLeft w:val="0"/>
          <w:marRight w:val="0"/>
          <w:marTop w:val="0"/>
          <w:marBottom w:val="0"/>
          <w:divBdr>
            <w:top w:val="none" w:sz="0" w:space="0" w:color="auto"/>
            <w:left w:val="none" w:sz="0" w:space="0" w:color="auto"/>
            <w:bottom w:val="none" w:sz="0" w:space="0" w:color="auto"/>
            <w:right w:val="none" w:sz="0" w:space="0" w:color="auto"/>
          </w:divBdr>
          <w:divsChild>
            <w:div w:id="768087058">
              <w:marLeft w:val="0"/>
              <w:marRight w:val="0"/>
              <w:marTop w:val="0"/>
              <w:marBottom w:val="0"/>
              <w:divBdr>
                <w:top w:val="none" w:sz="0" w:space="0" w:color="auto"/>
                <w:left w:val="none" w:sz="0" w:space="0" w:color="auto"/>
                <w:bottom w:val="none" w:sz="0" w:space="0" w:color="auto"/>
                <w:right w:val="none" w:sz="0" w:space="0" w:color="auto"/>
              </w:divBdr>
            </w:div>
          </w:divsChild>
        </w:div>
        <w:div w:id="1116485641">
          <w:marLeft w:val="0"/>
          <w:marRight w:val="0"/>
          <w:marTop w:val="0"/>
          <w:marBottom w:val="0"/>
          <w:divBdr>
            <w:top w:val="none" w:sz="0" w:space="0" w:color="auto"/>
            <w:left w:val="none" w:sz="0" w:space="0" w:color="auto"/>
            <w:bottom w:val="none" w:sz="0" w:space="0" w:color="auto"/>
            <w:right w:val="none" w:sz="0" w:space="0" w:color="auto"/>
          </w:divBdr>
          <w:divsChild>
            <w:div w:id="2058966797">
              <w:marLeft w:val="0"/>
              <w:marRight w:val="0"/>
              <w:marTop w:val="0"/>
              <w:marBottom w:val="0"/>
              <w:divBdr>
                <w:top w:val="none" w:sz="0" w:space="0" w:color="auto"/>
                <w:left w:val="none" w:sz="0" w:space="0" w:color="auto"/>
                <w:bottom w:val="none" w:sz="0" w:space="0" w:color="auto"/>
                <w:right w:val="none" w:sz="0" w:space="0" w:color="auto"/>
              </w:divBdr>
            </w:div>
          </w:divsChild>
        </w:div>
        <w:div w:id="390734166">
          <w:marLeft w:val="0"/>
          <w:marRight w:val="0"/>
          <w:marTop w:val="0"/>
          <w:marBottom w:val="0"/>
          <w:divBdr>
            <w:top w:val="none" w:sz="0" w:space="0" w:color="auto"/>
            <w:left w:val="none" w:sz="0" w:space="0" w:color="auto"/>
            <w:bottom w:val="none" w:sz="0" w:space="0" w:color="auto"/>
            <w:right w:val="none" w:sz="0" w:space="0" w:color="auto"/>
          </w:divBdr>
          <w:divsChild>
            <w:div w:id="1403019768">
              <w:marLeft w:val="0"/>
              <w:marRight w:val="0"/>
              <w:marTop w:val="0"/>
              <w:marBottom w:val="0"/>
              <w:divBdr>
                <w:top w:val="none" w:sz="0" w:space="0" w:color="auto"/>
                <w:left w:val="none" w:sz="0" w:space="0" w:color="auto"/>
                <w:bottom w:val="none" w:sz="0" w:space="0" w:color="auto"/>
                <w:right w:val="none" w:sz="0" w:space="0" w:color="auto"/>
              </w:divBdr>
            </w:div>
          </w:divsChild>
        </w:div>
        <w:div w:id="1992712476">
          <w:marLeft w:val="0"/>
          <w:marRight w:val="0"/>
          <w:marTop w:val="300"/>
          <w:marBottom w:val="300"/>
          <w:divBdr>
            <w:top w:val="none" w:sz="0" w:space="0" w:color="auto"/>
            <w:left w:val="none" w:sz="0" w:space="0" w:color="auto"/>
            <w:bottom w:val="none" w:sz="0" w:space="0" w:color="auto"/>
            <w:right w:val="none" w:sz="0" w:space="0" w:color="auto"/>
          </w:divBdr>
        </w:div>
        <w:div w:id="1364550065">
          <w:marLeft w:val="0"/>
          <w:marRight w:val="0"/>
          <w:marTop w:val="0"/>
          <w:marBottom w:val="0"/>
          <w:divBdr>
            <w:top w:val="none" w:sz="0" w:space="0" w:color="auto"/>
            <w:left w:val="none" w:sz="0" w:space="0" w:color="auto"/>
            <w:bottom w:val="none" w:sz="0" w:space="0" w:color="auto"/>
            <w:right w:val="none" w:sz="0" w:space="0" w:color="auto"/>
          </w:divBdr>
          <w:divsChild>
            <w:div w:id="579602625">
              <w:marLeft w:val="0"/>
              <w:marRight w:val="0"/>
              <w:marTop w:val="0"/>
              <w:marBottom w:val="0"/>
              <w:divBdr>
                <w:top w:val="none" w:sz="0" w:space="0" w:color="auto"/>
                <w:left w:val="none" w:sz="0" w:space="0" w:color="auto"/>
                <w:bottom w:val="none" w:sz="0" w:space="0" w:color="auto"/>
                <w:right w:val="none" w:sz="0" w:space="0" w:color="auto"/>
              </w:divBdr>
            </w:div>
          </w:divsChild>
        </w:div>
        <w:div w:id="1579748361">
          <w:marLeft w:val="0"/>
          <w:marRight w:val="0"/>
          <w:marTop w:val="300"/>
          <w:marBottom w:val="300"/>
          <w:divBdr>
            <w:top w:val="none" w:sz="0" w:space="0" w:color="auto"/>
            <w:left w:val="none" w:sz="0" w:space="0" w:color="auto"/>
            <w:bottom w:val="none" w:sz="0" w:space="0" w:color="auto"/>
            <w:right w:val="none" w:sz="0" w:space="0" w:color="auto"/>
          </w:divBdr>
        </w:div>
        <w:div w:id="6059368">
          <w:marLeft w:val="0"/>
          <w:marRight w:val="0"/>
          <w:marTop w:val="0"/>
          <w:marBottom w:val="0"/>
          <w:divBdr>
            <w:top w:val="none" w:sz="0" w:space="0" w:color="auto"/>
            <w:left w:val="none" w:sz="0" w:space="0" w:color="auto"/>
            <w:bottom w:val="none" w:sz="0" w:space="0" w:color="auto"/>
            <w:right w:val="none" w:sz="0" w:space="0" w:color="auto"/>
          </w:divBdr>
          <w:divsChild>
            <w:div w:id="1008365976">
              <w:marLeft w:val="0"/>
              <w:marRight w:val="0"/>
              <w:marTop w:val="0"/>
              <w:marBottom w:val="0"/>
              <w:divBdr>
                <w:top w:val="none" w:sz="0" w:space="0" w:color="auto"/>
                <w:left w:val="none" w:sz="0" w:space="0" w:color="auto"/>
                <w:bottom w:val="none" w:sz="0" w:space="0" w:color="auto"/>
                <w:right w:val="none" w:sz="0" w:space="0" w:color="auto"/>
              </w:divBdr>
            </w:div>
          </w:divsChild>
        </w:div>
        <w:div w:id="1460954032">
          <w:marLeft w:val="0"/>
          <w:marRight w:val="0"/>
          <w:marTop w:val="0"/>
          <w:marBottom w:val="0"/>
          <w:divBdr>
            <w:top w:val="none" w:sz="0" w:space="0" w:color="auto"/>
            <w:left w:val="none" w:sz="0" w:space="0" w:color="auto"/>
            <w:bottom w:val="none" w:sz="0" w:space="0" w:color="auto"/>
            <w:right w:val="none" w:sz="0" w:space="0" w:color="auto"/>
          </w:divBdr>
          <w:divsChild>
            <w:div w:id="914363926">
              <w:marLeft w:val="0"/>
              <w:marRight w:val="0"/>
              <w:marTop w:val="0"/>
              <w:marBottom w:val="0"/>
              <w:divBdr>
                <w:top w:val="none" w:sz="0" w:space="0" w:color="auto"/>
                <w:left w:val="none" w:sz="0" w:space="0" w:color="auto"/>
                <w:bottom w:val="none" w:sz="0" w:space="0" w:color="auto"/>
                <w:right w:val="none" w:sz="0" w:space="0" w:color="auto"/>
              </w:divBdr>
            </w:div>
          </w:divsChild>
        </w:div>
        <w:div w:id="821041502">
          <w:marLeft w:val="0"/>
          <w:marRight w:val="0"/>
          <w:marTop w:val="0"/>
          <w:marBottom w:val="0"/>
          <w:divBdr>
            <w:top w:val="none" w:sz="0" w:space="0" w:color="auto"/>
            <w:left w:val="none" w:sz="0" w:space="0" w:color="auto"/>
            <w:bottom w:val="none" w:sz="0" w:space="0" w:color="auto"/>
            <w:right w:val="none" w:sz="0" w:space="0" w:color="auto"/>
          </w:divBdr>
          <w:divsChild>
            <w:div w:id="2127844816">
              <w:marLeft w:val="0"/>
              <w:marRight w:val="0"/>
              <w:marTop w:val="0"/>
              <w:marBottom w:val="0"/>
              <w:divBdr>
                <w:top w:val="none" w:sz="0" w:space="0" w:color="auto"/>
                <w:left w:val="none" w:sz="0" w:space="0" w:color="auto"/>
                <w:bottom w:val="none" w:sz="0" w:space="0" w:color="auto"/>
                <w:right w:val="none" w:sz="0" w:space="0" w:color="auto"/>
              </w:divBdr>
            </w:div>
          </w:divsChild>
        </w:div>
        <w:div w:id="285625344">
          <w:marLeft w:val="0"/>
          <w:marRight w:val="0"/>
          <w:marTop w:val="0"/>
          <w:marBottom w:val="0"/>
          <w:divBdr>
            <w:top w:val="none" w:sz="0" w:space="0" w:color="auto"/>
            <w:left w:val="none" w:sz="0" w:space="0" w:color="auto"/>
            <w:bottom w:val="none" w:sz="0" w:space="0" w:color="auto"/>
            <w:right w:val="none" w:sz="0" w:space="0" w:color="auto"/>
          </w:divBdr>
          <w:divsChild>
            <w:div w:id="773280981">
              <w:marLeft w:val="0"/>
              <w:marRight w:val="0"/>
              <w:marTop w:val="0"/>
              <w:marBottom w:val="0"/>
              <w:divBdr>
                <w:top w:val="none" w:sz="0" w:space="0" w:color="auto"/>
                <w:left w:val="none" w:sz="0" w:space="0" w:color="auto"/>
                <w:bottom w:val="none" w:sz="0" w:space="0" w:color="auto"/>
                <w:right w:val="none" w:sz="0" w:space="0" w:color="auto"/>
              </w:divBdr>
            </w:div>
          </w:divsChild>
        </w:div>
        <w:div w:id="1691372491">
          <w:marLeft w:val="0"/>
          <w:marRight w:val="0"/>
          <w:marTop w:val="0"/>
          <w:marBottom w:val="0"/>
          <w:divBdr>
            <w:top w:val="none" w:sz="0" w:space="0" w:color="auto"/>
            <w:left w:val="none" w:sz="0" w:space="0" w:color="auto"/>
            <w:bottom w:val="none" w:sz="0" w:space="0" w:color="auto"/>
            <w:right w:val="none" w:sz="0" w:space="0" w:color="auto"/>
          </w:divBdr>
          <w:divsChild>
            <w:div w:id="951547558">
              <w:marLeft w:val="0"/>
              <w:marRight w:val="0"/>
              <w:marTop w:val="0"/>
              <w:marBottom w:val="0"/>
              <w:divBdr>
                <w:top w:val="none" w:sz="0" w:space="0" w:color="auto"/>
                <w:left w:val="none" w:sz="0" w:space="0" w:color="auto"/>
                <w:bottom w:val="none" w:sz="0" w:space="0" w:color="auto"/>
                <w:right w:val="none" w:sz="0" w:space="0" w:color="auto"/>
              </w:divBdr>
            </w:div>
          </w:divsChild>
        </w:div>
        <w:div w:id="1367022991">
          <w:marLeft w:val="0"/>
          <w:marRight w:val="0"/>
          <w:marTop w:val="0"/>
          <w:marBottom w:val="0"/>
          <w:divBdr>
            <w:top w:val="none" w:sz="0" w:space="0" w:color="auto"/>
            <w:left w:val="none" w:sz="0" w:space="0" w:color="auto"/>
            <w:bottom w:val="none" w:sz="0" w:space="0" w:color="auto"/>
            <w:right w:val="none" w:sz="0" w:space="0" w:color="auto"/>
          </w:divBdr>
          <w:divsChild>
            <w:div w:id="1046295548">
              <w:marLeft w:val="0"/>
              <w:marRight w:val="0"/>
              <w:marTop w:val="0"/>
              <w:marBottom w:val="0"/>
              <w:divBdr>
                <w:top w:val="none" w:sz="0" w:space="0" w:color="auto"/>
                <w:left w:val="none" w:sz="0" w:space="0" w:color="auto"/>
                <w:bottom w:val="none" w:sz="0" w:space="0" w:color="auto"/>
                <w:right w:val="none" w:sz="0" w:space="0" w:color="auto"/>
              </w:divBdr>
            </w:div>
          </w:divsChild>
        </w:div>
        <w:div w:id="545415259">
          <w:marLeft w:val="0"/>
          <w:marRight w:val="0"/>
          <w:marTop w:val="0"/>
          <w:marBottom w:val="0"/>
          <w:divBdr>
            <w:top w:val="none" w:sz="0" w:space="0" w:color="auto"/>
            <w:left w:val="none" w:sz="0" w:space="0" w:color="auto"/>
            <w:bottom w:val="none" w:sz="0" w:space="0" w:color="auto"/>
            <w:right w:val="none" w:sz="0" w:space="0" w:color="auto"/>
          </w:divBdr>
          <w:divsChild>
            <w:div w:id="2042052893">
              <w:marLeft w:val="0"/>
              <w:marRight w:val="0"/>
              <w:marTop w:val="0"/>
              <w:marBottom w:val="0"/>
              <w:divBdr>
                <w:top w:val="none" w:sz="0" w:space="0" w:color="auto"/>
                <w:left w:val="none" w:sz="0" w:space="0" w:color="auto"/>
                <w:bottom w:val="none" w:sz="0" w:space="0" w:color="auto"/>
                <w:right w:val="none" w:sz="0" w:space="0" w:color="auto"/>
              </w:divBdr>
            </w:div>
          </w:divsChild>
        </w:div>
        <w:div w:id="142283442">
          <w:marLeft w:val="0"/>
          <w:marRight w:val="0"/>
          <w:marTop w:val="0"/>
          <w:marBottom w:val="0"/>
          <w:divBdr>
            <w:top w:val="none" w:sz="0" w:space="0" w:color="auto"/>
            <w:left w:val="none" w:sz="0" w:space="0" w:color="auto"/>
            <w:bottom w:val="none" w:sz="0" w:space="0" w:color="auto"/>
            <w:right w:val="none" w:sz="0" w:space="0" w:color="auto"/>
          </w:divBdr>
          <w:divsChild>
            <w:div w:id="867331874">
              <w:marLeft w:val="0"/>
              <w:marRight w:val="0"/>
              <w:marTop w:val="0"/>
              <w:marBottom w:val="0"/>
              <w:divBdr>
                <w:top w:val="none" w:sz="0" w:space="0" w:color="auto"/>
                <w:left w:val="none" w:sz="0" w:space="0" w:color="auto"/>
                <w:bottom w:val="none" w:sz="0" w:space="0" w:color="auto"/>
                <w:right w:val="none" w:sz="0" w:space="0" w:color="auto"/>
              </w:divBdr>
            </w:div>
          </w:divsChild>
        </w:div>
        <w:div w:id="1655256177">
          <w:marLeft w:val="0"/>
          <w:marRight w:val="0"/>
          <w:marTop w:val="0"/>
          <w:marBottom w:val="0"/>
          <w:divBdr>
            <w:top w:val="none" w:sz="0" w:space="0" w:color="auto"/>
            <w:left w:val="none" w:sz="0" w:space="0" w:color="auto"/>
            <w:bottom w:val="none" w:sz="0" w:space="0" w:color="auto"/>
            <w:right w:val="none" w:sz="0" w:space="0" w:color="auto"/>
          </w:divBdr>
          <w:divsChild>
            <w:div w:id="985278316">
              <w:marLeft w:val="0"/>
              <w:marRight w:val="0"/>
              <w:marTop w:val="0"/>
              <w:marBottom w:val="0"/>
              <w:divBdr>
                <w:top w:val="none" w:sz="0" w:space="0" w:color="auto"/>
                <w:left w:val="none" w:sz="0" w:space="0" w:color="auto"/>
                <w:bottom w:val="none" w:sz="0" w:space="0" w:color="auto"/>
                <w:right w:val="none" w:sz="0" w:space="0" w:color="auto"/>
              </w:divBdr>
            </w:div>
          </w:divsChild>
        </w:div>
        <w:div w:id="251819004">
          <w:marLeft w:val="0"/>
          <w:marRight w:val="0"/>
          <w:marTop w:val="0"/>
          <w:marBottom w:val="0"/>
          <w:divBdr>
            <w:top w:val="none" w:sz="0" w:space="0" w:color="auto"/>
            <w:left w:val="none" w:sz="0" w:space="0" w:color="auto"/>
            <w:bottom w:val="none" w:sz="0" w:space="0" w:color="auto"/>
            <w:right w:val="none" w:sz="0" w:space="0" w:color="auto"/>
          </w:divBdr>
          <w:divsChild>
            <w:div w:id="1560241136">
              <w:marLeft w:val="0"/>
              <w:marRight w:val="0"/>
              <w:marTop w:val="0"/>
              <w:marBottom w:val="0"/>
              <w:divBdr>
                <w:top w:val="none" w:sz="0" w:space="0" w:color="auto"/>
                <w:left w:val="none" w:sz="0" w:space="0" w:color="auto"/>
                <w:bottom w:val="none" w:sz="0" w:space="0" w:color="auto"/>
                <w:right w:val="none" w:sz="0" w:space="0" w:color="auto"/>
              </w:divBdr>
            </w:div>
          </w:divsChild>
        </w:div>
        <w:div w:id="668558425">
          <w:marLeft w:val="0"/>
          <w:marRight w:val="0"/>
          <w:marTop w:val="300"/>
          <w:marBottom w:val="300"/>
          <w:divBdr>
            <w:top w:val="none" w:sz="0" w:space="0" w:color="auto"/>
            <w:left w:val="none" w:sz="0" w:space="0" w:color="auto"/>
            <w:bottom w:val="none" w:sz="0" w:space="0" w:color="auto"/>
            <w:right w:val="none" w:sz="0" w:space="0" w:color="auto"/>
          </w:divBdr>
        </w:div>
        <w:div w:id="83694721">
          <w:marLeft w:val="0"/>
          <w:marRight w:val="0"/>
          <w:marTop w:val="0"/>
          <w:marBottom w:val="0"/>
          <w:divBdr>
            <w:top w:val="none" w:sz="0" w:space="0" w:color="auto"/>
            <w:left w:val="none" w:sz="0" w:space="0" w:color="auto"/>
            <w:bottom w:val="none" w:sz="0" w:space="0" w:color="auto"/>
            <w:right w:val="none" w:sz="0" w:space="0" w:color="auto"/>
          </w:divBdr>
          <w:divsChild>
            <w:div w:id="1112171784">
              <w:marLeft w:val="0"/>
              <w:marRight w:val="0"/>
              <w:marTop w:val="0"/>
              <w:marBottom w:val="0"/>
              <w:divBdr>
                <w:top w:val="none" w:sz="0" w:space="0" w:color="auto"/>
                <w:left w:val="none" w:sz="0" w:space="0" w:color="auto"/>
                <w:bottom w:val="none" w:sz="0" w:space="0" w:color="auto"/>
                <w:right w:val="none" w:sz="0" w:space="0" w:color="auto"/>
              </w:divBdr>
            </w:div>
          </w:divsChild>
        </w:div>
        <w:div w:id="913319869">
          <w:marLeft w:val="0"/>
          <w:marRight w:val="0"/>
          <w:marTop w:val="0"/>
          <w:marBottom w:val="0"/>
          <w:divBdr>
            <w:top w:val="none" w:sz="0" w:space="0" w:color="auto"/>
            <w:left w:val="none" w:sz="0" w:space="0" w:color="auto"/>
            <w:bottom w:val="none" w:sz="0" w:space="0" w:color="auto"/>
            <w:right w:val="none" w:sz="0" w:space="0" w:color="auto"/>
          </w:divBdr>
          <w:divsChild>
            <w:div w:id="428162390">
              <w:marLeft w:val="0"/>
              <w:marRight w:val="0"/>
              <w:marTop w:val="0"/>
              <w:marBottom w:val="0"/>
              <w:divBdr>
                <w:top w:val="none" w:sz="0" w:space="0" w:color="auto"/>
                <w:left w:val="none" w:sz="0" w:space="0" w:color="auto"/>
                <w:bottom w:val="none" w:sz="0" w:space="0" w:color="auto"/>
                <w:right w:val="none" w:sz="0" w:space="0" w:color="auto"/>
              </w:divBdr>
            </w:div>
          </w:divsChild>
        </w:div>
        <w:div w:id="153568485">
          <w:marLeft w:val="0"/>
          <w:marRight w:val="0"/>
          <w:marTop w:val="300"/>
          <w:marBottom w:val="300"/>
          <w:divBdr>
            <w:top w:val="none" w:sz="0" w:space="0" w:color="auto"/>
            <w:left w:val="none" w:sz="0" w:space="0" w:color="auto"/>
            <w:bottom w:val="none" w:sz="0" w:space="0" w:color="auto"/>
            <w:right w:val="none" w:sz="0" w:space="0" w:color="auto"/>
          </w:divBdr>
        </w:div>
        <w:div w:id="351617446">
          <w:marLeft w:val="0"/>
          <w:marRight w:val="0"/>
          <w:marTop w:val="0"/>
          <w:marBottom w:val="0"/>
          <w:divBdr>
            <w:top w:val="none" w:sz="0" w:space="0" w:color="auto"/>
            <w:left w:val="none" w:sz="0" w:space="0" w:color="auto"/>
            <w:bottom w:val="none" w:sz="0" w:space="0" w:color="auto"/>
            <w:right w:val="none" w:sz="0" w:space="0" w:color="auto"/>
          </w:divBdr>
          <w:divsChild>
            <w:div w:id="416707042">
              <w:marLeft w:val="0"/>
              <w:marRight w:val="0"/>
              <w:marTop w:val="0"/>
              <w:marBottom w:val="0"/>
              <w:divBdr>
                <w:top w:val="none" w:sz="0" w:space="0" w:color="auto"/>
                <w:left w:val="none" w:sz="0" w:space="0" w:color="auto"/>
                <w:bottom w:val="none" w:sz="0" w:space="0" w:color="auto"/>
                <w:right w:val="none" w:sz="0" w:space="0" w:color="auto"/>
              </w:divBdr>
            </w:div>
          </w:divsChild>
        </w:div>
        <w:div w:id="1335494433">
          <w:marLeft w:val="0"/>
          <w:marRight w:val="0"/>
          <w:marTop w:val="0"/>
          <w:marBottom w:val="0"/>
          <w:divBdr>
            <w:top w:val="none" w:sz="0" w:space="0" w:color="auto"/>
            <w:left w:val="none" w:sz="0" w:space="0" w:color="auto"/>
            <w:bottom w:val="none" w:sz="0" w:space="0" w:color="auto"/>
            <w:right w:val="none" w:sz="0" w:space="0" w:color="auto"/>
          </w:divBdr>
          <w:divsChild>
            <w:div w:id="250892829">
              <w:marLeft w:val="0"/>
              <w:marRight w:val="0"/>
              <w:marTop w:val="0"/>
              <w:marBottom w:val="0"/>
              <w:divBdr>
                <w:top w:val="none" w:sz="0" w:space="0" w:color="auto"/>
                <w:left w:val="none" w:sz="0" w:space="0" w:color="auto"/>
                <w:bottom w:val="none" w:sz="0" w:space="0" w:color="auto"/>
                <w:right w:val="none" w:sz="0" w:space="0" w:color="auto"/>
              </w:divBdr>
            </w:div>
          </w:divsChild>
        </w:div>
        <w:div w:id="1506482924">
          <w:marLeft w:val="0"/>
          <w:marRight w:val="0"/>
          <w:marTop w:val="0"/>
          <w:marBottom w:val="0"/>
          <w:divBdr>
            <w:top w:val="none" w:sz="0" w:space="0" w:color="auto"/>
            <w:left w:val="none" w:sz="0" w:space="0" w:color="auto"/>
            <w:bottom w:val="none" w:sz="0" w:space="0" w:color="auto"/>
            <w:right w:val="none" w:sz="0" w:space="0" w:color="auto"/>
          </w:divBdr>
          <w:divsChild>
            <w:div w:id="98835303">
              <w:marLeft w:val="0"/>
              <w:marRight w:val="0"/>
              <w:marTop w:val="0"/>
              <w:marBottom w:val="0"/>
              <w:divBdr>
                <w:top w:val="none" w:sz="0" w:space="0" w:color="auto"/>
                <w:left w:val="none" w:sz="0" w:space="0" w:color="auto"/>
                <w:bottom w:val="none" w:sz="0" w:space="0" w:color="auto"/>
                <w:right w:val="none" w:sz="0" w:space="0" w:color="auto"/>
              </w:divBdr>
            </w:div>
          </w:divsChild>
        </w:div>
        <w:div w:id="1147212575">
          <w:marLeft w:val="0"/>
          <w:marRight w:val="0"/>
          <w:marTop w:val="0"/>
          <w:marBottom w:val="0"/>
          <w:divBdr>
            <w:top w:val="none" w:sz="0" w:space="0" w:color="auto"/>
            <w:left w:val="none" w:sz="0" w:space="0" w:color="auto"/>
            <w:bottom w:val="none" w:sz="0" w:space="0" w:color="auto"/>
            <w:right w:val="none" w:sz="0" w:space="0" w:color="auto"/>
          </w:divBdr>
          <w:divsChild>
            <w:div w:id="1720858833">
              <w:marLeft w:val="0"/>
              <w:marRight w:val="0"/>
              <w:marTop w:val="0"/>
              <w:marBottom w:val="0"/>
              <w:divBdr>
                <w:top w:val="none" w:sz="0" w:space="0" w:color="auto"/>
                <w:left w:val="none" w:sz="0" w:space="0" w:color="auto"/>
                <w:bottom w:val="none" w:sz="0" w:space="0" w:color="auto"/>
                <w:right w:val="none" w:sz="0" w:space="0" w:color="auto"/>
              </w:divBdr>
            </w:div>
          </w:divsChild>
        </w:div>
        <w:div w:id="2029678431">
          <w:marLeft w:val="0"/>
          <w:marRight w:val="0"/>
          <w:marTop w:val="0"/>
          <w:marBottom w:val="0"/>
          <w:divBdr>
            <w:top w:val="none" w:sz="0" w:space="0" w:color="auto"/>
            <w:left w:val="none" w:sz="0" w:space="0" w:color="auto"/>
            <w:bottom w:val="none" w:sz="0" w:space="0" w:color="auto"/>
            <w:right w:val="none" w:sz="0" w:space="0" w:color="auto"/>
          </w:divBdr>
          <w:divsChild>
            <w:div w:id="606929423">
              <w:marLeft w:val="0"/>
              <w:marRight w:val="0"/>
              <w:marTop w:val="0"/>
              <w:marBottom w:val="0"/>
              <w:divBdr>
                <w:top w:val="none" w:sz="0" w:space="0" w:color="auto"/>
                <w:left w:val="none" w:sz="0" w:space="0" w:color="auto"/>
                <w:bottom w:val="none" w:sz="0" w:space="0" w:color="auto"/>
                <w:right w:val="none" w:sz="0" w:space="0" w:color="auto"/>
              </w:divBdr>
            </w:div>
          </w:divsChild>
        </w:div>
        <w:div w:id="1673293070">
          <w:marLeft w:val="0"/>
          <w:marRight w:val="0"/>
          <w:marTop w:val="0"/>
          <w:marBottom w:val="0"/>
          <w:divBdr>
            <w:top w:val="none" w:sz="0" w:space="0" w:color="auto"/>
            <w:left w:val="none" w:sz="0" w:space="0" w:color="auto"/>
            <w:bottom w:val="none" w:sz="0" w:space="0" w:color="auto"/>
            <w:right w:val="none" w:sz="0" w:space="0" w:color="auto"/>
          </w:divBdr>
          <w:divsChild>
            <w:div w:id="858201353">
              <w:marLeft w:val="0"/>
              <w:marRight w:val="0"/>
              <w:marTop w:val="0"/>
              <w:marBottom w:val="0"/>
              <w:divBdr>
                <w:top w:val="none" w:sz="0" w:space="0" w:color="auto"/>
                <w:left w:val="none" w:sz="0" w:space="0" w:color="auto"/>
                <w:bottom w:val="none" w:sz="0" w:space="0" w:color="auto"/>
                <w:right w:val="none" w:sz="0" w:space="0" w:color="auto"/>
              </w:divBdr>
            </w:div>
          </w:divsChild>
        </w:div>
        <w:div w:id="781919779">
          <w:marLeft w:val="0"/>
          <w:marRight w:val="0"/>
          <w:marTop w:val="0"/>
          <w:marBottom w:val="0"/>
          <w:divBdr>
            <w:top w:val="none" w:sz="0" w:space="0" w:color="auto"/>
            <w:left w:val="none" w:sz="0" w:space="0" w:color="auto"/>
            <w:bottom w:val="none" w:sz="0" w:space="0" w:color="auto"/>
            <w:right w:val="none" w:sz="0" w:space="0" w:color="auto"/>
          </w:divBdr>
          <w:divsChild>
            <w:div w:id="1716083943">
              <w:marLeft w:val="0"/>
              <w:marRight w:val="0"/>
              <w:marTop w:val="0"/>
              <w:marBottom w:val="0"/>
              <w:divBdr>
                <w:top w:val="none" w:sz="0" w:space="0" w:color="auto"/>
                <w:left w:val="none" w:sz="0" w:space="0" w:color="auto"/>
                <w:bottom w:val="none" w:sz="0" w:space="0" w:color="auto"/>
                <w:right w:val="none" w:sz="0" w:space="0" w:color="auto"/>
              </w:divBdr>
            </w:div>
          </w:divsChild>
        </w:div>
        <w:div w:id="2062172251">
          <w:marLeft w:val="0"/>
          <w:marRight w:val="0"/>
          <w:marTop w:val="0"/>
          <w:marBottom w:val="0"/>
          <w:divBdr>
            <w:top w:val="none" w:sz="0" w:space="0" w:color="auto"/>
            <w:left w:val="none" w:sz="0" w:space="0" w:color="auto"/>
            <w:bottom w:val="none" w:sz="0" w:space="0" w:color="auto"/>
            <w:right w:val="none" w:sz="0" w:space="0" w:color="auto"/>
          </w:divBdr>
          <w:divsChild>
            <w:div w:id="17704605">
              <w:marLeft w:val="0"/>
              <w:marRight w:val="0"/>
              <w:marTop w:val="0"/>
              <w:marBottom w:val="0"/>
              <w:divBdr>
                <w:top w:val="none" w:sz="0" w:space="0" w:color="auto"/>
                <w:left w:val="none" w:sz="0" w:space="0" w:color="auto"/>
                <w:bottom w:val="none" w:sz="0" w:space="0" w:color="auto"/>
                <w:right w:val="none" w:sz="0" w:space="0" w:color="auto"/>
              </w:divBdr>
            </w:div>
          </w:divsChild>
        </w:div>
        <w:div w:id="772939527">
          <w:marLeft w:val="0"/>
          <w:marRight w:val="0"/>
          <w:marTop w:val="0"/>
          <w:marBottom w:val="0"/>
          <w:divBdr>
            <w:top w:val="none" w:sz="0" w:space="0" w:color="auto"/>
            <w:left w:val="none" w:sz="0" w:space="0" w:color="auto"/>
            <w:bottom w:val="none" w:sz="0" w:space="0" w:color="auto"/>
            <w:right w:val="none" w:sz="0" w:space="0" w:color="auto"/>
          </w:divBdr>
          <w:divsChild>
            <w:div w:id="268198166">
              <w:marLeft w:val="0"/>
              <w:marRight w:val="0"/>
              <w:marTop w:val="0"/>
              <w:marBottom w:val="0"/>
              <w:divBdr>
                <w:top w:val="none" w:sz="0" w:space="0" w:color="auto"/>
                <w:left w:val="none" w:sz="0" w:space="0" w:color="auto"/>
                <w:bottom w:val="none" w:sz="0" w:space="0" w:color="auto"/>
                <w:right w:val="none" w:sz="0" w:space="0" w:color="auto"/>
              </w:divBdr>
            </w:div>
          </w:divsChild>
        </w:div>
        <w:div w:id="1989893467">
          <w:marLeft w:val="0"/>
          <w:marRight w:val="0"/>
          <w:marTop w:val="0"/>
          <w:marBottom w:val="0"/>
          <w:divBdr>
            <w:top w:val="none" w:sz="0" w:space="0" w:color="auto"/>
            <w:left w:val="none" w:sz="0" w:space="0" w:color="auto"/>
            <w:bottom w:val="none" w:sz="0" w:space="0" w:color="auto"/>
            <w:right w:val="none" w:sz="0" w:space="0" w:color="auto"/>
          </w:divBdr>
          <w:divsChild>
            <w:div w:id="1787308195">
              <w:marLeft w:val="0"/>
              <w:marRight w:val="0"/>
              <w:marTop w:val="0"/>
              <w:marBottom w:val="0"/>
              <w:divBdr>
                <w:top w:val="none" w:sz="0" w:space="0" w:color="auto"/>
                <w:left w:val="none" w:sz="0" w:space="0" w:color="auto"/>
                <w:bottom w:val="none" w:sz="0" w:space="0" w:color="auto"/>
                <w:right w:val="none" w:sz="0" w:space="0" w:color="auto"/>
              </w:divBdr>
            </w:div>
          </w:divsChild>
        </w:div>
        <w:div w:id="1628512514">
          <w:marLeft w:val="0"/>
          <w:marRight w:val="0"/>
          <w:marTop w:val="0"/>
          <w:marBottom w:val="0"/>
          <w:divBdr>
            <w:top w:val="none" w:sz="0" w:space="0" w:color="auto"/>
            <w:left w:val="none" w:sz="0" w:space="0" w:color="auto"/>
            <w:bottom w:val="none" w:sz="0" w:space="0" w:color="auto"/>
            <w:right w:val="none" w:sz="0" w:space="0" w:color="auto"/>
          </w:divBdr>
          <w:divsChild>
            <w:div w:id="464589401">
              <w:marLeft w:val="0"/>
              <w:marRight w:val="0"/>
              <w:marTop w:val="0"/>
              <w:marBottom w:val="0"/>
              <w:divBdr>
                <w:top w:val="none" w:sz="0" w:space="0" w:color="auto"/>
                <w:left w:val="none" w:sz="0" w:space="0" w:color="auto"/>
                <w:bottom w:val="none" w:sz="0" w:space="0" w:color="auto"/>
                <w:right w:val="none" w:sz="0" w:space="0" w:color="auto"/>
              </w:divBdr>
            </w:div>
          </w:divsChild>
        </w:div>
        <w:div w:id="1792825144">
          <w:marLeft w:val="0"/>
          <w:marRight w:val="0"/>
          <w:marTop w:val="300"/>
          <w:marBottom w:val="300"/>
          <w:divBdr>
            <w:top w:val="none" w:sz="0" w:space="0" w:color="auto"/>
            <w:left w:val="none" w:sz="0" w:space="0" w:color="auto"/>
            <w:bottom w:val="none" w:sz="0" w:space="0" w:color="auto"/>
            <w:right w:val="none" w:sz="0" w:space="0" w:color="auto"/>
          </w:divBdr>
        </w:div>
        <w:div w:id="1931038982">
          <w:marLeft w:val="0"/>
          <w:marRight w:val="0"/>
          <w:marTop w:val="0"/>
          <w:marBottom w:val="0"/>
          <w:divBdr>
            <w:top w:val="none" w:sz="0" w:space="0" w:color="auto"/>
            <w:left w:val="none" w:sz="0" w:space="0" w:color="auto"/>
            <w:bottom w:val="none" w:sz="0" w:space="0" w:color="auto"/>
            <w:right w:val="none" w:sz="0" w:space="0" w:color="auto"/>
          </w:divBdr>
          <w:divsChild>
            <w:div w:id="608660317">
              <w:marLeft w:val="0"/>
              <w:marRight w:val="0"/>
              <w:marTop w:val="0"/>
              <w:marBottom w:val="0"/>
              <w:divBdr>
                <w:top w:val="none" w:sz="0" w:space="0" w:color="auto"/>
                <w:left w:val="none" w:sz="0" w:space="0" w:color="auto"/>
                <w:bottom w:val="none" w:sz="0" w:space="0" w:color="auto"/>
                <w:right w:val="none" w:sz="0" w:space="0" w:color="auto"/>
              </w:divBdr>
            </w:div>
          </w:divsChild>
        </w:div>
        <w:div w:id="977028380">
          <w:marLeft w:val="0"/>
          <w:marRight w:val="0"/>
          <w:marTop w:val="0"/>
          <w:marBottom w:val="0"/>
          <w:divBdr>
            <w:top w:val="none" w:sz="0" w:space="0" w:color="auto"/>
            <w:left w:val="none" w:sz="0" w:space="0" w:color="auto"/>
            <w:bottom w:val="none" w:sz="0" w:space="0" w:color="auto"/>
            <w:right w:val="none" w:sz="0" w:space="0" w:color="auto"/>
          </w:divBdr>
          <w:divsChild>
            <w:div w:id="2089761784">
              <w:marLeft w:val="0"/>
              <w:marRight w:val="0"/>
              <w:marTop w:val="0"/>
              <w:marBottom w:val="0"/>
              <w:divBdr>
                <w:top w:val="none" w:sz="0" w:space="0" w:color="auto"/>
                <w:left w:val="none" w:sz="0" w:space="0" w:color="auto"/>
                <w:bottom w:val="none" w:sz="0" w:space="0" w:color="auto"/>
                <w:right w:val="none" w:sz="0" w:space="0" w:color="auto"/>
              </w:divBdr>
            </w:div>
          </w:divsChild>
        </w:div>
        <w:div w:id="1812670331">
          <w:marLeft w:val="0"/>
          <w:marRight w:val="0"/>
          <w:marTop w:val="0"/>
          <w:marBottom w:val="0"/>
          <w:divBdr>
            <w:top w:val="none" w:sz="0" w:space="0" w:color="auto"/>
            <w:left w:val="none" w:sz="0" w:space="0" w:color="auto"/>
            <w:bottom w:val="none" w:sz="0" w:space="0" w:color="auto"/>
            <w:right w:val="none" w:sz="0" w:space="0" w:color="auto"/>
          </w:divBdr>
          <w:divsChild>
            <w:div w:id="1326321551">
              <w:marLeft w:val="0"/>
              <w:marRight w:val="0"/>
              <w:marTop w:val="0"/>
              <w:marBottom w:val="0"/>
              <w:divBdr>
                <w:top w:val="none" w:sz="0" w:space="0" w:color="auto"/>
                <w:left w:val="none" w:sz="0" w:space="0" w:color="auto"/>
                <w:bottom w:val="none" w:sz="0" w:space="0" w:color="auto"/>
                <w:right w:val="none" w:sz="0" w:space="0" w:color="auto"/>
              </w:divBdr>
            </w:div>
          </w:divsChild>
        </w:div>
        <w:div w:id="1283657180">
          <w:marLeft w:val="0"/>
          <w:marRight w:val="0"/>
          <w:marTop w:val="0"/>
          <w:marBottom w:val="0"/>
          <w:divBdr>
            <w:top w:val="none" w:sz="0" w:space="0" w:color="auto"/>
            <w:left w:val="none" w:sz="0" w:space="0" w:color="auto"/>
            <w:bottom w:val="none" w:sz="0" w:space="0" w:color="auto"/>
            <w:right w:val="none" w:sz="0" w:space="0" w:color="auto"/>
          </w:divBdr>
          <w:divsChild>
            <w:div w:id="816914937">
              <w:marLeft w:val="0"/>
              <w:marRight w:val="0"/>
              <w:marTop w:val="0"/>
              <w:marBottom w:val="0"/>
              <w:divBdr>
                <w:top w:val="none" w:sz="0" w:space="0" w:color="auto"/>
                <w:left w:val="none" w:sz="0" w:space="0" w:color="auto"/>
                <w:bottom w:val="none" w:sz="0" w:space="0" w:color="auto"/>
                <w:right w:val="none" w:sz="0" w:space="0" w:color="auto"/>
              </w:divBdr>
            </w:div>
          </w:divsChild>
        </w:div>
        <w:div w:id="481581363">
          <w:marLeft w:val="0"/>
          <w:marRight w:val="0"/>
          <w:marTop w:val="0"/>
          <w:marBottom w:val="0"/>
          <w:divBdr>
            <w:top w:val="none" w:sz="0" w:space="0" w:color="auto"/>
            <w:left w:val="none" w:sz="0" w:space="0" w:color="auto"/>
            <w:bottom w:val="none" w:sz="0" w:space="0" w:color="auto"/>
            <w:right w:val="none" w:sz="0" w:space="0" w:color="auto"/>
          </w:divBdr>
          <w:divsChild>
            <w:div w:id="744953768">
              <w:marLeft w:val="0"/>
              <w:marRight w:val="0"/>
              <w:marTop w:val="0"/>
              <w:marBottom w:val="0"/>
              <w:divBdr>
                <w:top w:val="none" w:sz="0" w:space="0" w:color="auto"/>
                <w:left w:val="none" w:sz="0" w:space="0" w:color="auto"/>
                <w:bottom w:val="none" w:sz="0" w:space="0" w:color="auto"/>
                <w:right w:val="none" w:sz="0" w:space="0" w:color="auto"/>
              </w:divBdr>
            </w:div>
          </w:divsChild>
        </w:div>
        <w:div w:id="955063653">
          <w:marLeft w:val="0"/>
          <w:marRight w:val="0"/>
          <w:marTop w:val="0"/>
          <w:marBottom w:val="0"/>
          <w:divBdr>
            <w:top w:val="none" w:sz="0" w:space="0" w:color="auto"/>
            <w:left w:val="none" w:sz="0" w:space="0" w:color="auto"/>
            <w:bottom w:val="none" w:sz="0" w:space="0" w:color="auto"/>
            <w:right w:val="none" w:sz="0" w:space="0" w:color="auto"/>
          </w:divBdr>
          <w:divsChild>
            <w:div w:id="537858564">
              <w:marLeft w:val="0"/>
              <w:marRight w:val="0"/>
              <w:marTop w:val="0"/>
              <w:marBottom w:val="0"/>
              <w:divBdr>
                <w:top w:val="none" w:sz="0" w:space="0" w:color="auto"/>
                <w:left w:val="none" w:sz="0" w:space="0" w:color="auto"/>
                <w:bottom w:val="none" w:sz="0" w:space="0" w:color="auto"/>
                <w:right w:val="none" w:sz="0" w:space="0" w:color="auto"/>
              </w:divBdr>
            </w:div>
          </w:divsChild>
        </w:div>
        <w:div w:id="1346516479">
          <w:marLeft w:val="0"/>
          <w:marRight w:val="0"/>
          <w:marTop w:val="0"/>
          <w:marBottom w:val="0"/>
          <w:divBdr>
            <w:top w:val="none" w:sz="0" w:space="0" w:color="auto"/>
            <w:left w:val="none" w:sz="0" w:space="0" w:color="auto"/>
            <w:bottom w:val="none" w:sz="0" w:space="0" w:color="auto"/>
            <w:right w:val="none" w:sz="0" w:space="0" w:color="auto"/>
          </w:divBdr>
          <w:divsChild>
            <w:div w:id="777216623">
              <w:marLeft w:val="0"/>
              <w:marRight w:val="0"/>
              <w:marTop w:val="0"/>
              <w:marBottom w:val="0"/>
              <w:divBdr>
                <w:top w:val="none" w:sz="0" w:space="0" w:color="auto"/>
                <w:left w:val="none" w:sz="0" w:space="0" w:color="auto"/>
                <w:bottom w:val="none" w:sz="0" w:space="0" w:color="auto"/>
                <w:right w:val="none" w:sz="0" w:space="0" w:color="auto"/>
              </w:divBdr>
            </w:div>
          </w:divsChild>
        </w:div>
        <w:div w:id="231887655">
          <w:marLeft w:val="0"/>
          <w:marRight w:val="0"/>
          <w:marTop w:val="300"/>
          <w:marBottom w:val="300"/>
          <w:divBdr>
            <w:top w:val="none" w:sz="0" w:space="0" w:color="auto"/>
            <w:left w:val="none" w:sz="0" w:space="0" w:color="auto"/>
            <w:bottom w:val="none" w:sz="0" w:space="0" w:color="auto"/>
            <w:right w:val="none" w:sz="0" w:space="0" w:color="auto"/>
          </w:divBdr>
        </w:div>
        <w:div w:id="44565262">
          <w:marLeft w:val="0"/>
          <w:marRight w:val="0"/>
          <w:marTop w:val="0"/>
          <w:marBottom w:val="0"/>
          <w:divBdr>
            <w:top w:val="none" w:sz="0" w:space="0" w:color="auto"/>
            <w:left w:val="none" w:sz="0" w:space="0" w:color="auto"/>
            <w:bottom w:val="none" w:sz="0" w:space="0" w:color="auto"/>
            <w:right w:val="none" w:sz="0" w:space="0" w:color="auto"/>
          </w:divBdr>
          <w:divsChild>
            <w:div w:id="373308177">
              <w:marLeft w:val="0"/>
              <w:marRight w:val="0"/>
              <w:marTop w:val="0"/>
              <w:marBottom w:val="0"/>
              <w:divBdr>
                <w:top w:val="none" w:sz="0" w:space="0" w:color="auto"/>
                <w:left w:val="none" w:sz="0" w:space="0" w:color="auto"/>
                <w:bottom w:val="none" w:sz="0" w:space="0" w:color="auto"/>
                <w:right w:val="none" w:sz="0" w:space="0" w:color="auto"/>
              </w:divBdr>
            </w:div>
          </w:divsChild>
        </w:div>
        <w:div w:id="2061008106">
          <w:marLeft w:val="0"/>
          <w:marRight w:val="0"/>
          <w:marTop w:val="0"/>
          <w:marBottom w:val="0"/>
          <w:divBdr>
            <w:top w:val="none" w:sz="0" w:space="0" w:color="auto"/>
            <w:left w:val="none" w:sz="0" w:space="0" w:color="auto"/>
            <w:bottom w:val="none" w:sz="0" w:space="0" w:color="auto"/>
            <w:right w:val="none" w:sz="0" w:space="0" w:color="auto"/>
          </w:divBdr>
          <w:divsChild>
            <w:div w:id="813721133">
              <w:marLeft w:val="0"/>
              <w:marRight w:val="0"/>
              <w:marTop w:val="0"/>
              <w:marBottom w:val="0"/>
              <w:divBdr>
                <w:top w:val="none" w:sz="0" w:space="0" w:color="auto"/>
                <w:left w:val="none" w:sz="0" w:space="0" w:color="auto"/>
                <w:bottom w:val="none" w:sz="0" w:space="0" w:color="auto"/>
                <w:right w:val="none" w:sz="0" w:space="0" w:color="auto"/>
              </w:divBdr>
            </w:div>
          </w:divsChild>
        </w:div>
        <w:div w:id="1642229612">
          <w:marLeft w:val="0"/>
          <w:marRight w:val="0"/>
          <w:marTop w:val="0"/>
          <w:marBottom w:val="0"/>
          <w:divBdr>
            <w:top w:val="none" w:sz="0" w:space="0" w:color="auto"/>
            <w:left w:val="none" w:sz="0" w:space="0" w:color="auto"/>
            <w:bottom w:val="none" w:sz="0" w:space="0" w:color="auto"/>
            <w:right w:val="none" w:sz="0" w:space="0" w:color="auto"/>
          </w:divBdr>
          <w:divsChild>
            <w:div w:id="1108352868">
              <w:marLeft w:val="0"/>
              <w:marRight w:val="0"/>
              <w:marTop w:val="0"/>
              <w:marBottom w:val="0"/>
              <w:divBdr>
                <w:top w:val="none" w:sz="0" w:space="0" w:color="auto"/>
                <w:left w:val="none" w:sz="0" w:space="0" w:color="auto"/>
                <w:bottom w:val="none" w:sz="0" w:space="0" w:color="auto"/>
                <w:right w:val="none" w:sz="0" w:space="0" w:color="auto"/>
              </w:divBdr>
            </w:div>
          </w:divsChild>
        </w:div>
        <w:div w:id="506942042">
          <w:marLeft w:val="0"/>
          <w:marRight w:val="0"/>
          <w:marTop w:val="300"/>
          <w:marBottom w:val="300"/>
          <w:divBdr>
            <w:top w:val="none" w:sz="0" w:space="0" w:color="auto"/>
            <w:left w:val="none" w:sz="0" w:space="0" w:color="auto"/>
            <w:bottom w:val="none" w:sz="0" w:space="0" w:color="auto"/>
            <w:right w:val="none" w:sz="0" w:space="0" w:color="auto"/>
          </w:divBdr>
        </w:div>
        <w:div w:id="1233344441">
          <w:marLeft w:val="0"/>
          <w:marRight w:val="0"/>
          <w:marTop w:val="0"/>
          <w:marBottom w:val="0"/>
          <w:divBdr>
            <w:top w:val="none" w:sz="0" w:space="0" w:color="auto"/>
            <w:left w:val="none" w:sz="0" w:space="0" w:color="auto"/>
            <w:bottom w:val="none" w:sz="0" w:space="0" w:color="auto"/>
            <w:right w:val="none" w:sz="0" w:space="0" w:color="auto"/>
          </w:divBdr>
          <w:divsChild>
            <w:div w:id="1853303319">
              <w:marLeft w:val="0"/>
              <w:marRight w:val="0"/>
              <w:marTop w:val="0"/>
              <w:marBottom w:val="0"/>
              <w:divBdr>
                <w:top w:val="none" w:sz="0" w:space="0" w:color="auto"/>
                <w:left w:val="none" w:sz="0" w:space="0" w:color="auto"/>
                <w:bottom w:val="none" w:sz="0" w:space="0" w:color="auto"/>
                <w:right w:val="none" w:sz="0" w:space="0" w:color="auto"/>
              </w:divBdr>
            </w:div>
          </w:divsChild>
        </w:div>
        <w:div w:id="1655254255">
          <w:marLeft w:val="0"/>
          <w:marRight w:val="0"/>
          <w:marTop w:val="0"/>
          <w:marBottom w:val="0"/>
          <w:divBdr>
            <w:top w:val="none" w:sz="0" w:space="0" w:color="auto"/>
            <w:left w:val="none" w:sz="0" w:space="0" w:color="auto"/>
            <w:bottom w:val="none" w:sz="0" w:space="0" w:color="auto"/>
            <w:right w:val="none" w:sz="0" w:space="0" w:color="auto"/>
          </w:divBdr>
          <w:divsChild>
            <w:div w:id="1799833761">
              <w:marLeft w:val="0"/>
              <w:marRight w:val="0"/>
              <w:marTop w:val="0"/>
              <w:marBottom w:val="0"/>
              <w:divBdr>
                <w:top w:val="none" w:sz="0" w:space="0" w:color="auto"/>
                <w:left w:val="none" w:sz="0" w:space="0" w:color="auto"/>
                <w:bottom w:val="none" w:sz="0" w:space="0" w:color="auto"/>
                <w:right w:val="none" w:sz="0" w:space="0" w:color="auto"/>
              </w:divBdr>
            </w:div>
          </w:divsChild>
        </w:div>
        <w:div w:id="418987774">
          <w:marLeft w:val="0"/>
          <w:marRight w:val="0"/>
          <w:marTop w:val="0"/>
          <w:marBottom w:val="0"/>
          <w:divBdr>
            <w:top w:val="none" w:sz="0" w:space="0" w:color="auto"/>
            <w:left w:val="none" w:sz="0" w:space="0" w:color="auto"/>
            <w:bottom w:val="none" w:sz="0" w:space="0" w:color="auto"/>
            <w:right w:val="none" w:sz="0" w:space="0" w:color="auto"/>
          </w:divBdr>
          <w:divsChild>
            <w:div w:id="1948730327">
              <w:marLeft w:val="0"/>
              <w:marRight w:val="0"/>
              <w:marTop w:val="0"/>
              <w:marBottom w:val="0"/>
              <w:divBdr>
                <w:top w:val="none" w:sz="0" w:space="0" w:color="auto"/>
                <w:left w:val="none" w:sz="0" w:space="0" w:color="auto"/>
                <w:bottom w:val="none" w:sz="0" w:space="0" w:color="auto"/>
                <w:right w:val="none" w:sz="0" w:space="0" w:color="auto"/>
              </w:divBdr>
            </w:div>
          </w:divsChild>
        </w:div>
        <w:div w:id="1085345392">
          <w:marLeft w:val="0"/>
          <w:marRight w:val="0"/>
          <w:marTop w:val="0"/>
          <w:marBottom w:val="0"/>
          <w:divBdr>
            <w:top w:val="none" w:sz="0" w:space="0" w:color="auto"/>
            <w:left w:val="none" w:sz="0" w:space="0" w:color="auto"/>
            <w:bottom w:val="none" w:sz="0" w:space="0" w:color="auto"/>
            <w:right w:val="none" w:sz="0" w:space="0" w:color="auto"/>
          </w:divBdr>
          <w:divsChild>
            <w:div w:id="524902321">
              <w:marLeft w:val="0"/>
              <w:marRight w:val="0"/>
              <w:marTop w:val="0"/>
              <w:marBottom w:val="0"/>
              <w:divBdr>
                <w:top w:val="none" w:sz="0" w:space="0" w:color="auto"/>
                <w:left w:val="none" w:sz="0" w:space="0" w:color="auto"/>
                <w:bottom w:val="none" w:sz="0" w:space="0" w:color="auto"/>
                <w:right w:val="none" w:sz="0" w:space="0" w:color="auto"/>
              </w:divBdr>
            </w:div>
          </w:divsChild>
        </w:div>
        <w:div w:id="1388799130">
          <w:marLeft w:val="0"/>
          <w:marRight w:val="0"/>
          <w:marTop w:val="0"/>
          <w:marBottom w:val="0"/>
          <w:divBdr>
            <w:top w:val="none" w:sz="0" w:space="0" w:color="auto"/>
            <w:left w:val="none" w:sz="0" w:space="0" w:color="auto"/>
            <w:bottom w:val="none" w:sz="0" w:space="0" w:color="auto"/>
            <w:right w:val="none" w:sz="0" w:space="0" w:color="auto"/>
          </w:divBdr>
          <w:divsChild>
            <w:div w:id="1713118152">
              <w:marLeft w:val="0"/>
              <w:marRight w:val="0"/>
              <w:marTop w:val="0"/>
              <w:marBottom w:val="0"/>
              <w:divBdr>
                <w:top w:val="none" w:sz="0" w:space="0" w:color="auto"/>
                <w:left w:val="none" w:sz="0" w:space="0" w:color="auto"/>
                <w:bottom w:val="none" w:sz="0" w:space="0" w:color="auto"/>
                <w:right w:val="none" w:sz="0" w:space="0" w:color="auto"/>
              </w:divBdr>
            </w:div>
          </w:divsChild>
        </w:div>
        <w:div w:id="491415535">
          <w:marLeft w:val="0"/>
          <w:marRight w:val="0"/>
          <w:marTop w:val="300"/>
          <w:marBottom w:val="300"/>
          <w:divBdr>
            <w:top w:val="none" w:sz="0" w:space="0" w:color="auto"/>
            <w:left w:val="none" w:sz="0" w:space="0" w:color="auto"/>
            <w:bottom w:val="none" w:sz="0" w:space="0" w:color="auto"/>
            <w:right w:val="none" w:sz="0" w:space="0" w:color="auto"/>
          </w:divBdr>
        </w:div>
        <w:div w:id="1439567506">
          <w:marLeft w:val="0"/>
          <w:marRight w:val="0"/>
          <w:marTop w:val="0"/>
          <w:marBottom w:val="0"/>
          <w:divBdr>
            <w:top w:val="none" w:sz="0" w:space="0" w:color="auto"/>
            <w:left w:val="none" w:sz="0" w:space="0" w:color="auto"/>
            <w:bottom w:val="none" w:sz="0" w:space="0" w:color="auto"/>
            <w:right w:val="none" w:sz="0" w:space="0" w:color="auto"/>
          </w:divBdr>
          <w:divsChild>
            <w:div w:id="1562935023">
              <w:marLeft w:val="0"/>
              <w:marRight w:val="0"/>
              <w:marTop w:val="0"/>
              <w:marBottom w:val="0"/>
              <w:divBdr>
                <w:top w:val="none" w:sz="0" w:space="0" w:color="auto"/>
                <w:left w:val="none" w:sz="0" w:space="0" w:color="auto"/>
                <w:bottom w:val="none" w:sz="0" w:space="0" w:color="auto"/>
                <w:right w:val="none" w:sz="0" w:space="0" w:color="auto"/>
              </w:divBdr>
            </w:div>
          </w:divsChild>
        </w:div>
        <w:div w:id="694771064">
          <w:marLeft w:val="0"/>
          <w:marRight w:val="0"/>
          <w:marTop w:val="0"/>
          <w:marBottom w:val="0"/>
          <w:divBdr>
            <w:top w:val="none" w:sz="0" w:space="0" w:color="auto"/>
            <w:left w:val="none" w:sz="0" w:space="0" w:color="auto"/>
            <w:bottom w:val="none" w:sz="0" w:space="0" w:color="auto"/>
            <w:right w:val="none" w:sz="0" w:space="0" w:color="auto"/>
          </w:divBdr>
          <w:divsChild>
            <w:div w:id="2021660187">
              <w:marLeft w:val="0"/>
              <w:marRight w:val="0"/>
              <w:marTop w:val="0"/>
              <w:marBottom w:val="0"/>
              <w:divBdr>
                <w:top w:val="none" w:sz="0" w:space="0" w:color="auto"/>
                <w:left w:val="none" w:sz="0" w:space="0" w:color="auto"/>
                <w:bottom w:val="none" w:sz="0" w:space="0" w:color="auto"/>
                <w:right w:val="none" w:sz="0" w:space="0" w:color="auto"/>
              </w:divBdr>
            </w:div>
          </w:divsChild>
        </w:div>
        <w:div w:id="1362591542">
          <w:marLeft w:val="0"/>
          <w:marRight w:val="0"/>
          <w:marTop w:val="0"/>
          <w:marBottom w:val="0"/>
          <w:divBdr>
            <w:top w:val="none" w:sz="0" w:space="0" w:color="auto"/>
            <w:left w:val="none" w:sz="0" w:space="0" w:color="auto"/>
            <w:bottom w:val="none" w:sz="0" w:space="0" w:color="auto"/>
            <w:right w:val="none" w:sz="0" w:space="0" w:color="auto"/>
          </w:divBdr>
          <w:divsChild>
            <w:div w:id="1496067694">
              <w:marLeft w:val="0"/>
              <w:marRight w:val="0"/>
              <w:marTop w:val="0"/>
              <w:marBottom w:val="0"/>
              <w:divBdr>
                <w:top w:val="none" w:sz="0" w:space="0" w:color="auto"/>
                <w:left w:val="none" w:sz="0" w:space="0" w:color="auto"/>
                <w:bottom w:val="none" w:sz="0" w:space="0" w:color="auto"/>
                <w:right w:val="none" w:sz="0" w:space="0" w:color="auto"/>
              </w:divBdr>
            </w:div>
          </w:divsChild>
        </w:div>
        <w:div w:id="1414084080">
          <w:marLeft w:val="0"/>
          <w:marRight w:val="0"/>
          <w:marTop w:val="0"/>
          <w:marBottom w:val="0"/>
          <w:divBdr>
            <w:top w:val="none" w:sz="0" w:space="0" w:color="auto"/>
            <w:left w:val="none" w:sz="0" w:space="0" w:color="auto"/>
            <w:bottom w:val="none" w:sz="0" w:space="0" w:color="auto"/>
            <w:right w:val="none" w:sz="0" w:space="0" w:color="auto"/>
          </w:divBdr>
          <w:divsChild>
            <w:div w:id="1996644571">
              <w:marLeft w:val="0"/>
              <w:marRight w:val="0"/>
              <w:marTop w:val="0"/>
              <w:marBottom w:val="0"/>
              <w:divBdr>
                <w:top w:val="none" w:sz="0" w:space="0" w:color="auto"/>
                <w:left w:val="none" w:sz="0" w:space="0" w:color="auto"/>
                <w:bottom w:val="none" w:sz="0" w:space="0" w:color="auto"/>
                <w:right w:val="none" w:sz="0" w:space="0" w:color="auto"/>
              </w:divBdr>
            </w:div>
          </w:divsChild>
        </w:div>
        <w:div w:id="679553281">
          <w:marLeft w:val="0"/>
          <w:marRight w:val="0"/>
          <w:marTop w:val="0"/>
          <w:marBottom w:val="0"/>
          <w:divBdr>
            <w:top w:val="none" w:sz="0" w:space="0" w:color="auto"/>
            <w:left w:val="none" w:sz="0" w:space="0" w:color="auto"/>
            <w:bottom w:val="none" w:sz="0" w:space="0" w:color="auto"/>
            <w:right w:val="none" w:sz="0" w:space="0" w:color="auto"/>
          </w:divBdr>
          <w:divsChild>
            <w:div w:id="1432433151">
              <w:marLeft w:val="0"/>
              <w:marRight w:val="0"/>
              <w:marTop w:val="0"/>
              <w:marBottom w:val="0"/>
              <w:divBdr>
                <w:top w:val="none" w:sz="0" w:space="0" w:color="auto"/>
                <w:left w:val="none" w:sz="0" w:space="0" w:color="auto"/>
                <w:bottom w:val="none" w:sz="0" w:space="0" w:color="auto"/>
                <w:right w:val="none" w:sz="0" w:space="0" w:color="auto"/>
              </w:divBdr>
            </w:div>
          </w:divsChild>
        </w:div>
        <w:div w:id="2035839945">
          <w:marLeft w:val="0"/>
          <w:marRight w:val="0"/>
          <w:marTop w:val="0"/>
          <w:marBottom w:val="0"/>
          <w:divBdr>
            <w:top w:val="none" w:sz="0" w:space="0" w:color="auto"/>
            <w:left w:val="none" w:sz="0" w:space="0" w:color="auto"/>
            <w:bottom w:val="none" w:sz="0" w:space="0" w:color="auto"/>
            <w:right w:val="none" w:sz="0" w:space="0" w:color="auto"/>
          </w:divBdr>
          <w:divsChild>
            <w:div w:id="791242382">
              <w:marLeft w:val="0"/>
              <w:marRight w:val="0"/>
              <w:marTop w:val="0"/>
              <w:marBottom w:val="0"/>
              <w:divBdr>
                <w:top w:val="none" w:sz="0" w:space="0" w:color="auto"/>
                <w:left w:val="none" w:sz="0" w:space="0" w:color="auto"/>
                <w:bottom w:val="none" w:sz="0" w:space="0" w:color="auto"/>
                <w:right w:val="none" w:sz="0" w:space="0" w:color="auto"/>
              </w:divBdr>
            </w:div>
          </w:divsChild>
        </w:div>
        <w:div w:id="810558211">
          <w:marLeft w:val="0"/>
          <w:marRight w:val="0"/>
          <w:marTop w:val="0"/>
          <w:marBottom w:val="0"/>
          <w:divBdr>
            <w:top w:val="none" w:sz="0" w:space="0" w:color="auto"/>
            <w:left w:val="none" w:sz="0" w:space="0" w:color="auto"/>
            <w:bottom w:val="none" w:sz="0" w:space="0" w:color="auto"/>
            <w:right w:val="none" w:sz="0" w:space="0" w:color="auto"/>
          </w:divBdr>
          <w:divsChild>
            <w:div w:id="526526928">
              <w:marLeft w:val="0"/>
              <w:marRight w:val="0"/>
              <w:marTop w:val="0"/>
              <w:marBottom w:val="0"/>
              <w:divBdr>
                <w:top w:val="none" w:sz="0" w:space="0" w:color="auto"/>
                <w:left w:val="none" w:sz="0" w:space="0" w:color="auto"/>
                <w:bottom w:val="none" w:sz="0" w:space="0" w:color="auto"/>
                <w:right w:val="none" w:sz="0" w:space="0" w:color="auto"/>
              </w:divBdr>
            </w:div>
          </w:divsChild>
        </w:div>
        <w:div w:id="1408460565">
          <w:marLeft w:val="0"/>
          <w:marRight w:val="0"/>
          <w:marTop w:val="0"/>
          <w:marBottom w:val="0"/>
          <w:divBdr>
            <w:top w:val="none" w:sz="0" w:space="0" w:color="auto"/>
            <w:left w:val="none" w:sz="0" w:space="0" w:color="auto"/>
            <w:bottom w:val="none" w:sz="0" w:space="0" w:color="auto"/>
            <w:right w:val="none" w:sz="0" w:space="0" w:color="auto"/>
          </w:divBdr>
          <w:divsChild>
            <w:div w:id="938175064">
              <w:marLeft w:val="0"/>
              <w:marRight w:val="0"/>
              <w:marTop w:val="0"/>
              <w:marBottom w:val="0"/>
              <w:divBdr>
                <w:top w:val="none" w:sz="0" w:space="0" w:color="auto"/>
                <w:left w:val="none" w:sz="0" w:space="0" w:color="auto"/>
                <w:bottom w:val="none" w:sz="0" w:space="0" w:color="auto"/>
                <w:right w:val="none" w:sz="0" w:space="0" w:color="auto"/>
              </w:divBdr>
            </w:div>
          </w:divsChild>
        </w:div>
        <w:div w:id="248275111">
          <w:marLeft w:val="0"/>
          <w:marRight w:val="0"/>
          <w:marTop w:val="0"/>
          <w:marBottom w:val="0"/>
          <w:divBdr>
            <w:top w:val="none" w:sz="0" w:space="0" w:color="auto"/>
            <w:left w:val="none" w:sz="0" w:space="0" w:color="auto"/>
            <w:bottom w:val="none" w:sz="0" w:space="0" w:color="auto"/>
            <w:right w:val="none" w:sz="0" w:space="0" w:color="auto"/>
          </w:divBdr>
          <w:divsChild>
            <w:div w:id="847867332">
              <w:marLeft w:val="0"/>
              <w:marRight w:val="0"/>
              <w:marTop w:val="0"/>
              <w:marBottom w:val="0"/>
              <w:divBdr>
                <w:top w:val="none" w:sz="0" w:space="0" w:color="auto"/>
                <w:left w:val="none" w:sz="0" w:space="0" w:color="auto"/>
                <w:bottom w:val="none" w:sz="0" w:space="0" w:color="auto"/>
                <w:right w:val="none" w:sz="0" w:space="0" w:color="auto"/>
              </w:divBdr>
            </w:div>
          </w:divsChild>
        </w:div>
        <w:div w:id="521214045">
          <w:marLeft w:val="0"/>
          <w:marRight w:val="0"/>
          <w:marTop w:val="0"/>
          <w:marBottom w:val="0"/>
          <w:divBdr>
            <w:top w:val="none" w:sz="0" w:space="0" w:color="auto"/>
            <w:left w:val="none" w:sz="0" w:space="0" w:color="auto"/>
            <w:bottom w:val="none" w:sz="0" w:space="0" w:color="auto"/>
            <w:right w:val="none" w:sz="0" w:space="0" w:color="auto"/>
          </w:divBdr>
          <w:divsChild>
            <w:div w:id="204024439">
              <w:marLeft w:val="0"/>
              <w:marRight w:val="0"/>
              <w:marTop w:val="0"/>
              <w:marBottom w:val="0"/>
              <w:divBdr>
                <w:top w:val="none" w:sz="0" w:space="0" w:color="auto"/>
                <w:left w:val="none" w:sz="0" w:space="0" w:color="auto"/>
                <w:bottom w:val="none" w:sz="0" w:space="0" w:color="auto"/>
                <w:right w:val="none" w:sz="0" w:space="0" w:color="auto"/>
              </w:divBdr>
            </w:div>
          </w:divsChild>
        </w:div>
        <w:div w:id="853031577">
          <w:marLeft w:val="0"/>
          <w:marRight w:val="0"/>
          <w:marTop w:val="300"/>
          <w:marBottom w:val="300"/>
          <w:divBdr>
            <w:top w:val="none" w:sz="0" w:space="0" w:color="auto"/>
            <w:left w:val="none" w:sz="0" w:space="0" w:color="auto"/>
            <w:bottom w:val="none" w:sz="0" w:space="0" w:color="auto"/>
            <w:right w:val="none" w:sz="0" w:space="0" w:color="auto"/>
          </w:divBdr>
        </w:div>
        <w:div w:id="374738884">
          <w:marLeft w:val="0"/>
          <w:marRight w:val="0"/>
          <w:marTop w:val="0"/>
          <w:marBottom w:val="0"/>
          <w:divBdr>
            <w:top w:val="none" w:sz="0" w:space="0" w:color="auto"/>
            <w:left w:val="none" w:sz="0" w:space="0" w:color="auto"/>
            <w:bottom w:val="none" w:sz="0" w:space="0" w:color="auto"/>
            <w:right w:val="none" w:sz="0" w:space="0" w:color="auto"/>
          </w:divBdr>
          <w:divsChild>
            <w:div w:id="719935735">
              <w:marLeft w:val="0"/>
              <w:marRight w:val="0"/>
              <w:marTop w:val="0"/>
              <w:marBottom w:val="0"/>
              <w:divBdr>
                <w:top w:val="none" w:sz="0" w:space="0" w:color="auto"/>
                <w:left w:val="none" w:sz="0" w:space="0" w:color="auto"/>
                <w:bottom w:val="none" w:sz="0" w:space="0" w:color="auto"/>
                <w:right w:val="none" w:sz="0" w:space="0" w:color="auto"/>
              </w:divBdr>
            </w:div>
          </w:divsChild>
        </w:div>
        <w:div w:id="1665619358">
          <w:marLeft w:val="0"/>
          <w:marRight w:val="0"/>
          <w:marTop w:val="0"/>
          <w:marBottom w:val="0"/>
          <w:divBdr>
            <w:top w:val="none" w:sz="0" w:space="0" w:color="auto"/>
            <w:left w:val="none" w:sz="0" w:space="0" w:color="auto"/>
            <w:bottom w:val="none" w:sz="0" w:space="0" w:color="auto"/>
            <w:right w:val="none" w:sz="0" w:space="0" w:color="auto"/>
          </w:divBdr>
          <w:divsChild>
            <w:div w:id="1591740676">
              <w:marLeft w:val="0"/>
              <w:marRight w:val="0"/>
              <w:marTop w:val="0"/>
              <w:marBottom w:val="0"/>
              <w:divBdr>
                <w:top w:val="none" w:sz="0" w:space="0" w:color="auto"/>
                <w:left w:val="none" w:sz="0" w:space="0" w:color="auto"/>
                <w:bottom w:val="none" w:sz="0" w:space="0" w:color="auto"/>
                <w:right w:val="none" w:sz="0" w:space="0" w:color="auto"/>
              </w:divBdr>
            </w:div>
          </w:divsChild>
        </w:div>
        <w:div w:id="550312161">
          <w:marLeft w:val="0"/>
          <w:marRight w:val="0"/>
          <w:marTop w:val="0"/>
          <w:marBottom w:val="0"/>
          <w:divBdr>
            <w:top w:val="none" w:sz="0" w:space="0" w:color="auto"/>
            <w:left w:val="none" w:sz="0" w:space="0" w:color="auto"/>
            <w:bottom w:val="none" w:sz="0" w:space="0" w:color="auto"/>
            <w:right w:val="none" w:sz="0" w:space="0" w:color="auto"/>
          </w:divBdr>
          <w:divsChild>
            <w:div w:id="516309988">
              <w:marLeft w:val="0"/>
              <w:marRight w:val="0"/>
              <w:marTop w:val="0"/>
              <w:marBottom w:val="0"/>
              <w:divBdr>
                <w:top w:val="none" w:sz="0" w:space="0" w:color="auto"/>
                <w:left w:val="none" w:sz="0" w:space="0" w:color="auto"/>
                <w:bottom w:val="none" w:sz="0" w:space="0" w:color="auto"/>
                <w:right w:val="none" w:sz="0" w:space="0" w:color="auto"/>
              </w:divBdr>
            </w:div>
          </w:divsChild>
        </w:div>
        <w:div w:id="1672371701">
          <w:marLeft w:val="0"/>
          <w:marRight w:val="0"/>
          <w:marTop w:val="0"/>
          <w:marBottom w:val="0"/>
          <w:divBdr>
            <w:top w:val="none" w:sz="0" w:space="0" w:color="auto"/>
            <w:left w:val="none" w:sz="0" w:space="0" w:color="auto"/>
            <w:bottom w:val="none" w:sz="0" w:space="0" w:color="auto"/>
            <w:right w:val="none" w:sz="0" w:space="0" w:color="auto"/>
          </w:divBdr>
          <w:divsChild>
            <w:div w:id="282618863">
              <w:marLeft w:val="0"/>
              <w:marRight w:val="0"/>
              <w:marTop w:val="0"/>
              <w:marBottom w:val="0"/>
              <w:divBdr>
                <w:top w:val="none" w:sz="0" w:space="0" w:color="auto"/>
                <w:left w:val="none" w:sz="0" w:space="0" w:color="auto"/>
                <w:bottom w:val="none" w:sz="0" w:space="0" w:color="auto"/>
                <w:right w:val="none" w:sz="0" w:space="0" w:color="auto"/>
              </w:divBdr>
            </w:div>
          </w:divsChild>
        </w:div>
        <w:div w:id="517159516">
          <w:marLeft w:val="0"/>
          <w:marRight w:val="0"/>
          <w:marTop w:val="0"/>
          <w:marBottom w:val="0"/>
          <w:divBdr>
            <w:top w:val="none" w:sz="0" w:space="0" w:color="auto"/>
            <w:left w:val="none" w:sz="0" w:space="0" w:color="auto"/>
            <w:bottom w:val="none" w:sz="0" w:space="0" w:color="auto"/>
            <w:right w:val="none" w:sz="0" w:space="0" w:color="auto"/>
          </w:divBdr>
          <w:divsChild>
            <w:div w:id="851187160">
              <w:marLeft w:val="0"/>
              <w:marRight w:val="0"/>
              <w:marTop w:val="0"/>
              <w:marBottom w:val="0"/>
              <w:divBdr>
                <w:top w:val="none" w:sz="0" w:space="0" w:color="auto"/>
                <w:left w:val="none" w:sz="0" w:space="0" w:color="auto"/>
                <w:bottom w:val="none" w:sz="0" w:space="0" w:color="auto"/>
                <w:right w:val="none" w:sz="0" w:space="0" w:color="auto"/>
              </w:divBdr>
            </w:div>
          </w:divsChild>
        </w:div>
        <w:div w:id="117843860">
          <w:marLeft w:val="0"/>
          <w:marRight w:val="0"/>
          <w:marTop w:val="0"/>
          <w:marBottom w:val="0"/>
          <w:divBdr>
            <w:top w:val="none" w:sz="0" w:space="0" w:color="auto"/>
            <w:left w:val="none" w:sz="0" w:space="0" w:color="auto"/>
            <w:bottom w:val="none" w:sz="0" w:space="0" w:color="auto"/>
            <w:right w:val="none" w:sz="0" w:space="0" w:color="auto"/>
          </w:divBdr>
          <w:divsChild>
            <w:div w:id="2143182227">
              <w:marLeft w:val="0"/>
              <w:marRight w:val="0"/>
              <w:marTop w:val="0"/>
              <w:marBottom w:val="0"/>
              <w:divBdr>
                <w:top w:val="none" w:sz="0" w:space="0" w:color="auto"/>
                <w:left w:val="none" w:sz="0" w:space="0" w:color="auto"/>
                <w:bottom w:val="none" w:sz="0" w:space="0" w:color="auto"/>
                <w:right w:val="none" w:sz="0" w:space="0" w:color="auto"/>
              </w:divBdr>
            </w:div>
          </w:divsChild>
        </w:div>
        <w:div w:id="2007779599">
          <w:marLeft w:val="0"/>
          <w:marRight w:val="0"/>
          <w:marTop w:val="0"/>
          <w:marBottom w:val="0"/>
          <w:divBdr>
            <w:top w:val="none" w:sz="0" w:space="0" w:color="auto"/>
            <w:left w:val="none" w:sz="0" w:space="0" w:color="auto"/>
            <w:bottom w:val="none" w:sz="0" w:space="0" w:color="auto"/>
            <w:right w:val="none" w:sz="0" w:space="0" w:color="auto"/>
          </w:divBdr>
          <w:divsChild>
            <w:div w:id="1658267887">
              <w:marLeft w:val="0"/>
              <w:marRight w:val="0"/>
              <w:marTop w:val="0"/>
              <w:marBottom w:val="0"/>
              <w:divBdr>
                <w:top w:val="none" w:sz="0" w:space="0" w:color="auto"/>
                <w:left w:val="none" w:sz="0" w:space="0" w:color="auto"/>
                <w:bottom w:val="none" w:sz="0" w:space="0" w:color="auto"/>
                <w:right w:val="none" w:sz="0" w:space="0" w:color="auto"/>
              </w:divBdr>
            </w:div>
          </w:divsChild>
        </w:div>
        <w:div w:id="1116481972">
          <w:marLeft w:val="0"/>
          <w:marRight w:val="0"/>
          <w:marTop w:val="0"/>
          <w:marBottom w:val="0"/>
          <w:divBdr>
            <w:top w:val="none" w:sz="0" w:space="0" w:color="auto"/>
            <w:left w:val="none" w:sz="0" w:space="0" w:color="auto"/>
            <w:bottom w:val="none" w:sz="0" w:space="0" w:color="auto"/>
            <w:right w:val="none" w:sz="0" w:space="0" w:color="auto"/>
          </w:divBdr>
          <w:divsChild>
            <w:div w:id="1404110506">
              <w:marLeft w:val="0"/>
              <w:marRight w:val="0"/>
              <w:marTop w:val="0"/>
              <w:marBottom w:val="0"/>
              <w:divBdr>
                <w:top w:val="none" w:sz="0" w:space="0" w:color="auto"/>
                <w:left w:val="none" w:sz="0" w:space="0" w:color="auto"/>
                <w:bottom w:val="none" w:sz="0" w:space="0" w:color="auto"/>
                <w:right w:val="none" w:sz="0" w:space="0" w:color="auto"/>
              </w:divBdr>
            </w:div>
          </w:divsChild>
        </w:div>
        <w:div w:id="1810703878">
          <w:marLeft w:val="0"/>
          <w:marRight w:val="0"/>
          <w:marTop w:val="0"/>
          <w:marBottom w:val="0"/>
          <w:divBdr>
            <w:top w:val="none" w:sz="0" w:space="0" w:color="auto"/>
            <w:left w:val="none" w:sz="0" w:space="0" w:color="auto"/>
            <w:bottom w:val="none" w:sz="0" w:space="0" w:color="auto"/>
            <w:right w:val="none" w:sz="0" w:space="0" w:color="auto"/>
          </w:divBdr>
          <w:divsChild>
            <w:div w:id="1615357615">
              <w:marLeft w:val="0"/>
              <w:marRight w:val="0"/>
              <w:marTop w:val="0"/>
              <w:marBottom w:val="0"/>
              <w:divBdr>
                <w:top w:val="none" w:sz="0" w:space="0" w:color="auto"/>
                <w:left w:val="none" w:sz="0" w:space="0" w:color="auto"/>
                <w:bottom w:val="none" w:sz="0" w:space="0" w:color="auto"/>
                <w:right w:val="none" w:sz="0" w:space="0" w:color="auto"/>
              </w:divBdr>
            </w:div>
          </w:divsChild>
        </w:div>
        <w:div w:id="1312518561">
          <w:marLeft w:val="0"/>
          <w:marRight w:val="0"/>
          <w:marTop w:val="300"/>
          <w:marBottom w:val="300"/>
          <w:divBdr>
            <w:top w:val="none" w:sz="0" w:space="0" w:color="auto"/>
            <w:left w:val="none" w:sz="0" w:space="0" w:color="auto"/>
            <w:bottom w:val="none" w:sz="0" w:space="0" w:color="auto"/>
            <w:right w:val="none" w:sz="0" w:space="0" w:color="auto"/>
          </w:divBdr>
        </w:div>
        <w:div w:id="659119428">
          <w:marLeft w:val="0"/>
          <w:marRight w:val="0"/>
          <w:marTop w:val="0"/>
          <w:marBottom w:val="0"/>
          <w:divBdr>
            <w:top w:val="none" w:sz="0" w:space="0" w:color="auto"/>
            <w:left w:val="none" w:sz="0" w:space="0" w:color="auto"/>
            <w:bottom w:val="none" w:sz="0" w:space="0" w:color="auto"/>
            <w:right w:val="none" w:sz="0" w:space="0" w:color="auto"/>
          </w:divBdr>
          <w:divsChild>
            <w:div w:id="1292007647">
              <w:marLeft w:val="0"/>
              <w:marRight w:val="0"/>
              <w:marTop w:val="0"/>
              <w:marBottom w:val="0"/>
              <w:divBdr>
                <w:top w:val="none" w:sz="0" w:space="0" w:color="auto"/>
                <w:left w:val="none" w:sz="0" w:space="0" w:color="auto"/>
                <w:bottom w:val="none" w:sz="0" w:space="0" w:color="auto"/>
                <w:right w:val="none" w:sz="0" w:space="0" w:color="auto"/>
              </w:divBdr>
            </w:div>
          </w:divsChild>
        </w:div>
        <w:div w:id="1869221331">
          <w:marLeft w:val="0"/>
          <w:marRight w:val="0"/>
          <w:marTop w:val="0"/>
          <w:marBottom w:val="0"/>
          <w:divBdr>
            <w:top w:val="none" w:sz="0" w:space="0" w:color="auto"/>
            <w:left w:val="none" w:sz="0" w:space="0" w:color="auto"/>
            <w:bottom w:val="none" w:sz="0" w:space="0" w:color="auto"/>
            <w:right w:val="none" w:sz="0" w:space="0" w:color="auto"/>
          </w:divBdr>
          <w:divsChild>
            <w:div w:id="458844884">
              <w:marLeft w:val="0"/>
              <w:marRight w:val="0"/>
              <w:marTop w:val="0"/>
              <w:marBottom w:val="0"/>
              <w:divBdr>
                <w:top w:val="none" w:sz="0" w:space="0" w:color="auto"/>
                <w:left w:val="none" w:sz="0" w:space="0" w:color="auto"/>
                <w:bottom w:val="none" w:sz="0" w:space="0" w:color="auto"/>
                <w:right w:val="none" w:sz="0" w:space="0" w:color="auto"/>
              </w:divBdr>
            </w:div>
          </w:divsChild>
        </w:div>
        <w:div w:id="1832863480">
          <w:marLeft w:val="0"/>
          <w:marRight w:val="0"/>
          <w:marTop w:val="0"/>
          <w:marBottom w:val="0"/>
          <w:divBdr>
            <w:top w:val="none" w:sz="0" w:space="0" w:color="auto"/>
            <w:left w:val="none" w:sz="0" w:space="0" w:color="auto"/>
            <w:bottom w:val="none" w:sz="0" w:space="0" w:color="auto"/>
            <w:right w:val="none" w:sz="0" w:space="0" w:color="auto"/>
          </w:divBdr>
          <w:divsChild>
            <w:div w:id="1927879074">
              <w:marLeft w:val="0"/>
              <w:marRight w:val="0"/>
              <w:marTop w:val="0"/>
              <w:marBottom w:val="0"/>
              <w:divBdr>
                <w:top w:val="none" w:sz="0" w:space="0" w:color="auto"/>
                <w:left w:val="none" w:sz="0" w:space="0" w:color="auto"/>
                <w:bottom w:val="none" w:sz="0" w:space="0" w:color="auto"/>
                <w:right w:val="none" w:sz="0" w:space="0" w:color="auto"/>
              </w:divBdr>
            </w:div>
          </w:divsChild>
        </w:div>
        <w:div w:id="692149458">
          <w:marLeft w:val="0"/>
          <w:marRight w:val="0"/>
          <w:marTop w:val="300"/>
          <w:marBottom w:val="300"/>
          <w:divBdr>
            <w:top w:val="none" w:sz="0" w:space="0" w:color="auto"/>
            <w:left w:val="none" w:sz="0" w:space="0" w:color="auto"/>
            <w:bottom w:val="none" w:sz="0" w:space="0" w:color="auto"/>
            <w:right w:val="none" w:sz="0" w:space="0" w:color="auto"/>
          </w:divBdr>
        </w:div>
        <w:div w:id="1807814093">
          <w:marLeft w:val="0"/>
          <w:marRight w:val="0"/>
          <w:marTop w:val="0"/>
          <w:marBottom w:val="0"/>
          <w:divBdr>
            <w:top w:val="none" w:sz="0" w:space="0" w:color="auto"/>
            <w:left w:val="none" w:sz="0" w:space="0" w:color="auto"/>
            <w:bottom w:val="none" w:sz="0" w:space="0" w:color="auto"/>
            <w:right w:val="none" w:sz="0" w:space="0" w:color="auto"/>
          </w:divBdr>
          <w:divsChild>
            <w:div w:id="2092117155">
              <w:marLeft w:val="0"/>
              <w:marRight w:val="0"/>
              <w:marTop w:val="0"/>
              <w:marBottom w:val="0"/>
              <w:divBdr>
                <w:top w:val="none" w:sz="0" w:space="0" w:color="auto"/>
                <w:left w:val="none" w:sz="0" w:space="0" w:color="auto"/>
                <w:bottom w:val="none" w:sz="0" w:space="0" w:color="auto"/>
                <w:right w:val="none" w:sz="0" w:space="0" w:color="auto"/>
              </w:divBdr>
            </w:div>
          </w:divsChild>
        </w:div>
        <w:div w:id="1051461562">
          <w:marLeft w:val="0"/>
          <w:marRight w:val="0"/>
          <w:marTop w:val="0"/>
          <w:marBottom w:val="0"/>
          <w:divBdr>
            <w:top w:val="none" w:sz="0" w:space="0" w:color="auto"/>
            <w:left w:val="none" w:sz="0" w:space="0" w:color="auto"/>
            <w:bottom w:val="none" w:sz="0" w:space="0" w:color="auto"/>
            <w:right w:val="none" w:sz="0" w:space="0" w:color="auto"/>
          </w:divBdr>
          <w:divsChild>
            <w:div w:id="2003700748">
              <w:marLeft w:val="0"/>
              <w:marRight w:val="0"/>
              <w:marTop w:val="0"/>
              <w:marBottom w:val="0"/>
              <w:divBdr>
                <w:top w:val="none" w:sz="0" w:space="0" w:color="auto"/>
                <w:left w:val="none" w:sz="0" w:space="0" w:color="auto"/>
                <w:bottom w:val="none" w:sz="0" w:space="0" w:color="auto"/>
                <w:right w:val="none" w:sz="0" w:space="0" w:color="auto"/>
              </w:divBdr>
            </w:div>
          </w:divsChild>
        </w:div>
        <w:div w:id="2057465660">
          <w:marLeft w:val="0"/>
          <w:marRight w:val="0"/>
          <w:marTop w:val="0"/>
          <w:marBottom w:val="0"/>
          <w:divBdr>
            <w:top w:val="none" w:sz="0" w:space="0" w:color="auto"/>
            <w:left w:val="none" w:sz="0" w:space="0" w:color="auto"/>
            <w:bottom w:val="none" w:sz="0" w:space="0" w:color="auto"/>
            <w:right w:val="none" w:sz="0" w:space="0" w:color="auto"/>
          </w:divBdr>
          <w:divsChild>
            <w:div w:id="211100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1797">
      <w:bodyDiv w:val="1"/>
      <w:marLeft w:val="0"/>
      <w:marRight w:val="0"/>
      <w:marTop w:val="0"/>
      <w:marBottom w:val="0"/>
      <w:divBdr>
        <w:top w:val="none" w:sz="0" w:space="0" w:color="auto"/>
        <w:left w:val="none" w:sz="0" w:space="0" w:color="auto"/>
        <w:bottom w:val="none" w:sz="0" w:space="0" w:color="auto"/>
        <w:right w:val="none" w:sz="0" w:space="0" w:color="auto"/>
      </w:divBdr>
      <w:divsChild>
        <w:div w:id="798300819">
          <w:marLeft w:val="0"/>
          <w:marRight w:val="0"/>
          <w:marTop w:val="0"/>
          <w:marBottom w:val="0"/>
          <w:divBdr>
            <w:top w:val="none" w:sz="0" w:space="0" w:color="auto"/>
            <w:left w:val="none" w:sz="0" w:space="0" w:color="auto"/>
            <w:bottom w:val="none" w:sz="0" w:space="0" w:color="auto"/>
            <w:right w:val="none" w:sz="0" w:space="0" w:color="auto"/>
          </w:divBdr>
          <w:divsChild>
            <w:div w:id="1068647763">
              <w:marLeft w:val="0"/>
              <w:marRight w:val="0"/>
              <w:marTop w:val="0"/>
              <w:marBottom w:val="0"/>
              <w:divBdr>
                <w:top w:val="none" w:sz="0" w:space="0" w:color="auto"/>
                <w:left w:val="none" w:sz="0" w:space="0" w:color="auto"/>
                <w:bottom w:val="none" w:sz="0" w:space="0" w:color="auto"/>
                <w:right w:val="none" w:sz="0" w:space="0" w:color="auto"/>
              </w:divBdr>
            </w:div>
          </w:divsChild>
        </w:div>
        <w:div w:id="1886791072">
          <w:marLeft w:val="0"/>
          <w:marRight w:val="0"/>
          <w:marTop w:val="0"/>
          <w:marBottom w:val="0"/>
          <w:divBdr>
            <w:top w:val="none" w:sz="0" w:space="0" w:color="auto"/>
            <w:left w:val="none" w:sz="0" w:space="0" w:color="auto"/>
            <w:bottom w:val="none" w:sz="0" w:space="0" w:color="auto"/>
            <w:right w:val="none" w:sz="0" w:space="0" w:color="auto"/>
          </w:divBdr>
          <w:divsChild>
            <w:div w:id="2073960029">
              <w:marLeft w:val="0"/>
              <w:marRight w:val="0"/>
              <w:marTop w:val="0"/>
              <w:marBottom w:val="0"/>
              <w:divBdr>
                <w:top w:val="none" w:sz="0" w:space="0" w:color="auto"/>
                <w:left w:val="none" w:sz="0" w:space="0" w:color="auto"/>
                <w:bottom w:val="none" w:sz="0" w:space="0" w:color="auto"/>
                <w:right w:val="none" w:sz="0" w:space="0" w:color="auto"/>
              </w:divBdr>
            </w:div>
          </w:divsChild>
        </w:div>
        <w:div w:id="403988357">
          <w:marLeft w:val="0"/>
          <w:marRight w:val="0"/>
          <w:marTop w:val="0"/>
          <w:marBottom w:val="0"/>
          <w:divBdr>
            <w:top w:val="none" w:sz="0" w:space="0" w:color="auto"/>
            <w:left w:val="none" w:sz="0" w:space="0" w:color="auto"/>
            <w:bottom w:val="none" w:sz="0" w:space="0" w:color="auto"/>
            <w:right w:val="none" w:sz="0" w:space="0" w:color="auto"/>
          </w:divBdr>
          <w:divsChild>
            <w:div w:id="1827624546">
              <w:marLeft w:val="0"/>
              <w:marRight w:val="0"/>
              <w:marTop w:val="0"/>
              <w:marBottom w:val="0"/>
              <w:divBdr>
                <w:top w:val="none" w:sz="0" w:space="0" w:color="auto"/>
                <w:left w:val="none" w:sz="0" w:space="0" w:color="auto"/>
                <w:bottom w:val="none" w:sz="0" w:space="0" w:color="auto"/>
                <w:right w:val="none" w:sz="0" w:space="0" w:color="auto"/>
              </w:divBdr>
            </w:div>
          </w:divsChild>
        </w:div>
        <w:div w:id="248270157">
          <w:marLeft w:val="0"/>
          <w:marRight w:val="0"/>
          <w:marTop w:val="300"/>
          <w:marBottom w:val="300"/>
          <w:divBdr>
            <w:top w:val="none" w:sz="0" w:space="0" w:color="auto"/>
            <w:left w:val="none" w:sz="0" w:space="0" w:color="auto"/>
            <w:bottom w:val="none" w:sz="0" w:space="0" w:color="auto"/>
            <w:right w:val="none" w:sz="0" w:space="0" w:color="auto"/>
          </w:divBdr>
        </w:div>
        <w:div w:id="278489816">
          <w:marLeft w:val="0"/>
          <w:marRight w:val="0"/>
          <w:marTop w:val="0"/>
          <w:marBottom w:val="0"/>
          <w:divBdr>
            <w:top w:val="none" w:sz="0" w:space="0" w:color="auto"/>
            <w:left w:val="none" w:sz="0" w:space="0" w:color="auto"/>
            <w:bottom w:val="none" w:sz="0" w:space="0" w:color="auto"/>
            <w:right w:val="none" w:sz="0" w:space="0" w:color="auto"/>
          </w:divBdr>
          <w:divsChild>
            <w:div w:id="720904915">
              <w:marLeft w:val="0"/>
              <w:marRight w:val="0"/>
              <w:marTop w:val="0"/>
              <w:marBottom w:val="0"/>
              <w:divBdr>
                <w:top w:val="none" w:sz="0" w:space="0" w:color="auto"/>
                <w:left w:val="none" w:sz="0" w:space="0" w:color="auto"/>
                <w:bottom w:val="none" w:sz="0" w:space="0" w:color="auto"/>
                <w:right w:val="none" w:sz="0" w:space="0" w:color="auto"/>
              </w:divBdr>
            </w:div>
          </w:divsChild>
        </w:div>
        <w:div w:id="2060007361">
          <w:marLeft w:val="0"/>
          <w:marRight w:val="0"/>
          <w:marTop w:val="0"/>
          <w:marBottom w:val="0"/>
          <w:divBdr>
            <w:top w:val="none" w:sz="0" w:space="0" w:color="auto"/>
            <w:left w:val="none" w:sz="0" w:space="0" w:color="auto"/>
            <w:bottom w:val="none" w:sz="0" w:space="0" w:color="auto"/>
            <w:right w:val="none" w:sz="0" w:space="0" w:color="auto"/>
          </w:divBdr>
          <w:divsChild>
            <w:div w:id="59834695">
              <w:marLeft w:val="0"/>
              <w:marRight w:val="0"/>
              <w:marTop w:val="0"/>
              <w:marBottom w:val="0"/>
              <w:divBdr>
                <w:top w:val="none" w:sz="0" w:space="0" w:color="auto"/>
                <w:left w:val="none" w:sz="0" w:space="0" w:color="auto"/>
                <w:bottom w:val="none" w:sz="0" w:space="0" w:color="auto"/>
                <w:right w:val="none" w:sz="0" w:space="0" w:color="auto"/>
              </w:divBdr>
            </w:div>
          </w:divsChild>
        </w:div>
        <w:div w:id="2140101738">
          <w:marLeft w:val="0"/>
          <w:marRight w:val="0"/>
          <w:marTop w:val="0"/>
          <w:marBottom w:val="0"/>
          <w:divBdr>
            <w:top w:val="none" w:sz="0" w:space="0" w:color="auto"/>
            <w:left w:val="none" w:sz="0" w:space="0" w:color="auto"/>
            <w:bottom w:val="none" w:sz="0" w:space="0" w:color="auto"/>
            <w:right w:val="none" w:sz="0" w:space="0" w:color="auto"/>
          </w:divBdr>
          <w:divsChild>
            <w:div w:id="2100635687">
              <w:marLeft w:val="0"/>
              <w:marRight w:val="0"/>
              <w:marTop w:val="0"/>
              <w:marBottom w:val="0"/>
              <w:divBdr>
                <w:top w:val="none" w:sz="0" w:space="0" w:color="auto"/>
                <w:left w:val="none" w:sz="0" w:space="0" w:color="auto"/>
                <w:bottom w:val="none" w:sz="0" w:space="0" w:color="auto"/>
                <w:right w:val="none" w:sz="0" w:space="0" w:color="auto"/>
              </w:divBdr>
            </w:div>
          </w:divsChild>
        </w:div>
        <w:div w:id="763453689">
          <w:marLeft w:val="0"/>
          <w:marRight w:val="0"/>
          <w:marTop w:val="0"/>
          <w:marBottom w:val="0"/>
          <w:divBdr>
            <w:top w:val="none" w:sz="0" w:space="0" w:color="auto"/>
            <w:left w:val="none" w:sz="0" w:space="0" w:color="auto"/>
            <w:bottom w:val="none" w:sz="0" w:space="0" w:color="auto"/>
            <w:right w:val="none" w:sz="0" w:space="0" w:color="auto"/>
          </w:divBdr>
          <w:divsChild>
            <w:div w:id="1676883469">
              <w:marLeft w:val="0"/>
              <w:marRight w:val="0"/>
              <w:marTop w:val="0"/>
              <w:marBottom w:val="0"/>
              <w:divBdr>
                <w:top w:val="none" w:sz="0" w:space="0" w:color="auto"/>
                <w:left w:val="none" w:sz="0" w:space="0" w:color="auto"/>
                <w:bottom w:val="none" w:sz="0" w:space="0" w:color="auto"/>
                <w:right w:val="none" w:sz="0" w:space="0" w:color="auto"/>
              </w:divBdr>
            </w:div>
          </w:divsChild>
        </w:div>
        <w:div w:id="2101945312">
          <w:marLeft w:val="0"/>
          <w:marRight w:val="0"/>
          <w:marTop w:val="0"/>
          <w:marBottom w:val="0"/>
          <w:divBdr>
            <w:top w:val="none" w:sz="0" w:space="0" w:color="auto"/>
            <w:left w:val="none" w:sz="0" w:space="0" w:color="auto"/>
            <w:bottom w:val="none" w:sz="0" w:space="0" w:color="auto"/>
            <w:right w:val="none" w:sz="0" w:space="0" w:color="auto"/>
          </w:divBdr>
          <w:divsChild>
            <w:div w:id="1372682398">
              <w:marLeft w:val="0"/>
              <w:marRight w:val="0"/>
              <w:marTop w:val="0"/>
              <w:marBottom w:val="0"/>
              <w:divBdr>
                <w:top w:val="none" w:sz="0" w:space="0" w:color="auto"/>
                <w:left w:val="none" w:sz="0" w:space="0" w:color="auto"/>
                <w:bottom w:val="none" w:sz="0" w:space="0" w:color="auto"/>
                <w:right w:val="none" w:sz="0" w:space="0" w:color="auto"/>
              </w:divBdr>
            </w:div>
          </w:divsChild>
        </w:div>
        <w:div w:id="1627810567">
          <w:marLeft w:val="0"/>
          <w:marRight w:val="0"/>
          <w:marTop w:val="300"/>
          <w:marBottom w:val="300"/>
          <w:divBdr>
            <w:top w:val="none" w:sz="0" w:space="0" w:color="auto"/>
            <w:left w:val="none" w:sz="0" w:space="0" w:color="auto"/>
            <w:bottom w:val="none" w:sz="0" w:space="0" w:color="auto"/>
            <w:right w:val="none" w:sz="0" w:space="0" w:color="auto"/>
          </w:divBdr>
        </w:div>
        <w:div w:id="1813910034">
          <w:marLeft w:val="0"/>
          <w:marRight w:val="0"/>
          <w:marTop w:val="0"/>
          <w:marBottom w:val="0"/>
          <w:divBdr>
            <w:top w:val="none" w:sz="0" w:space="0" w:color="auto"/>
            <w:left w:val="none" w:sz="0" w:space="0" w:color="auto"/>
            <w:bottom w:val="none" w:sz="0" w:space="0" w:color="auto"/>
            <w:right w:val="none" w:sz="0" w:space="0" w:color="auto"/>
          </w:divBdr>
          <w:divsChild>
            <w:div w:id="647634168">
              <w:marLeft w:val="0"/>
              <w:marRight w:val="0"/>
              <w:marTop w:val="0"/>
              <w:marBottom w:val="0"/>
              <w:divBdr>
                <w:top w:val="none" w:sz="0" w:space="0" w:color="auto"/>
                <w:left w:val="none" w:sz="0" w:space="0" w:color="auto"/>
                <w:bottom w:val="none" w:sz="0" w:space="0" w:color="auto"/>
                <w:right w:val="none" w:sz="0" w:space="0" w:color="auto"/>
              </w:divBdr>
            </w:div>
          </w:divsChild>
        </w:div>
        <w:div w:id="529879235">
          <w:marLeft w:val="0"/>
          <w:marRight w:val="0"/>
          <w:marTop w:val="0"/>
          <w:marBottom w:val="0"/>
          <w:divBdr>
            <w:top w:val="none" w:sz="0" w:space="0" w:color="auto"/>
            <w:left w:val="none" w:sz="0" w:space="0" w:color="auto"/>
            <w:bottom w:val="none" w:sz="0" w:space="0" w:color="auto"/>
            <w:right w:val="none" w:sz="0" w:space="0" w:color="auto"/>
          </w:divBdr>
          <w:divsChild>
            <w:div w:id="1398044097">
              <w:marLeft w:val="0"/>
              <w:marRight w:val="0"/>
              <w:marTop w:val="0"/>
              <w:marBottom w:val="0"/>
              <w:divBdr>
                <w:top w:val="none" w:sz="0" w:space="0" w:color="auto"/>
                <w:left w:val="none" w:sz="0" w:space="0" w:color="auto"/>
                <w:bottom w:val="none" w:sz="0" w:space="0" w:color="auto"/>
                <w:right w:val="none" w:sz="0" w:space="0" w:color="auto"/>
              </w:divBdr>
            </w:div>
          </w:divsChild>
        </w:div>
        <w:div w:id="1200045002">
          <w:marLeft w:val="0"/>
          <w:marRight w:val="0"/>
          <w:marTop w:val="0"/>
          <w:marBottom w:val="0"/>
          <w:divBdr>
            <w:top w:val="none" w:sz="0" w:space="0" w:color="auto"/>
            <w:left w:val="none" w:sz="0" w:space="0" w:color="auto"/>
            <w:bottom w:val="none" w:sz="0" w:space="0" w:color="auto"/>
            <w:right w:val="none" w:sz="0" w:space="0" w:color="auto"/>
          </w:divBdr>
          <w:divsChild>
            <w:div w:id="1608466865">
              <w:marLeft w:val="0"/>
              <w:marRight w:val="0"/>
              <w:marTop w:val="0"/>
              <w:marBottom w:val="0"/>
              <w:divBdr>
                <w:top w:val="none" w:sz="0" w:space="0" w:color="auto"/>
                <w:left w:val="none" w:sz="0" w:space="0" w:color="auto"/>
                <w:bottom w:val="none" w:sz="0" w:space="0" w:color="auto"/>
                <w:right w:val="none" w:sz="0" w:space="0" w:color="auto"/>
              </w:divBdr>
            </w:div>
          </w:divsChild>
        </w:div>
        <w:div w:id="1528104427">
          <w:marLeft w:val="0"/>
          <w:marRight w:val="0"/>
          <w:marTop w:val="0"/>
          <w:marBottom w:val="0"/>
          <w:divBdr>
            <w:top w:val="none" w:sz="0" w:space="0" w:color="auto"/>
            <w:left w:val="none" w:sz="0" w:space="0" w:color="auto"/>
            <w:bottom w:val="none" w:sz="0" w:space="0" w:color="auto"/>
            <w:right w:val="none" w:sz="0" w:space="0" w:color="auto"/>
          </w:divBdr>
          <w:divsChild>
            <w:div w:id="1283613658">
              <w:marLeft w:val="0"/>
              <w:marRight w:val="0"/>
              <w:marTop w:val="0"/>
              <w:marBottom w:val="0"/>
              <w:divBdr>
                <w:top w:val="none" w:sz="0" w:space="0" w:color="auto"/>
                <w:left w:val="none" w:sz="0" w:space="0" w:color="auto"/>
                <w:bottom w:val="none" w:sz="0" w:space="0" w:color="auto"/>
                <w:right w:val="none" w:sz="0" w:space="0" w:color="auto"/>
              </w:divBdr>
            </w:div>
          </w:divsChild>
        </w:div>
        <w:div w:id="205220292">
          <w:marLeft w:val="0"/>
          <w:marRight w:val="0"/>
          <w:marTop w:val="300"/>
          <w:marBottom w:val="300"/>
          <w:divBdr>
            <w:top w:val="none" w:sz="0" w:space="0" w:color="auto"/>
            <w:left w:val="none" w:sz="0" w:space="0" w:color="auto"/>
            <w:bottom w:val="none" w:sz="0" w:space="0" w:color="auto"/>
            <w:right w:val="none" w:sz="0" w:space="0" w:color="auto"/>
          </w:divBdr>
        </w:div>
        <w:div w:id="9383092">
          <w:marLeft w:val="0"/>
          <w:marRight w:val="0"/>
          <w:marTop w:val="0"/>
          <w:marBottom w:val="0"/>
          <w:divBdr>
            <w:top w:val="none" w:sz="0" w:space="0" w:color="auto"/>
            <w:left w:val="none" w:sz="0" w:space="0" w:color="auto"/>
            <w:bottom w:val="none" w:sz="0" w:space="0" w:color="auto"/>
            <w:right w:val="none" w:sz="0" w:space="0" w:color="auto"/>
          </w:divBdr>
          <w:divsChild>
            <w:div w:id="1003513002">
              <w:marLeft w:val="0"/>
              <w:marRight w:val="0"/>
              <w:marTop w:val="0"/>
              <w:marBottom w:val="0"/>
              <w:divBdr>
                <w:top w:val="none" w:sz="0" w:space="0" w:color="auto"/>
                <w:left w:val="none" w:sz="0" w:space="0" w:color="auto"/>
                <w:bottom w:val="none" w:sz="0" w:space="0" w:color="auto"/>
                <w:right w:val="none" w:sz="0" w:space="0" w:color="auto"/>
              </w:divBdr>
            </w:div>
          </w:divsChild>
        </w:div>
        <w:div w:id="493301352">
          <w:marLeft w:val="0"/>
          <w:marRight w:val="0"/>
          <w:marTop w:val="0"/>
          <w:marBottom w:val="0"/>
          <w:divBdr>
            <w:top w:val="none" w:sz="0" w:space="0" w:color="auto"/>
            <w:left w:val="none" w:sz="0" w:space="0" w:color="auto"/>
            <w:bottom w:val="none" w:sz="0" w:space="0" w:color="auto"/>
            <w:right w:val="none" w:sz="0" w:space="0" w:color="auto"/>
          </w:divBdr>
          <w:divsChild>
            <w:div w:id="5597886">
              <w:marLeft w:val="0"/>
              <w:marRight w:val="0"/>
              <w:marTop w:val="0"/>
              <w:marBottom w:val="0"/>
              <w:divBdr>
                <w:top w:val="none" w:sz="0" w:space="0" w:color="auto"/>
                <w:left w:val="none" w:sz="0" w:space="0" w:color="auto"/>
                <w:bottom w:val="none" w:sz="0" w:space="0" w:color="auto"/>
                <w:right w:val="none" w:sz="0" w:space="0" w:color="auto"/>
              </w:divBdr>
            </w:div>
          </w:divsChild>
        </w:div>
        <w:div w:id="1190025350">
          <w:marLeft w:val="0"/>
          <w:marRight w:val="0"/>
          <w:marTop w:val="0"/>
          <w:marBottom w:val="0"/>
          <w:divBdr>
            <w:top w:val="none" w:sz="0" w:space="0" w:color="auto"/>
            <w:left w:val="none" w:sz="0" w:space="0" w:color="auto"/>
            <w:bottom w:val="none" w:sz="0" w:space="0" w:color="auto"/>
            <w:right w:val="none" w:sz="0" w:space="0" w:color="auto"/>
          </w:divBdr>
          <w:divsChild>
            <w:div w:id="1517501413">
              <w:marLeft w:val="0"/>
              <w:marRight w:val="0"/>
              <w:marTop w:val="0"/>
              <w:marBottom w:val="0"/>
              <w:divBdr>
                <w:top w:val="none" w:sz="0" w:space="0" w:color="auto"/>
                <w:left w:val="none" w:sz="0" w:space="0" w:color="auto"/>
                <w:bottom w:val="none" w:sz="0" w:space="0" w:color="auto"/>
                <w:right w:val="none" w:sz="0" w:space="0" w:color="auto"/>
              </w:divBdr>
            </w:div>
          </w:divsChild>
        </w:div>
        <w:div w:id="1307274830">
          <w:marLeft w:val="0"/>
          <w:marRight w:val="0"/>
          <w:marTop w:val="0"/>
          <w:marBottom w:val="0"/>
          <w:divBdr>
            <w:top w:val="none" w:sz="0" w:space="0" w:color="auto"/>
            <w:left w:val="none" w:sz="0" w:space="0" w:color="auto"/>
            <w:bottom w:val="none" w:sz="0" w:space="0" w:color="auto"/>
            <w:right w:val="none" w:sz="0" w:space="0" w:color="auto"/>
          </w:divBdr>
          <w:divsChild>
            <w:div w:id="1067650081">
              <w:marLeft w:val="0"/>
              <w:marRight w:val="0"/>
              <w:marTop w:val="0"/>
              <w:marBottom w:val="0"/>
              <w:divBdr>
                <w:top w:val="none" w:sz="0" w:space="0" w:color="auto"/>
                <w:left w:val="none" w:sz="0" w:space="0" w:color="auto"/>
                <w:bottom w:val="none" w:sz="0" w:space="0" w:color="auto"/>
                <w:right w:val="none" w:sz="0" w:space="0" w:color="auto"/>
              </w:divBdr>
            </w:div>
          </w:divsChild>
        </w:div>
        <w:div w:id="1831631405">
          <w:marLeft w:val="0"/>
          <w:marRight w:val="0"/>
          <w:marTop w:val="0"/>
          <w:marBottom w:val="0"/>
          <w:divBdr>
            <w:top w:val="none" w:sz="0" w:space="0" w:color="auto"/>
            <w:left w:val="none" w:sz="0" w:space="0" w:color="auto"/>
            <w:bottom w:val="none" w:sz="0" w:space="0" w:color="auto"/>
            <w:right w:val="none" w:sz="0" w:space="0" w:color="auto"/>
          </w:divBdr>
          <w:divsChild>
            <w:div w:id="1501696561">
              <w:marLeft w:val="0"/>
              <w:marRight w:val="0"/>
              <w:marTop w:val="0"/>
              <w:marBottom w:val="0"/>
              <w:divBdr>
                <w:top w:val="none" w:sz="0" w:space="0" w:color="auto"/>
                <w:left w:val="none" w:sz="0" w:space="0" w:color="auto"/>
                <w:bottom w:val="none" w:sz="0" w:space="0" w:color="auto"/>
                <w:right w:val="none" w:sz="0" w:space="0" w:color="auto"/>
              </w:divBdr>
            </w:div>
          </w:divsChild>
        </w:div>
        <w:div w:id="480119475">
          <w:marLeft w:val="0"/>
          <w:marRight w:val="0"/>
          <w:marTop w:val="0"/>
          <w:marBottom w:val="0"/>
          <w:divBdr>
            <w:top w:val="none" w:sz="0" w:space="0" w:color="auto"/>
            <w:left w:val="none" w:sz="0" w:space="0" w:color="auto"/>
            <w:bottom w:val="none" w:sz="0" w:space="0" w:color="auto"/>
            <w:right w:val="none" w:sz="0" w:space="0" w:color="auto"/>
          </w:divBdr>
          <w:divsChild>
            <w:div w:id="1086613529">
              <w:marLeft w:val="0"/>
              <w:marRight w:val="0"/>
              <w:marTop w:val="0"/>
              <w:marBottom w:val="0"/>
              <w:divBdr>
                <w:top w:val="none" w:sz="0" w:space="0" w:color="auto"/>
                <w:left w:val="none" w:sz="0" w:space="0" w:color="auto"/>
                <w:bottom w:val="none" w:sz="0" w:space="0" w:color="auto"/>
                <w:right w:val="none" w:sz="0" w:space="0" w:color="auto"/>
              </w:divBdr>
            </w:div>
          </w:divsChild>
        </w:div>
        <w:div w:id="1850362271">
          <w:marLeft w:val="0"/>
          <w:marRight w:val="0"/>
          <w:marTop w:val="0"/>
          <w:marBottom w:val="0"/>
          <w:divBdr>
            <w:top w:val="none" w:sz="0" w:space="0" w:color="auto"/>
            <w:left w:val="none" w:sz="0" w:space="0" w:color="auto"/>
            <w:bottom w:val="none" w:sz="0" w:space="0" w:color="auto"/>
            <w:right w:val="none" w:sz="0" w:space="0" w:color="auto"/>
          </w:divBdr>
          <w:divsChild>
            <w:div w:id="1993868968">
              <w:marLeft w:val="0"/>
              <w:marRight w:val="0"/>
              <w:marTop w:val="0"/>
              <w:marBottom w:val="0"/>
              <w:divBdr>
                <w:top w:val="none" w:sz="0" w:space="0" w:color="auto"/>
                <w:left w:val="none" w:sz="0" w:space="0" w:color="auto"/>
                <w:bottom w:val="none" w:sz="0" w:space="0" w:color="auto"/>
                <w:right w:val="none" w:sz="0" w:space="0" w:color="auto"/>
              </w:divBdr>
            </w:div>
          </w:divsChild>
        </w:div>
        <w:div w:id="1239048908">
          <w:marLeft w:val="0"/>
          <w:marRight w:val="0"/>
          <w:marTop w:val="0"/>
          <w:marBottom w:val="0"/>
          <w:divBdr>
            <w:top w:val="none" w:sz="0" w:space="0" w:color="auto"/>
            <w:left w:val="none" w:sz="0" w:space="0" w:color="auto"/>
            <w:bottom w:val="none" w:sz="0" w:space="0" w:color="auto"/>
            <w:right w:val="none" w:sz="0" w:space="0" w:color="auto"/>
          </w:divBdr>
          <w:divsChild>
            <w:div w:id="90202304">
              <w:marLeft w:val="0"/>
              <w:marRight w:val="0"/>
              <w:marTop w:val="0"/>
              <w:marBottom w:val="0"/>
              <w:divBdr>
                <w:top w:val="none" w:sz="0" w:space="0" w:color="auto"/>
                <w:left w:val="none" w:sz="0" w:space="0" w:color="auto"/>
                <w:bottom w:val="none" w:sz="0" w:space="0" w:color="auto"/>
                <w:right w:val="none" w:sz="0" w:space="0" w:color="auto"/>
              </w:divBdr>
            </w:div>
          </w:divsChild>
        </w:div>
        <w:div w:id="451091800">
          <w:marLeft w:val="0"/>
          <w:marRight w:val="0"/>
          <w:marTop w:val="0"/>
          <w:marBottom w:val="0"/>
          <w:divBdr>
            <w:top w:val="none" w:sz="0" w:space="0" w:color="auto"/>
            <w:left w:val="none" w:sz="0" w:space="0" w:color="auto"/>
            <w:bottom w:val="none" w:sz="0" w:space="0" w:color="auto"/>
            <w:right w:val="none" w:sz="0" w:space="0" w:color="auto"/>
          </w:divBdr>
          <w:divsChild>
            <w:div w:id="1626350642">
              <w:marLeft w:val="0"/>
              <w:marRight w:val="0"/>
              <w:marTop w:val="0"/>
              <w:marBottom w:val="0"/>
              <w:divBdr>
                <w:top w:val="none" w:sz="0" w:space="0" w:color="auto"/>
                <w:left w:val="none" w:sz="0" w:space="0" w:color="auto"/>
                <w:bottom w:val="none" w:sz="0" w:space="0" w:color="auto"/>
                <w:right w:val="none" w:sz="0" w:space="0" w:color="auto"/>
              </w:divBdr>
            </w:div>
          </w:divsChild>
        </w:div>
        <w:div w:id="1717001995">
          <w:marLeft w:val="0"/>
          <w:marRight w:val="0"/>
          <w:marTop w:val="0"/>
          <w:marBottom w:val="0"/>
          <w:divBdr>
            <w:top w:val="none" w:sz="0" w:space="0" w:color="auto"/>
            <w:left w:val="none" w:sz="0" w:space="0" w:color="auto"/>
            <w:bottom w:val="none" w:sz="0" w:space="0" w:color="auto"/>
            <w:right w:val="none" w:sz="0" w:space="0" w:color="auto"/>
          </w:divBdr>
          <w:divsChild>
            <w:div w:id="1538738551">
              <w:marLeft w:val="0"/>
              <w:marRight w:val="0"/>
              <w:marTop w:val="0"/>
              <w:marBottom w:val="0"/>
              <w:divBdr>
                <w:top w:val="none" w:sz="0" w:space="0" w:color="auto"/>
                <w:left w:val="none" w:sz="0" w:space="0" w:color="auto"/>
                <w:bottom w:val="none" w:sz="0" w:space="0" w:color="auto"/>
                <w:right w:val="none" w:sz="0" w:space="0" w:color="auto"/>
              </w:divBdr>
            </w:div>
          </w:divsChild>
        </w:div>
        <w:div w:id="2043699640">
          <w:marLeft w:val="0"/>
          <w:marRight w:val="0"/>
          <w:marTop w:val="0"/>
          <w:marBottom w:val="0"/>
          <w:divBdr>
            <w:top w:val="none" w:sz="0" w:space="0" w:color="auto"/>
            <w:left w:val="none" w:sz="0" w:space="0" w:color="auto"/>
            <w:bottom w:val="none" w:sz="0" w:space="0" w:color="auto"/>
            <w:right w:val="none" w:sz="0" w:space="0" w:color="auto"/>
          </w:divBdr>
          <w:divsChild>
            <w:div w:id="1011570727">
              <w:marLeft w:val="0"/>
              <w:marRight w:val="0"/>
              <w:marTop w:val="0"/>
              <w:marBottom w:val="0"/>
              <w:divBdr>
                <w:top w:val="none" w:sz="0" w:space="0" w:color="auto"/>
                <w:left w:val="none" w:sz="0" w:space="0" w:color="auto"/>
                <w:bottom w:val="none" w:sz="0" w:space="0" w:color="auto"/>
                <w:right w:val="none" w:sz="0" w:space="0" w:color="auto"/>
              </w:divBdr>
            </w:div>
          </w:divsChild>
        </w:div>
        <w:div w:id="224024785">
          <w:marLeft w:val="0"/>
          <w:marRight w:val="0"/>
          <w:marTop w:val="0"/>
          <w:marBottom w:val="0"/>
          <w:divBdr>
            <w:top w:val="none" w:sz="0" w:space="0" w:color="auto"/>
            <w:left w:val="none" w:sz="0" w:space="0" w:color="auto"/>
            <w:bottom w:val="none" w:sz="0" w:space="0" w:color="auto"/>
            <w:right w:val="none" w:sz="0" w:space="0" w:color="auto"/>
          </w:divBdr>
          <w:divsChild>
            <w:div w:id="2005664792">
              <w:marLeft w:val="0"/>
              <w:marRight w:val="0"/>
              <w:marTop w:val="0"/>
              <w:marBottom w:val="0"/>
              <w:divBdr>
                <w:top w:val="none" w:sz="0" w:space="0" w:color="auto"/>
                <w:left w:val="none" w:sz="0" w:space="0" w:color="auto"/>
                <w:bottom w:val="none" w:sz="0" w:space="0" w:color="auto"/>
                <w:right w:val="none" w:sz="0" w:space="0" w:color="auto"/>
              </w:divBdr>
            </w:div>
          </w:divsChild>
        </w:div>
        <w:div w:id="687871807">
          <w:marLeft w:val="0"/>
          <w:marRight w:val="0"/>
          <w:marTop w:val="0"/>
          <w:marBottom w:val="0"/>
          <w:divBdr>
            <w:top w:val="none" w:sz="0" w:space="0" w:color="auto"/>
            <w:left w:val="none" w:sz="0" w:space="0" w:color="auto"/>
            <w:bottom w:val="none" w:sz="0" w:space="0" w:color="auto"/>
            <w:right w:val="none" w:sz="0" w:space="0" w:color="auto"/>
          </w:divBdr>
          <w:divsChild>
            <w:div w:id="1794515755">
              <w:marLeft w:val="0"/>
              <w:marRight w:val="0"/>
              <w:marTop w:val="0"/>
              <w:marBottom w:val="0"/>
              <w:divBdr>
                <w:top w:val="none" w:sz="0" w:space="0" w:color="auto"/>
                <w:left w:val="none" w:sz="0" w:space="0" w:color="auto"/>
                <w:bottom w:val="none" w:sz="0" w:space="0" w:color="auto"/>
                <w:right w:val="none" w:sz="0" w:space="0" w:color="auto"/>
              </w:divBdr>
            </w:div>
          </w:divsChild>
        </w:div>
        <w:div w:id="1052000985">
          <w:marLeft w:val="0"/>
          <w:marRight w:val="0"/>
          <w:marTop w:val="0"/>
          <w:marBottom w:val="0"/>
          <w:divBdr>
            <w:top w:val="none" w:sz="0" w:space="0" w:color="auto"/>
            <w:left w:val="none" w:sz="0" w:space="0" w:color="auto"/>
            <w:bottom w:val="none" w:sz="0" w:space="0" w:color="auto"/>
            <w:right w:val="none" w:sz="0" w:space="0" w:color="auto"/>
          </w:divBdr>
          <w:divsChild>
            <w:div w:id="1833331387">
              <w:marLeft w:val="0"/>
              <w:marRight w:val="0"/>
              <w:marTop w:val="0"/>
              <w:marBottom w:val="0"/>
              <w:divBdr>
                <w:top w:val="none" w:sz="0" w:space="0" w:color="auto"/>
                <w:left w:val="none" w:sz="0" w:space="0" w:color="auto"/>
                <w:bottom w:val="none" w:sz="0" w:space="0" w:color="auto"/>
                <w:right w:val="none" w:sz="0" w:space="0" w:color="auto"/>
              </w:divBdr>
            </w:div>
          </w:divsChild>
        </w:div>
        <w:div w:id="795871391">
          <w:marLeft w:val="0"/>
          <w:marRight w:val="0"/>
          <w:marTop w:val="0"/>
          <w:marBottom w:val="0"/>
          <w:divBdr>
            <w:top w:val="none" w:sz="0" w:space="0" w:color="auto"/>
            <w:left w:val="none" w:sz="0" w:space="0" w:color="auto"/>
            <w:bottom w:val="none" w:sz="0" w:space="0" w:color="auto"/>
            <w:right w:val="none" w:sz="0" w:space="0" w:color="auto"/>
          </w:divBdr>
          <w:divsChild>
            <w:div w:id="519314879">
              <w:marLeft w:val="0"/>
              <w:marRight w:val="0"/>
              <w:marTop w:val="0"/>
              <w:marBottom w:val="0"/>
              <w:divBdr>
                <w:top w:val="none" w:sz="0" w:space="0" w:color="auto"/>
                <w:left w:val="none" w:sz="0" w:space="0" w:color="auto"/>
                <w:bottom w:val="none" w:sz="0" w:space="0" w:color="auto"/>
                <w:right w:val="none" w:sz="0" w:space="0" w:color="auto"/>
              </w:divBdr>
            </w:div>
          </w:divsChild>
        </w:div>
        <w:div w:id="1314796311">
          <w:marLeft w:val="0"/>
          <w:marRight w:val="0"/>
          <w:marTop w:val="0"/>
          <w:marBottom w:val="0"/>
          <w:divBdr>
            <w:top w:val="none" w:sz="0" w:space="0" w:color="auto"/>
            <w:left w:val="none" w:sz="0" w:space="0" w:color="auto"/>
            <w:bottom w:val="none" w:sz="0" w:space="0" w:color="auto"/>
            <w:right w:val="none" w:sz="0" w:space="0" w:color="auto"/>
          </w:divBdr>
          <w:divsChild>
            <w:div w:id="1073088484">
              <w:marLeft w:val="0"/>
              <w:marRight w:val="0"/>
              <w:marTop w:val="0"/>
              <w:marBottom w:val="0"/>
              <w:divBdr>
                <w:top w:val="none" w:sz="0" w:space="0" w:color="auto"/>
                <w:left w:val="none" w:sz="0" w:space="0" w:color="auto"/>
                <w:bottom w:val="none" w:sz="0" w:space="0" w:color="auto"/>
                <w:right w:val="none" w:sz="0" w:space="0" w:color="auto"/>
              </w:divBdr>
            </w:div>
          </w:divsChild>
        </w:div>
        <w:div w:id="1810510244">
          <w:marLeft w:val="0"/>
          <w:marRight w:val="0"/>
          <w:marTop w:val="0"/>
          <w:marBottom w:val="0"/>
          <w:divBdr>
            <w:top w:val="none" w:sz="0" w:space="0" w:color="auto"/>
            <w:left w:val="none" w:sz="0" w:space="0" w:color="auto"/>
            <w:bottom w:val="none" w:sz="0" w:space="0" w:color="auto"/>
            <w:right w:val="none" w:sz="0" w:space="0" w:color="auto"/>
          </w:divBdr>
          <w:divsChild>
            <w:div w:id="2137873527">
              <w:marLeft w:val="0"/>
              <w:marRight w:val="0"/>
              <w:marTop w:val="0"/>
              <w:marBottom w:val="0"/>
              <w:divBdr>
                <w:top w:val="none" w:sz="0" w:space="0" w:color="auto"/>
                <w:left w:val="none" w:sz="0" w:space="0" w:color="auto"/>
                <w:bottom w:val="none" w:sz="0" w:space="0" w:color="auto"/>
                <w:right w:val="none" w:sz="0" w:space="0" w:color="auto"/>
              </w:divBdr>
            </w:div>
          </w:divsChild>
        </w:div>
        <w:div w:id="318195251">
          <w:marLeft w:val="0"/>
          <w:marRight w:val="0"/>
          <w:marTop w:val="0"/>
          <w:marBottom w:val="0"/>
          <w:divBdr>
            <w:top w:val="none" w:sz="0" w:space="0" w:color="auto"/>
            <w:left w:val="none" w:sz="0" w:space="0" w:color="auto"/>
            <w:bottom w:val="none" w:sz="0" w:space="0" w:color="auto"/>
            <w:right w:val="none" w:sz="0" w:space="0" w:color="auto"/>
          </w:divBdr>
          <w:divsChild>
            <w:div w:id="2037922023">
              <w:marLeft w:val="0"/>
              <w:marRight w:val="0"/>
              <w:marTop w:val="0"/>
              <w:marBottom w:val="0"/>
              <w:divBdr>
                <w:top w:val="none" w:sz="0" w:space="0" w:color="auto"/>
                <w:left w:val="none" w:sz="0" w:space="0" w:color="auto"/>
                <w:bottom w:val="none" w:sz="0" w:space="0" w:color="auto"/>
                <w:right w:val="none" w:sz="0" w:space="0" w:color="auto"/>
              </w:divBdr>
            </w:div>
          </w:divsChild>
        </w:div>
        <w:div w:id="2045476730">
          <w:marLeft w:val="0"/>
          <w:marRight w:val="0"/>
          <w:marTop w:val="0"/>
          <w:marBottom w:val="0"/>
          <w:divBdr>
            <w:top w:val="none" w:sz="0" w:space="0" w:color="auto"/>
            <w:left w:val="none" w:sz="0" w:space="0" w:color="auto"/>
            <w:bottom w:val="none" w:sz="0" w:space="0" w:color="auto"/>
            <w:right w:val="none" w:sz="0" w:space="0" w:color="auto"/>
          </w:divBdr>
          <w:divsChild>
            <w:div w:id="639650761">
              <w:marLeft w:val="0"/>
              <w:marRight w:val="0"/>
              <w:marTop w:val="0"/>
              <w:marBottom w:val="0"/>
              <w:divBdr>
                <w:top w:val="none" w:sz="0" w:space="0" w:color="auto"/>
                <w:left w:val="none" w:sz="0" w:space="0" w:color="auto"/>
                <w:bottom w:val="none" w:sz="0" w:space="0" w:color="auto"/>
                <w:right w:val="none" w:sz="0" w:space="0" w:color="auto"/>
              </w:divBdr>
            </w:div>
          </w:divsChild>
        </w:div>
        <w:div w:id="1996644339">
          <w:marLeft w:val="0"/>
          <w:marRight w:val="0"/>
          <w:marTop w:val="0"/>
          <w:marBottom w:val="0"/>
          <w:divBdr>
            <w:top w:val="none" w:sz="0" w:space="0" w:color="auto"/>
            <w:left w:val="none" w:sz="0" w:space="0" w:color="auto"/>
            <w:bottom w:val="none" w:sz="0" w:space="0" w:color="auto"/>
            <w:right w:val="none" w:sz="0" w:space="0" w:color="auto"/>
          </w:divBdr>
          <w:divsChild>
            <w:div w:id="460802336">
              <w:marLeft w:val="0"/>
              <w:marRight w:val="0"/>
              <w:marTop w:val="0"/>
              <w:marBottom w:val="0"/>
              <w:divBdr>
                <w:top w:val="none" w:sz="0" w:space="0" w:color="auto"/>
                <w:left w:val="none" w:sz="0" w:space="0" w:color="auto"/>
                <w:bottom w:val="none" w:sz="0" w:space="0" w:color="auto"/>
                <w:right w:val="none" w:sz="0" w:space="0" w:color="auto"/>
              </w:divBdr>
            </w:div>
          </w:divsChild>
        </w:div>
        <w:div w:id="289366419">
          <w:marLeft w:val="0"/>
          <w:marRight w:val="0"/>
          <w:marTop w:val="0"/>
          <w:marBottom w:val="0"/>
          <w:divBdr>
            <w:top w:val="none" w:sz="0" w:space="0" w:color="auto"/>
            <w:left w:val="none" w:sz="0" w:space="0" w:color="auto"/>
            <w:bottom w:val="none" w:sz="0" w:space="0" w:color="auto"/>
            <w:right w:val="none" w:sz="0" w:space="0" w:color="auto"/>
          </w:divBdr>
          <w:divsChild>
            <w:div w:id="379939648">
              <w:marLeft w:val="0"/>
              <w:marRight w:val="0"/>
              <w:marTop w:val="0"/>
              <w:marBottom w:val="0"/>
              <w:divBdr>
                <w:top w:val="none" w:sz="0" w:space="0" w:color="auto"/>
                <w:left w:val="none" w:sz="0" w:space="0" w:color="auto"/>
                <w:bottom w:val="none" w:sz="0" w:space="0" w:color="auto"/>
                <w:right w:val="none" w:sz="0" w:space="0" w:color="auto"/>
              </w:divBdr>
            </w:div>
          </w:divsChild>
        </w:div>
        <w:div w:id="1791167825">
          <w:marLeft w:val="0"/>
          <w:marRight w:val="0"/>
          <w:marTop w:val="0"/>
          <w:marBottom w:val="0"/>
          <w:divBdr>
            <w:top w:val="none" w:sz="0" w:space="0" w:color="auto"/>
            <w:left w:val="none" w:sz="0" w:space="0" w:color="auto"/>
            <w:bottom w:val="none" w:sz="0" w:space="0" w:color="auto"/>
            <w:right w:val="none" w:sz="0" w:space="0" w:color="auto"/>
          </w:divBdr>
          <w:divsChild>
            <w:div w:id="1568422205">
              <w:marLeft w:val="0"/>
              <w:marRight w:val="0"/>
              <w:marTop w:val="0"/>
              <w:marBottom w:val="0"/>
              <w:divBdr>
                <w:top w:val="none" w:sz="0" w:space="0" w:color="auto"/>
                <w:left w:val="none" w:sz="0" w:space="0" w:color="auto"/>
                <w:bottom w:val="none" w:sz="0" w:space="0" w:color="auto"/>
                <w:right w:val="none" w:sz="0" w:space="0" w:color="auto"/>
              </w:divBdr>
            </w:div>
          </w:divsChild>
        </w:div>
        <w:div w:id="1910652511">
          <w:marLeft w:val="0"/>
          <w:marRight w:val="0"/>
          <w:marTop w:val="0"/>
          <w:marBottom w:val="0"/>
          <w:divBdr>
            <w:top w:val="none" w:sz="0" w:space="0" w:color="auto"/>
            <w:left w:val="none" w:sz="0" w:space="0" w:color="auto"/>
            <w:bottom w:val="none" w:sz="0" w:space="0" w:color="auto"/>
            <w:right w:val="none" w:sz="0" w:space="0" w:color="auto"/>
          </w:divBdr>
          <w:divsChild>
            <w:div w:id="1474786805">
              <w:marLeft w:val="0"/>
              <w:marRight w:val="0"/>
              <w:marTop w:val="0"/>
              <w:marBottom w:val="0"/>
              <w:divBdr>
                <w:top w:val="none" w:sz="0" w:space="0" w:color="auto"/>
                <w:left w:val="none" w:sz="0" w:space="0" w:color="auto"/>
                <w:bottom w:val="none" w:sz="0" w:space="0" w:color="auto"/>
                <w:right w:val="none" w:sz="0" w:space="0" w:color="auto"/>
              </w:divBdr>
            </w:div>
          </w:divsChild>
        </w:div>
        <w:div w:id="511185494">
          <w:marLeft w:val="0"/>
          <w:marRight w:val="0"/>
          <w:marTop w:val="0"/>
          <w:marBottom w:val="0"/>
          <w:divBdr>
            <w:top w:val="none" w:sz="0" w:space="0" w:color="auto"/>
            <w:left w:val="none" w:sz="0" w:space="0" w:color="auto"/>
            <w:bottom w:val="none" w:sz="0" w:space="0" w:color="auto"/>
            <w:right w:val="none" w:sz="0" w:space="0" w:color="auto"/>
          </w:divBdr>
          <w:divsChild>
            <w:div w:id="1427309509">
              <w:marLeft w:val="0"/>
              <w:marRight w:val="0"/>
              <w:marTop w:val="0"/>
              <w:marBottom w:val="0"/>
              <w:divBdr>
                <w:top w:val="none" w:sz="0" w:space="0" w:color="auto"/>
                <w:left w:val="none" w:sz="0" w:space="0" w:color="auto"/>
                <w:bottom w:val="none" w:sz="0" w:space="0" w:color="auto"/>
                <w:right w:val="none" w:sz="0" w:space="0" w:color="auto"/>
              </w:divBdr>
            </w:div>
          </w:divsChild>
        </w:div>
        <w:div w:id="1614047310">
          <w:marLeft w:val="0"/>
          <w:marRight w:val="0"/>
          <w:marTop w:val="0"/>
          <w:marBottom w:val="0"/>
          <w:divBdr>
            <w:top w:val="none" w:sz="0" w:space="0" w:color="auto"/>
            <w:left w:val="none" w:sz="0" w:space="0" w:color="auto"/>
            <w:bottom w:val="none" w:sz="0" w:space="0" w:color="auto"/>
            <w:right w:val="none" w:sz="0" w:space="0" w:color="auto"/>
          </w:divBdr>
          <w:divsChild>
            <w:div w:id="2025786218">
              <w:marLeft w:val="0"/>
              <w:marRight w:val="0"/>
              <w:marTop w:val="0"/>
              <w:marBottom w:val="0"/>
              <w:divBdr>
                <w:top w:val="none" w:sz="0" w:space="0" w:color="auto"/>
                <w:left w:val="none" w:sz="0" w:space="0" w:color="auto"/>
                <w:bottom w:val="none" w:sz="0" w:space="0" w:color="auto"/>
                <w:right w:val="none" w:sz="0" w:space="0" w:color="auto"/>
              </w:divBdr>
            </w:div>
          </w:divsChild>
        </w:div>
        <w:div w:id="689993958">
          <w:marLeft w:val="0"/>
          <w:marRight w:val="0"/>
          <w:marTop w:val="300"/>
          <w:marBottom w:val="300"/>
          <w:divBdr>
            <w:top w:val="none" w:sz="0" w:space="0" w:color="auto"/>
            <w:left w:val="none" w:sz="0" w:space="0" w:color="auto"/>
            <w:bottom w:val="none" w:sz="0" w:space="0" w:color="auto"/>
            <w:right w:val="none" w:sz="0" w:space="0" w:color="auto"/>
          </w:divBdr>
        </w:div>
        <w:div w:id="349450385">
          <w:marLeft w:val="0"/>
          <w:marRight w:val="0"/>
          <w:marTop w:val="0"/>
          <w:marBottom w:val="0"/>
          <w:divBdr>
            <w:top w:val="none" w:sz="0" w:space="0" w:color="auto"/>
            <w:left w:val="none" w:sz="0" w:space="0" w:color="auto"/>
            <w:bottom w:val="none" w:sz="0" w:space="0" w:color="auto"/>
            <w:right w:val="none" w:sz="0" w:space="0" w:color="auto"/>
          </w:divBdr>
          <w:divsChild>
            <w:div w:id="1142238715">
              <w:marLeft w:val="0"/>
              <w:marRight w:val="0"/>
              <w:marTop w:val="0"/>
              <w:marBottom w:val="0"/>
              <w:divBdr>
                <w:top w:val="none" w:sz="0" w:space="0" w:color="auto"/>
                <w:left w:val="none" w:sz="0" w:space="0" w:color="auto"/>
                <w:bottom w:val="none" w:sz="0" w:space="0" w:color="auto"/>
                <w:right w:val="none" w:sz="0" w:space="0" w:color="auto"/>
              </w:divBdr>
            </w:div>
          </w:divsChild>
        </w:div>
        <w:div w:id="1703895971">
          <w:marLeft w:val="0"/>
          <w:marRight w:val="0"/>
          <w:marTop w:val="0"/>
          <w:marBottom w:val="0"/>
          <w:divBdr>
            <w:top w:val="none" w:sz="0" w:space="0" w:color="auto"/>
            <w:left w:val="none" w:sz="0" w:space="0" w:color="auto"/>
            <w:bottom w:val="none" w:sz="0" w:space="0" w:color="auto"/>
            <w:right w:val="none" w:sz="0" w:space="0" w:color="auto"/>
          </w:divBdr>
          <w:divsChild>
            <w:div w:id="1336958248">
              <w:marLeft w:val="0"/>
              <w:marRight w:val="0"/>
              <w:marTop w:val="0"/>
              <w:marBottom w:val="0"/>
              <w:divBdr>
                <w:top w:val="none" w:sz="0" w:space="0" w:color="auto"/>
                <w:left w:val="none" w:sz="0" w:space="0" w:color="auto"/>
                <w:bottom w:val="none" w:sz="0" w:space="0" w:color="auto"/>
                <w:right w:val="none" w:sz="0" w:space="0" w:color="auto"/>
              </w:divBdr>
            </w:div>
          </w:divsChild>
        </w:div>
        <w:div w:id="156041683">
          <w:marLeft w:val="0"/>
          <w:marRight w:val="0"/>
          <w:marTop w:val="0"/>
          <w:marBottom w:val="0"/>
          <w:divBdr>
            <w:top w:val="none" w:sz="0" w:space="0" w:color="auto"/>
            <w:left w:val="none" w:sz="0" w:space="0" w:color="auto"/>
            <w:bottom w:val="none" w:sz="0" w:space="0" w:color="auto"/>
            <w:right w:val="none" w:sz="0" w:space="0" w:color="auto"/>
          </w:divBdr>
          <w:divsChild>
            <w:div w:id="1685091366">
              <w:marLeft w:val="0"/>
              <w:marRight w:val="0"/>
              <w:marTop w:val="0"/>
              <w:marBottom w:val="0"/>
              <w:divBdr>
                <w:top w:val="none" w:sz="0" w:space="0" w:color="auto"/>
                <w:left w:val="none" w:sz="0" w:space="0" w:color="auto"/>
                <w:bottom w:val="none" w:sz="0" w:space="0" w:color="auto"/>
                <w:right w:val="none" w:sz="0" w:space="0" w:color="auto"/>
              </w:divBdr>
            </w:div>
          </w:divsChild>
        </w:div>
        <w:div w:id="1144660371">
          <w:marLeft w:val="0"/>
          <w:marRight w:val="0"/>
          <w:marTop w:val="0"/>
          <w:marBottom w:val="0"/>
          <w:divBdr>
            <w:top w:val="none" w:sz="0" w:space="0" w:color="auto"/>
            <w:left w:val="none" w:sz="0" w:space="0" w:color="auto"/>
            <w:bottom w:val="none" w:sz="0" w:space="0" w:color="auto"/>
            <w:right w:val="none" w:sz="0" w:space="0" w:color="auto"/>
          </w:divBdr>
          <w:divsChild>
            <w:div w:id="389690507">
              <w:marLeft w:val="0"/>
              <w:marRight w:val="0"/>
              <w:marTop w:val="0"/>
              <w:marBottom w:val="0"/>
              <w:divBdr>
                <w:top w:val="none" w:sz="0" w:space="0" w:color="auto"/>
                <w:left w:val="none" w:sz="0" w:space="0" w:color="auto"/>
                <w:bottom w:val="none" w:sz="0" w:space="0" w:color="auto"/>
                <w:right w:val="none" w:sz="0" w:space="0" w:color="auto"/>
              </w:divBdr>
            </w:div>
          </w:divsChild>
        </w:div>
        <w:div w:id="1258713366">
          <w:marLeft w:val="0"/>
          <w:marRight w:val="0"/>
          <w:marTop w:val="0"/>
          <w:marBottom w:val="0"/>
          <w:divBdr>
            <w:top w:val="none" w:sz="0" w:space="0" w:color="auto"/>
            <w:left w:val="none" w:sz="0" w:space="0" w:color="auto"/>
            <w:bottom w:val="none" w:sz="0" w:space="0" w:color="auto"/>
            <w:right w:val="none" w:sz="0" w:space="0" w:color="auto"/>
          </w:divBdr>
          <w:divsChild>
            <w:div w:id="341976118">
              <w:marLeft w:val="0"/>
              <w:marRight w:val="0"/>
              <w:marTop w:val="0"/>
              <w:marBottom w:val="0"/>
              <w:divBdr>
                <w:top w:val="none" w:sz="0" w:space="0" w:color="auto"/>
                <w:left w:val="none" w:sz="0" w:space="0" w:color="auto"/>
                <w:bottom w:val="none" w:sz="0" w:space="0" w:color="auto"/>
                <w:right w:val="none" w:sz="0" w:space="0" w:color="auto"/>
              </w:divBdr>
            </w:div>
          </w:divsChild>
        </w:div>
        <w:div w:id="237324568">
          <w:marLeft w:val="0"/>
          <w:marRight w:val="0"/>
          <w:marTop w:val="0"/>
          <w:marBottom w:val="0"/>
          <w:divBdr>
            <w:top w:val="none" w:sz="0" w:space="0" w:color="auto"/>
            <w:left w:val="none" w:sz="0" w:space="0" w:color="auto"/>
            <w:bottom w:val="none" w:sz="0" w:space="0" w:color="auto"/>
            <w:right w:val="none" w:sz="0" w:space="0" w:color="auto"/>
          </w:divBdr>
          <w:divsChild>
            <w:div w:id="236985093">
              <w:marLeft w:val="0"/>
              <w:marRight w:val="0"/>
              <w:marTop w:val="0"/>
              <w:marBottom w:val="0"/>
              <w:divBdr>
                <w:top w:val="none" w:sz="0" w:space="0" w:color="auto"/>
                <w:left w:val="none" w:sz="0" w:space="0" w:color="auto"/>
                <w:bottom w:val="none" w:sz="0" w:space="0" w:color="auto"/>
                <w:right w:val="none" w:sz="0" w:space="0" w:color="auto"/>
              </w:divBdr>
            </w:div>
          </w:divsChild>
        </w:div>
        <w:div w:id="990794018">
          <w:marLeft w:val="0"/>
          <w:marRight w:val="0"/>
          <w:marTop w:val="300"/>
          <w:marBottom w:val="300"/>
          <w:divBdr>
            <w:top w:val="none" w:sz="0" w:space="0" w:color="auto"/>
            <w:left w:val="none" w:sz="0" w:space="0" w:color="auto"/>
            <w:bottom w:val="none" w:sz="0" w:space="0" w:color="auto"/>
            <w:right w:val="none" w:sz="0" w:space="0" w:color="auto"/>
          </w:divBdr>
        </w:div>
        <w:div w:id="1503624329">
          <w:marLeft w:val="0"/>
          <w:marRight w:val="0"/>
          <w:marTop w:val="0"/>
          <w:marBottom w:val="0"/>
          <w:divBdr>
            <w:top w:val="none" w:sz="0" w:space="0" w:color="auto"/>
            <w:left w:val="none" w:sz="0" w:space="0" w:color="auto"/>
            <w:bottom w:val="none" w:sz="0" w:space="0" w:color="auto"/>
            <w:right w:val="none" w:sz="0" w:space="0" w:color="auto"/>
          </w:divBdr>
          <w:divsChild>
            <w:div w:id="679509453">
              <w:marLeft w:val="0"/>
              <w:marRight w:val="0"/>
              <w:marTop w:val="0"/>
              <w:marBottom w:val="0"/>
              <w:divBdr>
                <w:top w:val="none" w:sz="0" w:space="0" w:color="auto"/>
                <w:left w:val="none" w:sz="0" w:space="0" w:color="auto"/>
                <w:bottom w:val="none" w:sz="0" w:space="0" w:color="auto"/>
                <w:right w:val="none" w:sz="0" w:space="0" w:color="auto"/>
              </w:divBdr>
            </w:div>
          </w:divsChild>
        </w:div>
        <w:div w:id="754325799">
          <w:marLeft w:val="0"/>
          <w:marRight w:val="0"/>
          <w:marTop w:val="0"/>
          <w:marBottom w:val="0"/>
          <w:divBdr>
            <w:top w:val="none" w:sz="0" w:space="0" w:color="auto"/>
            <w:left w:val="none" w:sz="0" w:space="0" w:color="auto"/>
            <w:bottom w:val="none" w:sz="0" w:space="0" w:color="auto"/>
            <w:right w:val="none" w:sz="0" w:space="0" w:color="auto"/>
          </w:divBdr>
          <w:divsChild>
            <w:div w:id="783421085">
              <w:marLeft w:val="0"/>
              <w:marRight w:val="0"/>
              <w:marTop w:val="0"/>
              <w:marBottom w:val="0"/>
              <w:divBdr>
                <w:top w:val="none" w:sz="0" w:space="0" w:color="auto"/>
                <w:left w:val="none" w:sz="0" w:space="0" w:color="auto"/>
                <w:bottom w:val="none" w:sz="0" w:space="0" w:color="auto"/>
                <w:right w:val="none" w:sz="0" w:space="0" w:color="auto"/>
              </w:divBdr>
            </w:div>
          </w:divsChild>
        </w:div>
        <w:div w:id="1593971144">
          <w:marLeft w:val="0"/>
          <w:marRight w:val="0"/>
          <w:marTop w:val="0"/>
          <w:marBottom w:val="0"/>
          <w:divBdr>
            <w:top w:val="none" w:sz="0" w:space="0" w:color="auto"/>
            <w:left w:val="none" w:sz="0" w:space="0" w:color="auto"/>
            <w:bottom w:val="none" w:sz="0" w:space="0" w:color="auto"/>
            <w:right w:val="none" w:sz="0" w:space="0" w:color="auto"/>
          </w:divBdr>
          <w:divsChild>
            <w:div w:id="2105026899">
              <w:marLeft w:val="0"/>
              <w:marRight w:val="0"/>
              <w:marTop w:val="0"/>
              <w:marBottom w:val="0"/>
              <w:divBdr>
                <w:top w:val="none" w:sz="0" w:space="0" w:color="auto"/>
                <w:left w:val="none" w:sz="0" w:space="0" w:color="auto"/>
                <w:bottom w:val="none" w:sz="0" w:space="0" w:color="auto"/>
                <w:right w:val="none" w:sz="0" w:space="0" w:color="auto"/>
              </w:divBdr>
            </w:div>
          </w:divsChild>
        </w:div>
        <w:div w:id="1898779377">
          <w:marLeft w:val="0"/>
          <w:marRight w:val="0"/>
          <w:marTop w:val="0"/>
          <w:marBottom w:val="0"/>
          <w:divBdr>
            <w:top w:val="none" w:sz="0" w:space="0" w:color="auto"/>
            <w:left w:val="none" w:sz="0" w:space="0" w:color="auto"/>
            <w:bottom w:val="none" w:sz="0" w:space="0" w:color="auto"/>
            <w:right w:val="none" w:sz="0" w:space="0" w:color="auto"/>
          </w:divBdr>
          <w:divsChild>
            <w:div w:id="563955780">
              <w:marLeft w:val="0"/>
              <w:marRight w:val="0"/>
              <w:marTop w:val="0"/>
              <w:marBottom w:val="0"/>
              <w:divBdr>
                <w:top w:val="none" w:sz="0" w:space="0" w:color="auto"/>
                <w:left w:val="none" w:sz="0" w:space="0" w:color="auto"/>
                <w:bottom w:val="none" w:sz="0" w:space="0" w:color="auto"/>
                <w:right w:val="none" w:sz="0" w:space="0" w:color="auto"/>
              </w:divBdr>
            </w:div>
          </w:divsChild>
        </w:div>
        <w:div w:id="162084720">
          <w:marLeft w:val="0"/>
          <w:marRight w:val="0"/>
          <w:marTop w:val="0"/>
          <w:marBottom w:val="0"/>
          <w:divBdr>
            <w:top w:val="none" w:sz="0" w:space="0" w:color="auto"/>
            <w:left w:val="none" w:sz="0" w:space="0" w:color="auto"/>
            <w:bottom w:val="none" w:sz="0" w:space="0" w:color="auto"/>
            <w:right w:val="none" w:sz="0" w:space="0" w:color="auto"/>
          </w:divBdr>
          <w:divsChild>
            <w:div w:id="966590971">
              <w:marLeft w:val="0"/>
              <w:marRight w:val="0"/>
              <w:marTop w:val="0"/>
              <w:marBottom w:val="0"/>
              <w:divBdr>
                <w:top w:val="none" w:sz="0" w:space="0" w:color="auto"/>
                <w:left w:val="none" w:sz="0" w:space="0" w:color="auto"/>
                <w:bottom w:val="none" w:sz="0" w:space="0" w:color="auto"/>
                <w:right w:val="none" w:sz="0" w:space="0" w:color="auto"/>
              </w:divBdr>
            </w:div>
          </w:divsChild>
        </w:div>
        <w:div w:id="1279608082">
          <w:marLeft w:val="0"/>
          <w:marRight w:val="0"/>
          <w:marTop w:val="0"/>
          <w:marBottom w:val="0"/>
          <w:divBdr>
            <w:top w:val="none" w:sz="0" w:space="0" w:color="auto"/>
            <w:left w:val="none" w:sz="0" w:space="0" w:color="auto"/>
            <w:bottom w:val="none" w:sz="0" w:space="0" w:color="auto"/>
            <w:right w:val="none" w:sz="0" w:space="0" w:color="auto"/>
          </w:divBdr>
          <w:divsChild>
            <w:div w:id="1465462926">
              <w:marLeft w:val="0"/>
              <w:marRight w:val="0"/>
              <w:marTop w:val="0"/>
              <w:marBottom w:val="0"/>
              <w:divBdr>
                <w:top w:val="none" w:sz="0" w:space="0" w:color="auto"/>
                <w:left w:val="none" w:sz="0" w:space="0" w:color="auto"/>
                <w:bottom w:val="none" w:sz="0" w:space="0" w:color="auto"/>
                <w:right w:val="none" w:sz="0" w:space="0" w:color="auto"/>
              </w:divBdr>
            </w:div>
          </w:divsChild>
        </w:div>
        <w:div w:id="826356853">
          <w:marLeft w:val="0"/>
          <w:marRight w:val="0"/>
          <w:marTop w:val="0"/>
          <w:marBottom w:val="0"/>
          <w:divBdr>
            <w:top w:val="none" w:sz="0" w:space="0" w:color="auto"/>
            <w:left w:val="none" w:sz="0" w:space="0" w:color="auto"/>
            <w:bottom w:val="none" w:sz="0" w:space="0" w:color="auto"/>
            <w:right w:val="none" w:sz="0" w:space="0" w:color="auto"/>
          </w:divBdr>
          <w:divsChild>
            <w:div w:id="1836458468">
              <w:marLeft w:val="0"/>
              <w:marRight w:val="0"/>
              <w:marTop w:val="0"/>
              <w:marBottom w:val="0"/>
              <w:divBdr>
                <w:top w:val="none" w:sz="0" w:space="0" w:color="auto"/>
                <w:left w:val="none" w:sz="0" w:space="0" w:color="auto"/>
                <w:bottom w:val="none" w:sz="0" w:space="0" w:color="auto"/>
                <w:right w:val="none" w:sz="0" w:space="0" w:color="auto"/>
              </w:divBdr>
            </w:div>
          </w:divsChild>
        </w:div>
        <w:div w:id="1854106883">
          <w:marLeft w:val="0"/>
          <w:marRight w:val="0"/>
          <w:marTop w:val="0"/>
          <w:marBottom w:val="0"/>
          <w:divBdr>
            <w:top w:val="none" w:sz="0" w:space="0" w:color="auto"/>
            <w:left w:val="none" w:sz="0" w:space="0" w:color="auto"/>
            <w:bottom w:val="none" w:sz="0" w:space="0" w:color="auto"/>
            <w:right w:val="none" w:sz="0" w:space="0" w:color="auto"/>
          </w:divBdr>
          <w:divsChild>
            <w:div w:id="54816682">
              <w:marLeft w:val="0"/>
              <w:marRight w:val="0"/>
              <w:marTop w:val="0"/>
              <w:marBottom w:val="0"/>
              <w:divBdr>
                <w:top w:val="none" w:sz="0" w:space="0" w:color="auto"/>
                <w:left w:val="none" w:sz="0" w:space="0" w:color="auto"/>
                <w:bottom w:val="none" w:sz="0" w:space="0" w:color="auto"/>
                <w:right w:val="none" w:sz="0" w:space="0" w:color="auto"/>
              </w:divBdr>
            </w:div>
          </w:divsChild>
        </w:div>
        <w:div w:id="1812938409">
          <w:marLeft w:val="0"/>
          <w:marRight w:val="0"/>
          <w:marTop w:val="0"/>
          <w:marBottom w:val="0"/>
          <w:divBdr>
            <w:top w:val="none" w:sz="0" w:space="0" w:color="auto"/>
            <w:left w:val="none" w:sz="0" w:space="0" w:color="auto"/>
            <w:bottom w:val="none" w:sz="0" w:space="0" w:color="auto"/>
            <w:right w:val="none" w:sz="0" w:space="0" w:color="auto"/>
          </w:divBdr>
          <w:divsChild>
            <w:div w:id="668604641">
              <w:marLeft w:val="0"/>
              <w:marRight w:val="0"/>
              <w:marTop w:val="0"/>
              <w:marBottom w:val="0"/>
              <w:divBdr>
                <w:top w:val="none" w:sz="0" w:space="0" w:color="auto"/>
                <w:left w:val="none" w:sz="0" w:space="0" w:color="auto"/>
                <w:bottom w:val="none" w:sz="0" w:space="0" w:color="auto"/>
                <w:right w:val="none" w:sz="0" w:space="0" w:color="auto"/>
              </w:divBdr>
            </w:div>
          </w:divsChild>
        </w:div>
        <w:div w:id="755832796">
          <w:marLeft w:val="0"/>
          <w:marRight w:val="0"/>
          <w:marTop w:val="0"/>
          <w:marBottom w:val="0"/>
          <w:divBdr>
            <w:top w:val="none" w:sz="0" w:space="0" w:color="auto"/>
            <w:left w:val="none" w:sz="0" w:space="0" w:color="auto"/>
            <w:bottom w:val="none" w:sz="0" w:space="0" w:color="auto"/>
            <w:right w:val="none" w:sz="0" w:space="0" w:color="auto"/>
          </w:divBdr>
          <w:divsChild>
            <w:div w:id="1848135767">
              <w:marLeft w:val="0"/>
              <w:marRight w:val="0"/>
              <w:marTop w:val="0"/>
              <w:marBottom w:val="0"/>
              <w:divBdr>
                <w:top w:val="none" w:sz="0" w:space="0" w:color="auto"/>
                <w:left w:val="none" w:sz="0" w:space="0" w:color="auto"/>
                <w:bottom w:val="none" w:sz="0" w:space="0" w:color="auto"/>
                <w:right w:val="none" w:sz="0" w:space="0" w:color="auto"/>
              </w:divBdr>
            </w:div>
          </w:divsChild>
        </w:div>
        <w:div w:id="1388382191">
          <w:marLeft w:val="0"/>
          <w:marRight w:val="0"/>
          <w:marTop w:val="0"/>
          <w:marBottom w:val="0"/>
          <w:divBdr>
            <w:top w:val="none" w:sz="0" w:space="0" w:color="auto"/>
            <w:left w:val="none" w:sz="0" w:space="0" w:color="auto"/>
            <w:bottom w:val="none" w:sz="0" w:space="0" w:color="auto"/>
            <w:right w:val="none" w:sz="0" w:space="0" w:color="auto"/>
          </w:divBdr>
          <w:divsChild>
            <w:div w:id="1791781274">
              <w:marLeft w:val="0"/>
              <w:marRight w:val="0"/>
              <w:marTop w:val="0"/>
              <w:marBottom w:val="0"/>
              <w:divBdr>
                <w:top w:val="none" w:sz="0" w:space="0" w:color="auto"/>
                <w:left w:val="none" w:sz="0" w:space="0" w:color="auto"/>
                <w:bottom w:val="none" w:sz="0" w:space="0" w:color="auto"/>
                <w:right w:val="none" w:sz="0" w:space="0" w:color="auto"/>
              </w:divBdr>
            </w:div>
          </w:divsChild>
        </w:div>
        <w:div w:id="807822364">
          <w:marLeft w:val="0"/>
          <w:marRight w:val="0"/>
          <w:marTop w:val="0"/>
          <w:marBottom w:val="0"/>
          <w:divBdr>
            <w:top w:val="none" w:sz="0" w:space="0" w:color="auto"/>
            <w:left w:val="none" w:sz="0" w:space="0" w:color="auto"/>
            <w:bottom w:val="none" w:sz="0" w:space="0" w:color="auto"/>
            <w:right w:val="none" w:sz="0" w:space="0" w:color="auto"/>
          </w:divBdr>
          <w:divsChild>
            <w:div w:id="1682393171">
              <w:marLeft w:val="0"/>
              <w:marRight w:val="0"/>
              <w:marTop w:val="0"/>
              <w:marBottom w:val="0"/>
              <w:divBdr>
                <w:top w:val="none" w:sz="0" w:space="0" w:color="auto"/>
                <w:left w:val="none" w:sz="0" w:space="0" w:color="auto"/>
                <w:bottom w:val="none" w:sz="0" w:space="0" w:color="auto"/>
                <w:right w:val="none" w:sz="0" w:space="0" w:color="auto"/>
              </w:divBdr>
            </w:div>
          </w:divsChild>
        </w:div>
        <w:div w:id="967130601">
          <w:marLeft w:val="0"/>
          <w:marRight w:val="0"/>
          <w:marTop w:val="0"/>
          <w:marBottom w:val="0"/>
          <w:divBdr>
            <w:top w:val="none" w:sz="0" w:space="0" w:color="auto"/>
            <w:left w:val="none" w:sz="0" w:space="0" w:color="auto"/>
            <w:bottom w:val="none" w:sz="0" w:space="0" w:color="auto"/>
            <w:right w:val="none" w:sz="0" w:space="0" w:color="auto"/>
          </w:divBdr>
          <w:divsChild>
            <w:div w:id="927497156">
              <w:marLeft w:val="0"/>
              <w:marRight w:val="0"/>
              <w:marTop w:val="0"/>
              <w:marBottom w:val="0"/>
              <w:divBdr>
                <w:top w:val="none" w:sz="0" w:space="0" w:color="auto"/>
                <w:left w:val="none" w:sz="0" w:space="0" w:color="auto"/>
                <w:bottom w:val="none" w:sz="0" w:space="0" w:color="auto"/>
                <w:right w:val="none" w:sz="0" w:space="0" w:color="auto"/>
              </w:divBdr>
            </w:div>
          </w:divsChild>
        </w:div>
        <w:div w:id="320618575">
          <w:marLeft w:val="0"/>
          <w:marRight w:val="0"/>
          <w:marTop w:val="0"/>
          <w:marBottom w:val="0"/>
          <w:divBdr>
            <w:top w:val="none" w:sz="0" w:space="0" w:color="auto"/>
            <w:left w:val="none" w:sz="0" w:space="0" w:color="auto"/>
            <w:bottom w:val="none" w:sz="0" w:space="0" w:color="auto"/>
            <w:right w:val="none" w:sz="0" w:space="0" w:color="auto"/>
          </w:divBdr>
          <w:divsChild>
            <w:div w:id="462306305">
              <w:marLeft w:val="0"/>
              <w:marRight w:val="0"/>
              <w:marTop w:val="0"/>
              <w:marBottom w:val="0"/>
              <w:divBdr>
                <w:top w:val="none" w:sz="0" w:space="0" w:color="auto"/>
                <w:left w:val="none" w:sz="0" w:space="0" w:color="auto"/>
                <w:bottom w:val="none" w:sz="0" w:space="0" w:color="auto"/>
                <w:right w:val="none" w:sz="0" w:space="0" w:color="auto"/>
              </w:divBdr>
            </w:div>
          </w:divsChild>
        </w:div>
        <w:div w:id="1045836885">
          <w:marLeft w:val="0"/>
          <w:marRight w:val="0"/>
          <w:marTop w:val="0"/>
          <w:marBottom w:val="0"/>
          <w:divBdr>
            <w:top w:val="none" w:sz="0" w:space="0" w:color="auto"/>
            <w:left w:val="none" w:sz="0" w:space="0" w:color="auto"/>
            <w:bottom w:val="none" w:sz="0" w:space="0" w:color="auto"/>
            <w:right w:val="none" w:sz="0" w:space="0" w:color="auto"/>
          </w:divBdr>
          <w:divsChild>
            <w:div w:id="797917610">
              <w:marLeft w:val="0"/>
              <w:marRight w:val="0"/>
              <w:marTop w:val="0"/>
              <w:marBottom w:val="0"/>
              <w:divBdr>
                <w:top w:val="none" w:sz="0" w:space="0" w:color="auto"/>
                <w:left w:val="none" w:sz="0" w:space="0" w:color="auto"/>
                <w:bottom w:val="none" w:sz="0" w:space="0" w:color="auto"/>
                <w:right w:val="none" w:sz="0" w:space="0" w:color="auto"/>
              </w:divBdr>
            </w:div>
          </w:divsChild>
        </w:div>
        <w:div w:id="341670442">
          <w:marLeft w:val="0"/>
          <w:marRight w:val="0"/>
          <w:marTop w:val="0"/>
          <w:marBottom w:val="0"/>
          <w:divBdr>
            <w:top w:val="none" w:sz="0" w:space="0" w:color="auto"/>
            <w:left w:val="none" w:sz="0" w:space="0" w:color="auto"/>
            <w:bottom w:val="none" w:sz="0" w:space="0" w:color="auto"/>
            <w:right w:val="none" w:sz="0" w:space="0" w:color="auto"/>
          </w:divBdr>
          <w:divsChild>
            <w:div w:id="1043752821">
              <w:marLeft w:val="0"/>
              <w:marRight w:val="0"/>
              <w:marTop w:val="0"/>
              <w:marBottom w:val="0"/>
              <w:divBdr>
                <w:top w:val="none" w:sz="0" w:space="0" w:color="auto"/>
                <w:left w:val="none" w:sz="0" w:space="0" w:color="auto"/>
                <w:bottom w:val="none" w:sz="0" w:space="0" w:color="auto"/>
                <w:right w:val="none" w:sz="0" w:space="0" w:color="auto"/>
              </w:divBdr>
            </w:div>
          </w:divsChild>
        </w:div>
        <w:div w:id="411124132">
          <w:marLeft w:val="0"/>
          <w:marRight w:val="0"/>
          <w:marTop w:val="0"/>
          <w:marBottom w:val="0"/>
          <w:divBdr>
            <w:top w:val="none" w:sz="0" w:space="0" w:color="auto"/>
            <w:left w:val="none" w:sz="0" w:space="0" w:color="auto"/>
            <w:bottom w:val="none" w:sz="0" w:space="0" w:color="auto"/>
            <w:right w:val="none" w:sz="0" w:space="0" w:color="auto"/>
          </w:divBdr>
          <w:divsChild>
            <w:div w:id="1255750888">
              <w:marLeft w:val="0"/>
              <w:marRight w:val="0"/>
              <w:marTop w:val="0"/>
              <w:marBottom w:val="0"/>
              <w:divBdr>
                <w:top w:val="none" w:sz="0" w:space="0" w:color="auto"/>
                <w:left w:val="none" w:sz="0" w:space="0" w:color="auto"/>
                <w:bottom w:val="none" w:sz="0" w:space="0" w:color="auto"/>
                <w:right w:val="none" w:sz="0" w:space="0" w:color="auto"/>
              </w:divBdr>
            </w:div>
          </w:divsChild>
        </w:div>
        <w:div w:id="1633368626">
          <w:marLeft w:val="0"/>
          <w:marRight w:val="0"/>
          <w:marTop w:val="0"/>
          <w:marBottom w:val="0"/>
          <w:divBdr>
            <w:top w:val="none" w:sz="0" w:space="0" w:color="auto"/>
            <w:left w:val="none" w:sz="0" w:space="0" w:color="auto"/>
            <w:bottom w:val="none" w:sz="0" w:space="0" w:color="auto"/>
            <w:right w:val="none" w:sz="0" w:space="0" w:color="auto"/>
          </w:divBdr>
          <w:divsChild>
            <w:div w:id="1511947786">
              <w:marLeft w:val="0"/>
              <w:marRight w:val="0"/>
              <w:marTop w:val="0"/>
              <w:marBottom w:val="0"/>
              <w:divBdr>
                <w:top w:val="none" w:sz="0" w:space="0" w:color="auto"/>
                <w:left w:val="none" w:sz="0" w:space="0" w:color="auto"/>
                <w:bottom w:val="none" w:sz="0" w:space="0" w:color="auto"/>
                <w:right w:val="none" w:sz="0" w:space="0" w:color="auto"/>
              </w:divBdr>
            </w:div>
          </w:divsChild>
        </w:div>
        <w:div w:id="1365670710">
          <w:marLeft w:val="0"/>
          <w:marRight w:val="0"/>
          <w:marTop w:val="0"/>
          <w:marBottom w:val="0"/>
          <w:divBdr>
            <w:top w:val="none" w:sz="0" w:space="0" w:color="auto"/>
            <w:left w:val="none" w:sz="0" w:space="0" w:color="auto"/>
            <w:bottom w:val="none" w:sz="0" w:space="0" w:color="auto"/>
            <w:right w:val="none" w:sz="0" w:space="0" w:color="auto"/>
          </w:divBdr>
          <w:divsChild>
            <w:div w:id="743646089">
              <w:marLeft w:val="0"/>
              <w:marRight w:val="0"/>
              <w:marTop w:val="0"/>
              <w:marBottom w:val="0"/>
              <w:divBdr>
                <w:top w:val="none" w:sz="0" w:space="0" w:color="auto"/>
                <w:left w:val="none" w:sz="0" w:space="0" w:color="auto"/>
                <w:bottom w:val="none" w:sz="0" w:space="0" w:color="auto"/>
                <w:right w:val="none" w:sz="0" w:space="0" w:color="auto"/>
              </w:divBdr>
            </w:div>
          </w:divsChild>
        </w:div>
        <w:div w:id="1856991717">
          <w:marLeft w:val="0"/>
          <w:marRight w:val="0"/>
          <w:marTop w:val="300"/>
          <w:marBottom w:val="300"/>
          <w:divBdr>
            <w:top w:val="none" w:sz="0" w:space="0" w:color="auto"/>
            <w:left w:val="none" w:sz="0" w:space="0" w:color="auto"/>
            <w:bottom w:val="none" w:sz="0" w:space="0" w:color="auto"/>
            <w:right w:val="none" w:sz="0" w:space="0" w:color="auto"/>
          </w:divBdr>
        </w:div>
        <w:div w:id="512112231">
          <w:marLeft w:val="0"/>
          <w:marRight w:val="0"/>
          <w:marTop w:val="0"/>
          <w:marBottom w:val="0"/>
          <w:divBdr>
            <w:top w:val="none" w:sz="0" w:space="0" w:color="auto"/>
            <w:left w:val="none" w:sz="0" w:space="0" w:color="auto"/>
            <w:bottom w:val="none" w:sz="0" w:space="0" w:color="auto"/>
            <w:right w:val="none" w:sz="0" w:space="0" w:color="auto"/>
          </w:divBdr>
          <w:divsChild>
            <w:div w:id="2005277452">
              <w:marLeft w:val="0"/>
              <w:marRight w:val="0"/>
              <w:marTop w:val="0"/>
              <w:marBottom w:val="0"/>
              <w:divBdr>
                <w:top w:val="none" w:sz="0" w:space="0" w:color="auto"/>
                <w:left w:val="none" w:sz="0" w:space="0" w:color="auto"/>
                <w:bottom w:val="none" w:sz="0" w:space="0" w:color="auto"/>
                <w:right w:val="none" w:sz="0" w:space="0" w:color="auto"/>
              </w:divBdr>
            </w:div>
          </w:divsChild>
        </w:div>
        <w:div w:id="138428425">
          <w:marLeft w:val="0"/>
          <w:marRight w:val="0"/>
          <w:marTop w:val="0"/>
          <w:marBottom w:val="0"/>
          <w:divBdr>
            <w:top w:val="none" w:sz="0" w:space="0" w:color="auto"/>
            <w:left w:val="none" w:sz="0" w:space="0" w:color="auto"/>
            <w:bottom w:val="none" w:sz="0" w:space="0" w:color="auto"/>
            <w:right w:val="none" w:sz="0" w:space="0" w:color="auto"/>
          </w:divBdr>
          <w:divsChild>
            <w:div w:id="746004332">
              <w:marLeft w:val="0"/>
              <w:marRight w:val="0"/>
              <w:marTop w:val="0"/>
              <w:marBottom w:val="0"/>
              <w:divBdr>
                <w:top w:val="none" w:sz="0" w:space="0" w:color="auto"/>
                <w:left w:val="none" w:sz="0" w:space="0" w:color="auto"/>
                <w:bottom w:val="none" w:sz="0" w:space="0" w:color="auto"/>
                <w:right w:val="none" w:sz="0" w:space="0" w:color="auto"/>
              </w:divBdr>
            </w:div>
          </w:divsChild>
        </w:div>
        <w:div w:id="449932485">
          <w:marLeft w:val="0"/>
          <w:marRight w:val="0"/>
          <w:marTop w:val="0"/>
          <w:marBottom w:val="0"/>
          <w:divBdr>
            <w:top w:val="none" w:sz="0" w:space="0" w:color="auto"/>
            <w:left w:val="none" w:sz="0" w:space="0" w:color="auto"/>
            <w:bottom w:val="none" w:sz="0" w:space="0" w:color="auto"/>
            <w:right w:val="none" w:sz="0" w:space="0" w:color="auto"/>
          </w:divBdr>
          <w:divsChild>
            <w:div w:id="699623969">
              <w:marLeft w:val="0"/>
              <w:marRight w:val="0"/>
              <w:marTop w:val="0"/>
              <w:marBottom w:val="0"/>
              <w:divBdr>
                <w:top w:val="none" w:sz="0" w:space="0" w:color="auto"/>
                <w:left w:val="none" w:sz="0" w:space="0" w:color="auto"/>
                <w:bottom w:val="none" w:sz="0" w:space="0" w:color="auto"/>
                <w:right w:val="none" w:sz="0" w:space="0" w:color="auto"/>
              </w:divBdr>
            </w:div>
          </w:divsChild>
        </w:div>
        <w:div w:id="1352993332">
          <w:marLeft w:val="0"/>
          <w:marRight w:val="0"/>
          <w:marTop w:val="0"/>
          <w:marBottom w:val="0"/>
          <w:divBdr>
            <w:top w:val="none" w:sz="0" w:space="0" w:color="auto"/>
            <w:left w:val="none" w:sz="0" w:space="0" w:color="auto"/>
            <w:bottom w:val="none" w:sz="0" w:space="0" w:color="auto"/>
            <w:right w:val="none" w:sz="0" w:space="0" w:color="auto"/>
          </w:divBdr>
          <w:divsChild>
            <w:div w:id="1950503033">
              <w:marLeft w:val="0"/>
              <w:marRight w:val="0"/>
              <w:marTop w:val="0"/>
              <w:marBottom w:val="0"/>
              <w:divBdr>
                <w:top w:val="none" w:sz="0" w:space="0" w:color="auto"/>
                <w:left w:val="none" w:sz="0" w:space="0" w:color="auto"/>
                <w:bottom w:val="none" w:sz="0" w:space="0" w:color="auto"/>
                <w:right w:val="none" w:sz="0" w:space="0" w:color="auto"/>
              </w:divBdr>
            </w:div>
          </w:divsChild>
        </w:div>
        <w:div w:id="1766993310">
          <w:marLeft w:val="0"/>
          <w:marRight w:val="0"/>
          <w:marTop w:val="0"/>
          <w:marBottom w:val="0"/>
          <w:divBdr>
            <w:top w:val="none" w:sz="0" w:space="0" w:color="auto"/>
            <w:left w:val="none" w:sz="0" w:space="0" w:color="auto"/>
            <w:bottom w:val="none" w:sz="0" w:space="0" w:color="auto"/>
            <w:right w:val="none" w:sz="0" w:space="0" w:color="auto"/>
          </w:divBdr>
          <w:divsChild>
            <w:div w:id="1821917258">
              <w:marLeft w:val="0"/>
              <w:marRight w:val="0"/>
              <w:marTop w:val="0"/>
              <w:marBottom w:val="0"/>
              <w:divBdr>
                <w:top w:val="none" w:sz="0" w:space="0" w:color="auto"/>
                <w:left w:val="none" w:sz="0" w:space="0" w:color="auto"/>
                <w:bottom w:val="none" w:sz="0" w:space="0" w:color="auto"/>
                <w:right w:val="none" w:sz="0" w:space="0" w:color="auto"/>
              </w:divBdr>
            </w:div>
          </w:divsChild>
        </w:div>
        <w:div w:id="445200769">
          <w:marLeft w:val="0"/>
          <w:marRight w:val="0"/>
          <w:marTop w:val="0"/>
          <w:marBottom w:val="0"/>
          <w:divBdr>
            <w:top w:val="none" w:sz="0" w:space="0" w:color="auto"/>
            <w:left w:val="none" w:sz="0" w:space="0" w:color="auto"/>
            <w:bottom w:val="none" w:sz="0" w:space="0" w:color="auto"/>
            <w:right w:val="none" w:sz="0" w:space="0" w:color="auto"/>
          </w:divBdr>
          <w:divsChild>
            <w:div w:id="768966072">
              <w:marLeft w:val="0"/>
              <w:marRight w:val="0"/>
              <w:marTop w:val="0"/>
              <w:marBottom w:val="0"/>
              <w:divBdr>
                <w:top w:val="none" w:sz="0" w:space="0" w:color="auto"/>
                <w:left w:val="none" w:sz="0" w:space="0" w:color="auto"/>
                <w:bottom w:val="none" w:sz="0" w:space="0" w:color="auto"/>
                <w:right w:val="none" w:sz="0" w:space="0" w:color="auto"/>
              </w:divBdr>
            </w:div>
          </w:divsChild>
        </w:div>
        <w:div w:id="834953879">
          <w:marLeft w:val="0"/>
          <w:marRight w:val="0"/>
          <w:marTop w:val="300"/>
          <w:marBottom w:val="300"/>
          <w:divBdr>
            <w:top w:val="none" w:sz="0" w:space="0" w:color="auto"/>
            <w:left w:val="none" w:sz="0" w:space="0" w:color="auto"/>
            <w:bottom w:val="none" w:sz="0" w:space="0" w:color="auto"/>
            <w:right w:val="none" w:sz="0" w:space="0" w:color="auto"/>
          </w:divBdr>
        </w:div>
        <w:div w:id="207662">
          <w:marLeft w:val="0"/>
          <w:marRight w:val="0"/>
          <w:marTop w:val="0"/>
          <w:marBottom w:val="0"/>
          <w:divBdr>
            <w:top w:val="none" w:sz="0" w:space="0" w:color="auto"/>
            <w:left w:val="none" w:sz="0" w:space="0" w:color="auto"/>
            <w:bottom w:val="none" w:sz="0" w:space="0" w:color="auto"/>
            <w:right w:val="none" w:sz="0" w:space="0" w:color="auto"/>
          </w:divBdr>
          <w:divsChild>
            <w:div w:id="1430544781">
              <w:marLeft w:val="0"/>
              <w:marRight w:val="0"/>
              <w:marTop w:val="0"/>
              <w:marBottom w:val="0"/>
              <w:divBdr>
                <w:top w:val="none" w:sz="0" w:space="0" w:color="auto"/>
                <w:left w:val="none" w:sz="0" w:space="0" w:color="auto"/>
                <w:bottom w:val="none" w:sz="0" w:space="0" w:color="auto"/>
                <w:right w:val="none" w:sz="0" w:space="0" w:color="auto"/>
              </w:divBdr>
            </w:div>
          </w:divsChild>
        </w:div>
        <w:div w:id="848450222">
          <w:marLeft w:val="0"/>
          <w:marRight w:val="0"/>
          <w:marTop w:val="0"/>
          <w:marBottom w:val="0"/>
          <w:divBdr>
            <w:top w:val="none" w:sz="0" w:space="0" w:color="auto"/>
            <w:left w:val="none" w:sz="0" w:space="0" w:color="auto"/>
            <w:bottom w:val="none" w:sz="0" w:space="0" w:color="auto"/>
            <w:right w:val="none" w:sz="0" w:space="0" w:color="auto"/>
          </w:divBdr>
          <w:divsChild>
            <w:div w:id="251865179">
              <w:marLeft w:val="0"/>
              <w:marRight w:val="0"/>
              <w:marTop w:val="0"/>
              <w:marBottom w:val="0"/>
              <w:divBdr>
                <w:top w:val="none" w:sz="0" w:space="0" w:color="auto"/>
                <w:left w:val="none" w:sz="0" w:space="0" w:color="auto"/>
                <w:bottom w:val="none" w:sz="0" w:space="0" w:color="auto"/>
                <w:right w:val="none" w:sz="0" w:space="0" w:color="auto"/>
              </w:divBdr>
            </w:div>
          </w:divsChild>
        </w:div>
        <w:div w:id="1919636477">
          <w:marLeft w:val="0"/>
          <w:marRight w:val="0"/>
          <w:marTop w:val="300"/>
          <w:marBottom w:val="300"/>
          <w:divBdr>
            <w:top w:val="none" w:sz="0" w:space="0" w:color="auto"/>
            <w:left w:val="none" w:sz="0" w:space="0" w:color="auto"/>
            <w:bottom w:val="none" w:sz="0" w:space="0" w:color="auto"/>
            <w:right w:val="none" w:sz="0" w:space="0" w:color="auto"/>
          </w:divBdr>
        </w:div>
        <w:div w:id="1141652583">
          <w:marLeft w:val="0"/>
          <w:marRight w:val="0"/>
          <w:marTop w:val="0"/>
          <w:marBottom w:val="0"/>
          <w:divBdr>
            <w:top w:val="none" w:sz="0" w:space="0" w:color="auto"/>
            <w:left w:val="none" w:sz="0" w:space="0" w:color="auto"/>
            <w:bottom w:val="none" w:sz="0" w:space="0" w:color="auto"/>
            <w:right w:val="none" w:sz="0" w:space="0" w:color="auto"/>
          </w:divBdr>
          <w:divsChild>
            <w:div w:id="1131440851">
              <w:marLeft w:val="0"/>
              <w:marRight w:val="0"/>
              <w:marTop w:val="0"/>
              <w:marBottom w:val="0"/>
              <w:divBdr>
                <w:top w:val="none" w:sz="0" w:space="0" w:color="auto"/>
                <w:left w:val="none" w:sz="0" w:space="0" w:color="auto"/>
                <w:bottom w:val="none" w:sz="0" w:space="0" w:color="auto"/>
                <w:right w:val="none" w:sz="0" w:space="0" w:color="auto"/>
              </w:divBdr>
            </w:div>
          </w:divsChild>
        </w:div>
        <w:div w:id="382405810">
          <w:marLeft w:val="0"/>
          <w:marRight w:val="0"/>
          <w:marTop w:val="0"/>
          <w:marBottom w:val="0"/>
          <w:divBdr>
            <w:top w:val="none" w:sz="0" w:space="0" w:color="auto"/>
            <w:left w:val="none" w:sz="0" w:space="0" w:color="auto"/>
            <w:bottom w:val="none" w:sz="0" w:space="0" w:color="auto"/>
            <w:right w:val="none" w:sz="0" w:space="0" w:color="auto"/>
          </w:divBdr>
          <w:divsChild>
            <w:div w:id="1549024741">
              <w:marLeft w:val="0"/>
              <w:marRight w:val="0"/>
              <w:marTop w:val="0"/>
              <w:marBottom w:val="0"/>
              <w:divBdr>
                <w:top w:val="none" w:sz="0" w:space="0" w:color="auto"/>
                <w:left w:val="none" w:sz="0" w:space="0" w:color="auto"/>
                <w:bottom w:val="none" w:sz="0" w:space="0" w:color="auto"/>
                <w:right w:val="none" w:sz="0" w:space="0" w:color="auto"/>
              </w:divBdr>
            </w:div>
          </w:divsChild>
        </w:div>
        <w:div w:id="1579898026">
          <w:marLeft w:val="0"/>
          <w:marRight w:val="0"/>
          <w:marTop w:val="0"/>
          <w:marBottom w:val="0"/>
          <w:divBdr>
            <w:top w:val="none" w:sz="0" w:space="0" w:color="auto"/>
            <w:left w:val="none" w:sz="0" w:space="0" w:color="auto"/>
            <w:bottom w:val="none" w:sz="0" w:space="0" w:color="auto"/>
            <w:right w:val="none" w:sz="0" w:space="0" w:color="auto"/>
          </w:divBdr>
          <w:divsChild>
            <w:div w:id="381908889">
              <w:marLeft w:val="0"/>
              <w:marRight w:val="0"/>
              <w:marTop w:val="0"/>
              <w:marBottom w:val="0"/>
              <w:divBdr>
                <w:top w:val="none" w:sz="0" w:space="0" w:color="auto"/>
                <w:left w:val="none" w:sz="0" w:space="0" w:color="auto"/>
                <w:bottom w:val="none" w:sz="0" w:space="0" w:color="auto"/>
                <w:right w:val="none" w:sz="0" w:space="0" w:color="auto"/>
              </w:divBdr>
            </w:div>
          </w:divsChild>
        </w:div>
        <w:div w:id="1979871266">
          <w:marLeft w:val="0"/>
          <w:marRight w:val="0"/>
          <w:marTop w:val="0"/>
          <w:marBottom w:val="0"/>
          <w:divBdr>
            <w:top w:val="none" w:sz="0" w:space="0" w:color="auto"/>
            <w:left w:val="none" w:sz="0" w:space="0" w:color="auto"/>
            <w:bottom w:val="none" w:sz="0" w:space="0" w:color="auto"/>
            <w:right w:val="none" w:sz="0" w:space="0" w:color="auto"/>
          </w:divBdr>
          <w:divsChild>
            <w:div w:id="752705409">
              <w:marLeft w:val="0"/>
              <w:marRight w:val="0"/>
              <w:marTop w:val="0"/>
              <w:marBottom w:val="0"/>
              <w:divBdr>
                <w:top w:val="none" w:sz="0" w:space="0" w:color="auto"/>
                <w:left w:val="none" w:sz="0" w:space="0" w:color="auto"/>
                <w:bottom w:val="none" w:sz="0" w:space="0" w:color="auto"/>
                <w:right w:val="none" w:sz="0" w:space="0" w:color="auto"/>
              </w:divBdr>
            </w:div>
          </w:divsChild>
        </w:div>
        <w:div w:id="1379433550">
          <w:marLeft w:val="0"/>
          <w:marRight w:val="0"/>
          <w:marTop w:val="0"/>
          <w:marBottom w:val="0"/>
          <w:divBdr>
            <w:top w:val="none" w:sz="0" w:space="0" w:color="auto"/>
            <w:left w:val="none" w:sz="0" w:space="0" w:color="auto"/>
            <w:bottom w:val="none" w:sz="0" w:space="0" w:color="auto"/>
            <w:right w:val="none" w:sz="0" w:space="0" w:color="auto"/>
          </w:divBdr>
          <w:divsChild>
            <w:div w:id="1728139815">
              <w:marLeft w:val="0"/>
              <w:marRight w:val="0"/>
              <w:marTop w:val="0"/>
              <w:marBottom w:val="0"/>
              <w:divBdr>
                <w:top w:val="none" w:sz="0" w:space="0" w:color="auto"/>
                <w:left w:val="none" w:sz="0" w:space="0" w:color="auto"/>
                <w:bottom w:val="none" w:sz="0" w:space="0" w:color="auto"/>
                <w:right w:val="none" w:sz="0" w:space="0" w:color="auto"/>
              </w:divBdr>
            </w:div>
          </w:divsChild>
        </w:div>
        <w:div w:id="1190027656">
          <w:marLeft w:val="0"/>
          <w:marRight w:val="0"/>
          <w:marTop w:val="0"/>
          <w:marBottom w:val="0"/>
          <w:divBdr>
            <w:top w:val="none" w:sz="0" w:space="0" w:color="auto"/>
            <w:left w:val="none" w:sz="0" w:space="0" w:color="auto"/>
            <w:bottom w:val="none" w:sz="0" w:space="0" w:color="auto"/>
            <w:right w:val="none" w:sz="0" w:space="0" w:color="auto"/>
          </w:divBdr>
          <w:divsChild>
            <w:div w:id="1785611150">
              <w:marLeft w:val="0"/>
              <w:marRight w:val="0"/>
              <w:marTop w:val="0"/>
              <w:marBottom w:val="0"/>
              <w:divBdr>
                <w:top w:val="none" w:sz="0" w:space="0" w:color="auto"/>
                <w:left w:val="none" w:sz="0" w:space="0" w:color="auto"/>
                <w:bottom w:val="none" w:sz="0" w:space="0" w:color="auto"/>
                <w:right w:val="none" w:sz="0" w:space="0" w:color="auto"/>
              </w:divBdr>
            </w:div>
          </w:divsChild>
        </w:div>
        <w:div w:id="499391604">
          <w:marLeft w:val="0"/>
          <w:marRight w:val="0"/>
          <w:marTop w:val="0"/>
          <w:marBottom w:val="0"/>
          <w:divBdr>
            <w:top w:val="none" w:sz="0" w:space="0" w:color="auto"/>
            <w:left w:val="none" w:sz="0" w:space="0" w:color="auto"/>
            <w:bottom w:val="none" w:sz="0" w:space="0" w:color="auto"/>
            <w:right w:val="none" w:sz="0" w:space="0" w:color="auto"/>
          </w:divBdr>
          <w:divsChild>
            <w:div w:id="1353459198">
              <w:marLeft w:val="0"/>
              <w:marRight w:val="0"/>
              <w:marTop w:val="0"/>
              <w:marBottom w:val="0"/>
              <w:divBdr>
                <w:top w:val="none" w:sz="0" w:space="0" w:color="auto"/>
                <w:left w:val="none" w:sz="0" w:space="0" w:color="auto"/>
                <w:bottom w:val="none" w:sz="0" w:space="0" w:color="auto"/>
                <w:right w:val="none" w:sz="0" w:space="0" w:color="auto"/>
              </w:divBdr>
            </w:div>
          </w:divsChild>
        </w:div>
        <w:div w:id="276762748">
          <w:marLeft w:val="0"/>
          <w:marRight w:val="0"/>
          <w:marTop w:val="0"/>
          <w:marBottom w:val="0"/>
          <w:divBdr>
            <w:top w:val="none" w:sz="0" w:space="0" w:color="auto"/>
            <w:left w:val="none" w:sz="0" w:space="0" w:color="auto"/>
            <w:bottom w:val="none" w:sz="0" w:space="0" w:color="auto"/>
            <w:right w:val="none" w:sz="0" w:space="0" w:color="auto"/>
          </w:divBdr>
          <w:divsChild>
            <w:div w:id="505636034">
              <w:marLeft w:val="0"/>
              <w:marRight w:val="0"/>
              <w:marTop w:val="0"/>
              <w:marBottom w:val="0"/>
              <w:divBdr>
                <w:top w:val="none" w:sz="0" w:space="0" w:color="auto"/>
                <w:left w:val="none" w:sz="0" w:space="0" w:color="auto"/>
                <w:bottom w:val="none" w:sz="0" w:space="0" w:color="auto"/>
                <w:right w:val="none" w:sz="0" w:space="0" w:color="auto"/>
              </w:divBdr>
            </w:div>
          </w:divsChild>
        </w:div>
        <w:div w:id="264576597">
          <w:marLeft w:val="0"/>
          <w:marRight w:val="0"/>
          <w:marTop w:val="0"/>
          <w:marBottom w:val="0"/>
          <w:divBdr>
            <w:top w:val="none" w:sz="0" w:space="0" w:color="auto"/>
            <w:left w:val="none" w:sz="0" w:space="0" w:color="auto"/>
            <w:bottom w:val="none" w:sz="0" w:space="0" w:color="auto"/>
            <w:right w:val="none" w:sz="0" w:space="0" w:color="auto"/>
          </w:divBdr>
          <w:divsChild>
            <w:div w:id="2088381246">
              <w:marLeft w:val="0"/>
              <w:marRight w:val="0"/>
              <w:marTop w:val="0"/>
              <w:marBottom w:val="0"/>
              <w:divBdr>
                <w:top w:val="none" w:sz="0" w:space="0" w:color="auto"/>
                <w:left w:val="none" w:sz="0" w:space="0" w:color="auto"/>
                <w:bottom w:val="none" w:sz="0" w:space="0" w:color="auto"/>
                <w:right w:val="none" w:sz="0" w:space="0" w:color="auto"/>
              </w:divBdr>
            </w:div>
          </w:divsChild>
        </w:div>
        <w:div w:id="2082480231">
          <w:marLeft w:val="0"/>
          <w:marRight w:val="0"/>
          <w:marTop w:val="0"/>
          <w:marBottom w:val="0"/>
          <w:divBdr>
            <w:top w:val="none" w:sz="0" w:space="0" w:color="auto"/>
            <w:left w:val="none" w:sz="0" w:space="0" w:color="auto"/>
            <w:bottom w:val="none" w:sz="0" w:space="0" w:color="auto"/>
            <w:right w:val="none" w:sz="0" w:space="0" w:color="auto"/>
          </w:divBdr>
          <w:divsChild>
            <w:div w:id="671030304">
              <w:marLeft w:val="0"/>
              <w:marRight w:val="0"/>
              <w:marTop w:val="0"/>
              <w:marBottom w:val="0"/>
              <w:divBdr>
                <w:top w:val="none" w:sz="0" w:space="0" w:color="auto"/>
                <w:left w:val="none" w:sz="0" w:space="0" w:color="auto"/>
                <w:bottom w:val="none" w:sz="0" w:space="0" w:color="auto"/>
                <w:right w:val="none" w:sz="0" w:space="0" w:color="auto"/>
              </w:divBdr>
            </w:div>
          </w:divsChild>
        </w:div>
        <w:div w:id="420640798">
          <w:marLeft w:val="0"/>
          <w:marRight w:val="0"/>
          <w:marTop w:val="0"/>
          <w:marBottom w:val="0"/>
          <w:divBdr>
            <w:top w:val="none" w:sz="0" w:space="0" w:color="auto"/>
            <w:left w:val="none" w:sz="0" w:space="0" w:color="auto"/>
            <w:bottom w:val="none" w:sz="0" w:space="0" w:color="auto"/>
            <w:right w:val="none" w:sz="0" w:space="0" w:color="auto"/>
          </w:divBdr>
          <w:divsChild>
            <w:div w:id="858276109">
              <w:marLeft w:val="0"/>
              <w:marRight w:val="0"/>
              <w:marTop w:val="0"/>
              <w:marBottom w:val="0"/>
              <w:divBdr>
                <w:top w:val="none" w:sz="0" w:space="0" w:color="auto"/>
                <w:left w:val="none" w:sz="0" w:space="0" w:color="auto"/>
                <w:bottom w:val="none" w:sz="0" w:space="0" w:color="auto"/>
                <w:right w:val="none" w:sz="0" w:space="0" w:color="auto"/>
              </w:divBdr>
            </w:div>
          </w:divsChild>
        </w:div>
        <w:div w:id="812017196">
          <w:marLeft w:val="0"/>
          <w:marRight w:val="0"/>
          <w:marTop w:val="0"/>
          <w:marBottom w:val="0"/>
          <w:divBdr>
            <w:top w:val="none" w:sz="0" w:space="0" w:color="auto"/>
            <w:left w:val="none" w:sz="0" w:space="0" w:color="auto"/>
            <w:bottom w:val="none" w:sz="0" w:space="0" w:color="auto"/>
            <w:right w:val="none" w:sz="0" w:space="0" w:color="auto"/>
          </w:divBdr>
          <w:divsChild>
            <w:div w:id="1227375695">
              <w:marLeft w:val="0"/>
              <w:marRight w:val="0"/>
              <w:marTop w:val="0"/>
              <w:marBottom w:val="0"/>
              <w:divBdr>
                <w:top w:val="none" w:sz="0" w:space="0" w:color="auto"/>
                <w:left w:val="none" w:sz="0" w:space="0" w:color="auto"/>
                <w:bottom w:val="none" w:sz="0" w:space="0" w:color="auto"/>
                <w:right w:val="none" w:sz="0" w:space="0" w:color="auto"/>
              </w:divBdr>
            </w:div>
          </w:divsChild>
        </w:div>
        <w:div w:id="2113741354">
          <w:marLeft w:val="0"/>
          <w:marRight w:val="0"/>
          <w:marTop w:val="0"/>
          <w:marBottom w:val="0"/>
          <w:divBdr>
            <w:top w:val="none" w:sz="0" w:space="0" w:color="auto"/>
            <w:left w:val="none" w:sz="0" w:space="0" w:color="auto"/>
            <w:bottom w:val="none" w:sz="0" w:space="0" w:color="auto"/>
            <w:right w:val="none" w:sz="0" w:space="0" w:color="auto"/>
          </w:divBdr>
          <w:divsChild>
            <w:div w:id="1323893363">
              <w:marLeft w:val="0"/>
              <w:marRight w:val="0"/>
              <w:marTop w:val="0"/>
              <w:marBottom w:val="0"/>
              <w:divBdr>
                <w:top w:val="none" w:sz="0" w:space="0" w:color="auto"/>
                <w:left w:val="none" w:sz="0" w:space="0" w:color="auto"/>
                <w:bottom w:val="none" w:sz="0" w:space="0" w:color="auto"/>
                <w:right w:val="none" w:sz="0" w:space="0" w:color="auto"/>
              </w:divBdr>
            </w:div>
          </w:divsChild>
        </w:div>
        <w:div w:id="1057781954">
          <w:marLeft w:val="0"/>
          <w:marRight w:val="0"/>
          <w:marTop w:val="0"/>
          <w:marBottom w:val="0"/>
          <w:divBdr>
            <w:top w:val="none" w:sz="0" w:space="0" w:color="auto"/>
            <w:left w:val="none" w:sz="0" w:space="0" w:color="auto"/>
            <w:bottom w:val="none" w:sz="0" w:space="0" w:color="auto"/>
            <w:right w:val="none" w:sz="0" w:space="0" w:color="auto"/>
          </w:divBdr>
          <w:divsChild>
            <w:div w:id="991758431">
              <w:marLeft w:val="0"/>
              <w:marRight w:val="0"/>
              <w:marTop w:val="0"/>
              <w:marBottom w:val="0"/>
              <w:divBdr>
                <w:top w:val="none" w:sz="0" w:space="0" w:color="auto"/>
                <w:left w:val="none" w:sz="0" w:space="0" w:color="auto"/>
                <w:bottom w:val="none" w:sz="0" w:space="0" w:color="auto"/>
                <w:right w:val="none" w:sz="0" w:space="0" w:color="auto"/>
              </w:divBdr>
            </w:div>
          </w:divsChild>
        </w:div>
        <w:div w:id="1370841871">
          <w:marLeft w:val="0"/>
          <w:marRight w:val="0"/>
          <w:marTop w:val="0"/>
          <w:marBottom w:val="0"/>
          <w:divBdr>
            <w:top w:val="none" w:sz="0" w:space="0" w:color="auto"/>
            <w:left w:val="none" w:sz="0" w:space="0" w:color="auto"/>
            <w:bottom w:val="none" w:sz="0" w:space="0" w:color="auto"/>
            <w:right w:val="none" w:sz="0" w:space="0" w:color="auto"/>
          </w:divBdr>
          <w:divsChild>
            <w:div w:id="1558322891">
              <w:marLeft w:val="0"/>
              <w:marRight w:val="0"/>
              <w:marTop w:val="0"/>
              <w:marBottom w:val="0"/>
              <w:divBdr>
                <w:top w:val="none" w:sz="0" w:space="0" w:color="auto"/>
                <w:left w:val="none" w:sz="0" w:space="0" w:color="auto"/>
                <w:bottom w:val="none" w:sz="0" w:space="0" w:color="auto"/>
                <w:right w:val="none" w:sz="0" w:space="0" w:color="auto"/>
              </w:divBdr>
            </w:div>
          </w:divsChild>
        </w:div>
        <w:div w:id="1270435018">
          <w:marLeft w:val="0"/>
          <w:marRight w:val="0"/>
          <w:marTop w:val="300"/>
          <w:marBottom w:val="300"/>
          <w:divBdr>
            <w:top w:val="none" w:sz="0" w:space="0" w:color="auto"/>
            <w:left w:val="none" w:sz="0" w:space="0" w:color="auto"/>
            <w:bottom w:val="none" w:sz="0" w:space="0" w:color="auto"/>
            <w:right w:val="none" w:sz="0" w:space="0" w:color="auto"/>
          </w:divBdr>
        </w:div>
        <w:div w:id="1473712620">
          <w:marLeft w:val="0"/>
          <w:marRight w:val="0"/>
          <w:marTop w:val="0"/>
          <w:marBottom w:val="0"/>
          <w:divBdr>
            <w:top w:val="none" w:sz="0" w:space="0" w:color="auto"/>
            <w:left w:val="none" w:sz="0" w:space="0" w:color="auto"/>
            <w:bottom w:val="none" w:sz="0" w:space="0" w:color="auto"/>
            <w:right w:val="none" w:sz="0" w:space="0" w:color="auto"/>
          </w:divBdr>
          <w:divsChild>
            <w:div w:id="1860124602">
              <w:marLeft w:val="0"/>
              <w:marRight w:val="0"/>
              <w:marTop w:val="0"/>
              <w:marBottom w:val="0"/>
              <w:divBdr>
                <w:top w:val="none" w:sz="0" w:space="0" w:color="auto"/>
                <w:left w:val="none" w:sz="0" w:space="0" w:color="auto"/>
                <w:bottom w:val="none" w:sz="0" w:space="0" w:color="auto"/>
                <w:right w:val="none" w:sz="0" w:space="0" w:color="auto"/>
              </w:divBdr>
            </w:div>
          </w:divsChild>
        </w:div>
        <w:div w:id="458110723">
          <w:marLeft w:val="0"/>
          <w:marRight w:val="0"/>
          <w:marTop w:val="300"/>
          <w:marBottom w:val="300"/>
          <w:divBdr>
            <w:top w:val="none" w:sz="0" w:space="0" w:color="auto"/>
            <w:left w:val="none" w:sz="0" w:space="0" w:color="auto"/>
            <w:bottom w:val="none" w:sz="0" w:space="0" w:color="auto"/>
            <w:right w:val="none" w:sz="0" w:space="0" w:color="auto"/>
          </w:divBdr>
        </w:div>
        <w:div w:id="1895703132">
          <w:marLeft w:val="0"/>
          <w:marRight w:val="0"/>
          <w:marTop w:val="0"/>
          <w:marBottom w:val="0"/>
          <w:divBdr>
            <w:top w:val="none" w:sz="0" w:space="0" w:color="auto"/>
            <w:left w:val="none" w:sz="0" w:space="0" w:color="auto"/>
            <w:bottom w:val="none" w:sz="0" w:space="0" w:color="auto"/>
            <w:right w:val="none" w:sz="0" w:space="0" w:color="auto"/>
          </w:divBdr>
          <w:divsChild>
            <w:div w:id="263003011">
              <w:marLeft w:val="0"/>
              <w:marRight w:val="0"/>
              <w:marTop w:val="0"/>
              <w:marBottom w:val="0"/>
              <w:divBdr>
                <w:top w:val="none" w:sz="0" w:space="0" w:color="auto"/>
                <w:left w:val="none" w:sz="0" w:space="0" w:color="auto"/>
                <w:bottom w:val="none" w:sz="0" w:space="0" w:color="auto"/>
                <w:right w:val="none" w:sz="0" w:space="0" w:color="auto"/>
              </w:divBdr>
            </w:div>
          </w:divsChild>
        </w:div>
        <w:div w:id="957836449">
          <w:marLeft w:val="0"/>
          <w:marRight w:val="0"/>
          <w:marTop w:val="0"/>
          <w:marBottom w:val="0"/>
          <w:divBdr>
            <w:top w:val="none" w:sz="0" w:space="0" w:color="auto"/>
            <w:left w:val="none" w:sz="0" w:space="0" w:color="auto"/>
            <w:bottom w:val="none" w:sz="0" w:space="0" w:color="auto"/>
            <w:right w:val="none" w:sz="0" w:space="0" w:color="auto"/>
          </w:divBdr>
          <w:divsChild>
            <w:div w:id="827330439">
              <w:marLeft w:val="0"/>
              <w:marRight w:val="0"/>
              <w:marTop w:val="0"/>
              <w:marBottom w:val="0"/>
              <w:divBdr>
                <w:top w:val="none" w:sz="0" w:space="0" w:color="auto"/>
                <w:left w:val="none" w:sz="0" w:space="0" w:color="auto"/>
                <w:bottom w:val="none" w:sz="0" w:space="0" w:color="auto"/>
                <w:right w:val="none" w:sz="0" w:space="0" w:color="auto"/>
              </w:divBdr>
            </w:div>
          </w:divsChild>
        </w:div>
        <w:div w:id="25568200">
          <w:marLeft w:val="0"/>
          <w:marRight w:val="0"/>
          <w:marTop w:val="0"/>
          <w:marBottom w:val="0"/>
          <w:divBdr>
            <w:top w:val="none" w:sz="0" w:space="0" w:color="auto"/>
            <w:left w:val="none" w:sz="0" w:space="0" w:color="auto"/>
            <w:bottom w:val="none" w:sz="0" w:space="0" w:color="auto"/>
            <w:right w:val="none" w:sz="0" w:space="0" w:color="auto"/>
          </w:divBdr>
          <w:divsChild>
            <w:div w:id="1919316480">
              <w:marLeft w:val="0"/>
              <w:marRight w:val="0"/>
              <w:marTop w:val="0"/>
              <w:marBottom w:val="0"/>
              <w:divBdr>
                <w:top w:val="none" w:sz="0" w:space="0" w:color="auto"/>
                <w:left w:val="none" w:sz="0" w:space="0" w:color="auto"/>
                <w:bottom w:val="none" w:sz="0" w:space="0" w:color="auto"/>
                <w:right w:val="none" w:sz="0" w:space="0" w:color="auto"/>
              </w:divBdr>
            </w:div>
          </w:divsChild>
        </w:div>
        <w:div w:id="570626442">
          <w:marLeft w:val="0"/>
          <w:marRight w:val="0"/>
          <w:marTop w:val="0"/>
          <w:marBottom w:val="0"/>
          <w:divBdr>
            <w:top w:val="none" w:sz="0" w:space="0" w:color="auto"/>
            <w:left w:val="none" w:sz="0" w:space="0" w:color="auto"/>
            <w:bottom w:val="none" w:sz="0" w:space="0" w:color="auto"/>
            <w:right w:val="none" w:sz="0" w:space="0" w:color="auto"/>
          </w:divBdr>
          <w:divsChild>
            <w:div w:id="1028025446">
              <w:marLeft w:val="0"/>
              <w:marRight w:val="0"/>
              <w:marTop w:val="0"/>
              <w:marBottom w:val="0"/>
              <w:divBdr>
                <w:top w:val="none" w:sz="0" w:space="0" w:color="auto"/>
                <w:left w:val="none" w:sz="0" w:space="0" w:color="auto"/>
                <w:bottom w:val="none" w:sz="0" w:space="0" w:color="auto"/>
                <w:right w:val="none" w:sz="0" w:space="0" w:color="auto"/>
              </w:divBdr>
            </w:div>
          </w:divsChild>
        </w:div>
        <w:div w:id="1793207005">
          <w:marLeft w:val="0"/>
          <w:marRight w:val="0"/>
          <w:marTop w:val="0"/>
          <w:marBottom w:val="0"/>
          <w:divBdr>
            <w:top w:val="none" w:sz="0" w:space="0" w:color="auto"/>
            <w:left w:val="none" w:sz="0" w:space="0" w:color="auto"/>
            <w:bottom w:val="none" w:sz="0" w:space="0" w:color="auto"/>
            <w:right w:val="none" w:sz="0" w:space="0" w:color="auto"/>
          </w:divBdr>
          <w:divsChild>
            <w:div w:id="1557744471">
              <w:marLeft w:val="0"/>
              <w:marRight w:val="0"/>
              <w:marTop w:val="0"/>
              <w:marBottom w:val="0"/>
              <w:divBdr>
                <w:top w:val="none" w:sz="0" w:space="0" w:color="auto"/>
                <w:left w:val="none" w:sz="0" w:space="0" w:color="auto"/>
                <w:bottom w:val="none" w:sz="0" w:space="0" w:color="auto"/>
                <w:right w:val="none" w:sz="0" w:space="0" w:color="auto"/>
              </w:divBdr>
            </w:div>
          </w:divsChild>
        </w:div>
        <w:div w:id="1908297871">
          <w:marLeft w:val="0"/>
          <w:marRight w:val="0"/>
          <w:marTop w:val="300"/>
          <w:marBottom w:val="300"/>
          <w:divBdr>
            <w:top w:val="none" w:sz="0" w:space="0" w:color="auto"/>
            <w:left w:val="none" w:sz="0" w:space="0" w:color="auto"/>
            <w:bottom w:val="none" w:sz="0" w:space="0" w:color="auto"/>
            <w:right w:val="none" w:sz="0" w:space="0" w:color="auto"/>
          </w:divBdr>
        </w:div>
        <w:div w:id="786970302">
          <w:marLeft w:val="0"/>
          <w:marRight w:val="0"/>
          <w:marTop w:val="0"/>
          <w:marBottom w:val="0"/>
          <w:divBdr>
            <w:top w:val="none" w:sz="0" w:space="0" w:color="auto"/>
            <w:left w:val="none" w:sz="0" w:space="0" w:color="auto"/>
            <w:bottom w:val="none" w:sz="0" w:space="0" w:color="auto"/>
            <w:right w:val="none" w:sz="0" w:space="0" w:color="auto"/>
          </w:divBdr>
          <w:divsChild>
            <w:div w:id="754671610">
              <w:marLeft w:val="0"/>
              <w:marRight w:val="0"/>
              <w:marTop w:val="0"/>
              <w:marBottom w:val="0"/>
              <w:divBdr>
                <w:top w:val="none" w:sz="0" w:space="0" w:color="auto"/>
                <w:left w:val="none" w:sz="0" w:space="0" w:color="auto"/>
                <w:bottom w:val="none" w:sz="0" w:space="0" w:color="auto"/>
                <w:right w:val="none" w:sz="0" w:space="0" w:color="auto"/>
              </w:divBdr>
            </w:div>
          </w:divsChild>
        </w:div>
        <w:div w:id="1497375342">
          <w:marLeft w:val="0"/>
          <w:marRight w:val="0"/>
          <w:marTop w:val="0"/>
          <w:marBottom w:val="0"/>
          <w:divBdr>
            <w:top w:val="none" w:sz="0" w:space="0" w:color="auto"/>
            <w:left w:val="none" w:sz="0" w:space="0" w:color="auto"/>
            <w:bottom w:val="none" w:sz="0" w:space="0" w:color="auto"/>
            <w:right w:val="none" w:sz="0" w:space="0" w:color="auto"/>
          </w:divBdr>
          <w:divsChild>
            <w:div w:id="583299222">
              <w:marLeft w:val="0"/>
              <w:marRight w:val="0"/>
              <w:marTop w:val="0"/>
              <w:marBottom w:val="0"/>
              <w:divBdr>
                <w:top w:val="none" w:sz="0" w:space="0" w:color="auto"/>
                <w:left w:val="none" w:sz="0" w:space="0" w:color="auto"/>
                <w:bottom w:val="none" w:sz="0" w:space="0" w:color="auto"/>
                <w:right w:val="none" w:sz="0" w:space="0" w:color="auto"/>
              </w:divBdr>
            </w:div>
          </w:divsChild>
        </w:div>
        <w:div w:id="1283078510">
          <w:marLeft w:val="0"/>
          <w:marRight w:val="0"/>
          <w:marTop w:val="0"/>
          <w:marBottom w:val="0"/>
          <w:divBdr>
            <w:top w:val="none" w:sz="0" w:space="0" w:color="auto"/>
            <w:left w:val="none" w:sz="0" w:space="0" w:color="auto"/>
            <w:bottom w:val="none" w:sz="0" w:space="0" w:color="auto"/>
            <w:right w:val="none" w:sz="0" w:space="0" w:color="auto"/>
          </w:divBdr>
          <w:divsChild>
            <w:div w:id="1571774116">
              <w:marLeft w:val="0"/>
              <w:marRight w:val="0"/>
              <w:marTop w:val="0"/>
              <w:marBottom w:val="0"/>
              <w:divBdr>
                <w:top w:val="none" w:sz="0" w:space="0" w:color="auto"/>
                <w:left w:val="none" w:sz="0" w:space="0" w:color="auto"/>
                <w:bottom w:val="none" w:sz="0" w:space="0" w:color="auto"/>
                <w:right w:val="none" w:sz="0" w:space="0" w:color="auto"/>
              </w:divBdr>
            </w:div>
          </w:divsChild>
        </w:div>
        <w:div w:id="665089554">
          <w:marLeft w:val="0"/>
          <w:marRight w:val="0"/>
          <w:marTop w:val="0"/>
          <w:marBottom w:val="0"/>
          <w:divBdr>
            <w:top w:val="none" w:sz="0" w:space="0" w:color="auto"/>
            <w:left w:val="none" w:sz="0" w:space="0" w:color="auto"/>
            <w:bottom w:val="none" w:sz="0" w:space="0" w:color="auto"/>
            <w:right w:val="none" w:sz="0" w:space="0" w:color="auto"/>
          </w:divBdr>
          <w:divsChild>
            <w:div w:id="1132332247">
              <w:marLeft w:val="0"/>
              <w:marRight w:val="0"/>
              <w:marTop w:val="0"/>
              <w:marBottom w:val="0"/>
              <w:divBdr>
                <w:top w:val="none" w:sz="0" w:space="0" w:color="auto"/>
                <w:left w:val="none" w:sz="0" w:space="0" w:color="auto"/>
                <w:bottom w:val="none" w:sz="0" w:space="0" w:color="auto"/>
                <w:right w:val="none" w:sz="0" w:space="0" w:color="auto"/>
              </w:divBdr>
            </w:div>
          </w:divsChild>
        </w:div>
        <w:div w:id="113912852">
          <w:marLeft w:val="0"/>
          <w:marRight w:val="0"/>
          <w:marTop w:val="0"/>
          <w:marBottom w:val="0"/>
          <w:divBdr>
            <w:top w:val="none" w:sz="0" w:space="0" w:color="auto"/>
            <w:left w:val="none" w:sz="0" w:space="0" w:color="auto"/>
            <w:bottom w:val="none" w:sz="0" w:space="0" w:color="auto"/>
            <w:right w:val="none" w:sz="0" w:space="0" w:color="auto"/>
          </w:divBdr>
          <w:divsChild>
            <w:div w:id="1238638534">
              <w:marLeft w:val="0"/>
              <w:marRight w:val="0"/>
              <w:marTop w:val="0"/>
              <w:marBottom w:val="0"/>
              <w:divBdr>
                <w:top w:val="none" w:sz="0" w:space="0" w:color="auto"/>
                <w:left w:val="none" w:sz="0" w:space="0" w:color="auto"/>
                <w:bottom w:val="none" w:sz="0" w:space="0" w:color="auto"/>
                <w:right w:val="none" w:sz="0" w:space="0" w:color="auto"/>
              </w:divBdr>
            </w:div>
          </w:divsChild>
        </w:div>
        <w:div w:id="1345479313">
          <w:marLeft w:val="0"/>
          <w:marRight w:val="0"/>
          <w:marTop w:val="0"/>
          <w:marBottom w:val="0"/>
          <w:divBdr>
            <w:top w:val="none" w:sz="0" w:space="0" w:color="auto"/>
            <w:left w:val="none" w:sz="0" w:space="0" w:color="auto"/>
            <w:bottom w:val="none" w:sz="0" w:space="0" w:color="auto"/>
            <w:right w:val="none" w:sz="0" w:space="0" w:color="auto"/>
          </w:divBdr>
          <w:divsChild>
            <w:div w:id="401606792">
              <w:marLeft w:val="0"/>
              <w:marRight w:val="0"/>
              <w:marTop w:val="0"/>
              <w:marBottom w:val="0"/>
              <w:divBdr>
                <w:top w:val="none" w:sz="0" w:space="0" w:color="auto"/>
                <w:left w:val="none" w:sz="0" w:space="0" w:color="auto"/>
                <w:bottom w:val="none" w:sz="0" w:space="0" w:color="auto"/>
                <w:right w:val="none" w:sz="0" w:space="0" w:color="auto"/>
              </w:divBdr>
            </w:div>
          </w:divsChild>
        </w:div>
        <w:div w:id="1520194560">
          <w:marLeft w:val="0"/>
          <w:marRight w:val="0"/>
          <w:marTop w:val="0"/>
          <w:marBottom w:val="0"/>
          <w:divBdr>
            <w:top w:val="none" w:sz="0" w:space="0" w:color="auto"/>
            <w:left w:val="none" w:sz="0" w:space="0" w:color="auto"/>
            <w:bottom w:val="none" w:sz="0" w:space="0" w:color="auto"/>
            <w:right w:val="none" w:sz="0" w:space="0" w:color="auto"/>
          </w:divBdr>
          <w:divsChild>
            <w:div w:id="1807040362">
              <w:marLeft w:val="0"/>
              <w:marRight w:val="0"/>
              <w:marTop w:val="0"/>
              <w:marBottom w:val="0"/>
              <w:divBdr>
                <w:top w:val="none" w:sz="0" w:space="0" w:color="auto"/>
                <w:left w:val="none" w:sz="0" w:space="0" w:color="auto"/>
                <w:bottom w:val="none" w:sz="0" w:space="0" w:color="auto"/>
                <w:right w:val="none" w:sz="0" w:space="0" w:color="auto"/>
              </w:divBdr>
            </w:div>
          </w:divsChild>
        </w:div>
        <w:div w:id="573468566">
          <w:marLeft w:val="0"/>
          <w:marRight w:val="0"/>
          <w:marTop w:val="300"/>
          <w:marBottom w:val="300"/>
          <w:divBdr>
            <w:top w:val="none" w:sz="0" w:space="0" w:color="auto"/>
            <w:left w:val="none" w:sz="0" w:space="0" w:color="auto"/>
            <w:bottom w:val="none" w:sz="0" w:space="0" w:color="auto"/>
            <w:right w:val="none" w:sz="0" w:space="0" w:color="auto"/>
          </w:divBdr>
        </w:div>
        <w:div w:id="1378890281">
          <w:marLeft w:val="0"/>
          <w:marRight w:val="0"/>
          <w:marTop w:val="0"/>
          <w:marBottom w:val="0"/>
          <w:divBdr>
            <w:top w:val="none" w:sz="0" w:space="0" w:color="auto"/>
            <w:left w:val="none" w:sz="0" w:space="0" w:color="auto"/>
            <w:bottom w:val="none" w:sz="0" w:space="0" w:color="auto"/>
            <w:right w:val="none" w:sz="0" w:space="0" w:color="auto"/>
          </w:divBdr>
          <w:divsChild>
            <w:div w:id="1984700197">
              <w:marLeft w:val="0"/>
              <w:marRight w:val="0"/>
              <w:marTop w:val="0"/>
              <w:marBottom w:val="0"/>
              <w:divBdr>
                <w:top w:val="none" w:sz="0" w:space="0" w:color="auto"/>
                <w:left w:val="none" w:sz="0" w:space="0" w:color="auto"/>
                <w:bottom w:val="none" w:sz="0" w:space="0" w:color="auto"/>
                <w:right w:val="none" w:sz="0" w:space="0" w:color="auto"/>
              </w:divBdr>
            </w:div>
          </w:divsChild>
        </w:div>
        <w:div w:id="1935818293">
          <w:marLeft w:val="0"/>
          <w:marRight w:val="0"/>
          <w:marTop w:val="0"/>
          <w:marBottom w:val="0"/>
          <w:divBdr>
            <w:top w:val="none" w:sz="0" w:space="0" w:color="auto"/>
            <w:left w:val="none" w:sz="0" w:space="0" w:color="auto"/>
            <w:bottom w:val="none" w:sz="0" w:space="0" w:color="auto"/>
            <w:right w:val="none" w:sz="0" w:space="0" w:color="auto"/>
          </w:divBdr>
          <w:divsChild>
            <w:div w:id="1556039738">
              <w:marLeft w:val="0"/>
              <w:marRight w:val="0"/>
              <w:marTop w:val="0"/>
              <w:marBottom w:val="0"/>
              <w:divBdr>
                <w:top w:val="none" w:sz="0" w:space="0" w:color="auto"/>
                <w:left w:val="none" w:sz="0" w:space="0" w:color="auto"/>
                <w:bottom w:val="none" w:sz="0" w:space="0" w:color="auto"/>
                <w:right w:val="none" w:sz="0" w:space="0" w:color="auto"/>
              </w:divBdr>
            </w:div>
          </w:divsChild>
        </w:div>
        <w:div w:id="725300973">
          <w:marLeft w:val="0"/>
          <w:marRight w:val="0"/>
          <w:marTop w:val="0"/>
          <w:marBottom w:val="0"/>
          <w:divBdr>
            <w:top w:val="none" w:sz="0" w:space="0" w:color="auto"/>
            <w:left w:val="none" w:sz="0" w:space="0" w:color="auto"/>
            <w:bottom w:val="none" w:sz="0" w:space="0" w:color="auto"/>
            <w:right w:val="none" w:sz="0" w:space="0" w:color="auto"/>
          </w:divBdr>
          <w:divsChild>
            <w:div w:id="513956444">
              <w:marLeft w:val="0"/>
              <w:marRight w:val="0"/>
              <w:marTop w:val="0"/>
              <w:marBottom w:val="0"/>
              <w:divBdr>
                <w:top w:val="none" w:sz="0" w:space="0" w:color="auto"/>
                <w:left w:val="none" w:sz="0" w:space="0" w:color="auto"/>
                <w:bottom w:val="none" w:sz="0" w:space="0" w:color="auto"/>
                <w:right w:val="none" w:sz="0" w:space="0" w:color="auto"/>
              </w:divBdr>
            </w:div>
          </w:divsChild>
        </w:div>
        <w:div w:id="449670779">
          <w:marLeft w:val="0"/>
          <w:marRight w:val="0"/>
          <w:marTop w:val="0"/>
          <w:marBottom w:val="0"/>
          <w:divBdr>
            <w:top w:val="none" w:sz="0" w:space="0" w:color="auto"/>
            <w:left w:val="none" w:sz="0" w:space="0" w:color="auto"/>
            <w:bottom w:val="none" w:sz="0" w:space="0" w:color="auto"/>
            <w:right w:val="none" w:sz="0" w:space="0" w:color="auto"/>
          </w:divBdr>
          <w:divsChild>
            <w:div w:id="858082083">
              <w:marLeft w:val="0"/>
              <w:marRight w:val="0"/>
              <w:marTop w:val="0"/>
              <w:marBottom w:val="0"/>
              <w:divBdr>
                <w:top w:val="none" w:sz="0" w:space="0" w:color="auto"/>
                <w:left w:val="none" w:sz="0" w:space="0" w:color="auto"/>
                <w:bottom w:val="none" w:sz="0" w:space="0" w:color="auto"/>
                <w:right w:val="none" w:sz="0" w:space="0" w:color="auto"/>
              </w:divBdr>
            </w:div>
          </w:divsChild>
        </w:div>
        <w:div w:id="660811815">
          <w:marLeft w:val="0"/>
          <w:marRight w:val="0"/>
          <w:marTop w:val="0"/>
          <w:marBottom w:val="0"/>
          <w:divBdr>
            <w:top w:val="none" w:sz="0" w:space="0" w:color="auto"/>
            <w:left w:val="none" w:sz="0" w:space="0" w:color="auto"/>
            <w:bottom w:val="none" w:sz="0" w:space="0" w:color="auto"/>
            <w:right w:val="none" w:sz="0" w:space="0" w:color="auto"/>
          </w:divBdr>
          <w:divsChild>
            <w:div w:id="495270927">
              <w:marLeft w:val="0"/>
              <w:marRight w:val="0"/>
              <w:marTop w:val="0"/>
              <w:marBottom w:val="0"/>
              <w:divBdr>
                <w:top w:val="none" w:sz="0" w:space="0" w:color="auto"/>
                <w:left w:val="none" w:sz="0" w:space="0" w:color="auto"/>
                <w:bottom w:val="none" w:sz="0" w:space="0" w:color="auto"/>
                <w:right w:val="none" w:sz="0" w:space="0" w:color="auto"/>
              </w:divBdr>
            </w:div>
          </w:divsChild>
        </w:div>
        <w:div w:id="1030032370">
          <w:marLeft w:val="0"/>
          <w:marRight w:val="0"/>
          <w:marTop w:val="0"/>
          <w:marBottom w:val="0"/>
          <w:divBdr>
            <w:top w:val="none" w:sz="0" w:space="0" w:color="auto"/>
            <w:left w:val="none" w:sz="0" w:space="0" w:color="auto"/>
            <w:bottom w:val="none" w:sz="0" w:space="0" w:color="auto"/>
            <w:right w:val="none" w:sz="0" w:space="0" w:color="auto"/>
          </w:divBdr>
          <w:divsChild>
            <w:div w:id="1684476027">
              <w:marLeft w:val="0"/>
              <w:marRight w:val="0"/>
              <w:marTop w:val="0"/>
              <w:marBottom w:val="0"/>
              <w:divBdr>
                <w:top w:val="none" w:sz="0" w:space="0" w:color="auto"/>
                <w:left w:val="none" w:sz="0" w:space="0" w:color="auto"/>
                <w:bottom w:val="none" w:sz="0" w:space="0" w:color="auto"/>
                <w:right w:val="none" w:sz="0" w:space="0" w:color="auto"/>
              </w:divBdr>
            </w:div>
          </w:divsChild>
        </w:div>
        <w:div w:id="1408265396">
          <w:marLeft w:val="0"/>
          <w:marRight w:val="0"/>
          <w:marTop w:val="0"/>
          <w:marBottom w:val="0"/>
          <w:divBdr>
            <w:top w:val="none" w:sz="0" w:space="0" w:color="auto"/>
            <w:left w:val="none" w:sz="0" w:space="0" w:color="auto"/>
            <w:bottom w:val="none" w:sz="0" w:space="0" w:color="auto"/>
            <w:right w:val="none" w:sz="0" w:space="0" w:color="auto"/>
          </w:divBdr>
          <w:divsChild>
            <w:div w:id="1357661444">
              <w:marLeft w:val="0"/>
              <w:marRight w:val="0"/>
              <w:marTop w:val="0"/>
              <w:marBottom w:val="0"/>
              <w:divBdr>
                <w:top w:val="none" w:sz="0" w:space="0" w:color="auto"/>
                <w:left w:val="none" w:sz="0" w:space="0" w:color="auto"/>
                <w:bottom w:val="none" w:sz="0" w:space="0" w:color="auto"/>
                <w:right w:val="none" w:sz="0" w:space="0" w:color="auto"/>
              </w:divBdr>
            </w:div>
          </w:divsChild>
        </w:div>
        <w:div w:id="452990515">
          <w:marLeft w:val="0"/>
          <w:marRight w:val="0"/>
          <w:marTop w:val="0"/>
          <w:marBottom w:val="0"/>
          <w:divBdr>
            <w:top w:val="none" w:sz="0" w:space="0" w:color="auto"/>
            <w:left w:val="none" w:sz="0" w:space="0" w:color="auto"/>
            <w:bottom w:val="none" w:sz="0" w:space="0" w:color="auto"/>
            <w:right w:val="none" w:sz="0" w:space="0" w:color="auto"/>
          </w:divBdr>
          <w:divsChild>
            <w:div w:id="1819833980">
              <w:marLeft w:val="0"/>
              <w:marRight w:val="0"/>
              <w:marTop w:val="0"/>
              <w:marBottom w:val="0"/>
              <w:divBdr>
                <w:top w:val="none" w:sz="0" w:space="0" w:color="auto"/>
                <w:left w:val="none" w:sz="0" w:space="0" w:color="auto"/>
                <w:bottom w:val="none" w:sz="0" w:space="0" w:color="auto"/>
                <w:right w:val="none" w:sz="0" w:space="0" w:color="auto"/>
              </w:divBdr>
            </w:div>
          </w:divsChild>
        </w:div>
        <w:div w:id="271598247">
          <w:marLeft w:val="0"/>
          <w:marRight w:val="0"/>
          <w:marTop w:val="0"/>
          <w:marBottom w:val="0"/>
          <w:divBdr>
            <w:top w:val="none" w:sz="0" w:space="0" w:color="auto"/>
            <w:left w:val="none" w:sz="0" w:space="0" w:color="auto"/>
            <w:bottom w:val="none" w:sz="0" w:space="0" w:color="auto"/>
            <w:right w:val="none" w:sz="0" w:space="0" w:color="auto"/>
          </w:divBdr>
          <w:divsChild>
            <w:div w:id="817108827">
              <w:marLeft w:val="0"/>
              <w:marRight w:val="0"/>
              <w:marTop w:val="0"/>
              <w:marBottom w:val="0"/>
              <w:divBdr>
                <w:top w:val="none" w:sz="0" w:space="0" w:color="auto"/>
                <w:left w:val="none" w:sz="0" w:space="0" w:color="auto"/>
                <w:bottom w:val="none" w:sz="0" w:space="0" w:color="auto"/>
                <w:right w:val="none" w:sz="0" w:space="0" w:color="auto"/>
              </w:divBdr>
            </w:div>
          </w:divsChild>
        </w:div>
        <w:div w:id="429085606">
          <w:marLeft w:val="0"/>
          <w:marRight w:val="0"/>
          <w:marTop w:val="300"/>
          <w:marBottom w:val="300"/>
          <w:divBdr>
            <w:top w:val="none" w:sz="0" w:space="0" w:color="auto"/>
            <w:left w:val="none" w:sz="0" w:space="0" w:color="auto"/>
            <w:bottom w:val="none" w:sz="0" w:space="0" w:color="auto"/>
            <w:right w:val="none" w:sz="0" w:space="0" w:color="auto"/>
          </w:divBdr>
        </w:div>
        <w:div w:id="1059400372">
          <w:marLeft w:val="0"/>
          <w:marRight w:val="0"/>
          <w:marTop w:val="0"/>
          <w:marBottom w:val="0"/>
          <w:divBdr>
            <w:top w:val="none" w:sz="0" w:space="0" w:color="auto"/>
            <w:left w:val="none" w:sz="0" w:space="0" w:color="auto"/>
            <w:bottom w:val="none" w:sz="0" w:space="0" w:color="auto"/>
            <w:right w:val="none" w:sz="0" w:space="0" w:color="auto"/>
          </w:divBdr>
          <w:divsChild>
            <w:div w:id="924343457">
              <w:marLeft w:val="0"/>
              <w:marRight w:val="0"/>
              <w:marTop w:val="0"/>
              <w:marBottom w:val="0"/>
              <w:divBdr>
                <w:top w:val="none" w:sz="0" w:space="0" w:color="auto"/>
                <w:left w:val="none" w:sz="0" w:space="0" w:color="auto"/>
                <w:bottom w:val="none" w:sz="0" w:space="0" w:color="auto"/>
                <w:right w:val="none" w:sz="0" w:space="0" w:color="auto"/>
              </w:divBdr>
            </w:div>
          </w:divsChild>
        </w:div>
        <w:div w:id="1001421949">
          <w:marLeft w:val="0"/>
          <w:marRight w:val="0"/>
          <w:marTop w:val="0"/>
          <w:marBottom w:val="0"/>
          <w:divBdr>
            <w:top w:val="none" w:sz="0" w:space="0" w:color="auto"/>
            <w:left w:val="none" w:sz="0" w:space="0" w:color="auto"/>
            <w:bottom w:val="none" w:sz="0" w:space="0" w:color="auto"/>
            <w:right w:val="none" w:sz="0" w:space="0" w:color="auto"/>
          </w:divBdr>
          <w:divsChild>
            <w:div w:id="1484931675">
              <w:marLeft w:val="0"/>
              <w:marRight w:val="0"/>
              <w:marTop w:val="0"/>
              <w:marBottom w:val="0"/>
              <w:divBdr>
                <w:top w:val="none" w:sz="0" w:space="0" w:color="auto"/>
                <w:left w:val="none" w:sz="0" w:space="0" w:color="auto"/>
                <w:bottom w:val="none" w:sz="0" w:space="0" w:color="auto"/>
                <w:right w:val="none" w:sz="0" w:space="0" w:color="auto"/>
              </w:divBdr>
            </w:div>
          </w:divsChild>
        </w:div>
        <w:div w:id="1070007126">
          <w:marLeft w:val="0"/>
          <w:marRight w:val="0"/>
          <w:marTop w:val="0"/>
          <w:marBottom w:val="0"/>
          <w:divBdr>
            <w:top w:val="none" w:sz="0" w:space="0" w:color="auto"/>
            <w:left w:val="none" w:sz="0" w:space="0" w:color="auto"/>
            <w:bottom w:val="none" w:sz="0" w:space="0" w:color="auto"/>
            <w:right w:val="none" w:sz="0" w:space="0" w:color="auto"/>
          </w:divBdr>
          <w:divsChild>
            <w:div w:id="1905291494">
              <w:marLeft w:val="0"/>
              <w:marRight w:val="0"/>
              <w:marTop w:val="0"/>
              <w:marBottom w:val="0"/>
              <w:divBdr>
                <w:top w:val="none" w:sz="0" w:space="0" w:color="auto"/>
                <w:left w:val="none" w:sz="0" w:space="0" w:color="auto"/>
                <w:bottom w:val="none" w:sz="0" w:space="0" w:color="auto"/>
                <w:right w:val="none" w:sz="0" w:space="0" w:color="auto"/>
              </w:divBdr>
            </w:div>
          </w:divsChild>
        </w:div>
        <w:div w:id="414204468">
          <w:marLeft w:val="0"/>
          <w:marRight w:val="0"/>
          <w:marTop w:val="0"/>
          <w:marBottom w:val="0"/>
          <w:divBdr>
            <w:top w:val="none" w:sz="0" w:space="0" w:color="auto"/>
            <w:left w:val="none" w:sz="0" w:space="0" w:color="auto"/>
            <w:bottom w:val="none" w:sz="0" w:space="0" w:color="auto"/>
            <w:right w:val="none" w:sz="0" w:space="0" w:color="auto"/>
          </w:divBdr>
          <w:divsChild>
            <w:div w:id="318316216">
              <w:marLeft w:val="0"/>
              <w:marRight w:val="0"/>
              <w:marTop w:val="0"/>
              <w:marBottom w:val="0"/>
              <w:divBdr>
                <w:top w:val="none" w:sz="0" w:space="0" w:color="auto"/>
                <w:left w:val="none" w:sz="0" w:space="0" w:color="auto"/>
                <w:bottom w:val="none" w:sz="0" w:space="0" w:color="auto"/>
                <w:right w:val="none" w:sz="0" w:space="0" w:color="auto"/>
              </w:divBdr>
            </w:div>
          </w:divsChild>
        </w:div>
        <w:div w:id="327750936">
          <w:marLeft w:val="0"/>
          <w:marRight w:val="0"/>
          <w:marTop w:val="0"/>
          <w:marBottom w:val="0"/>
          <w:divBdr>
            <w:top w:val="none" w:sz="0" w:space="0" w:color="auto"/>
            <w:left w:val="none" w:sz="0" w:space="0" w:color="auto"/>
            <w:bottom w:val="none" w:sz="0" w:space="0" w:color="auto"/>
            <w:right w:val="none" w:sz="0" w:space="0" w:color="auto"/>
          </w:divBdr>
          <w:divsChild>
            <w:div w:id="1614164796">
              <w:marLeft w:val="0"/>
              <w:marRight w:val="0"/>
              <w:marTop w:val="0"/>
              <w:marBottom w:val="0"/>
              <w:divBdr>
                <w:top w:val="none" w:sz="0" w:space="0" w:color="auto"/>
                <w:left w:val="none" w:sz="0" w:space="0" w:color="auto"/>
                <w:bottom w:val="none" w:sz="0" w:space="0" w:color="auto"/>
                <w:right w:val="none" w:sz="0" w:space="0" w:color="auto"/>
              </w:divBdr>
            </w:div>
          </w:divsChild>
        </w:div>
        <w:div w:id="1983581041">
          <w:marLeft w:val="0"/>
          <w:marRight w:val="0"/>
          <w:marTop w:val="0"/>
          <w:marBottom w:val="0"/>
          <w:divBdr>
            <w:top w:val="none" w:sz="0" w:space="0" w:color="auto"/>
            <w:left w:val="none" w:sz="0" w:space="0" w:color="auto"/>
            <w:bottom w:val="none" w:sz="0" w:space="0" w:color="auto"/>
            <w:right w:val="none" w:sz="0" w:space="0" w:color="auto"/>
          </w:divBdr>
          <w:divsChild>
            <w:div w:id="1304967916">
              <w:marLeft w:val="0"/>
              <w:marRight w:val="0"/>
              <w:marTop w:val="0"/>
              <w:marBottom w:val="0"/>
              <w:divBdr>
                <w:top w:val="none" w:sz="0" w:space="0" w:color="auto"/>
                <w:left w:val="none" w:sz="0" w:space="0" w:color="auto"/>
                <w:bottom w:val="none" w:sz="0" w:space="0" w:color="auto"/>
                <w:right w:val="none" w:sz="0" w:space="0" w:color="auto"/>
              </w:divBdr>
            </w:div>
          </w:divsChild>
        </w:div>
        <w:div w:id="1914123509">
          <w:marLeft w:val="0"/>
          <w:marRight w:val="0"/>
          <w:marTop w:val="0"/>
          <w:marBottom w:val="0"/>
          <w:divBdr>
            <w:top w:val="none" w:sz="0" w:space="0" w:color="auto"/>
            <w:left w:val="none" w:sz="0" w:space="0" w:color="auto"/>
            <w:bottom w:val="none" w:sz="0" w:space="0" w:color="auto"/>
            <w:right w:val="none" w:sz="0" w:space="0" w:color="auto"/>
          </w:divBdr>
          <w:divsChild>
            <w:div w:id="167327070">
              <w:marLeft w:val="0"/>
              <w:marRight w:val="0"/>
              <w:marTop w:val="0"/>
              <w:marBottom w:val="0"/>
              <w:divBdr>
                <w:top w:val="none" w:sz="0" w:space="0" w:color="auto"/>
                <w:left w:val="none" w:sz="0" w:space="0" w:color="auto"/>
                <w:bottom w:val="none" w:sz="0" w:space="0" w:color="auto"/>
                <w:right w:val="none" w:sz="0" w:space="0" w:color="auto"/>
              </w:divBdr>
            </w:div>
          </w:divsChild>
        </w:div>
        <w:div w:id="1324046467">
          <w:marLeft w:val="0"/>
          <w:marRight w:val="0"/>
          <w:marTop w:val="0"/>
          <w:marBottom w:val="0"/>
          <w:divBdr>
            <w:top w:val="none" w:sz="0" w:space="0" w:color="auto"/>
            <w:left w:val="none" w:sz="0" w:space="0" w:color="auto"/>
            <w:bottom w:val="none" w:sz="0" w:space="0" w:color="auto"/>
            <w:right w:val="none" w:sz="0" w:space="0" w:color="auto"/>
          </w:divBdr>
          <w:divsChild>
            <w:div w:id="534585819">
              <w:marLeft w:val="0"/>
              <w:marRight w:val="0"/>
              <w:marTop w:val="0"/>
              <w:marBottom w:val="0"/>
              <w:divBdr>
                <w:top w:val="none" w:sz="0" w:space="0" w:color="auto"/>
                <w:left w:val="none" w:sz="0" w:space="0" w:color="auto"/>
                <w:bottom w:val="none" w:sz="0" w:space="0" w:color="auto"/>
                <w:right w:val="none" w:sz="0" w:space="0" w:color="auto"/>
              </w:divBdr>
            </w:div>
          </w:divsChild>
        </w:div>
        <w:div w:id="835003107">
          <w:marLeft w:val="0"/>
          <w:marRight w:val="0"/>
          <w:marTop w:val="300"/>
          <w:marBottom w:val="300"/>
          <w:divBdr>
            <w:top w:val="none" w:sz="0" w:space="0" w:color="auto"/>
            <w:left w:val="none" w:sz="0" w:space="0" w:color="auto"/>
            <w:bottom w:val="none" w:sz="0" w:space="0" w:color="auto"/>
            <w:right w:val="none" w:sz="0" w:space="0" w:color="auto"/>
          </w:divBdr>
        </w:div>
        <w:div w:id="2019849766">
          <w:marLeft w:val="0"/>
          <w:marRight w:val="0"/>
          <w:marTop w:val="0"/>
          <w:marBottom w:val="0"/>
          <w:divBdr>
            <w:top w:val="none" w:sz="0" w:space="0" w:color="auto"/>
            <w:left w:val="none" w:sz="0" w:space="0" w:color="auto"/>
            <w:bottom w:val="none" w:sz="0" w:space="0" w:color="auto"/>
            <w:right w:val="none" w:sz="0" w:space="0" w:color="auto"/>
          </w:divBdr>
          <w:divsChild>
            <w:div w:id="1602838448">
              <w:marLeft w:val="0"/>
              <w:marRight w:val="0"/>
              <w:marTop w:val="0"/>
              <w:marBottom w:val="0"/>
              <w:divBdr>
                <w:top w:val="none" w:sz="0" w:space="0" w:color="auto"/>
                <w:left w:val="none" w:sz="0" w:space="0" w:color="auto"/>
                <w:bottom w:val="none" w:sz="0" w:space="0" w:color="auto"/>
                <w:right w:val="none" w:sz="0" w:space="0" w:color="auto"/>
              </w:divBdr>
            </w:div>
          </w:divsChild>
        </w:div>
        <w:div w:id="405802483">
          <w:marLeft w:val="0"/>
          <w:marRight w:val="0"/>
          <w:marTop w:val="0"/>
          <w:marBottom w:val="0"/>
          <w:divBdr>
            <w:top w:val="none" w:sz="0" w:space="0" w:color="auto"/>
            <w:left w:val="none" w:sz="0" w:space="0" w:color="auto"/>
            <w:bottom w:val="none" w:sz="0" w:space="0" w:color="auto"/>
            <w:right w:val="none" w:sz="0" w:space="0" w:color="auto"/>
          </w:divBdr>
          <w:divsChild>
            <w:div w:id="1221016844">
              <w:marLeft w:val="0"/>
              <w:marRight w:val="0"/>
              <w:marTop w:val="0"/>
              <w:marBottom w:val="0"/>
              <w:divBdr>
                <w:top w:val="none" w:sz="0" w:space="0" w:color="auto"/>
                <w:left w:val="none" w:sz="0" w:space="0" w:color="auto"/>
                <w:bottom w:val="none" w:sz="0" w:space="0" w:color="auto"/>
                <w:right w:val="none" w:sz="0" w:space="0" w:color="auto"/>
              </w:divBdr>
            </w:div>
          </w:divsChild>
        </w:div>
        <w:div w:id="1442142688">
          <w:marLeft w:val="0"/>
          <w:marRight w:val="0"/>
          <w:marTop w:val="0"/>
          <w:marBottom w:val="0"/>
          <w:divBdr>
            <w:top w:val="none" w:sz="0" w:space="0" w:color="auto"/>
            <w:left w:val="none" w:sz="0" w:space="0" w:color="auto"/>
            <w:bottom w:val="none" w:sz="0" w:space="0" w:color="auto"/>
            <w:right w:val="none" w:sz="0" w:space="0" w:color="auto"/>
          </w:divBdr>
          <w:divsChild>
            <w:div w:id="630944028">
              <w:marLeft w:val="0"/>
              <w:marRight w:val="0"/>
              <w:marTop w:val="0"/>
              <w:marBottom w:val="0"/>
              <w:divBdr>
                <w:top w:val="none" w:sz="0" w:space="0" w:color="auto"/>
                <w:left w:val="none" w:sz="0" w:space="0" w:color="auto"/>
                <w:bottom w:val="none" w:sz="0" w:space="0" w:color="auto"/>
                <w:right w:val="none" w:sz="0" w:space="0" w:color="auto"/>
              </w:divBdr>
            </w:div>
          </w:divsChild>
        </w:div>
        <w:div w:id="2029015716">
          <w:marLeft w:val="0"/>
          <w:marRight w:val="0"/>
          <w:marTop w:val="300"/>
          <w:marBottom w:val="300"/>
          <w:divBdr>
            <w:top w:val="none" w:sz="0" w:space="0" w:color="auto"/>
            <w:left w:val="none" w:sz="0" w:space="0" w:color="auto"/>
            <w:bottom w:val="none" w:sz="0" w:space="0" w:color="auto"/>
            <w:right w:val="none" w:sz="0" w:space="0" w:color="auto"/>
          </w:divBdr>
        </w:div>
        <w:div w:id="1353847352">
          <w:marLeft w:val="0"/>
          <w:marRight w:val="0"/>
          <w:marTop w:val="0"/>
          <w:marBottom w:val="0"/>
          <w:divBdr>
            <w:top w:val="none" w:sz="0" w:space="0" w:color="auto"/>
            <w:left w:val="none" w:sz="0" w:space="0" w:color="auto"/>
            <w:bottom w:val="none" w:sz="0" w:space="0" w:color="auto"/>
            <w:right w:val="none" w:sz="0" w:space="0" w:color="auto"/>
          </w:divBdr>
          <w:divsChild>
            <w:div w:id="2028868211">
              <w:marLeft w:val="0"/>
              <w:marRight w:val="0"/>
              <w:marTop w:val="0"/>
              <w:marBottom w:val="0"/>
              <w:divBdr>
                <w:top w:val="none" w:sz="0" w:space="0" w:color="auto"/>
                <w:left w:val="none" w:sz="0" w:space="0" w:color="auto"/>
                <w:bottom w:val="none" w:sz="0" w:space="0" w:color="auto"/>
                <w:right w:val="none" w:sz="0" w:space="0" w:color="auto"/>
              </w:divBdr>
            </w:div>
          </w:divsChild>
        </w:div>
        <w:div w:id="1881237727">
          <w:marLeft w:val="0"/>
          <w:marRight w:val="0"/>
          <w:marTop w:val="300"/>
          <w:marBottom w:val="300"/>
          <w:divBdr>
            <w:top w:val="none" w:sz="0" w:space="0" w:color="auto"/>
            <w:left w:val="none" w:sz="0" w:space="0" w:color="auto"/>
            <w:bottom w:val="none" w:sz="0" w:space="0" w:color="auto"/>
            <w:right w:val="none" w:sz="0" w:space="0" w:color="auto"/>
          </w:divBdr>
        </w:div>
        <w:div w:id="1771074964">
          <w:marLeft w:val="0"/>
          <w:marRight w:val="0"/>
          <w:marTop w:val="0"/>
          <w:marBottom w:val="0"/>
          <w:divBdr>
            <w:top w:val="none" w:sz="0" w:space="0" w:color="auto"/>
            <w:left w:val="none" w:sz="0" w:space="0" w:color="auto"/>
            <w:bottom w:val="none" w:sz="0" w:space="0" w:color="auto"/>
            <w:right w:val="none" w:sz="0" w:space="0" w:color="auto"/>
          </w:divBdr>
          <w:divsChild>
            <w:div w:id="1392313247">
              <w:marLeft w:val="0"/>
              <w:marRight w:val="0"/>
              <w:marTop w:val="0"/>
              <w:marBottom w:val="0"/>
              <w:divBdr>
                <w:top w:val="none" w:sz="0" w:space="0" w:color="auto"/>
                <w:left w:val="none" w:sz="0" w:space="0" w:color="auto"/>
                <w:bottom w:val="none" w:sz="0" w:space="0" w:color="auto"/>
                <w:right w:val="none" w:sz="0" w:space="0" w:color="auto"/>
              </w:divBdr>
            </w:div>
          </w:divsChild>
        </w:div>
        <w:div w:id="1262109165">
          <w:marLeft w:val="0"/>
          <w:marRight w:val="0"/>
          <w:marTop w:val="0"/>
          <w:marBottom w:val="0"/>
          <w:divBdr>
            <w:top w:val="none" w:sz="0" w:space="0" w:color="auto"/>
            <w:left w:val="none" w:sz="0" w:space="0" w:color="auto"/>
            <w:bottom w:val="none" w:sz="0" w:space="0" w:color="auto"/>
            <w:right w:val="none" w:sz="0" w:space="0" w:color="auto"/>
          </w:divBdr>
          <w:divsChild>
            <w:div w:id="1731727817">
              <w:marLeft w:val="0"/>
              <w:marRight w:val="0"/>
              <w:marTop w:val="0"/>
              <w:marBottom w:val="0"/>
              <w:divBdr>
                <w:top w:val="none" w:sz="0" w:space="0" w:color="auto"/>
                <w:left w:val="none" w:sz="0" w:space="0" w:color="auto"/>
                <w:bottom w:val="none" w:sz="0" w:space="0" w:color="auto"/>
                <w:right w:val="none" w:sz="0" w:space="0" w:color="auto"/>
              </w:divBdr>
            </w:div>
          </w:divsChild>
        </w:div>
        <w:div w:id="213782495">
          <w:marLeft w:val="0"/>
          <w:marRight w:val="0"/>
          <w:marTop w:val="0"/>
          <w:marBottom w:val="0"/>
          <w:divBdr>
            <w:top w:val="none" w:sz="0" w:space="0" w:color="auto"/>
            <w:left w:val="none" w:sz="0" w:space="0" w:color="auto"/>
            <w:bottom w:val="none" w:sz="0" w:space="0" w:color="auto"/>
            <w:right w:val="none" w:sz="0" w:space="0" w:color="auto"/>
          </w:divBdr>
          <w:divsChild>
            <w:div w:id="1116408466">
              <w:marLeft w:val="0"/>
              <w:marRight w:val="0"/>
              <w:marTop w:val="0"/>
              <w:marBottom w:val="0"/>
              <w:divBdr>
                <w:top w:val="none" w:sz="0" w:space="0" w:color="auto"/>
                <w:left w:val="none" w:sz="0" w:space="0" w:color="auto"/>
                <w:bottom w:val="none" w:sz="0" w:space="0" w:color="auto"/>
                <w:right w:val="none" w:sz="0" w:space="0" w:color="auto"/>
              </w:divBdr>
            </w:div>
          </w:divsChild>
        </w:div>
        <w:div w:id="501354245">
          <w:marLeft w:val="0"/>
          <w:marRight w:val="0"/>
          <w:marTop w:val="0"/>
          <w:marBottom w:val="0"/>
          <w:divBdr>
            <w:top w:val="none" w:sz="0" w:space="0" w:color="auto"/>
            <w:left w:val="none" w:sz="0" w:space="0" w:color="auto"/>
            <w:bottom w:val="none" w:sz="0" w:space="0" w:color="auto"/>
            <w:right w:val="none" w:sz="0" w:space="0" w:color="auto"/>
          </w:divBdr>
          <w:divsChild>
            <w:div w:id="2000427661">
              <w:marLeft w:val="0"/>
              <w:marRight w:val="0"/>
              <w:marTop w:val="0"/>
              <w:marBottom w:val="0"/>
              <w:divBdr>
                <w:top w:val="none" w:sz="0" w:space="0" w:color="auto"/>
                <w:left w:val="none" w:sz="0" w:space="0" w:color="auto"/>
                <w:bottom w:val="none" w:sz="0" w:space="0" w:color="auto"/>
                <w:right w:val="none" w:sz="0" w:space="0" w:color="auto"/>
              </w:divBdr>
            </w:div>
          </w:divsChild>
        </w:div>
        <w:div w:id="862520458">
          <w:marLeft w:val="0"/>
          <w:marRight w:val="0"/>
          <w:marTop w:val="300"/>
          <w:marBottom w:val="300"/>
          <w:divBdr>
            <w:top w:val="none" w:sz="0" w:space="0" w:color="auto"/>
            <w:left w:val="none" w:sz="0" w:space="0" w:color="auto"/>
            <w:bottom w:val="none" w:sz="0" w:space="0" w:color="auto"/>
            <w:right w:val="none" w:sz="0" w:space="0" w:color="auto"/>
          </w:divBdr>
        </w:div>
        <w:div w:id="37629296">
          <w:marLeft w:val="0"/>
          <w:marRight w:val="0"/>
          <w:marTop w:val="0"/>
          <w:marBottom w:val="0"/>
          <w:divBdr>
            <w:top w:val="none" w:sz="0" w:space="0" w:color="auto"/>
            <w:left w:val="none" w:sz="0" w:space="0" w:color="auto"/>
            <w:bottom w:val="none" w:sz="0" w:space="0" w:color="auto"/>
            <w:right w:val="none" w:sz="0" w:space="0" w:color="auto"/>
          </w:divBdr>
          <w:divsChild>
            <w:div w:id="900364924">
              <w:marLeft w:val="0"/>
              <w:marRight w:val="0"/>
              <w:marTop w:val="0"/>
              <w:marBottom w:val="0"/>
              <w:divBdr>
                <w:top w:val="none" w:sz="0" w:space="0" w:color="auto"/>
                <w:left w:val="none" w:sz="0" w:space="0" w:color="auto"/>
                <w:bottom w:val="none" w:sz="0" w:space="0" w:color="auto"/>
                <w:right w:val="none" w:sz="0" w:space="0" w:color="auto"/>
              </w:divBdr>
            </w:div>
          </w:divsChild>
        </w:div>
        <w:div w:id="1732994134">
          <w:marLeft w:val="0"/>
          <w:marRight w:val="0"/>
          <w:marTop w:val="0"/>
          <w:marBottom w:val="0"/>
          <w:divBdr>
            <w:top w:val="none" w:sz="0" w:space="0" w:color="auto"/>
            <w:left w:val="none" w:sz="0" w:space="0" w:color="auto"/>
            <w:bottom w:val="none" w:sz="0" w:space="0" w:color="auto"/>
            <w:right w:val="none" w:sz="0" w:space="0" w:color="auto"/>
          </w:divBdr>
          <w:divsChild>
            <w:div w:id="618491667">
              <w:marLeft w:val="0"/>
              <w:marRight w:val="0"/>
              <w:marTop w:val="0"/>
              <w:marBottom w:val="0"/>
              <w:divBdr>
                <w:top w:val="none" w:sz="0" w:space="0" w:color="auto"/>
                <w:left w:val="none" w:sz="0" w:space="0" w:color="auto"/>
                <w:bottom w:val="none" w:sz="0" w:space="0" w:color="auto"/>
                <w:right w:val="none" w:sz="0" w:space="0" w:color="auto"/>
              </w:divBdr>
            </w:div>
          </w:divsChild>
        </w:div>
        <w:div w:id="392050683">
          <w:marLeft w:val="0"/>
          <w:marRight w:val="0"/>
          <w:marTop w:val="0"/>
          <w:marBottom w:val="0"/>
          <w:divBdr>
            <w:top w:val="none" w:sz="0" w:space="0" w:color="auto"/>
            <w:left w:val="none" w:sz="0" w:space="0" w:color="auto"/>
            <w:bottom w:val="none" w:sz="0" w:space="0" w:color="auto"/>
            <w:right w:val="none" w:sz="0" w:space="0" w:color="auto"/>
          </w:divBdr>
          <w:divsChild>
            <w:div w:id="1291475291">
              <w:marLeft w:val="0"/>
              <w:marRight w:val="0"/>
              <w:marTop w:val="0"/>
              <w:marBottom w:val="0"/>
              <w:divBdr>
                <w:top w:val="none" w:sz="0" w:space="0" w:color="auto"/>
                <w:left w:val="none" w:sz="0" w:space="0" w:color="auto"/>
                <w:bottom w:val="none" w:sz="0" w:space="0" w:color="auto"/>
                <w:right w:val="none" w:sz="0" w:space="0" w:color="auto"/>
              </w:divBdr>
            </w:div>
          </w:divsChild>
        </w:div>
        <w:div w:id="777258787">
          <w:marLeft w:val="0"/>
          <w:marRight w:val="0"/>
          <w:marTop w:val="0"/>
          <w:marBottom w:val="0"/>
          <w:divBdr>
            <w:top w:val="none" w:sz="0" w:space="0" w:color="auto"/>
            <w:left w:val="none" w:sz="0" w:space="0" w:color="auto"/>
            <w:bottom w:val="none" w:sz="0" w:space="0" w:color="auto"/>
            <w:right w:val="none" w:sz="0" w:space="0" w:color="auto"/>
          </w:divBdr>
          <w:divsChild>
            <w:div w:id="1138303840">
              <w:marLeft w:val="0"/>
              <w:marRight w:val="0"/>
              <w:marTop w:val="0"/>
              <w:marBottom w:val="0"/>
              <w:divBdr>
                <w:top w:val="none" w:sz="0" w:space="0" w:color="auto"/>
                <w:left w:val="none" w:sz="0" w:space="0" w:color="auto"/>
                <w:bottom w:val="none" w:sz="0" w:space="0" w:color="auto"/>
                <w:right w:val="none" w:sz="0" w:space="0" w:color="auto"/>
              </w:divBdr>
            </w:div>
          </w:divsChild>
        </w:div>
        <w:div w:id="195121268">
          <w:marLeft w:val="0"/>
          <w:marRight w:val="0"/>
          <w:marTop w:val="0"/>
          <w:marBottom w:val="0"/>
          <w:divBdr>
            <w:top w:val="none" w:sz="0" w:space="0" w:color="auto"/>
            <w:left w:val="none" w:sz="0" w:space="0" w:color="auto"/>
            <w:bottom w:val="none" w:sz="0" w:space="0" w:color="auto"/>
            <w:right w:val="none" w:sz="0" w:space="0" w:color="auto"/>
          </w:divBdr>
          <w:divsChild>
            <w:div w:id="1705708528">
              <w:marLeft w:val="0"/>
              <w:marRight w:val="0"/>
              <w:marTop w:val="0"/>
              <w:marBottom w:val="0"/>
              <w:divBdr>
                <w:top w:val="none" w:sz="0" w:space="0" w:color="auto"/>
                <w:left w:val="none" w:sz="0" w:space="0" w:color="auto"/>
                <w:bottom w:val="none" w:sz="0" w:space="0" w:color="auto"/>
                <w:right w:val="none" w:sz="0" w:space="0" w:color="auto"/>
              </w:divBdr>
            </w:div>
          </w:divsChild>
        </w:div>
        <w:div w:id="273901224">
          <w:marLeft w:val="0"/>
          <w:marRight w:val="0"/>
          <w:marTop w:val="0"/>
          <w:marBottom w:val="0"/>
          <w:divBdr>
            <w:top w:val="none" w:sz="0" w:space="0" w:color="auto"/>
            <w:left w:val="none" w:sz="0" w:space="0" w:color="auto"/>
            <w:bottom w:val="none" w:sz="0" w:space="0" w:color="auto"/>
            <w:right w:val="none" w:sz="0" w:space="0" w:color="auto"/>
          </w:divBdr>
          <w:divsChild>
            <w:div w:id="450167755">
              <w:marLeft w:val="0"/>
              <w:marRight w:val="0"/>
              <w:marTop w:val="0"/>
              <w:marBottom w:val="0"/>
              <w:divBdr>
                <w:top w:val="none" w:sz="0" w:space="0" w:color="auto"/>
                <w:left w:val="none" w:sz="0" w:space="0" w:color="auto"/>
                <w:bottom w:val="none" w:sz="0" w:space="0" w:color="auto"/>
                <w:right w:val="none" w:sz="0" w:space="0" w:color="auto"/>
              </w:divBdr>
            </w:div>
          </w:divsChild>
        </w:div>
        <w:div w:id="1472164192">
          <w:marLeft w:val="0"/>
          <w:marRight w:val="0"/>
          <w:marTop w:val="0"/>
          <w:marBottom w:val="0"/>
          <w:divBdr>
            <w:top w:val="none" w:sz="0" w:space="0" w:color="auto"/>
            <w:left w:val="none" w:sz="0" w:space="0" w:color="auto"/>
            <w:bottom w:val="none" w:sz="0" w:space="0" w:color="auto"/>
            <w:right w:val="none" w:sz="0" w:space="0" w:color="auto"/>
          </w:divBdr>
          <w:divsChild>
            <w:div w:id="1882015141">
              <w:marLeft w:val="0"/>
              <w:marRight w:val="0"/>
              <w:marTop w:val="0"/>
              <w:marBottom w:val="0"/>
              <w:divBdr>
                <w:top w:val="none" w:sz="0" w:space="0" w:color="auto"/>
                <w:left w:val="none" w:sz="0" w:space="0" w:color="auto"/>
                <w:bottom w:val="none" w:sz="0" w:space="0" w:color="auto"/>
                <w:right w:val="none" w:sz="0" w:space="0" w:color="auto"/>
              </w:divBdr>
            </w:div>
          </w:divsChild>
        </w:div>
        <w:div w:id="2070416362">
          <w:marLeft w:val="0"/>
          <w:marRight w:val="0"/>
          <w:marTop w:val="0"/>
          <w:marBottom w:val="0"/>
          <w:divBdr>
            <w:top w:val="none" w:sz="0" w:space="0" w:color="auto"/>
            <w:left w:val="none" w:sz="0" w:space="0" w:color="auto"/>
            <w:bottom w:val="none" w:sz="0" w:space="0" w:color="auto"/>
            <w:right w:val="none" w:sz="0" w:space="0" w:color="auto"/>
          </w:divBdr>
          <w:divsChild>
            <w:div w:id="222451524">
              <w:marLeft w:val="0"/>
              <w:marRight w:val="0"/>
              <w:marTop w:val="0"/>
              <w:marBottom w:val="0"/>
              <w:divBdr>
                <w:top w:val="none" w:sz="0" w:space="0" w:color="auto"/>
                <w:left w:val="none" w:sz="0" w:space="0" w:color="auto"/>
                <w:bottom w:val="none" w:sz="0" w:space="0" w:color="auto"/>
                <w:right w:val="none" w:sz="0" w:space="0" w:color="auto"/>
              </w:divBdr>
            </w:div>
          </w:divsChild>
        </w:div>
        <w:div w:id="1661343560">
          <w:marLeft w:val="0"/>
          <w:marRight w:val="0"/>
          <w:marTop w:val="0"/>
          <w:marBottom w:val="0"/>
          <w:divBdr>
            <w:top w:val="none" w:sz="0" w:space="0" w:color="auto"/>
            <w:left w:val="none" w:sz="0" w:space="0" w:color="auto"/>
            <w:bottom w:val="none" w:sz="0" w:space="0" w:color="auto"/>
            <w:right w:val="none" w:sz="0" w:space="0" w:color="auto"/>
          </w:divBdr>
          <w:divsChild>
            <w:div w:id="186599094">
              <w:marLeft w:val="0"/>
              <w:marRight w:val="0"/>
              <w:marTop w:val="0"/>
              <w:marBottom w:val="0"/>
              <w:divBdr>
                <w:top w:val="none" w:sz="0" w:space="0" w:color="auto"/>
                <w:left w:val="none" w:sz="0" w:space="0" w:color="auto"/>
                <w:bottom w:val="none" w:sz="0" w:space="0" w:color="auto"/>
                <w:right w:val="none" w:sz="0" w:space="0" w:color="auto"/>
              </w:divBdr>
            </w:div>
          </w:divsChild>
        </w:div>
        <w:div w:id="454909292">
          <w:marLeft w:val="0"/>
          <w:marRight w:val="0"/>
          <w:marTop w:val="0"/>
          <w:marBottom w:val="0"/>
          <w:divBdr>
            <w:top w:val="none" w:sz="0" w:space="0" w:color="auto"/>
            <w:left w:val="none" w:sz="0" w:space="0" w:color="auto"/>
            <w:bottom w:val="none" w:sz="0" w:space="0" w:color="auto"/>
            <w:right w:val="none" w:sz="0" w:space="0" w:color="auto"/>
          </w:divBdr>
          <w:divsChild>
            <w:div w:id="582763262">
              <w:marLeft w:val="0"/>
              <w:marRight w:val="0"/>
              <w:marTop w:val="0"/>
              <w:marBottom w:val="0"/>
              <w:divBdr>
                <w:top w:val="none" w:sz="0" w:space="0" w:color="auto"/>
                <w:left w:val="none" w:sz="0" w:space="0" w:color="auto"/>
                <w:bottom w:val="none" w:sz="0" w:space="0" w:color="auto"/>
                <w:right w:val="none" w:sz="0" w:space="0" w:color="auto"/>
              </w:divBdr>
            </w:div>
          </w:divsChild>
        </w:div>
        <w:div w:id="1377581037">
          <w:marLeft w:val="0"/>
          <w:marRight w:val="0"/>
          <w:marTop w:val="0"/>
          <w:marBottom w:val="0"/>
          <w:divBdr>
            <w:top w:val="none" w:sz="0" w:space="0" w:color="auto"/>
            <w:left w:val="none" w:sz="0" w:space="0" w:color="auto"/>
            <w:bottom w:val="none" w:sz="0" w:space="0" w:color="auto"/>
            <w:right w:val="none" w:sz="0" w:space="0" w:color="auto"/>
          </w:divBdr>
          <w:divsChild>
            <w:div w:id="263848732">
              <w:marLeft w:val="0"/>
              <w:marRight w:val="0"/>
              <w:marTop w:val="0"/>
              <w:marBottom w:val="0"/>
              <w:divBdr>
                <w:top w:val="none" w:sz="0" w:space="0" w:color="auto"/>
                <w:left w:val="none" w:sz="0" w:space="0" w:color="auto"/>
                <w:bottom w:val="none" w:sz="0" w:space="0" w:color="auto"/>
                <w:right w:val="none" w:sz="0" w:space="0" w:color="auto"/>
              </w:divBdr>
            </w:div>
          </w:divsChild>
        </w:div>
        <w:div w:id="1653487215">
          <w:marLeft w:val="0"/>
          <w:marRight w:val="0"/>
          <w:marTop w:val="0"/>
          <w:marBottom w:val="0"/>
          <w:divBdr>
            <w:top w:val="none" w:sz="0" w:space="0" w:color="auto"/>
            <w:left w:val="none" w:sz="0" w:space="0" w:color="auto"/>
            <w:bottom w:val="none" w:sz="0" w:space="0" w:color="auto"/>
            <w:right w:val="none" w:sz="0" w:space="0" w:color="auto"/>
          </w:divBdr>
          <w:divsChild>
            <w:div w:id="330452673">
              <w:marLeft w:val="0"/>
              <w:marRight w:val="0"/>
              <w:marTop w:val="0"/>
              <w:marBottom w:val="0"/>
              <w:divBdr>
                <w:top w:val="none" w:sz="0" w:space="0" w:color="auto"/>
                <w:left w:val="none" w:sz="0" w:space="0" w:color="auto"/>
                <w:bottom w:val="none" w:sz="0" w:space="0" w:color="auto"/>
                <w:right w:val="none" w:sz="0" w:space="0" w:color="auto"/>
              </w:divBdr>
            </w:div>
          </w:divsChild>
        </w:div>
        <w:div w:id="2091928988">
          <w:marLeft w:val="0"/>
          <w:marRight w:val="0"/>
          <w:marTop w:val="0"/>
          <w:marBottom w:val="0"/>
          <w:divBdr>
            <w:top w:val="none" w:sz="0" w:space="0" w:color="auto"/>
            <w:left w:val="none" w:sz="0" w:space="0" w:color="auto"/>
            <w:bottom w:val="none" w:sz="0" w:space="0" w:color="auto"/>
            <w:right w:val="none" w:sz="0" w:space="0" w:color="auto"/>
          </w:divBdr>
          <w:divsChild>
            <w:div w:id="1220244515">
              <w:marLeft w:val="0"/>
              <w:marRight w:val="0"/>
              <w:marTop w:val="0"/>
              <w:marBottom w:val="0"/>
              <w:divBdr>
                <w:top w:val="none" w:sz="0" w:space="0" w:color="auto"/>
                <w:left w:val="none" w:sz="0" w:space="0" w:color="auto"/>
                <w:bottom w:val="none" w:sz="0" w:space="0" w:color="auto"/>
                <w:right w:val="none" w:sz="0" w:space="0" w:color="auto"/>
              </w:divBdr>
            </w:div>
          </w:divsChild>
        </w:div>
        <w:div w:id="1755735393">
          <w:marLeft w:val="0"/>
          <w:marRight w:val="0"/>
          <w:marTop w:val="300"/>
          <w:marBottom w:val="300"/>
          <w:divBdr>
            <w:top w:val="none" w:sz="0" w:space="0" w:color="auto"/>
            <w:left w:val="none" w:sz="0" w:space="0" w:color="auto"/>
            <w:bottom w:val="none" w:sz="0" w:space="0" w:color="auto"/>
            <w:right w:val="none" w:sz="0" w:space="0" w:color="auto"/>
          </w:divBdr>
        </w:div>
        <w:div w:id="51082354">
          <w:marLeft w:val="0"/>
          <w:marRight w:val="0"/>
          <w:marTop w:val="0"/>
          <w:marBottom w:val="0"/>
          <w:divBdr>
            <w:top w:val="none" w:sz="0" w:space="0" w:color="auto"/>
            <w:left w:val="none" w:sz="0" w:space="0" w:color="auto"/>
            <w:bottom w:val="none" w:sz="0" w:space="0" w:color="auto"/>
            <w:right w:val="none" w:sz="0" w:space="0" w:color="auto"/>
          </w:divBdr>
          <w:divsChild>
            <w:div w:id="1838613481">
              <w:marLeft w:val="0"/>
              <w:marRight w:val="0"/>
              <w:marTop w:val="0"/>
              <w:marBottom w:val="0"/>
              <w:divBdr>
                <w:top w:val="none" w:sz="0" w:space="0" w:color="auto"/>
                <w:left w:val="none" w:sz="0" w:space="0" w:color="auto"/>
                <w:bottom w:val="none" w:sz="0" w:space="0" w:color="auto"/>
                <w:right w:val="none" w:sz="0" w:space="0" w:color="auto"/>
              </w:divBdr>
            </w:div>
          </w:divsChild>
        </w:div>
        <w:div w:id="1552686859">
          <w:marLeft w:val="0"/>
          <w:marRight w:val="0"/>
          <w:marTop w:val="0"/>
          <w:marBottom w:val="0"/>
          <w:divBdr>
            <w:top w:val="none" w:sz="0" w:space="0" w:color="auto"/>
            <w:left w:val="none" w:sz="0" w:space="0" w:color="auto"/>
            <w:bottom w:val="none" w:sz="0" w:space="0" w:color="auto"/>
            <w:right w:val="none" w:sz="0" w:space="0" w:color="auto"/>
          </w:divBdr>
          <w:divsChild>
            <w:div w:id="1382559336">
              <w:marLeft w:val="0"/>
              <w:marRight w:val="0"/>
              <w:marTop w:val="0"/>
              <w:marBottom w:val="0"/>
              <w:divBdr>
                <w:top w:val="none" w:sz="0" w:space="0" w:color="auto"/>
                <w:left w:val="none" w:sz="0" w:space="0" w:color="auto"/>
                <w:bottom w:val="none" w:sz="0" w:space="0" w:color="auto"/>
                <w:right w:val="none" w:sz="0" w:space="0" w:color="auto"/>
              </w:divBdr>
            </w:div>
          </w:divsChild>
        </w:div>
        <w:div w:id="1876044640">
          <w:marLeft w:val="0"/>
          <w:marRight w:val="0"/>
          <w:marTop w:val="300"/>
          <w:marBottom w:val="300"/>
          <w:divBdr>
            <w:top w:val="none" w:sz="0" w:space="0" w:color="auto"/>
            <w:left w:val="none" w:sz="0" w:space="0" w:color="auto"/>
            <w:bottom w:val="none" w:sz="0" w:space="0" w:color="auto"/>
            <w:right w:val="none" w:sz="0" w:space="0" w:color="auto"/>
          </w:divBdr>
        </w:div>
        <w:div w:id="1835140317">
          <w:marLeft w:val="0"/>
          <w:marRight w:val="0"/>
          <w:marTop w:val="0"/>
          <w:marBottom w:val="0"/>
          <w:divBdr>
            <w:top w:val="none" w:sz="0" w:space="0" w:color="auto"/>
            <w:left w:val="none" w:sz="0" w:space="0" w:color="auto"/>
            <w:bottom w:val="none" w:sz="0" w:space="0" w:color="auto"/>
            <w:right w:val="none" w:sz="0" w:space="0" w:color="auto"/>
          </w:divBdr>
          <w:divsChild>
            <w:div w:id="540435439">
              <w:marLeft w:val="0"/>
              <w:marRight w:val="0"/>
              <w:marTop w:val="0"/>
              <w:marBottom w:val="0"/>
              <w:divBdr>
                <w:top w:val="none" w:sz="0" w:space="0" w:color="auto"/>
                <w:left w:val="none" w:sz="0" w:space="0" w:color="auto"/>
                <w:bottom w:val="none" w:sz="0" w:space="0" w:color="auto"/>
                <w:right w:val="none" w:sz="0" w:space="0" w:color="auto"/>
              </w:divBdr>
            </w:div>
          </w:divsChild>
        </w:div>
        <w:div w:id="280502035">
          <w:marLeft w:val="0"/>
          <w:marRight w:val="0"/>
          <w:marTop w:val="0"/>
          <w:marBottom w:val="0"/>
          <w:divBdr>
            <w:top w:val="none" w:sz="0" w:space="0" w:color="auto"/>
            <w:left w:val="none" w:sz="0" w:space="0" w:color="auto"/>
            <w:bottom w:val="none" w:sz="0" w:space="0" w:color="auto"/>
            <w:right w:val="none" w:sz="0" w:space="0" w:color="auto"/>
          </w:divBdr>
          <w:divsChild>
            <w:div w:id="722827686">
              <w:marLeft w:val="0"/>
              <w:marRight w:val="0"/>
              <w:marTop w:val="0"/>
              <w:marBottom w:val="0"/>
              <w:divBdr>
                <w:top w:val="none" w:sz="0" w:space="0" w:color="auto"/>
                <w:left w:val="none" w:sz="0" w:space="0" w:color="auto"/>
                <w:bottom w:val="none" w:sz="0" w:space="0" w:color="auto"/>
                <w:right w:val="none" w:sz="0" w:space="0" w:color="auto"/>
              </w:divBdr>
            </w:div>
          </w:divsChild>
        </w:div>
        <w:div w:id="1826435591">
          <w:marLeft w:val="0"/>
          <w:marRight w:val="0"/>
          <w:marTop w:val="0"/>
          <w:marBottom w:val="0"/>
          <w:divBdr>
            <w:top w:val="none" w:sz="0" w:space="0" w:color="auto"/>
            <w:left w:val="none" w:sz="0" w:space="0" w:color="auto"/>
            <w:bottom w:val="none" w:sz="0" w:space="0" w:color="auto"/>
            <w:right w:val="none" w:sz="0" w:space="0" w:color="auto"/>
          </w:divBdr>
          <w:divsChild>
            <w:div w:id="599679736">
              <w:marLeft w:val="0"/>
              <w:marRight w:val="0"/>
              <w:marTop w:val="0"/>
              <w:marBottom w:val="0"/>
              <w:divBdr>
                <w:top w:val="none" w:sz="0" w:space="0" w:color="auto"/>
                <w:left w:val="none" w:sz="0" w:space="0" w:color="auto"/>
                <w:bottom w:val="none" w:sz="0" w:space="0" w:color="auto"/>
                <w:right w:val="none" w:sz="0" w:space="0" w:color="auto"/>
              </w:divBdr>
            </w:div>
          </w:divsChild>
        </w:div>
        <w:div w:id="567153946">
          <w:marLeft w:val="0"/>
          <w:marRight w:val="0"/>
          <w:marTop w:val="0"/>
          <w:marBottom w:val="0"/>
          <w:divBdr>
            <w:top w:val="none" w:sz="0" w:space="0" w:color="auto"/>
            <w:left w:val="none" w:sz="0" w:space="0" w:color="auto"/>
            <w:bottom w:val="none" w:sz="0" w:space="0" w:color="auto"/>
            <w:right w:val="none" w:sz="0" w:space="0" w:color="auto"/>
          </w:divBdr>
          <w:divsChild>
            <w:div w:id="1569462741">
              <w:marLeft w:val="0"/>
              <w:marRight w:val="0"/>
              <w:marTop w:val="0"/>
              <w:marBottom w:val="0"/>
              <w:divBdr>
                <w:top w:val="none" w:sz="0" w:space="0" w:color="auto"/>
                <w:left w:val="none" w:sz="0" w:space="0" w:color="auto"/>
                <w:bottom w:val="none" w:sz="0" w:space="0" w:color="auto"/>
                <w:right w:val="none" w:sz="0" w:space="0" w:color="auto"/>
              </w:divBdr>
            </w:div>
          </w:divsChild>
        </w:div>
        <w:div w:id="1894661221">
          <w:marLeft w:val="0"/>
          <w:marRight w:val="0"/>
          <w:marTop w:val="0"/>
          <w:marBottom w:val="0"/>
          <w:divBdr>
            <w:top w:val="none" w:sz="0" w:space="0" w:color="auto"/>
            <w:left w:val="none" w:sz="0" w:space="0" w:color="auto"/>
            <w:bottom w:val="none" w:sz="0" w:space="0" w:color="auto"/>
            <w:right w:val="none" w:sz="0" w:space="0" w:color="auto"/>
          </w:divBdr>
          <w:divsChild>
            <w:div w:id="516382292">
              <w:marLeft w:val="0"/>
              <w:marRight w:val="0"/>
              <w:marTop w:val="0"/>
              <w:marBottom w:val="0"/>
              <w:divBdr>
                <w:top w:val="none" w:sz="0" w:space="0" w:color="auto"/>
                <w:left w:val="none" w:sz="0" w:space="0" w:color="auto"/>
                <w:bottom w:val="none" w:sz="0" w:space="0" w:color="auto"/>
                <w:right w:val="none" w:sz="0" w:space="0" w:color="auto"/>
              </w:divBdr>
            </w:div>
          </w:divsChild>
        </w:div>
        <w:div w:id="2012441496">
          <w:marLeft w:val="0"/>
          <w:marRight w:val="0"/>
          <w:marTop w:val="300"/>
          <w:marBottom w:val="300"/>
          <w:divBdr>
            <w:top w:val="none" w:sz="0" w:space="0" w:color="auto"/>
            <w:left w:val="none" w:sz="0" w:space="0" w:color="auto"/>
            <w:bottom w:val="none" w:sz="0" w:space="0" w:color="auto"/>
            <w:right w:val="none" w:sz="0" w:space="0" w:color="auto"/>
          </w:divBdr>
        </w:div>
        <w:div w:id="1573465977">
          <w:marLeft w:val="0"/>
          <w:marRight w:val="0"/>
          <w:marTop w:val="0"/>
          <w:marBottom w:val="0"/>
          <w:divBdr>
            <w:top w:val="none" w:sz="0" w:space="0" w:color="auto"/>
            <w:left w:val="none" w:sz="0" w:space="0" w:color="auto"/>
            <w:bottom w:val="none" w:sz="0" w:space="0" w:color="auto"/>
            <w:right w:val="none" w:sz="0" w:space="0" w:color="auto"/>
          </w:divBdr>
          <w:divsChild>
            <w:div w:id="1143237912">
              <w:marLeft w:val="0"/>
              <w:marRight w:val="0"/>
              <w:marTop w:val="0"/>
              <w:marBottom w:val="0"/>
              <w:divBdr>
                <w:top w:val="none" w:sz="0" w:space="0" w:color="auto"/>
                <w:left w:val="none" w:sz="0" w:space="0" w:color="auto"/>
                <w:bottom w:val="none" w:sz="0" w:space="0" w:color="auto"/>
                <w:right w:val="none" w:sz="0" w:space="0" w:color="auto"/>
              </w:divBdr>
            </w:div>
          </w:divsChild>
        </w:div>
        <w:div w:id="1062101821">
          <w:marLeft w:val="0"/>
          <w:marRight w:val="0"/>
          <w:marTop w:val="0"/>
          <w:marBottom w:val="0"/>
          <w:divBdr>
            <w:top w:val="none" w:sz="0" w:space="0" w:color="auto"/>
            <w:left w:val="none" w:sz="0" w:space="0" w:color="auto"/>
            <w:bottom w:val="none" w:sz="0" w:space="0" w:color="auto"/>
            <w:right w:val="none" w:sz="0" w:space="0" w:color="auto"/>
          </w:divBdr>
          <w:divsChild>
            <w:div w:id="1538591469">
              <w:marLeft w:val="0"/>
              <w:marRight w:val="0"/>
              <w:marTop w:val="0"/>
              <w:marBottom w:val="0"/>
              <w:divBdr>
                <w:top w:val="none" w:sz="0" w:space="0" w:color="auto"/>
                <w:left w:val="none" w:sz="0" w:space="0" w:color="auto"/>
                <w:bottom w:val="none" w:sz="0" w:space="0" w:color="auto"/>
                <w:right w:val="none" w:sz="0" w:space="0" w:color="auto"/>
              </w:divBdr>
            </w:div>
          </w:divsChild>
        </w:div>
        <w:div w:id="2012632952">
          <w:marLeft w:val="0"/>
          <w:marRight w:val="0"/>
          <w:marTop w:val="0"/>
          <w:marBottom w:val="0"/>
          <w:divBdr>
            <w:top w:val="none" w:sz="0" w:space="0" w:color="auto"/>
            <w:left w:val="none" w:sz="0" w:space="0" w:color="auto"/>
            <w:bottom w:val="none" w:sz="0" w:space="0" w:color="auto"/>
            <w:right w:val="none" w:sz="0" w:space="0" w:color="auto"/>
          </w:divBdr>
          <w:divsChild>
            <w:div w:id="1089543076">
              <w:marLeft w:val="0"/>
              <w:marRight w:val="0"/>
              <w:marTop w:val="0"/>
              <w:marBottom w:val="0"/>
              <w:divBdr>
                <w:top w:val="none" w:sz="0" w:space="0" w:color="auto"/>
                <w:left w:val="none" w:sz="0" w:space="0" w:color="auto"/>
                <w:bottom w:val="none" w:sz="0" w:space="0" w:color="auto"/>
                <w:right w:val="none" w:sz="0" w:space="0" w:color="auto"/>
              </w:divBdr>
            </w:div>
          </w:divsChild>
        </w:div>
        <w:div w:id="2066101705">
          <w:marLeft w:val="0"/>
          <w:marRight w:val="0"/>
          <w:marTop w:val="0"/>
          <w:marBottom w:val="0"/>
          <w:divBdr>
            <w:top w:val="none" w:sz="0" w:space="0" w:color="auto"/>
            <w:left w:val="none" w:sz="0" w:space="0" w:color="auto"/>
            <w:bottom w:val="none" w:sz="0" w:space="0" w:color="auto"/>
            <w:right w:val="none" w:sz="0" w:space="0" w:color="auto"/>
          </w:divBdr>
          <w:divsChild>
            <w:div w:id="1016346558">
              <w:marLeft w:val="0"/>
              <w:marRight w:val="0"/>
              <w:marTop w:val="0"/>
              <w:marBottom w:val="0"/>
              <w:divBdr>
                <w:top w:val="none" w:sz="0" w:space="0" w:color="auto"/>
                <w:left w:val="none" w:sz="0" w:space="0" w:color="auto"/>
                <w:bottom w:val="none" w:sz="0" w:space="0" w:color="auto"/>
                <w:right w:val="none" w:sz="0" w:space="0" w:color="auto"/>
              </w:divBdr>
            </w:div>
          </w:divsChild>
        </w:div>
        <w:div w:id="1102993587">
          <w:marLeft w:val="0"/>
          <w:marRight w:val="0"/>
          <w:marTop w:val="0"/>
          <w:marBottom w:val="0"/>
          <w:divBdr>
            <w:top w:val="none" w:sz="0" w:space="0" w:color="auto"/>
            <w:left w:val="none" w:sz="0" w:space="0" w:color="auto"/>
            <w:bottom w:val="none" w:sz="0" w:space="0" w:color="auto"/>
            <w:right w:val="none" w:sz="0" w:space="0" w:color="auto"/>
          </w:divBdr>
          <w:divsChild>
            <w:div w:id="1780686458">
              <w:marLeft w:val="0"/>
              <w:marRight w:val="0"/>
              <w:marTop w:val="0"/>
              <w:marBottom w:val="0"/>
              <w:divBdr>
                <w:top w:val="none" w:sz="0" w:space="0" w:color="auto"/>
                <w:left w:val="none" w:sz="0" w:space="0" w:color="auto"/>
                <w:bottom w:val="none" w:sz="0" w:space="0" w:color="auto"/>
                <w:right w:val="none" w:sz="0" w:space="0" w:color="auto"/>
              </w:divBdr>
            </w:div>
          </w:divsChild>
        </w:div>
        <w:div w:id="1212570657">
          <w:marLeft w:val="0"/>
          <w:marRight w:val="0"/>
          <w:marTop w:val="0"/>
          <w:marBottom w:val="0"/>
          <w:divBdr>
            <w:top w:val="none" w:sz="0" w:space="0" w:color="auto"/>
            <w:left w:val="none" w:sz="0" w:space="0" w:color="auto"/>
            <w:bottom w:val="none" w:sz="0" w:space="0" w:color="auto"/>
            <w:right w:val="none" w:sz="0" w:space="0" w:color="auto"/>
          </w:divBdr>
          <w:divsChild>
            <w:div w:id="2001425703">
              <w:marLeft w:val="0"/>
              <w:marRight w:val="0"/>
              <w:marTop w:val="0"/>
              <w:marBottom w:val="0"/>
              <w:divBdr>
                <w:top w:val="none" w:sz="0" w:space="0" w:color="auto"/>
                <w:left w:val="none" w:sz="0" w:space="0" w:color="auto"/>
                <w:bottom w:val="none" w:sz="0" w:space="0" w:color="auto"/>
                <w:right w:val="none" w:sz="0" w:space="0" w:color="auto"/>
              </w:divBdr>
            </w:div>
          </w:divsChild>
        </w:div>
        <w:div w:id="467749955">
          <w:marLeft w:val="0"/>
          <w:marRight w:val="0"/>
          <w:marTop w:val="0"/>
          <w:marBottom w:val="0"/>
          <w:divBdr>
            <w:top w:val="none" w:sz="0" w:space="0" w:color="auto"/>
            <w:left w:val="none" w:sz="0" w:space="0" w:color="auto"/>
            <w:bottom w:val="none" w:sz="0" w:space="0" w:color="auto"/>
            <w:right w:val="none" w:sz="0" w:space="0" w:color="auto"/>
          </w:divBdr>
          <w:divsChild>
            <w:div w:id="180901404">
              <w:marLeft w:val="0"/>
              <w:marRight w:val="0"/>
              <w:marTop w:val="0"/>
              <w:marBottom w:val="0"/>
              <w:divBdr>
                <w:top w:val="none" w:sz="0" w:space="0" w:color="auto"/>
                <w:left w:val="none" w:sz="0" w:space="0" w:color="auto"/>
                <w:bottom w:val="none" w:sz="0" w:space="0" w:color="auto"/>
                <w:right w:val="none" w:sz="0" w:space="0" w:color="auto"/>
              </w:divBdr>
            </w:div>
          </w:divsChild>
        </w:div>
        <w:div w:id="1946305050">
          <w:marLeft w:val="0"/>
          <w:marRight w:val="0"/>
          <w:marTop w:val="0"/>
          <w:marBottom w:val="0"/>
          <w:divBdr>
            <w:top w:val="none" w:sz="0" w:space="0" w:color="auto"/>
            <w:left w:val="none" w:sz="0" w:space="0" w:color="auto"/>
            <w:bottom w:val="none" w:sz="0" w:space="0" w:color="auto"/>
            <w:right w:val="none" w:sz="0" w:space="0" w:color="auto"/>
          </w:divBdr>
          <w:divsChild>
            <w:div w:id="1456096734">
              <w:marLeft w:val="0"/>
              <w:marRight w:val="0"/>
              <w:marTop w:val="0"/>
              <w:marBottom w:val="0"/>
              <w:divBdr>
                <w:top w:val="none" w:sz="0" w:space="0" w:color="auto"/>
                <w:left w:val="none" w:sz="0" w:space="0" w:color="auto"/>
                <w:bottom w:val="none" w:sz="0" w:space="0" w:color="auto"/>
                <w:right w:val="none" w:sz="0" w:space="0" w:color="auto"/>
              </w:divBdr>
            </w:div>
          </w:divsChild>
        </w:div>
        <w:div w:id="1333680553">
          <w:marLeft w:val="0"/>
          <w:marRight w:val="0"/>
          <w:marTop w:val="0"/>
          <w:marBottom w:val="0"/>
          <w:divBdr>
            <w:top w:val="none" w:sz="0" w:space="0" w:color="auto"/>
            <w:left w:val="none" w:sz="0" w:space="0" w:color="auto"/>
            <w:bottom w:val="none" w:sz="0" w:space="0" w:color="auto"/>
            <w:right w:val="none" w:sz="0" w:space="0" w:color="auto"/>
          </w:divBdr>
          <w:divsChild>
            <w:div w:id="69039745">
              <w:marLeft w:val="0"/>
              <w:marRight w:val="0"/>
              <w:marTop w:val="0"/>
              <w:marBottom w:val="0"/>
              <w:divBdr>
                <w:top w:val="none" w:sz="0" w:space="0" w:color="auto"/>
                <w:left w:val="none" w:sz="0" w:space="0" w:color="auto"/>
                <w:bottom w:val="none" w:sz="0" w:space="0" w:color="auto"/>
                <w:right w:val="none" w:sz="0" w:space="0" w:color="auto"/>
              </w:divBdr>
            </w:div>
          </w:divsChild>
        </w:div>
        <w:div w:id="1498039178">
          <w:marLeft w:val="0"/>
          <w:marRight w:val="0"/>
          <w:marTop w:val="0"/>
          <w:marBottom w:val="0"/>
          <w:divBdr>
            <w:top w:val="none" w:sz="0" w:space="0" w:color="auto"/>
            <w:left w:val="none" w:sz="0" w:space="0" w:color="auto"/>
            <w:bottom w:val="none" w:sz="0" w:space="0" w:color="auto"/>
            <w:right w:val="none" w:sz="0" w:space="0" w:color="auto"/>
          </w:divBdr>
          <w:divsChild>
            <w:div w:id="1568370871">
              <w:marLeft w:val="0"/>
              <w:marRight w:val="0"/>
              <w:marTop w:val="0"/>
              <w:marBottom w:val="0"/>
              <w:divBdr>
                <w:top w:val="none" w:sz="0" w:space="0" w:color="auto"/>
                <w:left w:val="none" w:sz="0" w:space="0" w:color="auto"/>
                <w:bottom w:val="none" w:sz="0" w:space="0" w:color="auto"/>
                <w:right w:val="none" w:sz="0" w:space="0" w:color="auto"/>
              </w:divBdr>
            </w:div>
          </w:divsChild>
        </w:div>
        <w:div w:id="1021853441">
          <w:marLeft w:val="0"/>
          <w:marRight w:val="0"/>
          <w:marTop w:val="0"/>
          <w:marBottom w:val="0"/>
          <w:divBdr>
            <w:top w:val="none" w:sz="0" w:space="0" w:color="auto"/>
            <w:left w:val="none" w:sz="0" w:space="0" w:color="auto"/>
            <w:bottom w:val="none" w:sz="0" w:space="0" w:color="auto"/>
            <w:right w:val="none" w:sz="0" w:space="0" w:color="auto"/>
          </w:divBdr>
          <w:divsChild>
            <w:div w:id="514346811">
              <w:marLeft w:val="0"/>
              <w:marRight w:val="0"/>
              <w:marTop w:val="0"/>
              <w:marBottom w:val="0"/>
              <w:divBdr>
                <w:top w:val="none" w:sz="0" w:space="0" w:color="auto"/>
                <w:left w:val="none" w:sz="0" w:space="0" w:color="auto"/>
                <w:bottom w:val="none" w:sz="0" w:space="0" w:color="auto"/>
                <w:right w:val="none" w:sz="0" w:space="0" w:color="auto"/>
              </w:divBdr>
            </w:div>
          </w:divsChild>
        </w:div>
        <w:div w:id="633370078">
          <w:marLeft w:val="0"/>
          <w:marRight w:val="0"/>
          <w:marTop w:val="300"/>
          <w:marBottom w:val="300"/>
          <w:divBdr>
            <w:top w:val="none" w:sz="0" w:space="0" w:color="auto"/>
            <w:left w:val="none" w:sz="0" w:space="0" w:color="auto"/>
            <w:bottom w:val="none" w:sz="0" w:space="0" w:color="auto"/>
            <w:right w:val="none" w:sz="0" w:space="0" w:color="auto"/>
          </w:divBdr>
        </w:div>
        <w:div w:id="105775927">
          <w:marLeft w:val="0"/>
          <w:marRight w:val="0"/>
          <w:marTop w:val="0"/>
          <w:marBottom w:val="0"/>
          <w:divBdr>
            <w:top w:val="none" w:sz="0" w:space="0" w:color="auto"/>
            <w:left w:val="none" w:sz="0" w:space="0" w:color="auto"/>
            <w:bottom w:val="none" w:sz="0" w:space="0" w:color="auto"/>
            <w:right w:val="none" w:sz="0" w:space="0" w:color="auto"/>
          </w:divBdr>
          <w:divsChild>
            <w:div w:id="5638849">
              <w:marLeft w:val="0"/>
              <w:marRight w:val="0"/>
              <w:marTop w:val="0"/>
              <w:marBottom w:val="0"/>
              <w:divBdr>
                <w:top w:val="none" w:sz="0" w:space="0" w:color="auto"/>
                <w:left w:val="none" w:sz="0" w:space="0" w:color="auto"/>
                <w:bottom w:val="none" w:sz="0" w:space="0" w:color="auto"/>
                <w:right w:val="none" w:sz="0" w:space="0" w:color="auto"/>
              </w:divBdr>
            </w:div>
          </w:divsChild>
        </w:div>
        <w:div w:id="1396506832">
          <w:marLeft w:val="0"/>
          <w:marRight w:val="0"/>
          <w:marTop w:val="0"/>
          <w:marBottom w:val="0"/>
          <w:divBdr>
            <w:top w:val="none" w:sz="0" w:space="0" w:color="auto"/>
            <w:left w:val="none" w:sz="0" w:space="0" w:color="auto"/>
            <w:bottom w:val="none" w:sz="0" w:space="0" w:color="auto"/>
            <w:right w:val="none" w:sz="0" w:space="0" w:color="auto"/>
          </w:divBdr>
          <w:divsChild>
            <w:div w:id="1644040158">
              <w:marLeft w:val="0"/>
              <w:marRight w:val="0"/>
              <w:marTop w:val="0"/>
              <w:marBottom w:val="0"/>
              <w:divBdr>
                <w:top w:val="none" w:sz="0" w:space="0" w:color="auto"/>
                <w:left w:val="none" w:sz="0" w:space="0" w:color="auto"/>
                <w:bottom w:val="none" w:sz="0" w:space="0" w:color="auto"/>
                <w:right w:val="none" w:sz="0" w:space="0" w:color="auto"/>
              </w:divBdr>
            </w:div>
          </w:divsChild>
        </w:div>
        <w:div w:id="635725940">
          <w:marLeft w:val="0"/>
          <w:marRight w:val="0"/>
          <w:marTop w:val="0"/>
          <w:marBottom w:val="0"/>
          <w:divBdr>
            <w:top w:val="none" w:sz="0" w:space="0" w:color="auto"/>
            <w:left w:val="none" w:sz="0" w:space="0" w:color="auto"/>
            <w:bottom w:val="none" w:sz="0" w:space="0" w:color="auto"/>
            <w:right w:val="none" w:sz="0" w:space="0" w:color="auto"/>
          </w:divBdr>
          <w:divsChild>
            <w:div w:id="607859173">
              <w:marLeft w:val="0"/>
              <w:marRight w:val="0"/>
              <w:marTop w:val="0"/>
              <w:marBottom w:val="0"/>
              <w:divBdr>
                <w:top w:val="none" w:sz="0" w:space="0" w:color="auto"/>
                <w:left w:val="none" w:sz="0" w:space="0" w:color="auto"/>
                <w:bottom w:val="none" w:sz="0" w:space="0" w:color="auto"/>
                <w:right w:val="none" w:sz="0" w:space="0" w:color="auto"/>
              </w:divBdr>
            </w:div>
          </w:divsChild>
        </w:div>
        <w:div w:id="439691870">
          <w:marLeft w:val="0"/>
          <w:marRight w:val="0"/>
          <w:marTop w:val="0"/>
          <w:marBottom w:val="0"/>
          <w:divBdr>
            <w:top w:val="none" w:sz="0" w:space="0" w:color="auto"/>
            <w:left w:val="none" w:sz="0" w:space="0" w:color="auto"/>
            <w:bottom w:val="none" w:sz="0" w:space="0" w:color="auto"/>
            <w:right w:val="none" w:sz="0" w:space="0" w:color="auto"/>
          </w:divBdr>
          <w:divsChild>
            <w:div w:id="1579559506">
              <w:marLeft w:val="0"/>
              <w:marRight w:val="0"/>
              <w:marTop w:val="0"/>
              <w:marBottom w:val="0"/>
              <w:divBdr>
                <w:top w:val="none" w:sz="0" w:space="0" w:color="auto"/>
                <w:left w:val="none" w:sz="0" w:space="0" w:color="auto"/>
                <w:bottom w:val="none" w:sz="0" w:space="0" w:color="auto"/>
                <w:right w:val="none" w:sz="0" w:space="0" w:color="auto"/>
              </w:divBdr>
            </w:div>
          </w:divsChild>
        </w:div>
        <w:div w:id="484665943">
          <w:marLeft w:val="0"/>
          <w:marRight w:val="0"/>
          <w:marTop w:val="0"/>
          <w:marBottom w:val="0"/>
          <w:divBdr>
            <w:top w:val="none" w:sz="0" w:space="0" w:color="auto"/>
            <w:left w:val="none" w:sz="0" w:space="0" w:color="auto"/>
            <w:bottom w:val="none" w:sz="0" w:space="0" w:color="auto"/>
            <w:right w:val="none" w:sz="0" w:space="0" w:color="auto"/>
          </w:divBdr>
          <w:divsChild>
            <w:div w:id="1932201388">
              <w:marLeft w:val="0"/>
              <w:marRight w:val="0"/>
              <w:marTop w:val="0"/>
              <w:marBottom w:val="0"/>
              <w:divBdr>
                <w:top w:val="none" w:sz="0" w:space="0" w:color="auto"/>
                <w:left w:val="none" w:sz="0" w:space="0" w:color="auto"/>
                <w:bottom w:val="none" w:sz="0" w:space="0" w:color="auto"/>
                <w:right w:val="none" w:sz="0" w:space="0" w:color="auto"/>
              </w:divBdr>
            </w:div>
          </w:divsChild>
        </w:div>
        <w:div w:id="1676807338">
          <w:marLeft w:val="0"/>
          <w:marRight w:val="0"/>
          <w:marTop w:val="0"/>
          <w:marBottom w:val="0"/>
          <w:divBdr>
            <w:top w:val="none" w:sz="0" w:space="0" w:color="auto"/>
            <w:left w:val="none" w:sz="0" w:space="0" w:color="auto"/>
            <w:bottom w:val="none" w:sz="0" w:space="0" w:color="auto"/>
            <w:right w:val="none" w:sz="0" w:space="0" w:color="auto"/>
          </w:divBdr>
          <w:divsChild>
            <w:div w:id="762341139">
              <w:marLeft w:val="0"/>
              <w:marRight w:val="0"/>
              <w:marTop w:val="0"/>
              <w:marBottom w:val="0"/>
              <w:divBdr>
                <w:top w:val="none" w:sz="0" w:space="0" w:color="auto"/>
                <w:left w:val="none" w:sz="0" w:space="0" w:color="auto"/>
                <w:bottom w:val="none" w:sz="0" w:space="0" w:color="auto"/>
                <w:right w:val="none" w:sz="0" w:space="0" w:color="auto"/>
              </w:divBdr>
            </w:div>
          </w:divsChild>
        </w:div>
        <w:div w:id="2077511400">
          <w:marLeft w:val="0"/>
          <w:marRight w:val="0"/>
          <w:marTop w:val="0"/>
          <w:marBottom w:val="0"/>
          <w:divBdr>
            <w:top w:val="none" w:sz="0" w:space="0" w:color="auto"/>
            <w:left w:val="none" w:sz="0" w:space="0" w:color="auto"/>
            <w:bottom w:val="none" w:sz="0" w:space="0" w:color="auto"/>
            <w:right w:val="none" w:sz="0" w:space="0" w:color="auto"/>
          </w:divBdr>
          <w:divsChild>
            <w:div w:id="1783106167">
              <w:marLeft w:val="0"/>
              <w:marRight w:val="0"/>
              <w:marTop w:val="0"/>
              <w:marBottom w:val="0"/>
              <w:divBdr>
                <w:top w:val="none" w:sz="0" w:space="0" w:color="auto"/>
                <w:left w:val="none" w:sz="0" w:space="0" w:color="auto"/>
                <w:bottom w:val="none" w:sz="0" w:space="0" w:color="auto"/>
                <w:right w:val="none" w:sz="0" w:space="0" w:color="auto"/>
              </w:divBdr>
            </w:div>
          </w:divsChild>
        </w:div>
        <w:div w:id="1914460846">
          <w:marLeft w:val="0"/>
          <w:marRight w:val="0"/>
          <w:marTop w:val="0"/>
          <w:marBottom w:val="0"/>
          <w:divBdr>
            <w:top w:val="none" w:sz="0" w:space="0" w:color="auto"/>
            <w:left w:val="none" w:sz="0" w:space="0" w:color="auto"/>
            <w:bottom w:val="none" w:sz="0" w:space="0" w:color="auto"/>
            <w:right w:val="none" w:sz="0" w:space="0" w:color="auto"/>
          </w:divBdr>
          <w:divsChild>
            <w:div w:id="741411333">
              <w:marLeft w:val="0"/>
              <w:marRight w:val="0"/>
              <w:marTop w:val="0"/>
              <w:marBottom w:val="0"/>
              <w:divBdr>
                <w:top w:val="none" w:sz="0" w:space="0" w:color="auto"/>
                <w:left w:val="none" w:sz="0" w:space="0" w:color="auto"/>
                <w:bottom w:val="none" w:sz="0" w:space="0" w:color="auto"/>
                <w:right w:val="none" w:sz="0" w:space="0" w:color="auto"/>
              </w:divBdr>
            </w:div>
          </w:divsChild>
        </w:div>
        <w:div w:id="2038849012">
          <w:marLeft w:val="0"/>
          <w:marRight w:val="0"/>
          <w:marTop w:val="300"/>
          <w:marBottom w:val="300"/>
          <w:divBdr>
            <w:top w:val="none" w:sz="0" w:space="0" w:color="auto"/>
            <w:left w:val="none" w:sz="0" w:space="0" w:color="auto"/>
            <w:bottom w:val="none" w:sz="0" w:space="0" w:color="auto"/>
            <w:right w:val="none" w:sz="0" w:space="0" w:color="auto"/>
          </w:divBdr>
        </w:div>
        <w:div w:id="2072653684">
          <w:marLeft w:val="0"/>
          <w:marRight w:val="0"/>
          <w:marTop w:val="0"/>
          <w:marBottom w:val="0"/>
          <w:divBdr>
            <w:top w:val="none" w:sz="0" w:space="0" w:color="auto"/>
            <w:left w:val="none" w:sz="0" w:space="0" w:color="auto"/>
            <w:bottom w:val="none" w:sz="0" w:space="0" w:color="auto"/>
            <w:right w:val="none" w:sz="0" w:space="0" w:color="auto"/>
          </w:divBdr>
          <w:divsChild>
            <w:div w:id="1974864863">
              <w:marLeft w:val="0"/>
              <w:marRight w:val="0"/>
              <w:marTop w:val="0"/>
              <w:marBottom w:val="0"/>
              <w:divBdr>
                <w:top w:val="none" w:sz="0" w:space="0" w:color="auto"/>
                <w:left w:val="none" w:sz="0" w:space="0" w:color="auto"/>
                <w:bottom w:val="none" w:sz="0" w:space="0" w:color="auto"/>
                <w:right w:val="none" w:sz="0" w:space="0" w:color="auto"/>
              </w:divBdr>
            </w:div>
          </w:divsChild>
        </w:div>
        <w:div w:id="941841165">
          <w:marLeft w:val="0"/>
          <w:marRight w:val="0"/>
          <w:marTop w:val="0"/>
          <w:marBottom w:val="0"/>
          <w:divBdr>
            <w:top w:val="none" w:sz="0" w:space="0" w:color="auto"/>
            <w:left w:val="none" w:sz="0" w:space="0" w:color="auto"/>
            <w:bottom w:val="none" w:sz="0" w:space="0" w:color="auto"/>
            <w:right w:val="none" w:sz="0" w:space="0" w:color="auto"/>
          </w:divBdr>
          <w:divsChild>
            <w:div w:id="337779705">
              <w:marLeft w:val="0"/>
              <w:marRight w:val="0"/>
              <w:marTop w:val="0"/>
              <w:marBottom w:val="0"/>
              <w:divBdr>
                <w:top w:val="none" w:sz="0" w:space="0" w:color="auto"/>
                <w:left w:val="none" w:sz="0" w:space="0" w:color="auto"/>
                <w:bottom w:val="none" w:sz="0" w:space="0" w:color="auto"/>
                <w:right w:val="none" w:sz="0" w:space="0" w:color="auto"/>
              </w:divBdr>
            </w:div>
          </w:divsChild>
        </w:div>
        <w:div w:id="260913050">
          <w:marLeft w:val="0"/>
          <w:marRight w:val="0"/>
          <w:marTop w:val="0"/>
          <w:marBottom w:val="0"/>
          <w:divBdr>
            <w:top w:val="none" w:sz="0" w:space="0" w:color="auto"/>
            <w:left w:val="none" w:sz="0" w:space="0" w:color="auto"/>
            <w:bottom w:val="none" w:sz="0" w:space="0" w:color="auto"/>
            <w:right w:val="none" w:sz="0" w:space="0" w:color="auto"/>
          </w:divBdr>
          <w:divsChild>
            <w:div w:id="923226882">
              <w:marLeft w:val="0"/>
              <w:marRight w:val="0"/>
              <w:marTop w:val="0"/>
              <w:marBottom w:val="0"/>
              <w:divBdr>
                <w:top w:val="none" w:sz="0" w:space="0" w:color="auto"/>
                <w:left w:val="none" w:sz="0" w:space="0" w:color="auto"/>
                <w:bottom w:val="none" w:sz="0" w:space="0" w:color="auto"/>
                <w:right w:val="none" w:sz="0" w:space="0" w:color="auto"/>
              </w:divBdr>
            </w:div>
          </w:divsChild>
        </w:div>
        <w:div w:id="1378554549">
          <w:marLeft w:val="0"/>
          <w:marRight w:val="0"/>
          <w:marTop w:val="0"/>
          <w:marBottom w:val="0"/>
          <w:divBdr>
            <w:top w:val="none" w:sz="0" w:space="0" w:color="auto"/>
            <w:left w:val="none" w:sz="0" w:space="0" w:color="auto"/>
            <w:bottom w:val="none" w:sz="0" w:space="0" w:color="auto"/>
            <w:right w:val="none" w:sz="0" w:space="0" w:color="auto"/>
          </w:divBdr>
          <w:divsChild>
            <w:div w:id="859703639">
              <w:marLeft w:val="0"/>
              <w:marRight w:val="0"/>
              <w:marTop w:val="0"/>
              <w:marBottom w:val="0"/>
              <w:divBdr>
                <w:top w:val="none" w:sz="0" w:space="0" w:color="auto"/>
                <w:left w:val="none" w:sz="0" w:space="0" w:color="auto"/>
                <w:bottom w:val="none" w:sz="0" w:space="0" w:color="auto"/>
                <w:right w:val="none" w:sz="0" w:space="0" w:color="auto"/>
              </w:divBdr>
            </w:div>
          </w:divsChild>
        </w:div>
        <w:div w:id="1747917645">
          <w:marLeft w:val="0"/>
          <w:marRight w:val="0"/>
          <w:marTop w:val="0"/>
          <w:marBottom w:val="0"/>
          <w:divBdr>
            <w:top w:val="none" w:sz="0" w:space="0" w:color="auto"/>
            <w:left w:val="none" w:sz="0" w:space="0" w:color="auto"/>
            <w:bottom w:val="none" w:sz="0" w:space="0" w:color="auto"/>
            <w:right w:val="none" w:sz="0" w:space="0" w:color="auto"/>
          </w:divBdr>
          <w:divsChild>
            <w:div w:id="878670198">
              <w:marLeft w:val="0"/>
              <w:marRight w:val="0"/>
              <w:marTop w:val="0"/>
              <w:marBottom w:val="0"/>
              <w:divBdr>
                <w:top w:val="none" w:sz="0" w:space="0" w:color="auto"/>
                <w:left w:val="none" w:sz="0" w:space="0" w:color="auto"/>
                <w:bottom w:val="none" w:sz="0" w:space="0" w:color="auto"/>
                <w:right w:val="none" w:sz="0" w:space="0" w:color="auto"/>
              </w:divBdr>
            </w:div>
          </w:divsChild>
        </w:div>
        <w:div w:id="582422459">
          <w:marLeft w:val="0"/>
          <w:marRight w:val="0"/>
          <w:marTop w:val="0"/>
          <w:marBottom w:val="0"/>
          <w:divBdr>
            <w:top w:val="none" w:sz="0" w:space="0" w:color="auto"/>
            <w:left w:val="none" w:sz="0" w:space="0" w:color="auto"/>
            <w:bottom w:val="none" w:sz="0" w:space="0" w:color="auto"/>
            <w:right w:val="none" w:sz="0" w:space="0" w:color="auto"/>
          </w:divBdr>
          <w:divsChild>
            <w:div w:id="1580561367">
              <w:marLeft w:val="0"/>
              <w:marRight w:val="0"/>
              <w:marTop w:val="0"/>
              <w:marBottom w:val="0"/>
              <w:divBdr>
                <w:top w:val="none" w:sz="0" w:space="0" w:color="auto"/>
                <w:left w:val="none" w:sz="0" w:space="0" w:color="auto"/>
                <w:bottom w:val="none" w:sz="0" w:space="0" w:color="auto"/>
                <w:right w:val="none" w:sz="0" w:space="0" w:color="auto"/>
              </w:divBdr>
            </w:div>
          </w:divsChild>
        </w:div>
        <w:div w:id="986712552">
          <w:marLeft w:val="0"/>
          <w:marRight w:val="0"/>
          <w:marTop w:val="0"/>
          <w:marBottom w:val="0"/>
          <w:divBdr>
            <w:top w:val="none" w:sz="0" w:space="0" w:color="auto"/>
            <w:left w:val="none" w:sz="0" w:space="0" w:color="auto"/>
            <w:bottom w:val="none" w:sz="0" w:space="0" w:color="auto"/>
            <w:right w:val="none" w:sz="0" w:space="0" w:color="auto"/>
          </w:divBdr>
          <w:divsChild>
            <w:div w:id="16201380">
              <w:marLeft w:val="0"/>
              <w:marRight w:val="0"/>
              <w:marTop w:val="0"/>
              <w:marBottom w:val="0"/>
              <w:divBdr>
                <w:top w:val="none" w:sz="0" w:space="0" w:color="auto"/>
                <w:left w:val="none" w:sz="0" w:space="0" w:color="auto"/>
                <w:bottom w:val="none" w:sz="0" w:space="0" w:color="auto"/>
                <w:right w:val="none" w:sz="0" w:space="0" w:color="auto"/>
              </w:divBdr>
            </w:div>
          </w:divsChild>
        </w:div>
        <w:div w:id="162402943">
          <w:marLeft w:val="0"/>
          <w:marRight w:val="0"/>
          <w:marTop w:val="0"/>
          <w:marBottom w:val="0"/>
          <w:divBdr>
            <w:top w:val="none" w:sz="0" w:space="0" w:color="auto"/>
            <w:left w:val="none" w:sz="0" w:space="0" w:color="auto"/>
            <w:bottom w:val="none" w:sz="0" w:space="0" w:color="auto"/>
            <w:right w:val="none" w:sz="0" w:space="0" w:color="auto"/>
          </w:divBdr>
          <w:divsChild>
            <w:div w:id="338971557">
              <w:marLeft w:val="0"/>
              <w:marRight w:val="0"/>
              <w:marTop w:val="0"/>
              <w:marBottom w:val="0"/>
              <w:divBdr>
                <w:top w:val="none" w:sz="0" w:space="0" w:color="auto"/>
                <w:left w:val="none" w:sz="0" w:space="0" w:color="auto"/>
                <w:bottom w:val="none" w:sz="0" w:space="0" w:color="auto"/>
                <w:right w:val="none" w:sz="0" w:space="0" w:color="auto"/>
              </w:divBdr>
            </w:div>
          </w:divsChild>
        </w:div>
        <w:div w:id="454295586">
          <w:marLeft w:val="0"/>
          <w:marRight w:val="0"/>
          <w:marTop w:val="0"/>
          <w:marBottom w:val="0"/>
          <w:divBdr>
            <w:top w:val="none" w:sz="0" w:space="0" w:color="auto"/>
            <w:left w:val="none" w:sz="0" w:space="0" w:color="auto"/>
            <w:bottom w:val="none" w:sz="0" w:space="0" w:color="auto"/>
            <w:right w:val="none" w:sz="0" w:space="0" w:color="auto"/>
          </w:divBdr>
          <w:divsChild>
            <w:div w:id="491217047">
              <w:marLeft w:val="0"/>
              <w:marRight w:val="0"/>
              <w:marTop w:val="0"/>
              <w:marBottom w:val="0"/>
              <w:divBdr>
                <w:top w:val="none" w:sz="0" w:space="0" w:color="auto"/>
                <w:left w:val="none" w:sz="0" w:space="0" w:color="auto"/>
                <w:bottom w:val="none" w:sz="0" w:space="0" w:color="auto"/>
                <w:right w:val="none" w:sz="0" w:space="0" w:color="auto"/>
              </w:divBdr>
            </w:div>
          </w:divsChild>
        </w:div>
        <w:div w:id="1751928825">
          <w:marLeft w:val="0"/>
          <w:marRight w:val="0"/>
          <w:marTop w:val="0"/>
          <w:marBottom w:val="0"/>
          <w:divBdr>
            <w:top w:val="none" w:sz="0" w:space="0" w:color="auto"/>
            <w:left w:val="none" w:sz="0" w:space="0" w:color="auto"/>
            <w:bottom w:val="none" w:sz="0" w:space="0" w:color="auto"/>
            <w:right w:val="none" w:sz="0" w:space="0" w:color="auto"/>
          </w:divBdr>
          <w:divsChild>
            <w:div w:id="699815154">
              <w:marLeft w:val="0"/>
              <w:marRight w:val="0"/>
              <w:marTop w:val="0"/>
              <w:marBottom w:val="0"/>
              <w:divBdr>
                <w:top w:val="none" w:sz="0" w:space="0" w:color="auto"/>
                <w:left w:val="none" w:sz="0" w:space="0" w:color="auto"/>
                <w:bottom w:val="none" w:sz="0" w:space="0" w:color="auto"/>
                <w:right w:val="none" w:sz="0" w:space="0" w:color="auto"/>
              </w:divBdr>
            </w:div>
          </w:divsChild>
        </w:div>
        <w:div w:id="137497690">
          <w:marLeft w:val="0"/>
          <w:marRight w:val="0"/>
          <w:marTop w:val="0"/>
          <w:marBottom w:val="0"/>
          <w:divBdr>
            <w:top w:val="none" w:sz="0" w:space="0" w:color="auto"/>
            <w:left w:val="none" w:sz="0" w:space="0" w:color="auto"/>
            <w:bottom w:val="none" w:sz="0" w:space="0" w:color="auto"/>
            <w:right w:val="none" w:sz="0" w:space="0" w:color="auto"/>
          </w:divBdr>
          <w:divsChild>
            <w:div w:id="751270337">
              <w:marLeft w:val="0"/>
              <w:marRight w:val="0"/>
              <w:marTop w:val="0"/>
              <w:marBottom w:val="0"/>
              <w:divBdr>
                <w:top w:val="none" w:sz="0" w:space="0" w:color="auto"/>
                <w:left w:val="none" w:sz="0" w:space="0" w:color="auto"/>
                <w:bottom w:val="none" w:sz="0" w:space="0" w:color="auto"/>
                <w:right w:val="none" w:sz="0" w:space="0" w:color="auto"/>
              </w:divBdr>
            </w:div>
          </w:divsChild>
        </w:div>
        <w:div w:id="727146962">
          <w:marLeft w:val="0"/>
          <w:marRight w:val="0"/>
          <w:marTop w:val="0"/>
          <w:marBottom w:val="0"/>
          <w:divBdr>
            <w:top w:val="none" w:sz="0" w:space="0" w:color="auto"/>
            <w:left w:val="none" w:sz="0" w:space="0" w:color="auto"/>
            <w:bottom w:val="none" w:sz="0" w:space="0" w:color="auto"/>
            <w:right w:val="none" w:sz="0" w:space="0" w:color="auto"/>
          </w:divBdr>
          <w:divsChild>
            <w:div w:id="1489201461">
              <w:marLeft w:val="0"/>
              <w:marRight w:val="0"/>
              <w:marTop w:val="0"/>
              <w:marBottom w:val="0"/>
              <w:divBdr>
                <w:top w:val="none" w:sz="0" w:space="0" w:color="auto"/>
                <w:left w:val="none" w:sz="0" w:space="0" w:color="auto"/>
                <w:bottom w:val="none" w:sz="0" w:space="0" w:color="auto"/>
                <w:right w:val="none" w:sz="0" w:space="0" w:color="auto"/>
              </w:divBdr>
            </w:div>
          </w:divsChild>
        </w:div>
        <w:div w:id="752044073">
          <w:marLeft w:val="0"/>
          <w:marRight w:val="0"/>
          <w:marTop w:val="0"/>
          <w:marBottom w:val="0"/>
          <w:divBdr>
            <w:top w:val="none" w:sz="0" w:space="0" w:color="auto"/>
            <w:left w:val="none" w:sz="0" w:space="0" w:color="auto"/>
            <w:bottom w:val="none" w:sz="0" w:space="0" w:color="auto"/>
            <w:right w:val="none" w:sz="0" w:space="0" w:color="auto"/>
          </w:divBdr>
          <w:divsChild>
            <w:div w:id="1332173561">
              <w:marLeft w:val="0"/>
              <w:marRight w:val="0"/>
              <w:marTop w:val="0"/>
              <w:marBottom w:val="0"/>
              <w:divBdr>
                <w:top w:val="none" w:sz="0" w:space="0" w:color="auto"/>
                <w:left w:val="none" w:sz="0" w:space="0" w:color="auto"/>
                <w:bottom w:val="none" w:sz="0" w:space="0" w:color="auto"/>
                <w:right w:val="none" w:sz="0" w:space="0" w:color="auto"/>
              </w:divBdr>
            </w:div>
          </w:divsChild>
        </w:div>
        <w:div w:id="2110394964">
          <w:marLeft w:val="0"/>
          <w:marRight w:val="0"/>
          <w:marTop w:val="0"/>
          <w:marBottom w:val="0"/>
          <w:divBdr>
            <w:top w:val="none" w:sz="0" w:space="0" w:color="auto"/>
            <w:left w:val="none" w:sz="0" w:space="0" w:color="auto"/>
            <w:bottom w:val="none" w:sz="0" w:space="0" w:color="auto"/>
            <w:right w:val="none" w:sz="0" w:space="0" w:color="auto"/>
          </w:divBdr>
          <w:divsChild>
            <w:div w:id="1602182264">
              <w:marLeft w:val="0"/>
              <w:marRight w:val="0"/>
              <w:marTop w:val="0"/>
              <w:marBottom w:val="0"/>
              <w:divBdr>
                <w:top w:val="none" w:sz="0" w:space="0" w:color="auto"/>
                <w:left w:val="none" w:sz="0" w:space="0" w:color="auto"/>
                <w:bottom w:val="none" w:sz="0" w:space="0" w:color="auto"/>
                <w:right w:val="none" w:sz="0" w:space="0" w:color="auto"/>
              </w:divBdr>
            </w:div>
          </w:divsChild>
        </w:div>
        <w:div w:id="777600366">
          <w:marLeft w:val="0"/>
          <w:marRight w:val="0"/>
          <w:marTop w:val="0"/>
          <w:marBottom w:val="0"/>
          <w:divBdr>
            <w:top w:val="none" w:sz="0" w:space="0" w:color="auto"/>
            <w:left w:val="none" w:sz="0" w:space="0" w:color="auto"/>
            <w:bottom w:val="none" w:sz="0" w:space="0" w:color="auto"/>
            <w:right w:val="none" w:sz="0" w:space="0" w:color="auto"/>
          </w:divBdr>
          <w:divsChild>
            <w:div w:id="915943855">
              <w:marLeft w:val="0"/>
              <w:marRight w:val="0"/>
              <w:marTop w:val="0"/>
              <w:marBottom w:val="0"/>
              <w:divBdr>
                <w:top w:val="none" w:sz="0" w:space="0" w:color="auto"/>
                <w:left w:val="none" w:sz="0" w:space="0" w:color="auto"/>
                <w:bottom w:val="none" w:sz="0" w:space="0" w:color="auto"/>
                <w:right w:val="none" w:sz="0" w:space="0" w:color="auto"/>
              </w:divBdr>
            </w:div>
          </w:divsChild>
        </w:div>
        <w:div w:id="787046824">
          <w:marLeft w:val="0"/>
          <w:marRight w:val="0"/>
          <w:marTop w:val="300"/>
          <w:marBottom w:val="300"/>
          <w:divBdr>
            <w:top w:val="none" w:sz="0" w:space="0" w:color="auto"/>
            <w:left w:val="none" w:sz="0" w:space="0" w:color="auto"/>
            <w:bottom w:val="none" w:sz="0" w:space="0" w:color="auto"/>
            <w:right w:val="none" w:sz="0" w:space="0" w:color="auto"/>
          </w:divBdr>
        </w:div>
        <w:div w:id="311908254">
          <w:marLeft w:val="0"/>
          <w:marRight w:val="0"/>
          <w:marTop w:val="0"/>
          <w:marBottom w:val="0"/>
          <w:divBdr>
            <w:top w:val="none" w:sz="0" w:space="0" w:color="auto"/>
            <w:left w:val="none" w:sz="0" w:space="0" w:color="auto"/>
            <w:bottom w:val="none" w:sz="0" w:space="0" w:color="auto"/>
            <w:right w:val="none" w:sz="0" w:space="0" w:color="auto"/>
          </w:divBdr>
          <w:divsChild>
            <w:div w:id="447235427">
              <w:marLeft w:val="0"/>
              <w:marRight w:val="0"/>
              <w:marTop w:val="0"/>
              <w:marBottom w:val="0"/>
              <w:divBdr>
                <w:top w:val="none" w:sz="0" w:space="0" w:color="auto"/>
                <w:left w:val="none" w:sz="0" w:space="0" w:color="auto"/>
                <w:bottom w:val="none" w:sz="0" w:space="0" w:color="auto"/>
                <w:right w:val="none" w:sz="0" w:space="0" w:color="auto"/>
              </w:divBdr>
            </w:div>
          </w:divsChild>
        </w:div>
        <w:div w:id="1349868157">
          <w:marLeft w:val="0"/>
          <w:marRight w:val="0"/>
          <w:marTop w:val="0"/>
          <w:marBottom w:val="0"/>
          <w:divBdr>
            <w:top w:val="none" w:sz="0" w:space="0" w:color="auto"/>
            <w:left w:val="none" w:sz="0" w:space="0" w:color="auto"/>
            <w:bottom w:val="none" w:sz="0" w:space="0" w:color="auto"/>
            <w:right w:val="none" w:sz="0" w:space="0" w:color="auto"/>
          </w:divBdr>
          <w:divsChild>
            <w:div w:id="1776512060">
              <w:marLeft w:val="0"/>
              <w:marRight w:val="0"/>
              <w:marTop w:val="0"/>
              <w:marBottom w:val="0"/>
              <w:divBdr>
                <w:top w:val="none" w:sz="0" w:space="0" w:color="auto"/>
                <w:left w:val="none" w:sz="0" w:space="0" w:color="auto"/>
                <w:bottom w:val="none" w:sz="0" w:space="0" w:color="auto"/>
                <w:right w:val="none" w:sz="0" w:space="0" w:color="auto"/>
              </w:divBdr>
            </w:div>
          </w:divsChild>
        </w:div>
        <w:div w:id="1868592317">
          <w:marLeft w:val="0"/>
          <w:marRight w:val="0"/>
          <w:marTop w:val="0"/>
          <w:marBottom w:val="0"/>
          <w:divBdr>
            <w:top w:val="none" w:sz="0" w:space="0" w:color="auto"/>
            <w:left w:val="none" w:sz="0" w:space="0" w:color="auto"/>
            <w:bottom w:val="none" w:sz="0" w:space="0" w:color="auto"/>
            <w:right w:val="none" w:sz="0" w:space="0" w:color="auto"/>
          </w:divBdr>
          <w:divsChild>
            <w:div w:id="225796616">
              <w:marLeft w:val="0"/>
              <w:marRight w:val="0"/>
              <w:marTop w:val="0"/>
              <w:marBottom w:val="0"/>
              <w:divBdr>
                <w:top w:val="none" w:sz="0" w:space="0" w:color="auto"/>
                <w:left w:val="none" w:sz="0" w:space="0" w:color="auto"/>
                <w:bottom w:val="none" w:sz="0" w:space="0" w:color="auto"/>
                <w:right w:val="none" w:sz="0" w:space="0" w:color="auto"/>
              </w:divBdr>
            </w:div>
          </w:divsChild>
        </w:div>
        <w:div w:id="1556773125">
          <w:marLeft w:val="0"/>
          <w:marRight w:val="0"/>
          <w:marTop w:val="0"/>
          <w:marBottom w:val="0"/>
          <w:divBdr>
            <w:top w:val="none" w:sz="0" w:space="0" w:color="auto"/>
            <w:left w:val="none" w:sz="0" w:space="0" w:color="auto"/>
            <w:bottom w:val="none" w:sz="0" w:space="0" w:color="auto"/>
            <w:right w:val="none" w:sz="0" w:space="0" w:color="auto"/>
          </w:divBdr>
          <w:divsChild>
            <w:div w:id="594098686">
              <w:marLeft w:val="0"/>
              <w:marRight w:val="0"/>
              <w:marTop w:val="0"/>
              <w:marBottom w:val="0"/>
              <w:divBdr>
                <w:top w:val="none" w:sz="0" w:space="0" w:color="auto"/>
                <w:left w:val="none" w:sz="0" w:space="0" w:color="auto"/>
                <w:bottom w:val="none" w:sz="0" w:space="0" w:color="auto"/>
                <w:right w:val="none" w:sz="0" w:space="0" w:color="auto"/>
              </w:divBdr>
            </w:div>
          </w:divsChild>
        </w:div>
        <w:div w:id="153300147">
          <w:marLeft w:val="0"/>
          <w:marRight w:val="0"/>
          <w:marTop w:val="0"/>
          <w:marBottom w:val="0"/>
          <w:divBdr>
            <w:top w:val="none" w:sz="0" w:space="0" w:color="auto"/>
            <w:left w:val="none" w:sz="0" w:space="0" w:color="auto"/>
            <w:bottom w:val="none" w:sz="0" w:space="0" w:color="auto"/>
            <w:right w:val="none" w:sz="0" w:space="0" w:color="auto"/>
          </w:divBdr>
          <w:divsChild>
            <w:div w:id="1666589782">
              <w:marLeft w:val="0"/>
              <w:marRight w:val="0"/>
              <w:marTop w:val="0"/>
              <w:marBottom w:val="0"/>
              <w:divBdr>
                <w:top w:val="none" w:sz="0" w:space="0" w:color="auto"/>
                <w:left w:val="none" w:sz="0" w:space="0" w:color="auto"/>
                <w:bottom w:val="none" w:sz="0" w:space="0" w:color="auto"/>
                <w:right w:val="none" w:sz="0" w:space="0" w:color="auto"/>
              </w:divBdr>
            </w:div>
          </w:divsChild>
        </w:div>
        <w:div w:id="2071151548">
          <w:marLeft w:val="0"/>
          <w:marRight w:val="0"/>
          <w:marTop w:val="0"/>
          <w:marBottom w:val="0"/>
          <w:divBdr>
            <w:top w:val="none" w:sz="0" w:space="0" w:color="auto"/>
            <w:left w:val="none" w:sz="0" w:space="0" w:color="auto"/>
            <w:bottom w:val="none" w:sz="0" w:space="0" w:color="auto"/>
            <w:right w:val="none" w:sz="0" w:space="0" w:color="auto"/>
          </w:divBdr>
          <w:divsChild>
            <w:div w:id="1679235894">
              <w:marLeft w:val="0"/>
              <w:marRight w:val="0"/>
              <w:marTop w:val="0"/>
              <w:marBottom w:val="0"/>
              <w:divBdr>
                <w:top w:val="none" w:sz="0" w:space="0" w:color="auto"/>
                <w:left w:val="none" w:sz="0" w:space="0" w:color="auto"/>
                <w:bottom w:val="none" w:sz="0" w:space="0" w:color="auto"/>
                <w:right w:val="none" w:sz="0" w:space="0" w:color="auto"/>
              </w:divBdr>
            </w:div>
          </w:divsChild>
        </w:div>
        <w:div w:id="661809675">
          <w:marLeft w:val="0"/>
          <w:marRight w:val="0"/>
          <w:marTop w:val="300"/>
          <w:marBottom w:val="300"/>
          <w:divBdr>
            <w:top w:val="none" w:sz="0" w:space="0" w:color="auto"/>
            <w:left w:val="none" w:sz="0" w:space="0" w:color="auto"/>
            <w:bottom w:val="none" w:sz="0" w:space="0" w:color="auto"/>
            <w:right w:val="none" w:sz="0" w:space="0" w:color="auto"/>
          </w:divBdr>
        </w:div>
        <w:div w:id="659161647">
          <w:marLeft w:val="0"/>
          <w:marRight w:val="0"/>
          <w:marTop w:val="0"/>
          <w:marBottom w:val="0"/>
          <w:divBdr>
            <w:top w:val="none" w:sz="0" w:space="0" w:color="auto"/>
            <w:left w:val="none" w:sz="0" w:space="0" w:color="auto"/>
            <w:bottom w:val="none" w:sz="0" w:space="0" w:color="auto"/>
            <w:right w:val="none" w:sz="0" w:space="0" w:color="auto"/>
          </w:divBdr>
          <w:divsChild>
            <w:div w:id="1358970752">
              <w:marLeft w:val="0"/>
              <w:marRight w:val="0"/>
              <w:marTop w:val="0"/>
              <w:marBottom w:val="0"/>
              <w:divBdr>
                <w:top w:val="none" w:sz="0" w:space="0" w:color="auto"/>
                <w:left w:val="none" w:sz="0" w:space="0" w:color="auto"/>
                <w:bottom w:val="none" w:sz="0" w:space="0" w:color="auto"/>
                <w:right w:val="none" w:sz="0" w:space="0" w:color="auto"/>
              </w:divBdr>
            </w:div>
          </w:divsChild>
        </w:div>
        <w:div w:id="389618463">
          <w:marLeft w:val="0"/>
          <w:marRight w:val="0"/>
          <w:marTop w:val="0"/>
          <w:marBottom w:val="0"/>
          <w:divBdr>
            <w:top w:val="none" w:sz="0" w:space="0" w:color="auto"/>
            <w:left w:val="none" w:sz="0" w:space="0" w:color="auto"/>
            <w:bottom w:val="none" w:sz="0" w:space="0" w:color="auto"/>
            <w:right w:val="none" w:sz="0" w:space="0" w:color="auto"/>
          </w:divBdr>
          <w:divsChild>
            <w:div w:id="1356930941">
              <w:marLeft w:val="0"/>
              <w:marRight w:val="0"/>
              <w:marTop w:val="0"/>
              <w:marBottom w:val="0"/>
              <w:divBdr>
                <w:top w:val="none" w:sz="0" w:space="0" w:color="auto"/>
                <w:left w:val="none" w:sz="0" w:space="0" w:color="auto"/>
                <w:bottom w:val="none" w:sz="0" w:space="0" w:color="auto"/>
                <w:right w:val="none" w:sz="0" w:space="0" w:color="auto"/>
              </w:divBdr>
            </w:div>
          </w:divsChild>
        </w:div>
        <w:div w:id="1952005875">
          <w:marLeft w:val="0"/>
          <w:marRight w:val="0"/>
          <w:marTop w:val="300"/>
          <w:marBottom w:val="300"/>
          <w:divBdr>
            <w:top w:val="none" w:sz="0" w:space="0" w:color="auto"/>
            <w:left w:val="none" w:sz="0" w:space="0" w:color="auto"/>
            <w:bottom w:val="none" w:sz="0" w:space="0" w:color="auto"/>
            <w:right w:val="none" w:sz="0" w:space="0" w:color="auto"/>
          </w:divBdr>
        </w:div>
        <w:div w:id="612903749">
          <w:marLeft w:val="0"/>
          <w:marRight w:val="0"/>
          <w:marTop w:val="0"/>
          <w:marBottom w:val="0"/>
          <w:divBdr>
            <w:top w:val="none" w:sz="0" w:space="0" w:color="auto"/>
            <w:left w:val="none" w:sz="0" w:space="0" w:color="auto"/>
            <w:bottom w:val="none" w:sz="0" w:space="0" w:color="auto"/>
            <w:right w:val="none" w:sz="0" w:space="0" w:color="auto"/>
          </w:divBdr>
          <w:divsChild>
            <w:div w:id="134371151">
              <w:marLeft w:val="0"/>
              <w:marRight w:val="0"/>
              <w:marTop w:val="0"/>
              <w:marBottom w:val="0"/>
              <w:divBdr>
                <w:top w:val="none" w:sz="0" w:space="0" w:color="auto"/>
                <w:left w:val="none" w:sz="0" w:space="0" w:color="auto"/>
                <w:bottom w:val="none" w:sz="0" w:space="0" w:color="auto"/>
                <w:right w:val="none" w:sz="0" w:space="0" w:color="auto"/>
              </w:divBdr>
            </w:div>
          </w:divsChild>
        </w:div>
        <w:div w:id="466051922">
          <w:marLeft w:val="0"/>
          <w:marRight w:val="0"/>
          <w:marTop w:val="0"/>
          <w:marBottom w:val="0"/>
          <w:divBdr>
            <w:top w:val="none" w:sz="0" w:space="0" w:color="auto"/>
            <w:left w:val="none" w:sz="0" w:space="0" w:color="auto"/>
            <w:bottom w:val="none" w:sz="0" w:space="0" w:color="auto"/>
            <w:right w:val="none" w:sz="0" w:space="0" w:color="auto"/>
          </w:divBdr>
          <w:divsChild>
            <w:div w:id="2143114570">
              <w:marLeft w:val="0"/>
              <w:marRight w:val="0"/>
              <w:marTop w:val="0"/>
              <w:marBottom w:val="0"/>
              <w:divBdr>
                <w:top w:val="none" w:sz="0" w:space="0" w:color="auto"/>
                <w:left w:val="none" w:sz="0" w:space="0" w:color="auto"/>
                <w:bottom w:val="none" w:sz="0" w:space="0" w:color="auto"/>
                <w:right w:val="none" w:sz="0" w:space="0" w:color="auto"/>
              </w:divBdr>
            </w:div>
          </w:divsChild>
        </w:div>
        <w:div w:id="1876190655">
          <w:marLeft w:val="0"/>
          <w:marRight w:val="0"/>
          <w:marTop w:val="0"/>
          <w:marBottom w:val="0"/>
          <w:divBdr>
            <w:top w:val="none" w:sz="0" w:space="0" w:color="auto"/>
            <w:left w:val="none" w:sz="0" w:space="0" w:color="auto"/>
            <w:bottom w:val="none" w:sz="0" w:space="0" w:color="auto"/>
            <w:right w:val="none" w:sz="0" w:space="0" w:color="auto"/>
          </w:divBdr>
          <w:divsChild>
            <w:div w:id="1994989239">
              <w:marLeft w:val="0"/>
              <w:marRight w:val="0"/>
              <w:marTop w:val="0"/>
              <w:marBottom w:val="0"/>
              <w:divBdr>
                <w:top w:val="none" w:sz="0" w:space="0" w:color="auto"/>
                <w:left w:val="none" w:sz="0" w:space="0" w:color="auto"/>
                <w:bottom w:val="none" w:sz="0" w:space="0" w:color="auto"/>
                <w:right w:val="none" w:sz="0" w:space="0" w:color="auto"/>
              </w:divBdr>
            </w:div>
          </w:divsChild>
        </w:div>
        <w:div w:id="1850559668">
          <w:marLeft w:val="0"/>
          <w:marRight w:val="0"/>
          <w:marTop w:val="0"/>
          <w:marBottom w:val="0"/>
          <w:divBdr>
            <w:top w:val="none" w:sz="0" w:space="0" w:color="auto"/>
            <w:left w:val="none" w:sz="0" w:space="0" w:color="auto"/>
            <w:bottom w:val="none" w:sz="0" w:space="0" w:color="auto"/>
            <w:right w:val="none" w:sz="0" w:space="0" w:color="auto"/>
          </w:divBdr>
          <w:divsChild>
            <w:div w:id="2090420852">
              <w:marLeft w:val="0"/>
              <w:marRight w:val="0"/>
              <w:marTop w:val="0"/>
              <w:marBottom w:val="0"/>
              <w:divBdr>
                <w:top w:val="none" w:sz="0" w:space="0" w:color="auto"/>
                <w:left w:val="none" w:sz="0" w:space="0" w:color="auto"/>
                <w:bottom w:val="none" w:sz="0" w:space="0" w:color="auto"/>
                <w:right w:val="none" w:sz="0" w:space="0" w:color="auto"/>
              </w:divBdr>
            </w:div>
          </w:divsChild>
        </w:div>
        <w:div w:id="1785076967">
          <w:marLeft w:val="0"/>
          <w:marRight w:val="0"/>
          <w:marTop w:val="0"/>
          <w:marBottom w:val="0"/>
          <w:divBdr>
            <w:top w:val="none" w:sz="0" w:space="0" w:color="auto"/>
            <w:left w:val="none" w:sz="0" w:space="0" w:color="auto"/>
            <w:bottom w:val="none" w:sz="0" w:space="0" w:color="auto"/>
            <w:right w:val="none" w:sz="0" w:space="0" w:color="auto"/>
          </w:divBdr>
          <w:divsChild>
            <w:div w:id="959335729">
              <w:marLeft w:val="0"/>
              <w:marRight w:val="0"/>
              <w:marTop w:val="0"/>
              <w:marBottom w:val="0"/>
              <w:divBdr>
                <w:top w:val="none" w:sz="0" w:space="0" w:color="auto"/>
                <w:left w:val="none" w:sz="0" w:space="0" w:color="auto"/>
                <w:bottom w:val="none" w:sz="0" w:space="0" w:color="auto"/>
                <w:right w:val="none" w:sz="0" w:space="0" w:color="auto"/>
              </w:divBdr>
            </w:div>
          </w:divsChild>
        </w:div>
        <w:div w:id="1743092781">
          <w:marLeft w:val="0"/>
          <w:marRight w:val="0"/>
          <w:marTop w:val="0"/>
          <w:marBottom w:val="0"/>
          <w:divBdr>
            <w:top w:val="none" w:sz="0" w:space="0" w:color="auto"/>
            <w:left w:val="none" w:sz="0" w:space="0" w:color="auto"/>
            <w:bottom w:val="none" w:sz="0" w:space="0" w:color="auto"/>
            <w:right w:val="none" w:sz="0" w:space="0" w:color="auto"/>
          </w:divBdr>
          <w:divsChild>
            <w:div w:id="1351448617">
              <w:marLeft w:val="0"/>
              <w:marRight w:val="0"/>
              <w:marTop w:val="0"/>
              <w:marBottom w:val="0"/>
              <w:divBdr>
                <w:top w:val="none" w:sz="0" w:space="0" w:color="auto"/>
                <w:left w:val="none" w:sz="0" w:space="0" w:color="auto"/>
                <w:bottom w:val="none" w:sz="0" w:space="0" w:color="auto"/>
                <w:right w:val="none" w:sz="0" w:space="0" w:color="auto"/>
              </w:divBdr>
            </w:div>
          </w:divsChild>
        </w:div>
        <w:div w:id="809133056">
          <w:marLeft w:val="0"/>
          <w:marRight w:val="0"/>
          <w:marTop w:val="0"/>
          <w:marBottom w:val="0"/>
          <w:divBdr>
            <w:top w:val="none" w:sz="0" w:space="0" w:color="auto"/>
            <w:left w:val="none" w:sz="0" w:space="0" w:color="auto"/>
            <w:bottom w:val="none" w:sz="0" w:space="0" w:color="auto"/>
            <w:right w:val="none" w:sz="0" w:space="0" w:color="auto"/>
          </w:divBdr>
          <w:divsChild>
            <w:div w:id="1998805249">
              <w:marLeft w:val="0"/>
              <w:marRight w:val="0"/>
              <w:marTop w:val="0"/>
              <w:marBottom w:val="0"/>
              <w:divBdr>
                <w:top w:val="none" w:sz="0" w:space="0" w:color="auto"/>
                <w:left w:val="none" w:sz="0" w:space="0" w:color="auto"/>
                <w:bottom w:val="none" w:sz="0" w:space="0" w:color="auto"/>
                <w:right w:val="none" w:sz="0" w:space="0" w:color="auto"/>
              </w:divBdr>
            </w:div>
          </w:divsChild>
        </w:div>
        <w:div w:id="576936261">
          <w:marLeft w:val="0"/>
          <w:marRight w:val="0"/>
          <w:marTop w:val="0"/>
          <w:marBottom w:val="0"/>
          <w:divBdr>
            <w:top w:val="none" w:sz="0" w:space="0" w:color="auto"/>
            <w:left w:val="none" w:sz="0" w:space="0" w:color="auto"/>
            <w:bottom w:val="none" w:sz="0" w:space="0" w:color="auto"/>
            <w:right w:val="none" w:sz="0" w:space="0" w:color="auto"/>
          </w:divBdr>
          <w:divsChild>
            <w:div w:id="1825507446">
              <w:marLeft w:val="0"/>
              <w:marRight w:val="0"/>
              <w:marTop w:val="0"/>
              <w:marBottom w:val="0"/>
              <w:divBdr>
                <w:top w:val="none" w:sz="0" w:space="0" w:color="auto"/>
                <w:left w:val="none" w:sz="0" w:space="0" w:color="auto"/>
                <w:bottom w:val="none" w:sz="0" w:space="0" w:color="auto"/>
                <w:right w:val="none" w:sz="0" w:space="0" w:color="auto"/>
              </w:divBdr>
            </w:div>
          </w:divsChild>
        </w:div>
        <w:div w:id="1533494856">
          <w:marLeft w:val="0"/>
          <w:marRight w:val="0"/>
          <w:marTop w:val="300"/>
          <w:marBottom w:val="300"/>
          <w:divBdr>
            <w:top w:val="none" w:sz="0" w:space="0" w:color="auto"/>
            <w:left w:val="none" w:sz="0" w:space="0" w:color="auto"/>
            <w:bottom w:val="none" w:sz="0" w:space="0" w:color="auto"/>
            <w:right w:val="none" w:sz="0" w:space="0" w:color="auto"/>
          </w:divBdr>
        </w:div>
        <w:div w:id="1149440519">
          <w:marLeft w:val="0"/>
          <w:marRight w:val="0"/>
          <w:marTop w:val="0"/>
          <w:marBottom w:val="0"/>
          <w:divBdr>
            <w:top w:val="none" w:sz="0" w:space="0" w:color="auto"/>
            <w:left w:val="none" w:sz="0" w:space="0" w:color="auto"/>
            <w:bottom w:val="none" w:sz="0" w:space="0" w:color="auto"/>
            <w:right w:val="none" w:sz="0" w:space="0" w:color="auto"/>
          </w:divBdr>
          <w:divsChild>
            <w:div w:id="769542788">
              <w:marLeft w:val="0"/>
              <w:marRight w:val="0"/>
              <w:marTop w:val="0"/>
              <w:marBottom w:val="0"/>
              <w:divBdr>
                <w:top w:val="none" w:sz="0" w:space="0" w:color="auto"/>
                <w:left w:val="none" w:sz="0" w:space="0" w:color="auto"/>
                <w:bottom w:val="none" w:sz="0" w:space="0" w:color="auto"/>
                <w:right w:val="none" w:sz="0" w:space="0" w:color="auto"/>
              </w:divBdr>
            </w:div>
          </w:divsChild>
        </w:div>
        <w:div w:id="646134712">
          <w:marLeft w:val="0"/>
          <w:marRight w:val="0"/>
          <w:marTop w:val="300"/>
          <w:marBottom w:val="300"/>
          <w:divBdr>
            <w:top w:val="none" w:sz="0" w:space="0" w:color="auto"/>
            <w:left w:val="none" w:sz="0" w:space="0" w:color="auto"/>
            <w:bottom w:val="none" w:sz="0" w:space="0" w:color="auto"/>
            <w:right w:val="none" w:sz="0" w:space="0" w:color="auto"/>
          </w:divBdr>
        </w:div>
        <w:div w:id="1803694840">
          <w:marLeft w:val="0"/>
          <w:marRight w:val="0"/>
          <w:marTop w:val="0"/>
          <w:marBottom w:val="0"/>
          <w:divBdr>
            <w:top w:val="none" w:sz="0" w:space="0" w:color="auto"/>
            <w:left w:val="none" w:sz="0" w:space="0" w:color="auto"/>
            <w:bottom w:val="none" w:sz="0" w:space="0" w:color="auto"/>
            <w:right w:val="none" w:sz="0" w:space="0" w:color="auto"/>
          </w:divBdr>
          <w:divsChild>
            <w:div w:id="438792683">
              <w:marLeft w:val="0"/>
              <w:marRight w:val="0"/>
              <w:marTop w:val="0"/>
              <w:marBottom w:val="0"/>
              <w:divBdr>
                <w:top w:val="none" w:sz="0" w:space="0" w:color="auto"/>
                <w:left w:val="none" w:sz="0" w:space="0" w:color="auto"/>
                <w:bottom w:val="none" w:sz="0" w:space="0" w:color="auto"/>
                <w:right w:val="none" w:sz="0" w:space="0" w:color="auto"/>
              </w:divBdr>
            </w:div>
          </w:divsChild>
        </w:div>
        <w:div w:id="948968517">
          <w:marLeft w:val="0"/>
          <w:marRight w:val="0"/>
          <w:marTop w:val="0"/>
          <w:marBottom w:val="0"/>
          <w:divBdr>
            <w:top w:val="none" w:sz="0" w:space="0" w:color="auto"/>
            <w:left w:val="none" w:sz="0" w:space="0" w:color="auto"/>
            <w:bottom w:val="none" w:sz="0" w:space="0" w:color="auto"/>
            <w:right w:val="none" w:sz="0" w:space="0" w:color="auto"/>
          </w:divBdr>
          <w:divsChild>
            <w:div w:id="1853569339">
              <w:marLeft w:val="0"/>
              <w:marRight w:val="0"/>
              <w:marTop w:val="0"/>
              <w:marBottom w:val="0"/>
              <w:divBdr>
                <w:top w:val="none" w:sz="0" w:space="0" w:color="auto"/>
                <w:left w:val="none" w:sz="0" w:space="0" w:color="auto"/>
                <w:bottom w:val="none" w:sz="0" w:space="0" w:color="auto"/>
                <w:right w:val="none" w:sz="0" w:space="0" w:color="auto"/>
              </w:divBdr>
            </w:div>
          </w:divsChild>
        </w:div>
        <w:div w:id="503473696">
          <w:marLeft w:val="0"/>
          <w:marRight w:val="0"/>
          <w:marTop w:val="0"/>
          <w:marBottom w:val="0"/>
          <w:divBdr>
            <w:top w:val="none" w:sz="0" w:space="0" w:color="auto"/>
            <w:left w:val="none" w:sz="0" w:space="0" w:color="auto"/>
            <w:bottom w:val="none" w:sz="0" w:space="0" w:color="auto"/>
            <w:right w:val="none" w:sz="0" w:space="0" w:color="auto"/>
          </w:divBdr>
          <w:divsChild>
            <w:div w:id="582957798">
              <w:marLeft w:val="0"/>
              <w:marRight w:val="0"/>
              <w:marTop w:val="0"/>
              <w:marBottom w:val="0"/>
              <w:divBdr>
                <w:top w:val="none" w:sz="0" w:space="0" w:color="auto"/>
                <w:left w:val="none" w:sz="0" w:space="0" w:color="auto"/>
                <w:bottom w:val="none" w:sz="0" w:space="0" w:color="auto"/>
                <w:right w:val="none" w:sz="0" w:space="0" w:color="auto"/>
              </w:divBdr>
            </w:div>
          </w:divsChild>
        </w:div>
        <w:div w:id="275603880">
          <w:marLeft w:val="0"/>
          <w:marRight w:val="0"/>
          <w:marTop w:val="300"/>
          <w:marBottom w:val="300"/>
          <w:divBdr>
            <w:top w:val="none" w:sz="0" w:space="0" w:color="auto"/>
            <w:left w:val="none" w:sz="0" w:space="0" w:color="auto"/>
            <w:bottom w:val="none" w:sz="0" w:space="0" w:color="auto"/>
            <w:right w:val="none" w:sz="0" w:space="0" w:color="auto"/>
          </w:divBdr>
        </w:div>
        <w:div w:id="987321507">
          <w:marLeft w:val="0"/>
          <w:marRight w:val="0"/>
          <w:marTop w:val="0"/>
          <w:marBottom w:val="0"/>
          <w:divBdr>
            <w:top w:val="none" w:sz="0" w:space="0" w:color="auto"/>
            <w:left w:val="none" w:sz="0" w:space="0" w:color="auto"/>
            <w:bottom w:val="none" w:sz="0" w:space="0" w:color="auto"/>
            <w:right w:val="none" w:sz="0" w:space="0" w:color="auto"/>
          </w:divBdr>
          <w:divsChild>
            <w:div w:id="347218864">
              <w:marLeft w:val="0"/>
              <w:marRight w:val="0"/>
              <w:marTop w:val="0"/>
              <w:marBottom w:val="0"/>
              <w:divBdr>
                <w:top w:val="none" w:sz="0" w:space="0" w:color="auto"/>
                <w:left w:val="none" w:sz="0" w:space="0" w:color="auto"/>
                <w:bottom w:val="none" w:sz="0" w:space="0" w:color="auto"/>
                <w:right w:val="none" w:sz="0" w:space="0" w:color="auto"/>
              </w:divBdr>
            </w:div>
          </w:divsChild>
        </w:div>
        <w:div w:id="103774850">
          <w:marLeft w:val="0"/>
          <w:marRight w:val="0"/>
          <w:marTop w:val="0"/>
          <w:marBottom w:val="0"/>
          <w:divBdr>
            <w:top w:val="none" w:sz="0" w:space="0" w:color="auto"/>
            <w:left w:val="none" w:sz="0" w:space="0" w:color="auto"/>
            <w:bottom w:val="none" w:sz="0" w:space="0" w:color="auto"/>
            <w:right w:val="none" w:sz="0" w:space="0" w:color="auto"/>
          </w:divBdr>
          <w:divsChild>
            <w:div w:id="39674296">
              <w:marLeft w:val="0"/>
              <w:marRight w:val="0"/>
              <w:marTop w:val="0"/>
              <w:marBottom w:val="0"/>
              <w:divBdr>
                <w:top w:val="none" w:sz="0" w:space="0" w:color="auto"/>
                <w:left w:val="none" w:sz="0" w:space="0" w:color="auto"/>
                <w:bottom w:val="none" w:sz="0" w:space="0" w:color="auto"/>
                <w:right w:val="none" w:sz="0" w:space="0" w:color="auto"/>
              </w:divBdr>
            </w:div>
          </w:divsChild>
        </w:div>
        <w:div w:id="617226240">
          <w:marLeft w:val="0"/>
          <w:marRight w:val="0"/>
          <w:marTop w:val="0"/>
          <w:marBottom w:val="0"/>
          <w:divBdr>
            <w:top w:val="none" w:sz="0" w:space="0" w:color="auto"/>
            <w:left w:val="none" w:sz="0" w:space="0" w:color="auto"/>
            <w:bottom w:val="none" w:sz="0" w:space="0" w:color="auto"/>
            <w:right w:val="none" w:sz="0" w:space="0" w:color="auto"/>
          </w:divBdr>
          <w:divsChild>
            <w:div w:id="195699405">
              <w:marLeft w:val="0"/>
              <w:marRight w:val="0"/>
              <w:marTop w:val="0"/>
              <w:marBottom w:val="0"/>
              <w:divBdr>
                <w:top w:val="none" w:sz="0" w:space="0" w:color="auto"/>
                <w:left w:val="none" w:sz="0" w:space="0" w:color="auto"/>
                <w:bottom w:val="none" w:sz="0" w:space="0" w:color="auto"/>
                <w:right w:val="none" w:sz="0" w:space="0" w:color="auto"/>
              </w:divBdr>
            </w:div>
          </w:divsChild>
        </w:div>
        <w:div w:id="652685539">
          <w:marLeft w:val="0"/>
          <w:marRight w:val="0"/>
          <w:marTop w:val="0"/>
          <w:marBottom w:val="0"/>
          <w:divBdr>
            <w:top w:val="none" w:sz="0" w:space="0" w:color="auto"/>
            <w:left w:val="none" w:sz="0" w:space="0" w:color="auto"/>
            <w:bottom w:val="none" w:sz="0" w:space="0" w:color="auto"/>
            <w:right w:val="none" w:sz="0" w:space="0" w:color="auto"/>
          </w:divBdr>
          <w:divsChild>
            <w:div w:id="1057163883">
              <w:marLeft w:val="0"/>
              <w:marRight w:val="0"/>
              <w:marTop w:val="0"/>
              <w:marBottom w:val="0"/>
              <w:divBdr>
                <w:top w:val="none" w:sz="0" w:space="0" w:color="auto"/>
                <w:left w:val="none" w:sz="0" w:space="0" w:color="auto"/>
                <w:bottom w:val="none" w:sz="0" w:space="0" w:color="auto"/>
                <w:right w:val="none" w:sz="0" w:space="0" w:color="auto"/>
              </w:divBdr>
            </w:div>
          </w:divsChild>
        </w:div>
        <w:div w:id="355469080">
          <w:marLeft w:val="0"/>
          <w:marRight w:val="0"/>
          <w:marTop w:val="0"/>
          <w:marBottom w:val="0"/>
          <w:divBdr>
            <w:top w:val="none" w:sz="0" w:space="0" w:color="auto"/>
            <w:left w:val="none" w:sz="0" w:space="0" w:color="auto"/>
            <w:bottom w:val="none" w:sz="0" w:space="0" w:color="auto"/>
            <w:right w:val="none" w:sz="0" w:space="0" w:color="auto"/>
          </w:divBdr>
          <w:divsChild>
            <w:div w:id="2073579206">
              <w:marLeft w:val="0"/>
              <w:marRight w:val="0"/>
              <w:marTop w:val="0"/>
              <w:marBottom w:val="0"/>
              <w:divBdr>
                <w:top w:val="none" w:sz="0" w:space="0" w:color="auto"/>
                <w:left w:val="none" w:sz="0" w:space="0" w:color="auto"/>
                <w:bottom w:val="none" w:sz="0" w:space="0" w:color="auto"/>
                <w:right w:val="none" w:sz="0" w:space="0" w:color="auto"/>
              </w:divBdr>
            </w:div>
          </w:divsChild>
        </w:div>
        <w:div w:id="347416454">
          <w:marLeft w:val="0"/>
          <w:marRight w:val="0"/>
          <w:marTop w:val="0"/>
          <w:marBottom w:val="0"/>
          <w:divBdr>
            <w:top w:val="none" w:sz="0" w:space="0" w:color="auto"/>
            <w:left w:val="none" w:sz="0" w:space="0" w:color="auto"/>
            <w:bottom w:val="none" w:sz="0" w:space="0" w:color="auto"/>
            <w:right w:val="none" w:sz="0" w:space="0" w:color="auto"/>
          </w:divBdr>
          <w:divsChild>
            <w:div w:id="938216599">
              <w:marLeft w:val="0"/>
              <w:marRight w:val="0"/>
              <w:marTop w:val="0"/>
              <w:marBottom w:val="0"/>
              <w:divBdr>
                <w:top w:val="none" w:sz="0" w:space="0" w:color="auto"/>
                <w:left w:val="none" w:sz="0" w:space="0" w:color="auto"/>
                <w:bottom w:val="none" w:sz="0" w:space="0" w:color="auto"/>
                <w:right w:val="none" w:sz="0" w:space="0" w:color="auto"/>
              </w:divBdr>
            </w:div>
          </w:divsChild>
        </w:div>
        <w:div w:id="639187800">
          <w:marLeft w:val="0"/>
          <w:marRight w:val="0"/>
          <w:marTop w:val="0"/>
          <w:marBottom w:val="0"/>
          <w:divBdr>
            <w:top w:val="none" w:sz="0" w:space="0" w:color="auto"/>
            <w:left w:val="none" w:sz="0" w:space="0" w:color="auto"/>
            <w:bottom w:val="none" w:sz="0" w:space="0" w:color="auto"/>
            <w:right w:val="none" w:sz="0" w:space="0" w:color="auto"/>
          </w:divBdr>
          <w:divsChild>
            <w:div w:id="1439179309">
              <w:marLeft w:val="0"/>
              <w:marRight w:val="0"/>
              <w:marTop w:val="0"/>
              <w:marBottom w:val="0"/>
              <w:divBdr>
                <w:top w:val="none" w:sz="0" w:space="0" w:color="auto"/>
                <w:left w:val="none" w:sz="0" w:space="0" w:color="auto"/>
                <w:bottom w:val="none" w:sz="0" w:space="0" w:color="auto"/>
                <w:right w:val="none" w:sz="0" w:space="0" w:color="auto"/>
              </w:divBdr>
            </w:div>
          </w:divsChild>
        </w:div>
        <w:div w:id="585455499">
          <w:marLeft w:val="0"/>
          <w:marRight w:val="0"/>
          <w:marTop w:val="0"/>
          <w:marBottom w:val="0"/>
          <w:divBdr>
            <w:top w:val="none" w:sz="0" w:space="0" w:color="auto"/>
            <w:left w:val="none" w:sz="0" w:space="0" w:color="auto"/>
            <w:bottom w:val="none" w:sz="0" w:space="0" w:color="auto"/>
            <w:right w:val="none" w:sz="0" w:space="0" w:color="auto"/>
          </w:divBdr>
          <w:divsChild>
            <w:div w:id="820585429">
              <w:marLeft w:val="0"/>
              <w:marRight w:val="0"/>
              <w:marTop w:val="0"/>
              <w:marBottom w:val="0"/>
              <w:divBdr>
                <w:top w:val="none" w:sz="0" w:space="0" w:color="auto"/>
                <w:left w:val="none" w:sz="0" w:space="0" w:color="auto"/>
                <w:bottom w:val="none" w:sz="0" w:space="0" w:color="auto"/>
                <w:right w:val="none" w:sz="0" w:space="0" w:color="auto"/>
              </w:divBdr>
            </w:div>
          </w:divsChild>
        </w:div>
        <w:div w:id="1163278687">
          <w:marLeft w:val="0"/>
          <w:marRight w:val="0"/>
          <w:marTop w:val="0"/>
          <w:marBottom w:val="0"/>
          <w:divBdr>
            <w:top w:val="none" w:sz="0" w:space="0" w:color="auto"/>
            <w:left w:val="none" w:sz="0" w:space="0" w:color="auto"/>
            <w:bottom w:val="none" w:sz="0" w:space="0" w:color="auto"/>
            <w:right w:val="none" w:sz="0" w:space="0" w:color="auto"/>
          </w:divBdr>
          <w:divsChild>
            <w:div w:id="190262777">
              <w:marLeft w:val="0"/>
              <w:marRight w:val="0"/>
              <w:marTop w:val="0"/>
              <w:marBottom w:val="0"/>
              <w:divBdr>
                <w:top w:val="none" w:sz="0" w:space="0" w:color="auto"/>
                <w:left w:val="none" w:sz="0" w:space="0" w:color="auto"/>
                <w:bottom w:val="none" w:sz="0" w:space="0" w:color="auto"/>
                <w:right w:val="none" w:sz="0" w:space="0" w:color="auto"/>
              </w:divBdr>
            </w:div>
          </w:divsChild>
        </w:div>
        <w:div w:id="900212862">
          <w:marLeft w:val="0"/>
          <w:marRight w:val="0"/>
          <w:marTop w:val="0"/>
          <w:marBottom w:val="0"/>
          <w:divBdr>
            <w:top w:val="none" w:sz="0" w:space="0" w:color="auto"/>
            <w:left w:val="none" w:sz="0" w:space="0" w:color="auto"/>
            <w:bottom w:val="none" w:sz="0" w:space="0" w:color="auto"/>
            <w:right w:val="none" w:sz="0" w:space="0" w:color="auto"/>
          </w:divBdr>
          <w:divsChild>
            <w:div w:id="87696061">
              <w:marLeft w:val="0"/>
              <w:marRight w:val="0"/>
              <w:marTop w:val="0"/>
              <w:marBottom w:val="0"/>
              <w:divBdr>
                <w:top w:val="none" w:sz="0" w:space="0" w:color="auto"/>
                <w:left w:val="none" w:sz="0" w:space="0" w:color="auto"/>
                <w:bottom w:val="none" w:sz="0" w:space="0" w:color="auto"/>
                <w:right w:val="none" w:sz="0" w:space="0" w:color="auto"/>
              </w:divBdr>
            </w:div>
          </w:divsChild>
        </w:div>
        <w:div w:id="452289163">
          <w:marLeft w:val="0"/>
          <w:marRight w:val="0"/>
          <w:marTop w:val="0"/>
          <w:marBottom w:val="0"/>
          <w:divBdr>
            <w:top w:val="none" w:sz="0" w:space="0" w:color="auto"/>
            <w:left w:val="none" w:sz="0" w:space="0" w:color="auto"/>
            <w:bottom w:val="none" w:sz="0" w:space="0" w:color="auto"/>
            <w:right w:val="none" w:sz="0" w:space="0" w:color="auto"/>
          </w:divBdr>
          <w:divsChild>
            <w:div w:id="241838524">
              <w:marLeft w:val="0"/>
              <w:marRight w:val="0"/>
              <w:marTop w:val="0"/>
              <w:marBottom w:val="0"/>
              <w:divBdr>
                <w:top w:val="none" w:sz="0" w:space="0" w:color="auto"/>
                <w:left w:val="none" w:sz="0" w:space="0" w:color="auto"/>
                <w:bottom w:val="none" w:sz="0" w:space="0" w:color="auto"/>
                <w:right w:val="none" w:sz="0" w:space="0" w:color="auto"/>
              </w:divBdr>
            </w:div>
          </w:divsChild>
        </w:div>
        <w:div w:id="939527917">
          <w:marLeft w:val="0"/>
          <w:marRight w:val="0"/>
          <w:marTop w:val="0"/>
          <w:marBottom w:val="0"/>
          <w:divBdr>
            <w:top w:val="none" w:sz="0" w:space="0" w:color="auto"/>
            <w:left w:val="none" w:sz="0" w:space="0" w:color="auto"/>
            <w:bottom w:val="none" w:sz="0" w:space="0" w:color="auto"/>
            <w:right w:val="none" w:sz="0" w:space="0" w:color="auto"/>
          </w:divBdr>
          <w:divsChild>
            <w:div w:id="399786704">
              <w:marLeft w:val="0"/>
              <w:marRight w:val="0"/>
              <w:marTop w:val="0"/>
              <w:marBottom w:val="0"/>
              <w:divBdr>
                <w:top w:val="none" w:sz="0" w:space="0" w:color="auto"/>
                <w:left w:val="none" w:sz="0" w:space="0" w:color="auto"/>
                <w:bottom w:val="none" w:sz="0" w:space="0" w:color="auto"/>
                <w:right w:val="none" w:sz="0" w:space="0" w:color="auto"/>
              </w:divBdr>
            </w:div>
          </w:divsChild>
        </w:div>
        <w:div w:id="684746049">
          <w:marLeft w:val="0"/>
          <w:marRight w:val="0"/>
          <w:marTop w:val="300"/>
          <w:marBottom w:val="300"/>
          <w:divBdr>
            <w:top w:val="none" w:sz="0" w:space="0" w:color="auto"/>
            <w:left w:val="none" w:sz="0" w:space="0" w:color="auto"/>
            <w:bottom w:val="none" w:sz="0" w:space="0" w:color="auto"/>
            <w:right w:val="none" w:sz="0" w:space="0" w:color="auto"/>
          </w:divBdr>
        </w:div>
        <w:div w:id="1202597755">
          <w:marLeft w:val="0"/>
          <w:marRight w:val="0"/>
          <w:marTop w:val="0"/>
          <w:marBottom w:val="0"/>
          <w:divBdr>
            <w:top w:val="none" w:sz="0" w:space="0" w:color="auto"/>
            <w:left w:val="none" w:sz="0" w:space="0" w:color="auto"/>
            <w:bottom w:val="none" w:sz="0" w:space="0" w:color="auto"/>
            <w:right w:val="none" w:sz="0" w:space="0" w:color="auto"/>
          </w:divBdr>
          <w:divsChild>
            <w:div w:id="507985759">
              <w:marLeft w:val="0"/>
              <w:marRight w:val="0"/>
              <w:marTop w:val="0"/>
              <w:marBottom w:val="0"/>
              <w:divBdr>
                <w:top w:val="none" w:sz="0" w:space="0" w:color="auto"/>
                <w:left w:val="none" w:sz="0" w:space="0" w:color="auto"/>
                <w:bottom w:val="none" w:sz="0" w:space="0" w:color="auto"/>
                <w:right w:val="none" w:sz="0" w:space="0" w:color="auto"/>
              </w:divBdr>
            </w:div>
          </w:divsChild>
        </w:div>
        <w:div w:id="1506162671">
          <w:marLeft w:val="0"/>
          <w:marRight w:val="0"/>
          <w:marTop w:val="0"/>
          <w:marBottom w:val="0"/>
          <w:divBdr>
            <w:top w:val="none" w:sz="0" w:space="0" w:color="auto"/>
            <w:left w:val="none" w:sz="0" w:space="0" w:color="auto"/>
            <w:bottom w:val="none" w:sz="0" w:space="0" w:color="auto"/>
            <w:right w:val="none" w:sz="0" w:space="0" w:color="auto"/>
          </w:divBdr>
          <w:divsChild>
            <w:div w:id="502167920">
              <w:marLeft w:val="0"/>
              <w:marRight w:val="0"/>
              <w:marTop w:val="0"/>
              <w:marBottom w:val="0"/>
              <w:divBdr>
                <w:top w:val="none" w:sz="0" w:space="0" w:color="auto"/>
                <w:left w:val="none" w:sz="0" w:space="0" w:color="auto"/>
                <w:bottom w:val="none" w:sz="0" w:space="0" w:color="auto"/>
                <w:right w:val="none" w:sz="0" w:space="0" w:color="auto"/>
              </w:divBdr>
            </w:div>
          </w:divsChild>
        </w:div>
        <w:div w:id="1641039146">
          <w:marLeft w:val="0"/>
          <w:marRight w:val="0"/>
          <w:marTop w:val="0"/>
          <w:marBottom w:val="0"/>
          <w:divBdr>
            <w:top w:val="none" w:sz="0" w:space="0" w:color="auto"/>
            <w:left w:val="none" w:sz="0" w:space="0" w:color="auto"/>
            <w:bottom w:val="none" w:sz="0" w:space="0" w:color="auto"/>
            <w:right w:val="none" w:sz="0" w:space="0" w:color="auto"/>
          </w:divBdr>
          <w:divsChild>
            <w:div w:id="1865366755">
              <w:marLeft w:val="0"/>
              <w:marRight w:val="0"/>
              <w:marTop w:val="0"/>
              <w:marBottom w:val="0"/>
              <w:divBdr>
                <w:top w:val="none" w:sz="0" w:space="0" w:color="auto"/>
                <w:left w:val="none" w:sz="0" w:space="0" w:color="auto"/>
                <w:bottom w:val="none" w:sz="0" w:space="0" w:color="auto"/>
                <w:right w:val="none" w:sz="0" w:space="0" w:color="auto"/>
              </w:divBdr>
            </w:div>
          </w:divsChild>
        </w:div>
        <w:div w:id="600919877">
          <w:marLeft w:val="0"/>
          <w:marRight w:val="0"/>
          <w:marTop w:val="0"/>
          <w:marBottom w:val="0"/>
          <w:divBdr>
            <w:top w:val="none" w:sz="0" w:space="0" w:color="auto"/>
            <w:left w:val="none" w:sz="0" w:space="0" w:color="auto"/>
            <w:bottom w:val="none" w:sz="0" w:space="0" w:color="auto"/>
            <w:right w:val="none" w:sz="0" w:space="0" w:color="auto"/>
          </w:divBdr>
          <w:divsChild>
            <w:div w:id="2024817376">
              <w:marLeft w:val="0"/>
              <w:marRight w:val="0"/>
              <w:marTop w:val="0"/>
              <w:marBottom w:val="0"/>
              <w:divBdr>
                <w:top w:val="none" w:sz="0" w:space="0" w:color="auto"/>
                <w:left w:val="none" w:sz="0" w:space="0" w:color="auto"/>
                <w:bottom w:val="none" w:sz="0" w:space="0" w:color="auto"/>
                <w:right w:val="none" w:sz="0" w:space="0" w:color="auto"/>
              </w:divBdr>
            </w:div>
          </w:divsChild>
        </w:div>
        <w:div w:id="752318294">
          <w:marLeft w:val="0"/>
          <w:marRight w:val="0"/>
          <w:marTop w:val="0"/>
          <w:marBottom w:val="0"/>
          <w:divBdr>
            <w:top w:val="none" w:sz="0" w:space="0" w:color="auto"/>
            <w:left w:val="none" w:sz="0" w:space="0" w:color="auto"/>
            <w:bottom w:val="none" w:sz="0" w:space="0" w:color="auto"/>
            <w:right w:val="none" w:sz="0" w:space="0" w:color="auto"/>
          </w:divBdr>
          <w:divsChild>
            <w:div w:id="706301515">
              <w:marLeft w:val="0"/>
              <w:marRight w:val="0"/>
              <w:marTop w:val="0"/>
              <w:marBottom w:val="0"/>
              <w:divBdr>
                <w:top w:val="none" w:sz="0" w:space="0" w:color="auto"/>
                <w:left w:val="none" w:sz="0" w:space="0" w:color="auto"/>
                <w:bottom w:val="none" w:sz="0" w:space="0" w:color="auto"/>
                <w:right w:val="none" w:sz="0" w:space="0" w:color="auto"/>
              </w:divBdr>
            </w:div>
          </w:divsChild>
        </w:div>
        <w:div w:id="1555585369">
          <w:marLeft w:val="0"/>
          <w:marRight w:val="0"/>
          <w:marTop w:val="0"/>
          <w:marBottom w:val="0"/>
          <w:divBdr>
            <w:top w:val="none" w:sz="0" w:space="0" w:color="auto"/>
            <w:left w:val="none" w:sz="0" w:space="0" w:color="auto"/>
            <w:bottom w:val="none" w:sz="0" w:space="0" w:color="auto"/>
            <w:right w:val="none" w:sz="0" w:space="0" w:color="auto"/>
          </w:divBdr>
          <w:divsChild>
            <w:div w:id="1348144118">
              <w:marLeft w:val="0"/>
              <w:marRight w:val="0"/>
              <w:marTop w:val="0"/>
              <w:marBottom w:val="0"/>
              <w:divBdr>
                <w:top w:val="none" w:sz="0" w:space="0" w:color="auto"/>
                <w:left w:val="none" w:sz="0" w:space="0" w:color="auto"/>
                <w:bottom w:val="none" w:sz="0" w:space="0" w:color="auto"/>
                <w:right w:val="none" w:sz="0" w:space="0" w:color="auto"/>
              </w:divBdr>
            </w:div>
          </w:divsChild>
        </w:div>
        <w:div w:id="1861426505">
          <w:marLeft w:val="0"/>
          <w:marRight w:val="0"/>
          <w:marTop w:val="0"/>
          <w:marBottom w:val="0"/>
          <w:divBdr>
            <w:top w:val="none" w:sz="0" w:space="0" w:color="auto"/>
            <w:left w:val="none" w:sz="0" w:space="0" w:color="auto"/>
            <w:bottom w:val="none" w:sz="0" w:space="0" w:color="auto"/>
            <w:right w:val="none" w:sz="0" w:space="0" w:color="auto"/>
          </w:divBdr>
          <w:divsChild>
            <w:div w:id="1059207121">
              <w:marLeft w:val="0"/>
              <w:marRight w:val="0"/>
              <w:marTop w:val="0"/>
              <w:marBottom w:val="0"/>
              <w:divBdr>
                <w:top w:val="none" w:sz="0" w:space="0" w:color="auto"/>
                <w:left w:val="none" w:sz="0" w:space="0" w:color="auto"/>
                <w:bottom w:val="none" w:sz="0" w:space="0" w:color="auto"/>
                <w:right w:val="none" w:sz="0" w:space="0" w:color="auto"/>
              </w:divBdr>
            </w:div>
          </w:divsChild>
        </w:div>
        <w:div w:id="1997956917">
          <w:marLeft w:val="0"/>
          <w:marRight w:val="0"/>
          <w:marTop w:val="0"/>
          <w:marBottom w:val="0"/>
          <w:divBdr>
            <w:top w:val="none" w:sz="0" w:space="0" w:color="auto"/>
            <w:left w:val="none" w:sz="0" w:space="0" w:color="auto"/>
            <w:bottom w:val="none" w:sz="0" w:space="0" w:color="auto"/>
            <w:right w:val="none" w:sz="0" w:space="0" w:color="auto"/>
          </w:divBdr>
          <w:divsChild>
            <w:div w:id="60954498">
              <w:marLeft w:val="0"/>
              <w:marRight w:val="0"/>
              <w:marTop w:val="0"/>
              <w:marBottom w:val="0"/>
              <w:divBdr>
                <w:top w:val="none" w:sz="0" w:space="0" w:color="auto"/>
                <w:left w:val="none" w:sz="0" w:space="0" w:color="auto"/>
                <w:bottom w:val="none" w:sz="0" w:space="0" w:color="auto"/>
                <w:right w:val="none" w:sz="0" w:space="0" w:color="auto"/>
              </w:divBdr>
            </w:div>
          </w:divsChild>
        </w:div>
        <w:div w:id="875849092">
          <w:marLeft w:val="0"/>
          <w:marRight w:val="0"/>
          <w:marTop w:val="0"/>
          <w:marBottom w:val="0"/>
          <w:divBdr>
            <w:top w:val="none" w:sz="0" w:space="0" w:color="auto"/>
            <w:left w:val="none" w:sz="0" w:space="0" w:color="auto"/>
            <w:bottom w:val="none" w:sz="0" w:space="0" w:color="auto"/>
            <w:right w:val="none" w:sz="0" w:space="0" w:color="auto"/>
          </w:divBdr>
          <w:divsChild>
            <w:div w:id="302077809">
              <w:marLeft w:val="0"/>
              <w:marRight w:val="0"/>
              <w:marTop w:val="0"/>
              <w:marBottom w:val="0"/>
              <w:divBdr>
                <w:top w:val="none" w:sz="0" w:space="0" w:color="auto"/>
                <w:left w:val="none" w:sz="0" w:space="0" w:color="auto"/>
                <w:bottom w:val="none" w:sz="0" w:space="0" w:color="auto"/>
                <w:right w:val="none" w:sz="0" w:space="0" w:color="auto"/>
              </w:divBdr>
            </w:div>
          </w:divsChild>
        </w:div>
        <w:div w:id="2045058811">
          <w:marLeft w:val="0"/>
          <w:marRight w:val="0"/>
          <w:marTop w:val="0"/>
          <w:marBottom w:val="0"/>
          <w:divBdr>
            <w:top w:val="none" w:sz="0" w:space="0" w:color="auto"/>
            <w:left w:val="none" w:sz="0" w:space="0" w:color="auto"/>
            <w:bottom w:val="none" w:sz="0" w:space="0" w:color="auto"/>
            <w:right w:val="none" w:sz="0" w:space="0" w:color="auto"/>
          </w:divBdr>
          <w:divsChild>
            <w:div w:id="286936283">
              <w:marLeft w:val="0"/>
              <w:marRight w:val="0"/>
              <w:marTop w:val="0"/>
              <w:marBottom w:val="0"/>
              <w:divBdr>
                <w:top w:val="none" w:sz="0" w:space="0" w:color="auto"/>
                <w:left w:val="none" w:sz="0" w:space="0" w:color="auto"/>
                <w:bottom w:val="none" w:sz="0" w:space="0" w:color="auto"/>
                <w:right w:val="none" w:sz="0" w:space="0" w:color="auto"/>
              </w:divBdr>
            </w:div>
          </w:divsChild>
        </w:div>
        <w:div w:id="127285634">
          <w:marLeft w:val="0"/>
          <w:marRight w:val="0"/>
          <w:marTop w:val="300"/>
          <w:marBottom w:val="300"/>
          <w:divBdr>
            <w:top w:val="none" w:sz="0" w:space="0" w:color="auto"/>
            <w:left w:val="none" w:sz="0" w:space="0" w:color="auto"/>
            <w:bottom w:val="none" w:sz="0" w:space="0" w:color="auto"/>
            <w:right w:val="none" w:sz="0" w:space="0" w:color="auto"/>
          </w:divBdr>
        </w:div>
        <w:div w:id="1249803922">
          <w:marLeft w:val="0"/>
          <w:marRight w:val="0"/>
          <w:marTop w:val="0"/>
          <w:marBottom w:val="0"/>
          <w:divBdr>
            <w:top w:val="none" w:sz="0" w:space="0" w:color="auto"/>
            <w:left w:val="none" w:sz="0" w:space="0" w:color="auto"/>
            <w:bottom w:val="none" w:sz="0" w:space="0" w:color="auto"/>
            <w:right w:val="none" w:sz="0" w:space="0" w:color="auto"/>
          </w:divBdr>
          <w:divsChild>
            <w:div w:id="1462728070">
              <w:marLeft w:val="0"/>
              <w:marRight w:val="0"/>
              <w:marTop w:val="0"/>
              <w:marBottom w:val="0"/>
              <w:divBdr>
                <w:top w:val="none" w:sz="0" w:space="0" w:color="auto"/>
                <w:left w:val="none" w:sz="0" w:space="0" w:color="auto"/>
                <w:bottom w:val="none" w:sz="0" w:space="0" w:color="auto"/>
                <w:right w:val="none" w:sz="0" w:space="0" w:color="auto"/>
              </w:divBdr>
            </w:div>
          </w:divsChild>
        </w:div>
        <w:div w:id="2013070819">
          <w:marLeft w:val="0"/>
          <w:marRight w:val="0"/>
          <w:marTop w:val="0"/>
          <w:marBottom w:val="0"/>
          <w:divBdr>
            <w:top w:val="none" w:sz="0" w:space="0" w:color="auto"/>
            <w:left w:val="none" w:sz="0" w:space="0" w:color="auto"/>
            <w:bottom w:val="none" w:sz="0" w:space="0" w:color="auto"/>
            <w:right w:val="none" w:sz="0" w:space="0" w:color="auto"/>
          </w:divBdr>
          <w:divsChild>
            <w:div w:id="1266890275">
              <w:marLeft w:val="0"/>
              <w:marRight w:val="0"/>
              <w:marTop w:val="0"/>
              <w:marBottom w:val="0"/>
              <w:divBdr>
                <w:top w:val="none" w:sz="0" w:space="0" w:color="auto"/>
                <w:left w:val="none" w:sz="0" w:space="0" w:color="auto"/>
                <w:bottom w:val="none" w:sz="0" w:space="0" w:color="auto"/>
                <w:right w:val="none" w:sz="0" w:space="0" w:color="auto"/>
              </w:divBdr>
            </w:div>
          </w:divsChild>
        </w:div>
        <w:div w:id="797259817">
          <w:marLeft w:val="0"/>
          <w:marRight w:val="0"/>
          <w:marTop w:val="0"/>
          <w:marBottom w:val="0"/>
          <w:divBdr>
            <w:top w:val="none" w:sz="0" w:space="0" w:color="auto"/>
            <w:left w:val="none" w:sz="0" w:space="0" w:color="auto"/>
            <w:bottom w:val="none" w:sz="0" w:space="0" w:color="auto"/>
            <w:right w:val="none" w:sz="0" w:space="0" w:color="auto"/>
          </w:divBdr>
          <w:divsChild>
            <w:div w:id="1701121600">
              <w:marLeft w:val="0"/>
              <w:marRight w:val="0"/>
              <w:marTop w:val="0"/>
              <w:marBottom w:val="0"/>
              <w:divBdr>
                <w:top w:val="none" w:sz="0" w:space="0" w:color="auto"/>
                <w:left w:val="none" w:sz="0" w:space="0" w:color="auto"/>
                <w:bottom w:val="none" w:sz="0" w:space="0" w:color="auto"/>
                <w:right w:val="none" w:sz="0" w:space="0" w:color="auto"/>
              </w:divBdr>
            </w:div>
          </w:divsChild>
        </w:div>
        <w:div w:id="1648826800">
          <w:marLeft w:val="0"/>
          <w:marRight w:val="0"/>
          <w:marTop w:val="0"/>
          <w:marBottom w:val="0"/>
          <w:divBdr>
            <w:top w:val="none" w:sz="0" w:space="0" w:color="auto"/>
            <w:left w:val="none" w:sz="0" w:space="0" w:color="auto"/>
            <w:bottom w:val="none" w:sz="0" w:space="0" w:color="auto"/>
            <w:right w:val="none" w:sz="0" w:space="0" w:color="auto"/>
          </w:divBdr>
          <w:divsChild>
            <w:div w:id="451095144">
              <w:marLeft w:val="0"/>
              <w:marRight w:val="0"/>
              <w:marTop w:val="0"/>
              <w:marBottom w:val="0"/>
              <w:divBdr>
                <w:top w:val="none" w:sz="0" w:space="0" w:color="auto"/>
                <w:left w:val="none" w:sz="0" w:space="0" w:color="auto"/>
                <w:bottom w:val="none" w:sz="0" w:space="0" w:color="auto"/>
                <w:right w:val="none" w:sz="0" w:space="0" w:color="auto"/>
              </w:divBdr>
            </w:div>
          </w:divsChild>
        </w:div>
        <w:div w:id="781068002">
          <w:marLeft w:val="0"/>
          <w:marRight w:val="0"/>
          <w:marTop w:val="0"/>
          <w:marBottom w:val="0"/>
          <w:divBdr>
            <w:top w:val="none" w:sz="0" w:space="0" w:color="auto"/>
            <w:left w:val="none" w:sz="0" w:space="0" w:color="auto"/>
            <w:bottom w:val="none" w:sz="0" w:space="0" w:color="auto"/>
            <w:right w:val="none" w:sz="0" w:space="0" w:color="auto"/>
          </w:divBdr>
          <w:divsChild>
            <w:div w:id="244843251">
              <w:marLeft w:val="0"/>
              <w:marRight w:val="0"/>
              <w:marTop w:val="0"/>
              <w:marBottom w:val="0"/>
              <w:divBdr>
                <w:top w:val="none" w:sz="0" w:space="0" w:color="auto"/>
                <w:left w:val="none" w:sz="0" w:space="0" w:color="auto"/>
                <w:bottom w:val="none" w:sz="0" w:space="0" w:color="auto"/>
                <w:right w:val="none" w:sz="0" w:space="0" w:color="auto"/>
              </w:divBdr>
            </w:div>
          </w:divsChild>
        </w:div>
        <w:div w:id="1889221794">
          <w:marLeft w:val="0"/>
          <w:marRight w:val="0"/>
          <w:marTop w:val="0"/>
          <w:marBottom w:val="0"/>
          <w:divBdr>
            <w:top w:val="none" w:sz="0" w:space="0" w:color="auto"/>
            <w:left w:val="none" w:sz="0" w:space="0" w:color="auto"/>
            <w:bottom w:val="none" w:sz="0" w:space="0" w:color="auto"/>
            <w:right w:val="none" w:sz="0" w:space="0" w:color="auto"/>
          </w:divBdr>
          <w:divsChild>
            <w:div w:id="804929126">
              <w:marLeft w:val="0"/>
              <w:marRight w:val="0"/>
              <w:marTop w:val="0"/>
              <w:marBottom w:val="0"/>
              <w:divBdr>
                <w:top w:val="none" w:sz="0" w:space="0" w:color="auto"/>
                <w:left w:val="none" w:sz="0" w:space="0" w:color="auto"/>
                <w:bottom w:val="none" w:sz="0" w:space="0" w:color="auto"/>
                <w:right w:val="none" w:sz="0" w:space="0" w:color="auto"/>
              </w:divBdr>
            </w:div>
          </w:divsChild>
        </w:div>
        <w:div w:id="1156796065">
          <w:marLeft w:val="0"/>
          <w:marRight w:val="0"/>
          <w:marTop w:val="0"/>
          <w:marBottom w:val="0"/>
          <w:divBdr>
            <w:top w:val="none" w:sz="0" w:space="0" w:color="auto"/>
            <w:left w:val="none" w:sz="0" w:space="0" w:color="auto"/>
            <w:bottom w:val="none" w:sz="0" w:space="0" w:color="auto"/>
            <w:right w:val="none" w:sz="0" w:space="0" w:color="auto"/>
          </w:divBdr>
          <w:divsChild>
            <w:div w:id="895506820">
              <w:marLeft w:val="0"/>
              <w:marRight w:val="0"/>
              <w:marTop w:val="0"/>
              <w:marBottom w:val="0"/>
              <w:divBdr>
                <w:top w:val="none" w:sz="0" w:space="0" w:color="auto"/>
                <w:left w:val="none" w:sz="0" w:space="0" w:color="auto"/>
                <w:bottom w:val="none" w:sz="0" w:space="0" w:color="auto"/>
                <w:right w:val="none" w:sz="0" w:space="0" w:color="auto"/>
              </w:divBdr>
            </w:div>
          </w:divsChild>
        </w:div>
        <w:div w:id="27148225">
          <w:marLeft w:val="0"/>
          <w:marRight w:val="0"/>
          <w:marTop w:val="0"/>
          <w:marBottom w:val="0"/>
          <w:divBdr>
            <w:top w:val="none" w:sz="0" w:space="0" w:color="auto"/>
            <w:left w:val="none" w:sz="0" w:space="0" w:color="auto"/>
            <w:bottom w:val="none" w:sz="0" w:space="0" w:color="auto"/>
            <w:right w:val="none" w:sz="0" w:space="0" w:color="auto"/>
          </w:divBdr>
          <w:divsChild>
            <w:div w:id="426849133">
              <w:marLeft w:val="0"/>
              <w:marRight w:val="0"/>
              <w:marTop w:val="0"/>
              <w:marBottom w:val="0"/>
              <w:divBdr>
                <w:top w:val="none" w:sz="0" w:space="0" w:color="auto"/>
                <w:left w:val="none" w:sz="0" w:space="0" w:color="auto"/>
                <w:bottom w:val="none" w:sz="0" w:space="0" w:color="auto"/>
                <w:right w:val="none" w:sz="0" w:space="0" w:color="auto"/>
              </w:divBdr>
            </w:div>
          </w:divsChild>
        </w:div>
        <w:div w:id="207499199">
          <w:marLeft w:val="0"/>
          <w:marRight w:val="0"/>
          <w:marTop w:val="0"/>
          <w:marBottom w:val="0"/>
          <w:divBdr>
            <w:top w:val="none" w:sz="0" w:space="0" w:color="auto"/>
            <w:left w:val="none" w:sz="0" w:space="0" w:color="auto"/>
            <w:bottom w:val="none" w:sz="0" w:space="0" w:color="auto"/>
            <w:right w:val="none" w:sz="0" w:space="0" w:color="auto"/>
          </w:divBdr>
          <w:divsChild>
            <w:div w:id="1581208906">
              <w:marLeft w:val="0"/>
              <w:marRight w:val="0"/>
              <w:marTop w:val="0"/>
              <w:marBottom w:val="0"/>
              <w:divBdr>
                <w:top w:val="none" w:sz="0" w:space="0" w:color="auto"/>
                <w:left w:val="none" w:sz="0" w:space="0" w:color="auto"/>
                <w:bottom w:val="none" w:sz="0" w:space="0" w:color="auto"/>
                <w:right w:val="none" w:sz="0" w:space="0" w:color="auto"/>
              </w:divBdr>
            </w:div>
          </w:divsChild>
        </w:div>
        <w:div w:id="682971279">
          <w:marLeft w:val="0"/>
          <w:marRight w:val="0"/>
          <w:marTop w:val="0"/>
          <w:marBottom w:val="0"/>
          <w:divBdr>
            <w:top w:val="none" w:sz="0" w:space="0" w:color="auto"/>
            <w:left w:val="none" w:sz="0" w:space="0" w:color="auto"/>
            <w:bottom w:val="none" w:sz="0" w:space="0" w:color="auto"/>
            <w:right w:val="none" w:sz="0" w:space="0" w:color="auto"/>
          </w:divBdr>
          <w:divsChild>
            <w:div w:id="1512603368">
              <w:marLeft w:val="0"/>
              <w:marRight w:val="0"/>
              <w:marTop w:val="0"/>
              <w:marBottom w:val="0"/>
              <w:divBdr>
                <w:top w:val="none" w:sz="0" w:space="0" w:color="auto"/>
                <w:left w:val="none" w:sz="0" w:space="0" w:color="auto"/>
                <w:bottom w:val="none" w:sz="0" w:space="0" w:color="auto"/>
                <w:right w:val="none" w:sz="0" w:space="0" w:color="auto"/>
              </w:divBdr>
            </w:div>
          </w:divsChild>
        </w:div>
        <w:div w:id="1699965732">
          <w:marLeft w:val="0"/>
          <w:marRight w:val="0"/>
          <w:marTop w:val="0"/>
          <w:marBottom w:val="0"/>
          <w:divBdr>
            <w:top w:val="none" w:sz="0" w:space="0" w:color="auto"/>
            <w:left w:val="none" w:sz="0" w:space="0" w:color="auto"/>
            <w:bottom w:val="none" w:sz="0" w:space="0" w:color="auto"/>
            <w:right w:val="none" w:sz="0" w:space="0" w:color="auto"/>
          </w:divBdr>
          <w:divsChild>
            <w:div w:id="489638346">
              <w:marLeft w:val="0"/>
              <w:marRight w:val="0"/>
              <w:marTop w:val="0"/>
              <w:marBottom w:val="0"/>
              <w:divBdr>
                <w:top w:val="none" w:sz="0" w:space="0" w:color="auto"/>
                <w:left w:val="none" w:sz="0" w:space="0" w:color="auto"/>
                <w:bottom w:val="none" w:sz="0" w:space="0" w:color="auto"/>
                <w:right w:val="none" w:sz="0" w:space="0" w:color="auto"/>
              </w:divBdr>
            </w:div>
          </w:divsChild>
        </w:div>
        <w:div w:id="1468400621">
          <w:marLeft w:val="0"/>
          <w:marRight w:val="0"/>
          <w:marTop w:val="0"/>
          <w:marBottom w:val="0"/>
          <w:divBdr>
            <w:top w:val="none" w:sz="0" w:space="0" w:color="auto"/>
            <w:left w:val="none" w:sz="0" w:space="0" w:color="auto"/>
            <w:bottom w:val="none" w:sz="0" w:space="0" w:color="auto"/>
            <w:right w:val="none" w:sz="0" w:space="0" w:color="auto"/>
          </w:divBdr>
          <w:divsChild>
            <w:div w:id="2048950066">
              <w:marLeft w:val="0"/>
              <w:marRight w:val="0"/>
              <w:marTop w:val="0"/>
              <w:marBottom w:val="0"/>
              <w:divBdr>
                <w:top w:val="none" w:sz="0" w:space="0" w:color="auto"/>
                <w:left w:val="none" w:sz="0" w:space="0" w:color="auto"/>
                <w:bottom w:val="none" w:sz="0" w:space="0" w:color="auto"/>
                <w:right w:val="none" w:sz="0" w:space="0" w:color="auto"/>
              </w:divBdr>
            </w:div>
          </w:divsChild>
        </w:div>
        <w:div w:id="655303417">
          <w:marLeft w:val="0"/>
          <w:marRight w:val="0"/>
          <w:marTop w:val="300"/>
          <w:marBottom w:val="300"/>
          <w:divBdr>
            <w:top w:val="none" w:sz="0" w:space="0" w:color="auto"/>
            <w:left w:val="none" w:sz="0" w:space="0" w:color="auto"/>
            <w:bottom w:val="none" w:sz="0" w:space="0" w:color="auto"/>
            <w:right w:val="none" w:sz="0" w:space="0" w:color="auto"/>
          </w:divBdr>
        </w:div>
        <w:div w:id="1369986733">
          <w:marLeft w:val="0"/>
          <w:marRight w:val="0"/>
          <w:marTop w:val="0"/>
          <w:marBottom w:val="0"/>
          <w:divBdr>
            <w:top w:val="none" w:sz="0" w:space="0" w:color="auto"/>
            <w:left w:val="none" w:sz="0" w:space="0" w:color="auto"/>
            <w:bottom w:val="none" w:sz="0" w:space="0" w:color="auto"/>
            <w:right w:val="none" w:sz="0" w:space="0" w:color="auto"/>
          </w:divBdr>
          <w:divsChild>
            <w:div w:id="1122192678">
              <w:marLeft w:val="0"/>
              <w:marRight w:val="0"/>
              <w:marTop w:val="0"/>
              <w:marBottom w:val="0"/>
              <w:divBdr>
                <w:top w:val="none" w:sz="0" w:space="0" w:color="auto"/>
                <w:left w:val="none" w:sz="0" w:space="0" w:color="auto"/>
                <w:bottom w:val="none" w:sz="0" w:space="0" w:color="auto"/>
                <w:right w:val="none" w:sz="0" w:space="0" w:color="auto"/>
              </w:divBdr>
            </w:div>
          </w:divsChild>
        </w:div>
        <w:div w:id="365759628">
          <w:marLeft w:val="0"/>
          <w:marRight w:val="0"/>
          <w:marTop w:val="0"/>
          <w:marBottom w:val="0"/>
          <w:divBdr>
            <w:top w:val="none" w:sz="0" w:space="0" w:color="auto"/>
            <w:left w:val="none" w:sz="0" w:space="0" w:color="auto"/>
            <w:bottom w:val="none" w:sz="0" w:space="0" w:color="auto"/>
            <w:right w:val="none" w:sz="0" w:space="0" w:color="auto"/>
          </w:divBdr>
          <w:divsChild>
            <w:div w:id="1490975776">
              <w:marLeft w:val="0"/>
              <w:marRight w:val="0"/>
              <w:marTop w:val="0"/>
              <w:marBottom w:val="0"/>
              <w:divBdr>
                <w:top w:val="none" w:sz="0" w:space="0" w:color="auto"/>
                <w:left w:val="none" w:sz="0" w:space="0" w:color="auto"/>
                <w:bottom w:val="none" w:sz="0" w:space="0" w:color="auto"/>
                <w:right w:val="none" w:sz="0" w:space="0" w:color="auto"/>
              </w:divBdr>
            </w:div>
          </w:divsChild>
        </w:div>
        <w:div w:id="690570031">
          <w:marLeft w:val="0"/>
          <w:marRight w:val="0"/>
          <w:marTop w:val="0"/>
          <w:marBottom w:val="0"/>
          <w:divBdr>
            <w:top w:val="none" w:sz="0" w:space="0" w:color="auto"/>
            <w:left w:val="none" w:sz="0" w:space="0" w:color="auto"/>
            <w:bottom w:val="none" w:sz="0" w:space="0" w:color="auto"/>
            <w:right w:val="none" w:sz="0" w:space="0" w:color="auto"/>
          </w:divBdr>
          <w:divsChild>
            <w:div w:id="1594245446">
              <w:marLeft w:val="0"/>
              <w:marRight w:val="0"/>
              <w:marTop w:val="0"/>
              <w:marBottom w:val="0"/>
              <w:divBdr>
                <w:top w:val="none" w:sz="0" w:space="0" w:color="auto"/>
                <w:left w:val="none" w:sz="0" w:space="0" w:color="auto"/>
                <w:bottom w:val="none" w:sz="0" w:space="0" w:color="auto"/>
                <w:right w:val="none" w:sz="0" w:space="0" w:color="auto"/>
              </w:divBdr>
            </w:div>
          </w:divsChild>
        </w:div>
        <w:div w:id="496386971">
          <w:marLeft w:val="0"/>
          <w:marRight w:val="0"/>
          <w:marTop w:val="0"/>
          <w:marBottom w:val="0"/>
          <w:divBdr>
            <w:top w:val="none" w:sz="0" w:space="0" w:color="auto"/>
            <w:left w:val="none" w:sz="0" w:space="0" w:color="auto"/>
            <w:bottom w:val="none" w:sz="0" w:space="0" w:color="auto"/>
            <w:right w:val="none" w:sz="0" w:space="0" w:color="auto"/>
          </w:divBdr>
          <w:divsChild>
            <w:div w:id="219902378">
              <w:marLeft w:val="0"/>
              <w:marRight w:val="0"/>
              <w:marTop w:val="0"/>
              <w:marBottom w:val="0"/>
              <w:divBdr>
                <w:top w:val="none" w:sz="0" w:space="0" w:color="auto"/>
                <w:left w:val="none" w:sz="0" w:space="0" w:color="auto"/>
                <w:bottom w:val="none" w:sz="0" w:space="0" w:color="auto"/>
                <w:right w:val="none" w:sz="0" w:space="0" w:color="auto"/>
              </w:divBdr>
            </w:div>
          </w:divsChild>
        </w:div>
        <w:div w:id="1141532973">
          <w:marLeft w:val="0"/>
          <w:marRight w:val="0"/>
          <w:marTop w:val="0"/>
          <w:marBottom w:val="0"/>
          <w:divBdr>
            <w:top w:val="none" w:sz="0" w:space="0" w:color="auto"/>
            <w:left w:val="none" w:sz="0" w:space="0" w:color="auto"/>
            <w:bottom w:val="none" w:sz="0" w:space="0" w:color="auto"/>
            <w:right w:val="none" w:sz="0" w:space="0" w:color="auto"/>
          </w:divBdr>
          <w:divsChild>
            <w:div w:id="500512427">
              <w:marLeft w:val="0"/>
              <w:marRight w:val="0"/>
              <w:marTop w:val="0"/>
              <w:marBottom w:val="0"/>
              <w:divBdr>
                <w:top w:val="none" w:sz="0" w:space="0" w:color="auto"/>
                <w:left w:val="none" w:sz="0" w:space="0" w:color="auto"/>
                <w:bottom w:val="none" w:sz="0" w:space="0" w:color="auto"/>
                <w:right w:val="none" w:sz="0" w:space="0" w:color="auto"/>
              </w:divBdr>
            </w:div>
          </w:divsChild>
        </w:div>
        <w:div w:id="636178312">
          <w:marLeft w:val="0"/>
          <w:marRight w:val="0"/>
          <w:marTop w:val="0"/>
          <w:marBottom w:val="0"/>
          <w:divBdr>
            <w:top w:val="none" w:sz="0" w:space="0" w:color="auto"/>
            <w:left w:val="none" w:sz="0" w:space="0" w:color="auto"/>
            <w:bottom w:val="none" w:sz="0" w:space="0" w:color="auto"/>
            <w:right w:val="none" w:sz="0" w:space="0" w:color="auto"/>
          </w:divBdr>
          <w:divsChild>
            <w:div w:id="250239934">
              <w:marLeft w:val="0"/>
              <w:marRight w:val="0"/>
              <w:marTop w:val="0"/>
              <w:marBottom w:val="0"/>
              <w:divBdr>
                <w:top w:val="none" w:sz="0" w:space="0" w:color="auto"/>
                <w:left w:val="none" w:sz="0" w:space="0" w:color="auto"/>
                <w:bottom w:val="none" w:sz="0" w:space="0" w:color="auto"/>
                <w:right w:val="none" w:sz="0" w:space="0" w:color="auto"/>
              </w:divBdr>
            </w:div>
          </w:divsChild>
        </w:div>
        <w:div w:id="1769502252">
          <w:marLeft w:val="0"/>
          <w:marRight w:val="0"/>
          <w:marTop w:val="0"/>
          <w:marBottom w:val="0"/>
          <w:divBdr>
            <w:top w:val="none" w:sz="0" w:space="0" w:color="auto"/>
            <w:left w:val="none" w:sz="0" w:space="0" w:color="auto"/>
            <w:bottom w:val="none" w:sz="0" w:space="0" w:color="auto"/>
            <w:right w:val="none" w:sz="0" w:space="0" w:color="auto"/>
          </w:divBdr>
          <w:divsChild>
            <w:div w:id="1065420029">
              <w:marLeft w:val="0"/>
              <w:marRight w:val="0"/>
              <w:marTop w:val="0"/>
              <w:marBottom w:val="0"/>
              <w:divBdr>
                <w:top w:val="none" w:sz="0" w:space="0" w:color="auto"/>
                <w:left w:val="none" w:sz="0" w:space="0" w:color="auto"/>
                <w:bottom w:val="none" w:sz="0" w:space="0" w:color="auto"/>
                <w:right w:val="none" w:sz="0" w:space="0" w:color="auto"/>
              </w:divBdr>
            </w:div>
          </w:divsChild>
        </w:div>
        <w:div w:id="2135321134">
          <w:marLeft w:val="0"/>
          <w:marRight w:val="0"/>
          <w:marTop w:val="0"/>
          <w:marBottom w:val="0"/>
          <w:divBdr>
            <w:top w:val="none" w:sz="0" w:space="0" w:color="auto"/>
            <w:left w:val="none" w:sz="0" w:space="0" w:color="auto"/>
            <w:bottom w:val="none" w:sz="0" w:space="0" w:color="auto"/>
            <w:right w:val="none" w:sz="0" w:space="0" w:color="auto"/>
          </w:divBdr>
          <w:divsChild>
            <w:div w:id="705444031">
              <w:marLeft w:val="0"/>
              <w:marRight w:val="0"/>
              <w:marTop w:val="0"/>
              <w:marBottom w:val="0"/>
              <w:divBdr>
                <w:top w:val="none" w:sz="0" w:space="0" w:color="auto"/>
                <w:left w:val="none" w:sz="0" w:space="0" w:color="auto"/>
                <w:bottom w:val="none" w:sz="0" w:space="0" w:color="auto"/>
                <w:right w:val="none" w:sz="0" w:space="0" w:color="auto"/>
              </w:divBdr>
            </w:div>
          </w:divsChild>
        </w:div>
        <w:div w:id="2134324125">
          <w:marLeft w:val="0"/>
          <w:marRight w:val="0"/>
          <w:marTop w:val="0"/>
          <w:marBottom w:val="0"/>
          <w:divBdr>
            <w:top w:val="none" w:sz="0" w:space="0" w:color="auto"/>
            <w:left w:val="none" w:sz="0" w:space="0" w:color="auto"/>
            <w:bottom w:val="none" w:sz="0" w:space="0" w:color="auto"/>
            <w:right w:val="none" w:sz="0" w:space="0" w:color="auto"/>
          </w:divBdr>
          <w:divsChild>
            <w:div w:id="2093234343">
              <w:marLeft w:val="0"/>
              <w:marRight w:val="0"/>
              <w:marTop w:val="0"/>
              <w:marBottom w:val="0"/>
              <w:divBdr>
                <w:top w:val="none" w:sz="0" w:space="0" w:color="auto"/>
                <w:left w:val="none" w:sz="0" w:space="0" w:color="auto"/>
                <w:bottom w:val="none" w:sz="0" w:space="0" w:color="auto"/>
                <w:right w:val="none" w:sz="0" w:space="0" w:color="auto"/>
              </w:divBdr>
            </w:div>
          </w:divsChild>
        </w:div>
        <w:div w:id="663553591">
          <w:marLeft w:val="0"/>
          <w:marRight w:val="0"/>
          <w:marTop w:val="0"/>
          <w:marBottom w:val="0"/>
          <w:divBdr>
            <w:top w:val="none" w:sz="0" w:space="0" w:color="auto"/>
            <w:left w:val="none" w:sz="0" w:space="0" w:color="auto"/>
            <w:bottom w:val="none" w:sz="0" w:space="0" w:color="auto"/>
            <w:right w:val="none" w:sz="0" w:space="0" w:color="auto"/>
          </w:divBdr>
          <w:divsChild>
            <w:div w:id="455564345">
              <w:marLeft w:val="0"/>
              <w:marRight w:val="0"/>
              <w:marTop w:val="0"/>
              <w:marBottom w:val="0"/>
              <w:divBdr>
                <w:top w:val="none" w:sz="0" w:space="0" w:color="auto"/>
                <w:left w:val="none" w:sz="0" w:space="0" w:color="auto"/>
                <w:bottom w:val="none" w:sz="0" w:space="0" w:color="auto"/>
                <w:right w:val="none" w:sz="0" w:space="0" w:color="auto"/>
              </w:divBdr>
            </w:div>
          </w:divsChild>
        </w:div>
        <w:div w:id="2120297223">
          <w:marLeft w:val="0"/>
          <w:marRight w:val="0"/>
          <w:marTop w:val="0"/>
          <w:marBottom w:val="0"/>
          <w:divBdr>
            <w:top w:val="none" w:sz="0" w:space="0" w:color="auto"/>
            <w:left w:val="none" w:sz="0" w:space="0" w:color="auto"/>
            <w:bottom w:val="none" w:sz="0" w:space="0" w:color="auto"/>
            <w:right w:val="none" w:sz="0" w:space="0" w:color="auto"/>
          </w:divBdr>
          <w:divsChild>
            <w:div w:id="1713845585">
              <w:marLeft w:val="0"/>
              <w:marRight w:val="0"/>
              <w:marTop w:val="0"/>
              <w:marBottom w:val="0"/>
              <w:divBdr>
                <w:top w:val="none" w:sz="0" w:space="0" w:color="auto"/>
                <w:left w:val="none" w:sz="0" w:space="0" w:color="auto"/>
                <w:bottom w:val="none" w:sz="0" w:space="0" w:color="auto"/>
                <w:right w:val="none" w:sz="0" w:space="0" w:color="auto"/>
              </w:divBdr>
            </w:div>
          </w:divsChild>
        </w:div>
        <w:div w:id="1051348182">
          <w:marLeft w:val="0"/>
          <w:marRight w:val="0"/>
          <w:marTop w:val="0"/>
          <w:marBottom w:val="0"/>
          <w:divBdr>
            <w:top w:val="none" w:sz="0" w:space="0" w:color="auto"/>
            <w:left w:val="none" w:sz="0" w:space="0" w:color="auto"/>
            <w:bottom w:val="none" w:sz="0" w:space="0" w:color="auto"/>
            <w:right w:val="none" w:sz="0" w:space="0" w:color="auto"/>
          </w:divBdr>
          <w:divsChild>
            <w:div w:id="833570893">
              <w:marLeft w:val="0"/>
              <w:marRight w:val="0"/>
              <w:marTop w:val="0"/>
              <w:marBottom w:val="0"/>
              <w:divBdr>
                <w:top w:val="none" w:sz="0" w:space="0" w:color="auto"/>
                <w:left w:val="none" w:sz="0" w:space="0" w:color="auto"/>
                <w:bottom w:val="none" w:sz="0" w:space="0" w:color="auto"/>
                <w:right w:val="none" w:sz="0" w:space="0" w:color="auto"/>
              </w:divBdr>
            </w:div>
          </w:divsChild>
        </w:div>
        <w:div w:id="1459910363">
          <w:marLeft w:val="0"/>
          <w:marRight w:val="0"/>
          <w:marTop w:val="300"/>
          <w:marBottom w:val="300"/>
          <w:divBdr>
            <w:top w:val="none" w:sz="0" w:space="0" w:color="auto"/>
            <w:left w:val="none" w:sz="0" w:space="0" w:color="auto"/>
            <w:bottom w:val="none" w:sz="0" w:space="0" w:color="auto"/>
            <w:right w:val="none" w:sz="0" w:space="0" w:color="auto"/>
          </w:divBdr>
        </w:div>
        <w:div w:id="433521021">
          <w:marLeft w:val="0"/>
          <w:marRight w:val="0"/>
          <w:marTop w:val="0"/>
          <w:marBottom w:val="0"/>
          <w:divBdr>
            <w:top w:val="none" w:sz="0" w:space="0" w:color="auto"/>
            <w:left w:val="none" w:sz="0" w:space="0" w:color="auto"/>
            <w:bottom w:val="none" w:sz="0" w:space="0" w:color="auto"/>
            <w:right w:val="none" w:sz="0" w:space="0" w:color="auto"/>
          </w:divBdr>
          <w:divsChild>
            <w:div w:id="1569195786">
              <w:marLeft w:val="0"/>
              <w:marRight w:val="0"/>
              <w:marTop w:val="0"/>
              <w:marBottom w:val="0"/>
              <w:divBdr>
                <w:top w:val="none" w:sz="0" w:space="0" w:color="auto"/>
                <w:left w:val="none" w:sz="0" w:space="0" w:color="auto"/>
                <w:bottom w:val="none" w:sz="0" w:space="0" w:color="auto"/>
                <w:right w:val="none" w:sz="0" w:space="0" w:color="auto"/>
              </w:divBdr>
            </w:div>
          </w:divsChild>
        </w:div>
        <w:div w:id="652685096">
          <w:marLeft w:val="0"/>
          <w:marRight w:val="0"/>
          <w:marTop w:val="0"/>
          <w:marBottom w:val="0"/>
          <w:divBdr>
            <w:top w:val="none" w:sz="0" w:space="0" w:color="auto"/>
            <w:left w:val="none" w:sz="0" w:space="0" w:color="auto"/>
            <w:bottom w:val="none" w:sz="0" w:space="0" w:color="auto"/>
            <w:right w:val="none" w:sz="0" w:space="0" w:color="auto"/>
          </w:divBdr>
          <w:divsChild>
            <w:div w:id="584067953">
              <w:marLeft w:val="0"/>
              <w:marRight w:val="0"/>
              <w:marTop w:val="0"/>
              <w:marBottom w:val="0"/>
              <w:divBdr>
                <w:top w:val="none" w:sz="0" w:space="0" w:color="auto"/>
                <w:left w:val="none" w:sz="0" w:space="0" w:color="auto"/>
                <w:bottom w:val="none" w:sz="0" w:space="0" w:color="auto"/>
                <w:right w:val="none" w:sz="0" w:space="0" w:color="auto"/>
              </w:divBdr>
            </w:div>
          </w:divsChild>
        </w:div>
        <w:div w:id="1235814901">
          <w:marLeft w:val="0"/>
          <w:marRight w:val="0"/>
          <w:marTop w:val="0"/>
          <w:marBottom w:val="0"/>
          <w:divBdr>
            <w:top w:val="none" w:sz="0" w:space="0" w:color="auto"/>
            <w:left w:val="none" w:sz="0" w:space="0" w:color="auto"/>
            <w:bottom w:val="none" w:sz="0" w:space="0" w:color="auto"/>
            <w:right w:val="none" w:sz="0" w:space="0" w:color="auto"/>
          </w:divBdr>
          <w:divsChild>
            <w:div w:id="894465434">
              <w:marLeft w:val="0"/>
              <w:marRight w:val="0"/>
              <w:marTop w:val="0"/>
              <w:marBottom w:val="0"/>
              <w:divBdr>
                <w:top w:val="none" w:sz="0" w:space="0" w:color="auto"/>
                <w:left w:val="none" w:sz="0" w:space="0" w:color="auto"/>
                <w:bottom w:val="none" w:sz="0" w:space="0" w:color="auto"/>
                <w:right w:val="none" w:sz="0" w:space="0" w:color="auto"/>
              </w:divBdr>
            </w:div>
          </w:divsChild>
        </w:div>
        <w:div w:id="570428334">
          <w:marLeft w:val="0"/>
          <w:marRight w:val="0"/>
          <w:marTop w:val="0"/>
          <w:marBottom w:val="0"/>
          <w:divBdr>
            <w:top w:val="none" w:sz="0" w:space="0" w:color="auto"/>
            <w:left w:val="none" w:sz="0" w:space="0" w:color="auto"/>
            <w:bottom w:val="none" w:sz="0" w:space="0" w:color="auto"/>
            <w:right w:val="none" w:sz="0" w:space="0" w:color="auto"/>
          </w:divBdr>
          <w:divsChild>
            <w:div w:id="385832840">
              <w:marLeft w:val="0"/>
              <w:marRight w:val="0"/>
              <w:marTop w:val="0"/>
              <w:marBottom w:val="0"/>
              <w:divBdr>
                <w:top w:val="none" w:sz="0" w:space="0" w:color="auto"/>
                <w:left w:val="none" w:sz="0" w:space="0" w:color="auto"/>
                <w:bottom w:val="none" w:sz="0" w:space="0" w:color="auto"/>
                <w:right w:val="none" w:sz="0" w:space="0" w:color="auto"/>
              </w:divBdr>
            </w:div>
          </w:divsChild>
        </w:div>
        <w:div w:id="850490283">
          <w:marLeft w:val="0"/>
          <w:marRight w:val="0"/>
          <w:marTop w:val="0"/>
          <w:marBottom w:val="0"/>
          <w:divBdr>
            <w:top w:val="none" w:sz="0" w:space="0" w:color="auto"/>
            <w:left w:val="none" w:sz="0" w:space="0" w:color="auto"/>
            <w:bottom w:val="none" w:sz="0" w:space="0" w:color="auto"/>
            <w:right w:val="none" w:sz="0" w:space="0" w:color="auto"/>
          </w:divBdr>
          <w:divsChild>
            <w:div w:id="764766974">
              <w:marLeft w:val="0"/>
              <w:marRight w:val="0"/>
              <w:marTop w:val="0"/>
              <w:marBottom w:val="0"/>
              <w:divBdr>
                <w:top w:val="none" w:sz="0" w:space="0" w:color="auto"/>
                <w:left w:val="none" w:sz="0" w:space="0" w:color="auto"/>
                <w:bottom w:val="none" w:sz="0" w:space="0" w:color="auto"/>
                <w:right w:val="none" w:sz="0" w:space="0" w:color="auto"/>
              </w:divBdr>
            </w:div>
          </w:divsChild>
        </w:div>
        <w:div w:id="1538544041">
          <w:marLeft w:val="0"/>
          <w:marRight w:val="0"/>
          <w:marTop w:val="0"/>
          <w:marBottom w:val="0"/>
          <w:divBdr>
            <w:top w:val="none" w:sz="0" w:space="0" w:color="auto"/>
            <w:left w:val="none" w:sz="0" w:space="0" w:color="auto"/>
            <w:bottom w:val="none" w:sz="0" w:space="0" w:color="auto"/>
            <w:right w:val="none" w:sz="0" w:space="0" w:color="auto"/>
          </w:divBdr>
          <w:divsChild>
            <w:div w:id="458843666">
              <w:marLeft w:val="0"/>
              <w:marRight w:val="0"/>
              <w:marTop w:val="0"/>
              <w:marBottom w:val="0"/>
              <w:divBdr>
                <w:top w:val="none" w:sz="0" w:space="0" w:color="auto"/>
                <w:left w:val="none" w:sz="0" w:space="0" w:color="auto"/>
                <w:bottom w:val="none" w:sz="0" w:space="0" w:color="auto"/>
                <w:right w:val="none" w:sz="0" w:space="0" w:color="auto"/>
              </w:divBdr>
            </w:div>
          </w:divsChild>
        </w:div>
        <w:div w:id="238027202">
          <w:marLeft w:val="0"/>
          <w:marRight w:val="0"/>
          <w:marTop w:val="0"/>
          <w:marBottom w:val="0"/>
          <w:divBdr>
            <w:top w:val="none" w:sz="0" w:space="0" w:color="auto"/>
            <w:left w:val="none" w:sz="0" w:space="0" w:color="auto"/>
            <w:bottom w:val="none" w:sz="0" w:space="0" w:color="auto"/>
            <w:right w:val="none" w:sz="0" w:space="0" w:color="auto"/>
          </w:divBdr>
          <w:divsChild>
            <w:div w:id="1601449587">
              <w:marLeft w:val="0"/>
              <w:marRight w:val="0"/>
              <w:marTop w:val="0"/>
              <w:marBottom w:val="0"/>
              <w:divBdr>
                <w:top w:val="none" w:sz="0" w:space="0" w:color="auto"/>
                <w:left w:val="none" w:sz="0" w:space="0" w:color="auto"/>
                <w:bottom w:val="none" w:sz="0" w:space="0" w:color="auto"/>
                <w:right w:val="none" w:sz="0" w:space="0" w:color="auto"/>
              </w:divBdr>
            </w:div>
          </w:divsChild>
        </w:div>
        <w:div w:id="500046521">
          <w:marLeft w:val="0"/>
          <w:marRight w:val="0"/>
          <w:marTop w:val="0"/>
          <w:marBottom w:val="0"/>
          <w:divBdr>
            <w:top w:val="none" w:sz="0" w:space="0" w:color="auto"/>
            <w:left w:val="none" w:sz="0" w:space="0" w:color="auto"/>
            <w:bottom w:val="none" w:sz="0" w:space="0" w:color="auto"/>
            <w:right w:val="none" w:sz="0" w:space="0" w:color="auto"/>
          </w:divBdr>
          <w:divsChild>
            <w:div w:id="2121104450">
              <w:marLeft w:val="0"/>
              <w:marRight w:val="0"/>
              <w:marTop w:val="0"/>
              <w:marBottom w:val="0"/>
              <w:divBdr>
                <w:top w:val="none" w:sz="0" w:space="0" w:color="auto"/>
                <w:left w:val="none" w:sz="0" w:space="0" w:color="auto"/>
                <w:bottom w:val="none" w:sz="0" w:space="0" w:color="auto"/>
                <w:right w:val="none" w:sz="0" w:space="0" w:color="auto"/>
              </w:divBdr>
            </w:div>
          </w:divsChild>
        </w:div>
        <w:div w:id="1862546478">
          <w:marLeft w:val="0"/>
          <w:marRight w:val="0"/>
          <w:marTop w:val="0"/>
          <w:marBottom w:val="0"/>
          <w:divBdr>
            <w:top w:val="none" w:sz="0" w:space="0" w:color="auto"/>
            <w:left w:val="none" w:sz="0" w:space="0" w:color="auto"/>
            <w:bottom w:val="none" w:sz="0" w:space="0" w:color="auto"/>
            <w:right w:val="none" w:sz="0" w:space="0" w:color="auto"/>
          </w:divBdr>
          <w:divsChild>
            <w:div w:id="1134450530">
              <w:marLeft w:val="0"/>
              <w:marRight w:val="0"/>
              <w:marTop w:val="0"/>
              <w:marBottom w:val="0"/>
              <w:divBdr>
                <w:top w:val="none" w:sz="0" w:space="0" w:color="auto"/>
                <w:left w:val="none" w:sz="0" w:space="0" w:color="auto"/>
                <w:bottom w:val="none" w:sz="0" w:space="0" w:color="auto"/>
                <w:right w:val="none" w:sz="0" w:space="0" w:color="auto"/>
              </w:divBdr>
            </w:div>
          </w:divsChild>
        </w:div>
        <w:div w:id="2032946435">
          <w:marLeft w:val="0"/>
          <w:marRight w:val="0"/>
          <w:marTop w:val="0"/>
          <w:marBottom w:val="0"/>
          <w:divBdr>
            <w:top w:val="none" w:sz="0" w:space="0" w:color="auto"/>
            <w:left w:val="none" w:sz="0" w:space="0" w:color="auto"/>
            <w:bottom w:val="none" w:sz="0" w:space="0" w:color="auto"/>
            <w:right w:val="none" w:sz="0" w:space="0" w:color="auto"/>
          </w:divBdr>
          <w:divsChild>
            <w:div w:id="1362902767">
              <w:marLeft w:val="0"/>
              <w:marRight w:val="0"/>
              <w:marTop w:val="0"/>
              <w:marBottom w:val="0"/>
              <w:divBdr>
                <w:top w:val="none" w:sz="0" w:space="0" w:color="auto"/>
                <w:left w:val="none" w:sz="0" w:space="0" w:color="auto"/>
                <w:bottom w:val="none" w:sz="0" w:space="0" w:color="auto"/>
                <w:right w:val="none" w:sz="0" w:space="0" w:color="auto"/>
              </w:divBdr>
            </w:div>
          </w:divsChild>
        </w:div>
        <w:div w:id="1330601346">
          <w:marLeft w:val="0"/>
          <w:marRight w:val="0"/>
          <w:marTop w:val="0"/>
          <w:marBottom w:val="0"/>
          <w:divBdr>
            <w:top w:val="none" w:sz="0" w:space="0" w:color="auto"/>
            <w:left w:val="none" w:sz="0" w:space="0" w:color="auto"/>
            <w:bottom w:val="none" w:sz="0" w:space="0" w:color="auto"/>
            <w:right w:val="none" w:sz="0" w:space="0" w:color="auto"/>
          </w:divBdr>
          <w:divsChild>
            <w:div w:id="306402422">
              <w:marLeft w:val="0"/>
              <w:marRight w:val="0"/>
              <w:marTop w:val="0"/>
              <w:marBottom w:val="0"/>
              <w:divBdr>
                <w:top w:val="none" w:sz="0" w:space="0" w:color="auto"/>
                <w:left w:val="none" w:sz="0" w:space="0" w:color="auto"/>
                <w:bottom w:val="none" w:sz="0" w:space="0" w:color="auto"/>
                <w:right w:val="none" w:sz="0" w:space="0" w:color="auto"/>
              </w:divBdr>
            </w:div>
          </w:divsChild>
        </w:div>
        <w:div w:id="1826822996">
          <w:marLeft w:val="0"/>
          <w:marRight w:val="0"/>
          <w:marTop w:val="300"/>
          <w:marBottom w:val="300"/>
          <w:divBdr>
            <w:top w:val="none" w:sz="0" w:space="0" w:color="auto"/>
            <w:left w:val="none" w:sz="0" w:space="0" w:color="auto"/>
            <w:bottom w:val="none" w:sz="0" w:space="0" w:color="auto"/>
            <w:right w:val="none" w:sz="0" w:space="0" w:color="auto"/>
          </w:divBdr>
        </w:div>
        <w:div w:id="494878914">
          <w:marLeft w:val="0"/>
          <w:marRight w:val="0"/>
          <w:marTop w:val="0"/>
          <w:marBottom w:val="0"/>
          <w:divBdr>
            <w:top w:val="none" w:sz="0" w:space="0" w:color="auto"/>
            <w:left w:val="none" w:sz="0" w:space="0" w:color="auto"/>
            <w:bottom w:val="none" w:sz="0" w:space="0" w:color="auto"/>
            <w:right w:val="none" w:sz="0" w:space="0" w:color="auto"/>
          </w:divBdr>
          <w:divsChild>
            <w:div w:id="2076001986">
              <w:marLeft w:val="0"/>
              <w:marRight w:val="0"/>
              <w:marTop w:val="0"/>
              <w:marBottom w:val="0"/>
              <w:divBdr>
                <w:top w:val="none" w:sz="0" w:space="0" w:color="auto"/>
                <w:left w:val="none" w:sz="0" w:space="0" w:color="auto"/>
                <w:bottom w:val="none" w:sz="0" w:space="0" w:color="auto"/>
                <w:right w:val="none" w:sz="0" w:space="0" w:color="auto"/>
              </w:divBdr>
            </w:div>
          </w:divsChild>
        </w:div>
        <w:div w:id="8142245">
          <w:marLeft w:val="0"/>
          <w:marRight w:val="0"/>
          <w:marTop w:val="0"/>
          <w:marBottom w:val="0"/>
          <w:divBdr>
            <w:top w:val="none" w:sz="0" w:space="0" w:color="auto"/>
            <w:left w:val="none" w:sz="0" w:space="0" w:color="auto"/>
            <w:bottom w:val="none" w:sz="0" w:space="0" w:color="auto"/>
            <w:right w:val="none" w:sz="0" w:space="0" w:color="auto"/>
          </w:divBdr>
          <w:divsChild>
            <w:div w:id="2021422168">
              <w:marLeft w:val="0"/>
              <w:marRight w:val="0"/>
              <w:marTop w:val="0"/>
              <w:marBottom w:val="0"/>
              <w:divBdr>
                <w:top w:val="none" w:sz="0" w:space="0" w:color="auto"/>
                <w:left w:val="none" w:sz="0" w:space="0" w:color="auto"/>
                <w:bottom w:val="none" w:sz="0" w:space="0" w:color="auto"/>
                <w:right w:val="none" w:sz="0" w:space="0" w:color="auto"/>
              </w:divBdr>
            </w:div>
          </w:divsChild>
        </w:div>
        <w:div w:id="365762526">
          <w:marLeft w:val="0"/>
          <w:marRight w:val="0"/>
          <w:marTop w:val="0"/>
          <w:marBottom w:val="0"/>
          <w:divBdr>
            <w:top w:val="none" w:sz="0" w:space="0" w:color="auto"/>
            <w:left w:val="none" w:sz="0" w:space="0" w:color="auto"/>
            <w:bottom w:val="none" w:sz="0" w:space="0" w:color="auto"/>
            <w:right w:val="none" w:sz="0" w:space="0" w:color="auto"/>
          </w:divBdr>
          <w:divsChild>
            <w:div w:id="1556233474">
              <w:marLeft w:val="0"/>
              <w:marRight w:val="0"/>
              <w:marTop w:val="0"/>
              <w:marBottom w:val="0"/>
              <w:divBdr>
                <w:top w:val="none" w:sz="0" w:space="0" w:color="auto"/>
                <w:left w:val="none" w:sz="0" w:space="0" w:color="auto"/>
                <w:bottom w:val="none" w:sz="0" w:space="0" w:color="auto"/>
                <w:right w:val="none" w:sz="0" w:space="0" w:color="auto"/>
              </w:divBdr>
            </w:div>
          </w:divsChild>
        </w:div>
        <w:div w:id="501244154">
          <w:marLeft w:val="0"/>
          <w:marRight w:val="0"/>
          <w:marTop w:val="0"/>
          <w:marBottom w:val="0"/>
          <w:divBdr>
            <w:top w:val="none" w:sz="0" w:space="0" w:color="auto"/>
            <w:left w:val="none" w:sz="0" w:space="0" w:color="auto"/>
            <w:bottom w:val="none" w:sz="0" w:space="0" w:color="auto"/>
            <w:right w:val="none" w:sz="0" w:space="0" w:color="auto"/>
          </w:divBdr>
          <w:divsChild>
            <w:div w:id="835340440">
              <w:marLeft w:val="0"/>
              <w:marRight w:val="0"/>
              <w:marTop w:val="0"/>
              <w:marBottom w:val="0"/>
              <w:divBdr>
                <w:top w:val="none" w:sz="0" w:space="0" w:color="auto"/>
                <w:left w:val="none" w:sz="0" w:space="0" w:color="auto"/>
                <w:bottom w:val="none" w:sz="0" w:space="0" w:color="auto"/>
                <w:right w:val="none" w:sz="0" w:space="0" w:color="auto"/>
              </w:divBdr>
            </w:div>
          </w:divsChild>
        </w:div>
        <w:div w:id="407506615">
          <w:marLeft w:val="0"/>
          <w:marRight w:val="0"/>
          <w:marTop w:val="0"/>
          <w:marBottom w:val="0"/>
          <w:divBdr>
            <w:top w:val="none" w:sz="0" w:space="0" w:color="auto"/>
            <w:left w:val="none" w:sz="0" w:space="0" w:color="auto"/>
            <w:bottom w:val="none" w:sz="0" w:space="0" w:color="auto"/>
            <w:right w:val="none" w:sz="0" w:space="0" w:color="auto"/>
          </w:divBdr>
          <w:divsChild>
            <w:div w:id="1754660968">
              <w:marLeft w:val="0"/>
              <w:marRight w:val="0"/>
              <w:marTop w:val="0"/>
              <w:marBottom w:val="0"/>
              <w:divBdr>
                <w:top w:val="none" w:sz="0" w:space="0" w:color="auto"/>
                <w:left w:val="none" w:sz="0" w:space="0" w:color="auto"/>
                <w:bottom w:val="none" w:sz="0" w:space="0" w:color="auto"/>
                <w:right w:val="none" w:sz="0" w:space="0" w:color="auto"/>
              </w:divBdr>
            </w:div>
          </w:divsChild>
        </w:div>
        <w:div w:id="1848980454">
          <w:marLeft w:val="0"/>
          <w:marRight w:val="0"/>
          <w:marTop w:val="0"/>
          <w:marBottom w:val="0"/>
          <w:divBdr>
            <w:top w:val="none" w:sz="0" w:space="0" w:color="auto"/>
            <w:left w:val="none" w:sz="0" w:space="0" w:color="auto"/>
            <w:bottom w:val="none" w:sz="0" w:space="0" w:color="auto"/>
            <w:right w:val="none" w:sz="0" w:space="0" w:color="auto"/>
          </w:divBdr>
          <w:divsChild>
            <w:div w:id="342051931">
              <w:marLeft w:val="0"/>
              <w:marRight w:val="0"/>
              <w:marTop w:val="0"/>
              <w:marBottom w:val="0"/>
              <w:divBdr>
                <w:top w:val="none" w:sz="0" w:space="0" w:color="auto"/>
                <w:left w:val="none" w:sz="0" w:space="0" w:color="auto"/>
                <w:bottom w:val="none" w:sz="0" w:space="0" w:color="auto"/>
                <w:right w:val="none" w:sz="0" w:space="0" w:color="auto"/>
              </w:divBdr>
            </w:div>
          </w:divsChild>
        </w:div>
        <w:div w:id="566498680">
          <w:marLeft w:val="0"/>
          <w:marRight w:val="0"/>
          <w:marTop w:val="0"/>
          <w:marBottom w:val="0"/>
          <w:divBdr>
            <w:top w:val="none" w:sz="0" w:space="0" w:color="auto"/>
            <w:left w:val="none" w:sz="0" w:space="0" w:color="auto"/>
            <w:bottom w:val="none" w:sz="0" w:space="0" w:color="auto"/>
            <w:right w:val="none" w:sz="0" w:space="0" w:color="auto"/>
          </w:divBdr>
          <w:divsChild>
            <w:div w:id="134876645">
              <w:marLeft w:val="0"/>
              <w:marRight w:val="0"/>
              <w:marTop w:val="0"/>
              <w:marBottom w:val="0"/>
              <w:divBdr>
                <w:top w:val="none" w:sz="0" w:space="0" w:color="auto"/>
                <w:left w:val="none" w:sz="0" w:space="0" w:color="auto"/>
                <w:bottom w:val="none" w:sz="0" w:space="0" w:color="auto"/>
                <w:right w:val="none" w:sz="0" w:space="0" w:color="auto"/>
              </w:divBdr>
            </w:div>
          </w:divsChild>
        </w:div>
        <w:div w:id="583955006">
          <w:marLeft w:val="0"/>
          <w:marRight w:val="0"/>
          <w:marTop w:val="0"/>
          <w:marBottom w:val="0"/>
          <w:divBdr>
            <w:top w:val="none" w:sz="0" w:space="0" w:color="auto"/>
            <w:left w:val="none" w:sz="0" w:space="0" w:color="auto"/>
            <w:bottom w:val="none" w:sz="0" w:space="0" w:color="auto"/>
            <w:right w:val="none" w:sz="0" w:space="0" w:color="auto"/>
          </w:divBdr>
          <w:divsChild>
            <w:div w:id="1023170463">
              <w:marLeft w:val="0"/>
              <w:marRight w:val="0"/>
              <w:marTop w:val="0"/>
              <w:marBottom w:val="0"/>
              <w:divBdr>
                <w:top w:val="none" w:sz="0" w:space="0" w:color="auto"/>
                <w:left w:val="none" w:sz="0" w:space="0" w:color="auto"/>
                <w:bottom w:val="none" w:sz="0" w:space="0" w:color="auto"/>
                <w:right w:val="none" w:sz="0" w:space="0" w:color="auto"/>
              </w:divBdr>
            </w:div>
          </w:divsChild>
        </w:div>
        <w:div w:id="2001155179">
          <w:marLeft w:val="0"/>
          <w:marRight w:val="0"/>
          <w:marTop w:val="0"/>
          <w:marBottom w:val="0"/>
          <w:divBdr>
            <w:top w:val="none" w:sz="0" w:space="0" w:color="auto"/>
            <w:left w:val="none" w:sz="0" w:space="0" w:color="auto"/>
            <w:bottom w:val="none" w:sz="0" w:space="0" w:color="auto"/>
            <w:right w:val="none" w:sz="0" w:space="0" w:color="auto"/>
          </w:divBdr>
          <w:divsChild>
            <w:div w:id="1707608308">
              <w:marLeft w:val="0"/>
              <w:marRight w:val="0"/>
              <w:marTop w:val="0"/>
              <w:marBottom w:val="0"/>
              <w:divBdr>
                <w:top w:val="none" w:sz="0" w:space="0" w:color="auto"/>
                <w:left w:val="none" w:sz="0" w:space="0" w:color="auto"/>
                <w:bottom w:val="none" w:sz="0" w:space="0" w:color="auto"/>
                <w:right w:val="none" w:sz="0" w:space="0" w:color="auto"/>
              </w:divBdr>
            </w:div>
          </w:divsChild>
        </w:div>
        <w:div w:id="682168613">
          <w:marLeft w:val="0"/>
          <w:marRight w:val="0"/>
          <w:marTop w:val="0"/>
          <w:marBottom w:val="0"/>
          <w:divBdr>
            <w:top w:val="none" w:sz="0" w:space="0" w:color="auto"/>
            <w:left w:val="none" w:sz="0" w:space="0" w:color="auto"/>
            <w:bottom w:val="none" w:sz="0" w:space="0" w:color="auto"/>
            <w:right w:val="none" w:sz="0" w:space="0" w:color="auto"/>
          </w:divBdr>
          <w:divsChild>
            <w:div w:id="128058116">
              <w:marLeft w:val="0"/>
              <w:marRight w:val="0"/>
              <w:marTop w:val="0"/>
              <w:marBottom w:val="0"/>
              <w:divBdr>
                <w:top w:val="none" w:sz="0" w:space="0" w:color="auto"/>
                <w:left w:val="none" w:sz="0" w:space="0" w:color="auto"/>
                <w:bottom w:val="none" w:sz="0" w:space="0" w:color="auto"/>
                <w:right w:val="none" w:sz="0" w:space="0" w:color="auto"/>
              </w:divBdr>
            </w:div>
          </w:divsChild>
        </w:div>
        <w:div w:id="1265532121">
          <w:marLeft w:val="0"/>
          <w:marRight w:val="0"/>
          <w:marTop w:val="300"/>
          <w:marBottom w:val="300"/>
          <w:divBdr>
            <w:top w:val="none" w:sz="0" w:space="0" w:color="auto"/>
            <w:left w:val="none" w:sz="0" w:space="0" w:color="auto"/>
            <w:bottom w:val="none" w:sz="0" w:space="0" w:color="auto"/>
            <w:right w:val="none" w:sz="0" w:space="0" w:color="auto"/>
          </w:divBdr>
        </w:div>
        <w:div w:id="1903440791">
          <w:marLeft w:val="0"/>
          <w:marRight w:val="0"/>
          <w:marTop w:val="0"/>
          <w:marBottom w:val="0"/>
          <w:divBdr>
            <w:top w:val="none" w:sz="0" w:space="0" w:color="auto"/>
            <w:left w:val="none" w:sz="0" w:space="0" w:color="auto"/>
            <w:bottom w:val="none" w:sz="0" w:space="0" w:color="auto"/>
            <w:right w:val="none" w:sz="0" w:space="0" w:color="auto"/>
          </w:divBdr>
          <w:divsChild>
            <w:div w:id="861699073">
              <w:marLeft w:val="0"/>
              <w:marRight w:val="0"/>
              <w:marTop w:val="0"/>
              <w:marBottom w:val="0"/>
              <w:divBdr>
                <w:top w:val="none" w:sz="0" w:space="0" w:color="auto"/>
                <w:left w:val="none" w:sz="0" w:space="0" w:color="auto"/>
                <w:bottom w:val="none" w:sz="0" w:space="0" w:color="auto"/>
                <w:right w:val="none" w:sz="0" w:space="0" w:color="auto"/>
              </w:divBdr>
            </w:div>
          </w:divsChild>
        </w:div>
        <w:div w:id="1411661421">
          <w:marLeft w:val="0"/>
          <w:marRight w:val="0"/>
          <w:marTop w:val="0"/>
          <w:marBottom w:val="0"/>
          <w:divBdr>
            <w:top w:val="none" w:sz="0" w:space="0" w:color="auto"/>
            <w:left w:val="none" w:sz="0" w:space="0" w:color="auto"/>
            <w:bottom w:val="none" w:sz="0" w:space="0" w:color="auto"/>
            <w:right w:val="none" w:sz="0" w:space="0" w:color="auto"/>
          </w:divBdr>
          <w:divsChild>
            <w:div w:id="1021512103">
              <w:marLeft w:val="0"/>
              <w:marRight w:val="0"/>
              <w:marTop w:val="0"/>
              <w:marBottom w:val="0"/>
              <w:divBdr>
                <w:top w:val="none" w:sz="0" w:space="0" w:color="auto"/>
                <w:left w:val="none" w:sz="0" w:space="0" w:color="auto"/>
                <w:bottom w:val="none" w:sz="0" w:space="0" w:color="auto"/>
                <w:right w:val="none" w:sz="0" w:space="0" w:color="auto"/>
              </w:divBdr>
            </w:div>
          </w:divsChild>
        </w:div>
        <w:div w:id="1496070675">
          <w:marLeft w:val="0"/>
          <w:marRight w:val="0"/>
          <w:marTop w:val="0"/>
          <w:marBottom w:val="0"/>
          <w:divBdr>
            <w:top w:val="none" w:sz="0" w:space="0" w:color="auto"/>
            <w:left w:val="none" w:sz="0" w:space="0" w:color="auto"/>
            <w:bottom w:val="none" w:sz="0" w:space="0" w:color="auto"/>
            <w:right w:val="none" w:sz="0" w:space="0" w:color="auto"/>
          </w:divBdr>
          <w:divsChild>
            <w:div w:id="2038001571">
              <w:marLeft w:val="0"/>
              <w:marRight w:val="0"/>
              <w:marTop w:val="0"/>
              <w:marBottom w:val="0"/>
              <w:divBdr>
                <w:top w:val="none" w:sz="0" w:space="0" w:color="auto"/>
                <w:left w:val="none" w:sz="0" w:space="0" w:color="auto"/>
                <w:bottom w:val="none" w:sz="0" w:space="0" w:color="auto"/>
                <w:right w:val="none" w:sz="0" w:space="0" w:color="auto"/>
              </w:divBdr>
            </w:div>
          </w:divsChild>
        </w:div>
        <w:div w:id="1438135612">
          <w:marLeft w:val="0"/>
          <w:marRight w:val="0"/>
          <w:marTop w:val="0"/>
          <w:marBottom w:val="0"/>
          <w:divBdr>
            <w:top w:val="none" w:sz="0" w:space="0" w:color="auto"/>
            <w:left w:val="none" w:sz="0" w:space="0" w:color="auto"/>
            <w:bottom w:val="none" w:sz="0" w:space="0" w:color="auto"/>
            <w:right w:val="none" w:sz="0" w:space="0" w:color="auto"/>
          </w:divBdr>
          <w:divsChild>
            <w:div w:id="96874445">
              <w:marLeft w:val="0"/>
              <w:marRight w:val="0"/>
              <w:marTop w:val="0"/>
              <w:marBottom w:val="0"/>
              <w:divBdr>
                <w:top w:val="none" w:sz="0" w:space="0" w:color="auto"/>
                <w:left w:val="none" w:sz="0" w:space="0" w:color="auto"/>
                <w:bottom w:val="none" w:sz="0" w:space="0" w:color="auto"/>
                <w:right w:val="none" w:sz="0" w:space="0" w:color="auto"/>
              </w:divBdr>
            </w:div>
          </w:divsChild>
        </w:div>
        <w:div w:id="760685632">
          <w:marLeft w:val="0"/>
          <w:marRight w:val="0"/>
          <w:marTop w:val="0"/>
          <w:marBottom w:val="0"/>
          <w:divBdr>
            <w:top w:val="none" w:sz="0" w:space="0" w:color="auto"/>
            <w:left w:val="none" w:sz="0" w:space="0" w:color="auto"/>
            <w:bottom w:val="none" w:sz="0" w:space="0" w:color="auto"/>
            <w:right w:val="none" w:sz="0" w:space="0" w:color="auto"/>
          </w:divBdr>
          <w:divsChild>
            <w:div w:id="1182208439">
              <w:marLeft w:val="0"/>
              <w:marRight w:val="0"/>
              <w:marTop w:val="0"/>
              <w:marBottom w:val="0"/>
              <w:divBdr>
                <w:top w:val="none" w:sz="0" w:space="0" w:color="auto"/>
                <w:left w:val="none" w:sz="0" w:space="0" w:color="auto"/>
                <w:bottom w:val="none" w:sz="0" w:space="0" w:color="auto"/>
                <w:right w:val="none" w:sz="0" w:space="0" w:color="auto"/>
              </w:divBdr>
            </w:div>
          </w:divsChild>
        </w:div>
        <w:div w:id="391583916">
          <w:marLeft w:val="0"/>
          <w:marRight w:val="0"/>
          <w:marTop w:val="0"/>
          <w:marBottom w:val="0"/>
          <w:divBdr>
            <w:top w:val="none" w:sz="0" w:space="0" w:color="auto"/>
            <w:left w:val="none" w:sz="0" w:space="0" w:color="auto"/>
            <w:bottom w:val="none" w:sz="0" w:space="0" w:color="auto"/>
            <w:right w:val="none" w:sz="0" w:space="0" w:color="auto"/>
          </w:divBdr>
          <w:divsChild>
            <w:div w:id="734667959">
              <w:marLeft w:val="0"/>
              <w:marRight w:val="0"/>
              <w:marTop w:val="0"/>
              <w:marBottom w:val="0"/>
              <w:divBdr>
                <w:top w:val="none" w:sz="0" w:space="0" w:color="auto"/>
                <w:left w:val="none" w:sz="0" w:space="0" w:color="auto"/>
                <w:bottom w:val="none" w:sz="0" w:space="0" w:color="auto"/>
                <w:right w:val="none" w:sz="0" w:space="0" w:color="auto"/>
              </w:divBdr>
            </w:div>
          </w:divsChild>
        </w:div>
        <w:div w:id="2111704890">
          <w:marLeft w:val="0"/>
          <w:marRight w:val="0"/>
          <w:marTop w:val="0"/>
          <w:marBottom w:val="0"/>
          <w:divBdr>
            <w:top w:val="none" w:sz="0" w:space="0" w:color="auto"/>
            <w:left w:val="none" w:sz="0" w:space="0" w:color="auto"/>
            <w:bottom w:val="none" w:sz="0" w:space="0" w:color="auto"/>
            <w:right w:val="none" w:sz="0" w:space="0" w:color="auto"/>
          </w:divBdr>
          <w:divsChild>
            <w:div w:id="335310682">
              <w:marLeft w:val="0"/>
              <w:marRight w:val="0"/>
              <w:marTop w:val="0"/>
              <w:marBottom w:val="0"/>
              <w:divBdr>
                <w:top w:val="none" w:sz="0" w:space="0" w:color="auto"/>
                <w:left w:val="none" w:sz="0" w:space="0" w:color="auto"/>
                <w:bottom w:val="none" w:sz="0" w:space="0" w:color="auto"/>
                <w:right w:val="none" w:sz="0" w:space="0" w:color="auto"/>
              </w:divBdr>
            </w:div>
          </w:divsChild>
        </w:div>
        <w:div w:id="1389258932">
          <w:marLeft w:val="0"/>
          <w:marRight w:val="0"/>
          <w:marTop w:val="0"/>
          <w:marBottom w:val="0"/>
          <w:divBdr>
            <w:top w:val="none" w:sz="0" w:space="0" w:color="auto"/>
            <w:left w:val="none" w:sz="0" w:space="0" w:color="auto"/>
            <w:bottom w:val="none" w:sz="0" w:space="0" w:color="auto"/>
            <w:right w:val="none" w:sz="0" w:space="0" w:color="auto"/>
          </w:divBdr>
          <w:divsChild>
            <w:div w:id="780800740">
              <w:marLeft w:val="0"/>
              <w:marRight w:val="0"/>
              <w:marTop w:val="0"/>
              <w:marBottom w:val="0"/>
              <w:divBdr>
                <w:top w:val="none" w:sz="0" w:space="0" w:color="auto"/>
                <w:left w:val="none" w:sz="0" w:space="0" w:color="auto"/>
                <w:bottom w:val="none" w:sz="0" w:space="0" w:color="auto"/>
                <w:right w:val="none" w:sz="0" w:space="0" w:color="auto"/>
              </w:divBdr>
            </w:div>
          </w:divsChild>
        </w:div>
        <w:div w:id="1831405599">
          <w:marLeft w:val="0"/>
          <w:marRight w:val="0"/>
          <w:marTop w:val="300"/>
          <w:marBottom w:val="300"/>
          <w:divBdr>
            <w:top w:val="none" w:sz="0" w:space="0" w:color="auto"/>
            <w:left w:val="none" w:sz="0" w:space="0" w:color="auto"/>
            <w:bottom w:val="none" w:sz="0" w:space="0" w:color="auto"/>
            <w:right w:val="none" w:sz="0" w:space="0" w:color="auto"/>
          </w:divBdr>
        </w:div>
        <w:div w:id="1607232847">
          <w:marLeft w:val="0"/>
          <w:marRight w:val="0"/>
          <w:marTop w:val="0"/>
          <w:marBottom w:val="0"/>
          <w:divBdr>
            <w:top w:val="none" w:sz="0" w:space="0" w:color="auto"/>
            <w:left w:val="none" w:sz="0" w:space="0" w:color="auto"/>
            <w:bottom w:val="none" w:sz="0" w:space="0" w:color="auto"/>
            <w:right w:val="none" w:sz="0" w:space="0" w:color="auto"/>
          </w:divBdr>
          <w:divsChild>
            <w:div w:id="181093493">
              <w:marLeft w:val="0"/>
              <w:marRight w:val="0"/>
              <w:marTop w:val="0"/>
              <w:marBottom w:val="0"/>
              <w:divBdr>
                <w:top w:val="none" w:sz="0" w:space="0" w:color="auto"/>
                <w:left w:val="none" w:sz="0" w:space="0" w:color="auto"/>
                <w:bottom w:val="none" w:sz="0" w:space="0" w:color="auto"/>
                <w:right w:val="none" w:sz="0" w:space="0" w:color="auto"/>
              </w:divBdr>
            </w:div>
          </w:divsChild>
        </w:div>
        <w:div w:id="1917518417">
          <w:marLeft w:val="0"/>
          <w:marRight w:val="0"/>
          <w:marTop w:val="0"/>
          <w:marBottom w:val="0"/>
          <w:divBdr>
            <w:top w:val="none" w:sz="0" w:space="0" w:color="auto"/>
            <w:left w:val="none" w:sz="0" w:space="0" w:color="auto"/>
            <w:bottom w:val="none" w:sz="0" w:space="0" w:color="auto"/>
            <w:right w:val="none" w:sz="0" w:space="0" w:color="auto"/>
          </w:divBdr>
          <w:divsChild>
            <w:div w:id="348719564">
              <w:marLeft w:val="0"/>
              <w:marRight w:val="0"/>
              <w:marTop w:val="0"/>
              <w:marBottom w:val="0"/>
              <w:divBdr>
                <w:top w:val="none" w:sz="0" w:space="0" w:color="auto"/>
                <w:left w:val="none" w:sz="0" w:space="0" w:color="auto"/>
                <w:bottom w:val="none" w:sz="0" w:space="0" w:color="auto"/>
                <w:right w:val="none" w:sz="0" w:space="0" w:color="auto"/>
              </w:divBdr>
            </w:div>
          </w:divsChild>
        </w:div>
        <w:div w:id="8529602">
          <w:marLeft w:val="0"/>
          <w:marRight w:val="0"/>
          <w:marTop w:val="0"/>
          <w:marBottom w:val="0"/>
          <w:divBdr>
            <w:top w:val="none" w:sz="0" w:space="0" w:color="auto"/>
            <w:left w:val="none" w:sz="0" w:space="0" w:color="auto"/>
            <w:bottom w:val="none" w:sz="0" w:space="0" w:color="auto"/>
            <w:right w:val="none" w:sz="0" w:space="0" w:color="auto"/>
          </w:divBdr>
          <w:divsChild>
            <w:div w:id="1489514553">
              <w:marLeft w:val="0"/>
              <w:marRight w:val="0"/>
              <w:marTop w:val="0"/>
              <w:marBottom w:val="0"/>
              <w:divBdr>
                <w:top w:val="none" w:sz="0" w:space="0" w:color="auto"/>
                <w:left w:val="none" w:sz="0" w:space="0" w:color="auto"/>
                <w:bottom w:val="none" w:sz="0" w:space="0" w:color="auto"/>
                <w:right w:val="none" w:sz="0" w:space="0" w:color="auto"/>
              </w:divBdr>
            </w:div>
          </w:divsChild>
        </w:div>
        <w:div w:id="93743519">
          <w:marLeft w:val="0"/>
          <w:marRight w:val="0"/>
          <w:marTop w:val="0"/>
          <w:marBottom w:val="0"/>
          <w:divBdr>
            <w:top w:val="none" w:sz="0" w:space="0" w:color="auto"/>
            <w:left w:val="none" w:sz="0" w:space="0" w:color="auto"/>
            <w:bottom w:val="none" w:sz="0" w:space="0" w:color="auto"/>
            <w:right w:val="none" w:sz="0" w:space="0" w:color="auto"/>
          </w:divBdr>
          <w:divsChild>
            <w:div w:id="1693334589">
              <w:marLeft w:val="0"/>
              <w:marRight w:val="0"/>
              <w:marTop w:val="0"/>
              <w:marBottom w:val="0"/>
              <w:divBdr>
                <w:top w:val="none" w:sz="0" w:space="0" w:color="auto"/>
                <w:left w:val="none" w:sz="0" w:space="0" w:color="auto"/>
                <w:bottom w:val="none" w:sz="0" w:space="0" w:color="auto"/>
                <w:right w:val="none" w:sz="0" w:space="0" w:color="auto"/>
              </w:divBdr>
            </w:div>
          </w:divsChild>
        </w:div>
        <w:div w:id="572551440">
          <w:marLeft w:val="0"/>
          <w:marRight w:val="0"/>
          <w:marTop w:val="0"/>
          <w:marBottom w:val="0"/>
          <w:divBdr>
            <w:top w:val="none" w:sz="0" w:space="0" w:color="auto"/>
            <w:left w:val="none" w:sz="0" w:space="0" w:color="auto"/>
            <w:bottom w:val="none" w:sz="0" w:space="0" w:color="auto"/>
            <w:right w:val="none" w:sz="0" w:space="0" w:color="auto"/>
          </w:divBdr>
          <w:divsChild>
            <w:div w:id="353385874">
              <w:marLeft w:val="0"/>
              <w:marRight w:val="0"/>
              <w:marTop w:val="0"/>
              <w:marBottom w:val="0"/>
              <w:divBdr>
                <w:top w:val="none" w:sz="0" w:space="0" w:color="auto"/>
                <w:left w:val="none" w:sz="0" w:space="0" w:color="auto"/>
                <w:bottom w:val="none" w:sz="0" w:space="0" w:color="auto"/>
                <w:right w:val="none" w:sz="0" w:space="0" w:color="auto"/>
              </w:divBdr>
            </w:div>
          </w:divsChild>
        </w:div>
        <w:div w:id="901913616">
          <w:marLeft w:val="0"/>
          <w:marRight w:val="0"/>
          <w:marTop w:val="0"/>
          <w:marBottom w:val="0"/>
          <w:divBdr>
            <w:top w:val="none" w:sz="0" w:space="0" w:color="auto"/>
            <w:left w:val="none" w:sz="0" w:space="0" w:color="auto"/>
            <w:bottom w:val="none" w:sz="0" w:space="0" w:color="auto"/>
            <w:right w:val="none" w:sz="0" w:space="0" w:color="auto"/>
          </w:divBdr>
          <w:divsChild>
            <w:div w:id="291400129">
              <w:marLeft w:val="0"/>
              <w:marRight w:val="0"/>
              <w:marTop w:val="0"/>
              <w:marBottom w:val="0"/>
              <w:divBdr>
                <w:top w:val="none" w:sz="0" w:space="0" w:color="auto"/>
                <w:left w:val="none" w:sz="0" w:space="0" w:color="auto"/>
                <w:bottom w:val="none" w:sz="0" w:space="0" w:color="auto"/>
                <w:right w:val="none" w:sz="0" w:space="0" w:color="auto"/>
              </w:divBdr>
            </w:div>
          </w:divsChild>
        </w:div>
        <w:div w:id="176893486">
          <w:marLeft w:val="0"/>
          <w:marRight w:val="0"/>
          <w:marTop w:val="0"/>
          <w:marBottom w:val="0"/>
          <w:divBdr>
            <w:top w:val="none" w:sz="0" w:space="0" w:color="auto"/>
            <w:left w:val="none" w:sz="0" w:space="0" w:color="auto"/>
            <w:bottom w:val="none" w:sz="0" w:space="0" w:color="auto"/>
            <w:right w:val="none" w:sz="0" w:space="0" w:color="auto"/>
          </w:divBdr>
          <w:divsChild>
            <w:div w:id="524054756">
              <w:marLeft w:val="0"/>
              <w:marRight w:val="0"/>
              <w:marTop w:val="0"/>
              <w:marBottom w:val="0"/>
              <w:divBdr>
                <w:top w:val="none" w:sz="0" w:space="0" w:color="auto"/>
                <w:left w:val="none" w:sz="0" w:space="0" w:color="auto"/>
                <w:bottom w:val="none" w:sz="0" w:space="0" w:color="auto"/>
                <w:right w:val="none" w:sz="0" w:space="0" w:color="auto"/>
              </w:divBdr>
            </w:div>
          </w:divsChild>
        </w:div>
        <w:div w:id="2011253416">
          <w:marLeft w:val="0"/>
          <w:marRight w:val="0"/>
          <w:marTop w:val="0"/>
          <w:marBottom w:val="0"/>
          <w:divBdr>
            <w:top w:val="none" w:sz="0" w:space="0" w:color="auto"/>
            <w:left w:val="none" w:sz="0" w:space="0" w:color="auto"/>
            <w:bottom w:val="none" w:sz="0" w:space="0" w:color="auto"/>
            <w:right w:val="none" w:sz="0" w:space="0" w:color="auto"/>
          </w:divBdr>
          <w:divsChild>
            <w:div w:id="538395189">
              <w:marLeft w:val="0"/>
              <w:marRight w:val="0"/>
              <w:marTop w:val="0"/>
              <w:marBottom w:val="0"/>
              <w:divBdr>
                <w:top w:val="none" w:sz="0" w:space="0" w:color="auto"/>
                <w:left w:val="none" w:sz="0" w:space="0" w:color="auto"/>
                <w:bottom w:val="none" w:sz="0" w:space="0" w:color="auto"/>
                <w:right w:val="none" w:sz="0" w:space="0" w:color="auto"/>
              </w:divBdr>
            </w:div>
          </w:divsChild>
        </w:div>
        <w:div w:id="609582020">
          <w:marLeft w:val="0"/>
          <w:marRight w:val="0"/>
          <w:marTop w:val="300"/>
          <w:marBottom w:val="300"/>
          <w:divBdr>
            <w:top w:val="none" w:sz="0" w:space="0" w:color="auto"/>
            <w:left w:val="none" w:sz="0" w:space="0" w:color="auto"/>
            <w:bottom w:val="none" w:sz="0" w:space="0" w:color="auto"/>
            <w:right w:val="none" w:sz="0" w:space="0" w:color="auto"/>
          </w:divBdr>
        </w:div>
        <w:div w:id="868420707">
          <w:marLeft w:val="0"/>
          <w:marRight w:val="0"/>
          <w:marTop w:val="0"/>
          <w:marBottom w:val="0"/>
          <w:divBdr>
            <w:top w:val="none" w:sz="0" w:space="0" w:color="auto"/>
            <w:left w:val="none" w:sz="0" w:space="0" w:color="auto"/>
            <w:bottom w:val="none" w:sz="0" w:space="0" w:color="auto"/>
            <w:right w:val="none" w:sz="0" w:space="0" w:color="auto"/>
          </w:divBdr>
          <w:divsChild>
            <w:div w:id="734276128">
              <w:marLeft w:val="0"/>
              <w:marRight w:val="0"/>
              <w:marTop w:val="0"/>
              <w:marBottom w:val="0"/>
              <w:divBdr>
                <w:top w:val="none" w:sz="0" w:space="0" w:color="auto"/>
                <w:left w:val="none" w:sz="0" w:space="0" w:color="auto"/>
                <w:bottom w:val="none" w:sz="0" w:space="0" w:color="auto"/>
                <w:right w:val="none" w:sz="0" w:space="0" w:color="auto"/>
              </w:divBdr>
            </w:div>
          </w:divsChild>
        </w:div>
        <w:div w:id="1785883139">
          <w:marLeft w:val="0"/>
          <w:marRight w:val="0"/>
          <w:marTop w:val="0"/>
          <w:marBottom w:val="0"/>
          <w:divBdr>
            <w:top w:val="none" w:sz="0" w:space="0" w:color="auto"/>
            <w:left w:val="none" w:sz="0" w:space="0" w:color="auto"/>
            <w:bottom w:val="none" w:sz="0" w:space="0" w:color="auto"/>
            <w:right w:val="none" w:sz="0" w:space="0" w:color="auto"/>
          </w:divBdr>
          <w:divsChild>
            <w:div w:id="897132453">
              <w:marLeft w:val="0"/>
              <w:marRight w:val="0"/>
              <w:marTop w:val="0"/>
              <w:marBottom w:val="0"/>
              <w:divBdr>
                <w:top w:val="none" w:sz="0" w:space="0" w:color="auto"/>
                <w:left w:val="none" w:sz="0" w:space="0" w:color="auto"/>
                <w:bottom w:val="none" w:sz="0" w:space="0" w:color="auto"/>
                <w:right w:val="none" w:sz="0" w:space="0" w:color="auto"/>
              </w:divBdr>
            </w:div>
          </w:divsChild>
        </w:div>
        <w:div w:id="643317213">
          <w:marLeft w:val="0"/>
          <w:marRight w:val="0"/>
          <w:marTop w:val="300"/>
          <w:marBottom w:val="300"/>
          <w:divBdr>
            <w:top w:val="none" w:sz="0" w:space="0" w:color="auto"/>
            <w:left w:val="none" w:sz="0" w:space="0" w:color="auto"/>
            <w:bottom w:val="none" w:sz="0" w:space="0" w:color="auto"/>
            <w:right w:val="none" w:sz="0" w:space="0" w:color="auto"/>
          </w:divBdr>
        </w:div>
        <w:div w:id="875242695">
          <w:marLeft w:val="0"/>
          <w:marRight w:val="0"/>
          <w:marTop w:val="0"/>
          <w:marBottom w:val="0"/>
          <w:divBdr>
            <w:top w:val="none" w:sz="0" w:space="0" w:color="auto"/>
            <w:left w:val="none" w:sz="0" w:space="0" w:color="auto"/>
            <w:bottom w:val="none" w:sz="0" w:space="0" w:color="auto"/>
            <w:right w:val="none" w:sz="0" w:space="0" w:color="auto"/>
          </w:divBdr>
          <w:divsChild>
            <w:div w:id="1664435683">
              <w:marLeft w:val="0"/>
              <w:marRight w:val="0"/>
              <w:marTop w:val="0"/>
              <w:marBottom w:val="0"/>
              <w:divBdr>
                <w:top w:val="none" w:sz="0" w:space="0" w:color="auto"/>
                <w:left w:val="none" w:sz="0" w:space="0" w:color="auto"/>
                <w:bottom w:val="none" w:sz="0" w:space="0" w:color="auto"/>
                <w:right w:val="none" w:sz="0" w:space="0" w:color="auto"/>
              </w:divBdr>
            </w:div>
          </w:divsChild>
        </w:div>
        <w:div w:id="643461642">
          <w:marLeft w:val="0"/>
          <w:marRight w:val="0"/>
          <w:marTop w:val="0"/>
          <w:marBottom w:val="0"/>
          <w:divBdr>
            <w:top w:val="none" w:sz="0" w:space="0" w:color="auto"/>
            <w:left w:val="none" w:sz="0" w:space="0" w:color="auto"/>
            <w:bottom w:val="none" w:sz="0" w:space="0" w:color="auto"/>
            <w:right w:val="none" w:sz="0" w:space="0" w:color="auto"/>
          </w:divBdr>
          <w:divsChild>
            <w:div w:id="1904831033">
              <w:marLeft w:val="0"/>
              <w:marRight w:val="0"/>
              <w:marTop w:val="0"/>
              <w:marBottom w:val="0"/>
              <w:divBdr>
                <w:top w:val="none" w:sz="0" w:space="0" w:color="auto"/>
                <w:left w:val="none" w:sz="0" w:space="0" w:color="auto"/>
                <w:bottom w:val="none" w:sz="0" w:space="0" w:color="auto"/>
                <w:right w:val="none" w:sz="0" w:space="0" w:color="auto"/>
              </w:divBdr>
            </w:div>
          </w:divsChild>
        </w:div>
        <w:div w:id="828129710">
          <w:marLeft w:val="0"/>
          <w:marRight w:val="0"/>
          <w:marTop w:val="0"/>
          <w:marBottom w:val="0"/>
          <w:divBdr>
            <w:top w:val="none" w:sz="0" w:space="0" w:color="auto"/>
            <w:left w:val="none" w:sz="0" w:space="0" w:color="auto"/>
            <w:bottom w:val="none" w:sz="0" w:space="0" w:color="auto"/>
            <w:right w:val="none" w:sz="0" w:space="0" w:color="auto"/>
          </w:divBdr>
          <w:divsChild>
            <w:div w:id="25908004">
              <w:marLeft w:val="0"/>
              <w:marRight w:val="0"/>
              <w:marTop w:val="0"/>
              <w:marBottom w:val="0"/>
              <w:divBdr>
                <w:top w:val="none" w:sz="0" w:space="0" w:color="auto"/>
                <w:left w:val="none" w:sz="0" w:space="0" w:color="auto"/>
                <w:bottom w:val="none" w:sz="0" w:space="0" w:color="auto"/>
                <w:right w:val="none" w:sz="0" w:space="0" w:color="auto"/>
              </w:divBdr>
            </w:div>
          </w:divsChild>
        </w:div>
        <w:div w:id="1797093471">
          <w:marLeft w:val="0"/>
          <w:marRight w:val="0"/>
          <w:marTop w:val="0"/>
          <w:marBottom w:val="0"/>
          <w:divBdr>
            <w:top w:val="none" w:sz="0" w:space="0" w:color="auto"/>
            <w:left w:val="none" w:sz="0" w:space="0" w:color="auto"/>
            <w:bottom w:val="none" w:sz="0" w:space="0" w:color="auto"/>
            <w:right w:val="none" w:sz="0" w:space="0" w:color="auto"/>
          </w:divBdr>
          <w:divsChild>
            <w:div w:id="1212304429">
              <w:marLeft w:val="0"/>
              <w:marRight w:val="0"/>
              <w:marTop w:val="0"/>
              <w:marBottom w:val="0"/>
              <w:divBdr>
                <w:top w:val="none" w:sz="0" w:space="0" w:color="auto"/>
                <w:left w:val="none" w:sz="0" w:space="0" w:color="auto"/>
                <w:bottom w:val="none" w:sz="0" w:space="0" w:color="auto"/>
                <w:right w:val="none" w:sz="0" w:space="0" w:color="auto"/>
              </w:divBdr>
            </w:div>
          </w:divsChild>
        </w:div>
        <w:div w:id="1375884907">
          <w:marLeft w:val="0"/>
          <w:marRight w:val="0"/>
          <w:marTop w:val="0"/>
          <w:marBottom w:val="0"/>
          <w:divBdr>
            <w:top w:val="none" w:sz="0" w:space="0" w:color="auto"/>
            <w:left w:val="none" w:sz="0" w:space="0" w:color="auto"/>
            <w:bottom w:val="none" w:sz="0" w:space="0" w:color="auto"/>
            <w:right w:val="none" w:sz="0" w:space="0" w:color="auto"/>
          </w:divBdr>
          <w:divsChild>
            <w:div w:id="180169483">
              <w:marLeft w:val="0"/>
              <w:marRight w:val="0"/>
              <w:marTop w:val="0"/>
              <w:marBottom w:val="0"/>
              <w:divBdr>
                <w:top w:val="none" w:sz="0" w:space="0" w:color="auto"/>
                <w:left w:val="none" w:sz="0" w:space="0" w:color="auto"/>
                <w:bottom w:val="none" w:sz="0" w:space="0" w:color="auto"/>
                <w:right w:val="none" w:sz="0" w:space="0" w:color="auto"/>
              </w:divBdr>
            </w:div>
          </w:divsChild>
        </w:div>
        <w:div w:id="1305698334">
          <w:marLeft w:val="0"/>
          <w:marRight w:val="0"/>
          <w:marTop w:val="0"/>
          <w:marBottom w:val="0"/>
          <w:divBdr>
            <w:top w:val="none" w:sz="0" w:space="0" w:color="auto"/>
            <w:left w:val="none" w:sz="0" w:space="0" w:color="auto"/>
            <w:bottom w:val="none" w:sz="0" w:space="0" w:color="auto"/>
            <w:right w:val="none" w:sz="0" w:space="0" w:color="auto"/>
          </w:divBdr>
          <w:divsChild>
            <w:div w:id="1846479181">
              <w:marLeft w:val="0"/>
              <w:marRight w:val="0"/>
              <w:marTop w:val="0"/>
              <w:marBottom w:val="0"/>
              <w:divBdr>
                <w:top w:val="none" w:sz="0" w:space="0" w:color="auto"/>
                <w:left w:val="none" w:sz="0" w:space="0" w:color="auto"/>
                <w:bottom w:val="none" w:sz="0" w:space="0" w:color="auto"/>
                <w:right w:val="none" w:sz="0" w:space="0" w:color="auto"/>
              </w:divBdr>
            </w:div>
          </w:divsChild>
        </w:div>
        <w:div w:id="1972711885">
          <w:marLeft w:val="0"/>
          <w:marRight w:val="0"/>
          <w:marTop w:val="0"/>
          <w:marBottom w:val="0"/>
          <w:divBdr>
            <w:top w:val="none" w:sz="0" w:space="0" w:color="auto"/>
            <w:left w:val="none" w:sz="0" w:space="0" w:color="auto"/>
            <w:bottom w:val="none" w:sz="0" w:space="0" w:color="auto"/>
            <w:right w:val="none" w:sz="0" w:space="0" w:color="auto"/>
          </w:divBdr>
          <w:divsChild>
            <w:div w:id="2065132781">
              <w:marLeft w:val="0"/>
              <w:marRight w:val="0"/>
              <w:marTop w:val="0"/>
              <w:marBottom w:val="0"/>
              <w:divBdr>
                <w:top w:val="none" w:sz="0" w:space="0" w:color="auto"/>
                <w:left w:val="none" w:sz="0" w:space="0" w:color="auto"/>
                <w:bottom w:val="none" w:sz="0" w:space="0" w:color="auto"/>
                <w:right w:val="none" w:sz="0" w:space="0" w:color="auto"/>
              </w:divBdr>
            </w:div>
          </w:divsChild>
        </w:div>
        <w:div w:id="464859799">
          <w:marLeft w:val="0"/>
          <w:marRight w:val="0"/>
          <w:marTop w:val="0"/>
          <w:marBottom w:val="0"/>
          <w:divBdr>
            <w:top w:val="none" w:sz="0" w:space="0" w:color="auto"/>
            <w:left w:val="none" w:sz="0" w:space="0" w:color="auto"/>
            <w:bottom w:val="none" w:sz="0" w:space="0" w:color="auto"/>
            <w:right w:val="none" w:sz="0" w:space="0" w:color="auto"/>
          </w:divBdr>
          <w:divsChild>
            <w:div w:id="449470681">
              <w:marLeft w:val="0"/>
              <w:marRight w:val="0"/>
              <w:marTop w:val="0"/>
              <w:marBottom w:val="0"/>
              <w:divBdr>
                <w:top w:val="none" w:sz="0" w:space="0" w:color="auto"/>
                <w:left w:val="none" w:sz="0" w:space="0" w:color="auto"/>
                <w:bottom w:val="none" w:sz="0" w:space="0" w:color="auto"/>
                <w:right w:val="none" w:sz="0" w:space="0" w:color="auto"/>
              </w:divBdr>
            </w:div>
          </w:divsChild>
        </w:div>
        <w:div w:id="1879048548">
          <w:marLeft w:val="0"/>
          <w:marRight w:val="0"/>
          <w:marTop w:val="300"/>
          <w:marBottom w:val="300"/>
          <w:divBdr>
            <w:top w:val="none" w:sz="0" w:space="0" w:color="auto"/>
            <w:left w:val="none" w:sz="0" w:space="0" w:color="auto"/>
            <w:bottom w:val="none" w:sz="0" w:space="0" w:color="auto"/>
            <w:right w:val="none" w:sz="0" w:space="0" w:color="auto"/>
          </w:divBdr>
        </w:div>
        <w:div w:id="1695840695">
          <w:marLeft w:val="0"/>
          <w:marRight w:val="0"/>
          <w:marTop w:val="0"/>
          <w:marBottom w:val="0"/>
          <w:divBdr>
            <w:top w:val="none" w:sz="0" w:space="0" w:color="auto"/>
            <w:left w:val="none" w:sz="0" w:space="0" w:color="auto"/>
            <w:bottom w:val="none" w:sz="0" w:space="0" w:color="auto"/>
            <w:right w:val="none" w:sz="0" w:space="0" w:color="auto"/>
          </w:divBdr>
          <w:divsChild>
            <w:div w:id="1756971108">
              <w:marLeft w:val="0"/>
              <w:marRight w:val="0"/>
              <w:marTop w:val="0"/>
              <w:marBottom w:val="0"/>
              <w:divBdr>
                <w:top w:val="none" w:sz="0" w:space="0" w:color="auto"/>
                <w:left w:val="none" w:sz="0" w:space="0" w:color="auto"/>
                <w:bottom w:val="none" w:sz="0" w:space="0" w:color="auto"/>
                <w:right w:val="none" w:sz="0" w:space="0" w:color="auto"/>
              </w:divBdr>
            </w:div>
          </w:divsChild>
        </w:div>
        <w:div w:id="1001467111">
          <w:marLeft w:val="0"/>
          <w:marRight w:val="0"/>
          <w:marTop w:val="0"/>
          <w:marBottom w:val="0"/>
          <w:divBdr>
            <w:top w:val="none" w:sz="0" w:space="0" w:color="auto"/>
            <w:left w:val="none" w:sz="0" w:space="0" w:color="auto"/>
            <w:bottom w:val="none" w:sz="0" w:space="0" w:color="auto"/>
            <w:right w:val="none" w:sz="0" w:space="0" w:color="auto"/>
          </w:divBdr>
          <w:divsChild>
            <w:div w:id="2143770391">
              <w:marLeft w:val="0"/>
              <w:marRight w:val="0"/>
              <w:marTop w:val="0"/>
              <w:marBottom w:val="0"/>
              <w:divBdr>
                <w:top w:val="none" w:sz="0" w:space="0" w:color="auto"/>
                <w:left w:val="none" w:sz="0" w:space="0" w:color="auto"/>
                <w:bottom w:val="none" w:sz="0" w:space="0" w:color="auto"/>
                <w:right w:val="none" w:sz="0" w:space="0" w:color="auto"/>
              </w:divBdr>
            </w:div>
          </w:divsChild>
        </w:div>
        <w:div w:id="1428841157">
          <w:marLeft w:val="0"/>
          <w:marRight w:val="0"/>
          <w:marTop w:val="0"/>
          <w:marBottom w:val="0"/>
          <w:divBdr>
            <w:top w:val="none" w:sz="0" w:space="0" w:color="auto"/>
            <w:left w:val="none" w:sz="0" w:space="0" w:color="auto"/>
            <w:bottom w:val="none" w:sz="0" w:space="0" w:color="auto"/>
            <w:right w:val="none" w:sz="0" w:space="0" w:color="auto"/>
          </w:divBdr>
          <w:divsChild>
            <w:div w:id="946231851">
              <w:marLeft w:val="0"/>
              <w:marRight w:val="0"/>
              <w:marTop w:val="0"/>
              <w:marBottom w:val="0"/>
              <w:divBdr>
                <w:top w:val="none" w:sz="0" w:space="0" w:color="auto"/>
                <w:left w:val="none" w:sz="0" w:space="0" w:color="auto"/>
                <w:bottom w:val="none" w:sz="0" w:space="0" w:color="auto"/>
                <w:right w:val="none" w:sz="0" w:space="0" w:color="auto"/>
              </w:divBdr>
            </w:div>
          </w:divsChild>
        </w:div>
        <w:div w:id="1928418664">
          <w:marLeft w:val="0"/>
          <w:marRight w:val="0"/>
          <w:marTop w:val="0"/>
          <w:marBottom w:val="0"/>
          <w:divBdr>
            <w:top w:val="none" w:sz="0" w:space="0" w:color="auto"/>
            <w:left w:val="none" w:sz="0" w:space="0" w:color="auto"/>
            <w:bottom w:val="none" w:sz="0" w:space="0" w:color="auto"/>
            <w:right w:val="none" w:sz="0" w:space="0" w:color="auto"/>
          </w:divBdr>
          <w:divsChild>
            <w:div w:id="1367173210">
              <w:marLeft w:val="0"/>
              <w:marRight w:val="0"/>
              <w:marTop w:val="0"/>
              <w:marBottom w:val="0"/>
              <w:divBdr>
                <w:top w:val="none" w:sz="0" w:space="0" w:color="auto"/>
                <w:left w:val="none" w:sz="0" w:space="0" w:color="auto"/>
                <w:bottom w:val="none" w:sz="0" w:space="0" w:color="auto"/>
                <w:right w:val="none" w:sz="0" w:space="0" w:color="auto"/>
              </w:divBdr>
            </w:div>
          </w:divsChild>
        </w:div>
        <w:div w:id="302203494">
          <w:marLeft w:val="0"/>
          <w:marRight w:val="0"/>
          <w:marTop w:val="0"/>
          <w:marBottom w:val="0"/>
          <w:divBdr>
            <w:top w:val="none" w:sz="0" w:space="0" w:color="auto"/>
            <w:left w:val="none" w:sz="0" w:space="0" w:color="auto"/>
            <w:bottom w:val="none" w:sz="0" w:space="0" w:color="auto"/>
            <w:right w:val="none" w:sz="0" w:space="0" w:color="auto"/>
          </w:divBdr>
          <w:divsChild>
            <w:div w:id="161549447">
              <w:marLeft w:val="0"/>
              <w:marRight w:val="0"/>
              <w:marTop w:val="0"/>
              <w:marBottom w:val="0"/>
              <w:divBdr>
                <w:top w:val="none" w:sz="0" w:space="0" w:color="auto"/>
                <w:left w:val="none" w:sz="0" w:space="0" w:color="auto"/>
                <w:bottom w:val="none" w:sz="0" w:space="0" w:color="auto"/>
                <w:right w:val="none" w:sz="0" w:space="0" w:color="auto"/>
              </w:divBdr>
            </w:div>
          </w:divsChild>
        </w:div>
        <w:div w:id="1243220252">
          <w:marLeft w:val="0"/>
          <w:marRight w:val="0"/>
          <w:marTop w:val="0"/>
          <w:marBottom w:val="0"/>
          <w:divBdr>
            <w:top w:val="none" w:sz="0" w:space="0" w:color="auto"/>
            <w:left w:val="none" w:sz="0" w:space="0" w:color="auto"/>
            <w:bottom w:val="none" w:sz="0" w:space="0" w:color="auto"/>
            <w:right w:val="none" w:sz="0" w:space="0" w:color="auto"/>
          </w:divBdr>
          <w:divsChild>
            <w:div w:id="1296376292">
              <w:marLeft w:val="0"/>
              <w:marRight w:val="0"/>
              <w:marTop w:val="0"/>
              <w:marBottom w:val="0"/>
              <w:divBdr>
                <w:top w:val="none" w:sz="0" w:space="0" w:color="auto"/>
                <w:left w:val="none" w:sz="0" w:space="0" w:color="auto"/>
                <w:bottom w:val="none" w:sz="0" w:space="0" w:color="auto"/>
                <w:right w:val="none" w:sz="0" w:space="0" w:color="auto"/>
              </w:divBdr>
            </w:div>
          </w:divsChild>
        </w:div>
        <w:div w:id="1977106329">
          <w:marLeft w:val="0"/>
          <w:marRight w:val="0"/>
          <w:marTop w:val="300"/>
          <w:marBottom w:val="300"/>
          <w:divBdr>
            <w:top w:val="none" w:sz="0" w:space="0" w:color="auto"/>
            <w:left w:val="none" w:sz="0" w:space="0" w:color="auto"/>
            <w:bottom w:val="none" w:sz="0" w:space="0" w:color="auto"/>
            <w:right w:val="none" w:sz="0" w:space="0" w:color="auto"/>
          </w:divBdr>
        </w:div>
        <w:div w:id="2100785461">
          <w:marLeft w:val="0"/>
          <w:marRight w:val="0"/>
          <w:marTop w:val="0"/>
          <w:marBottom w:val="0"/>
          <w:divBdr>
            <w:top w:val="none" w:sz="0" w:space="0" w:color="auto"/>
            <w:left w:val="none" w:sz="0" w:space="0" w:color="auto"/>
            <w:bottom w:val="none" w:sz="0" w:space="0" w:color="auto"/>
            <w:right w:val="none" w:sz="0" w:space="0" w:color="auto"/>
          </w:divBdr>
          <w:divsChild>
            <w:div w:id="2038001648">
              <w:marLeft w:val="0"/>
              <w:marRight w:val="0"/>
              <w:marTop w:val="0"/>
              <w:marBottom w:val="0"/>
              <w:divBdr>
                <w:top w:val="none" w:sz="0" w:space="0" w:color="auto"/>
                <w:left w:val="none" w:sz="0" w:space="0" w:color="auto"/>
                <w:bottom w:val="none" w:sz="0" w:space="0" w:color="auto"/>
                <w:right w:val="none" w:sz="0" w:space="0" w:color="auto"/>
              </w:divBdr>
            </w:div>
          </w:divsChild>
        </w:div>
        <w:div w:id="608507737">
          <w:marLeft w:val="0"/>
          <w:marRight w:val="0"/>
          <w:marTop w:val="0"/>
          <w:marBottom w:val="0"/>
          <w:divBdr>
            <w:top w:val="none" w:sz="0" w:space="0" w:color="auto"/>
            <w:left w:val="none" w:sz="0" w:space="0" w:color="auto"/>
            <w:bottom w:val="none" w:sz="0" w:space="0" w:color="auto"/>
            <w:right w:val="none" w:sz="0" w:space="0" w:color="auto"/>
          </w:divBdr>
          <w:divsChild>
            <w:div w:id="959535868">
              <w:marLeft w:val="0"/>
              <w:marRight w:val="0"/>
              <w:marTop w:val="0"/>
              <w:marBottom w:val="0"/>
              <w:divBdr>
                <w:top w:val="none" w:sz="0" w:space="0" w:color="auto"/>
                <w:left w:val="none" w:sz="0" w:space="0" w:color="auto"/>
                <w:bottom w:val="none" w:sz="0" w:space="0" w:color="auto"/>
                <w:right w:val="none" w:sz="0" w:space="0" w:color="auto"/>
              </w:divBdr>
            </w:div>
          </w:divsChild>
        </w:div>
        <w:div w:id="910844798">
          <w:marLeft w:val="0"/>
          <w:marRight w:val="0"/>
          <w:marTop w:val="0"/>
          <w:marBottom w:val="0"/>
          <w:divBdr>
            <w:top w:val="none" w:sz="0" w:space="0" w:color="auto"/>
            <w:left w:val="none" w:sz="0" w:space="0" w:color="auto"/>
            <w:bottom w:val="none" w:sz="0" w:space="0" w:color="auto"/>
            <w:right w:val="none" w:sz="0" w:space="0" w:color="auto"/>
          </w:divBdr>
          <w:divsChild>
            <w:div w:id="863327609">
              <w:marLeft w:val="0"/>
              <w:marRight w:val="0"/>
              <w:marTop w:val="0"/>
              <w:marBottom w:val="0"/>
              <w:divBdr>
                <w:top w:val="none" w:sz="0" w:space="0" w:color="auto"/>
                <w:left w:val="none" w:sz="0" w:space="0" w:color="auto"/>
                <w:bottom w:val="none" w:sz="0" w:space="0" w:color="auto"/>
                <w:right w:val="none" w:sz="0" w:space="0" w:color="auto"/>
              </w:divBdr>
            </w:div>
          </w:divsChild>
        </w:div>
        <w:div w:id="571814025">
          <w:marLeft w:val="0"/>
          <w:marRight w:val="0"/>
          <w:marTop w:val="0"/>
          <w:marBottom w:val="0"/>
          <w:divBdr>
            <w:top w:val="none" w:sz="0" w:space="0" w:color="auto"/>
            <w:left w:val="none" w:sz="0" w:space="0" w:color="auto"/>
            <w:bottom w:val="none" w:sz="0" w:space="0" w:color="auto"/>
            <w:right w:val="none" w:sz="0" w:space="0" w:color="auto"/>
          </w:divBdr>
          <w:divsChild>
            <w:div w:id="1988824593">
              <w:marLeft w:val="0"/>
              <w:marRight w:val="0"/>
              <w:marTop w:val="0"/>
              <w:marBottom w:val="0"/>
              <w:divBdr>
                <w:top w:val="none" w:sz="0" w:space="0" w:color="auto"/>
                <w:left w:val="none" w:sz="0" w:space="0" w:color="auto"/>
                <w:bottom w:val="none" w:sz="0" w:space="0" w:color="auto"/>
                <w:right w:val="none" w:sz="0" w:space="0" w:color="auto"/>
              </w:divBdr>
            </w:div>
          </w:divsChild>
        </w:div>
        <w:div w:id="361441871">
          <w:marLeft w:val="0"/>
          <w:marRight w:val="0"/>
          <w:marTop w:val="300"/>
          <w:marBottom w:val="300"/>
          <w:divBdr>
            <w:top w:val="none" w:sz="0" w:space="0" w:color="auto"/>
            <w:left w:val="none" w:sz="0" w:space="0" w:color="auto"/>
            <w:bottom w:val="none" w:sz="0" w:space="0" w:color="auto"/>
            <w:right w:val="none" w:sz="0" w:space="0" w:color="auto"/>
          </w:divBdr>
        </w:div>
        <w:div w:id="645281562">
          <w:marLeft w:val="0"/>
          <w:marRight w:val="0"/>
          <w:marTop w:val="0"/>
          <w:marBottom w:val="0"/>
          <w:divBdr>
            <w:top w:val="none" w:sz="0" w:space="0" w:color="auto"/>
            <w:left w:val="none" w:sz="0" w:space="0" w:color="auto"/>
            <w:bottom w:val="none" w:sz="0" w:space="0" w:color="auto"/>
            <w:right w:val="none" w:sz="0" w:space="0" w:color="auto"/>
          </w:divBdr>
          <w:divsChild>
            <w:div w:id="665522195">
              <w:marLeft w:val="0"/>
              <w:marRight w:val="0"/>
              <w:marTop w:val="0"/>
              <w:marBottom w:val="0"/>
              <w:divBdr>
                <w:top w:val="none" w:sz="0" w:space="0" w:color="auto"/>
                <w:left w:val="none" w:sz="0" w:space="0" w:color="auto"/>
                <w:bottom w:val="none" w:sz="0" w:space="0" w:color="auto"/>
                <w:right w:val="none" w:sz="0" w:space="0" w:color="auto"/>
              </w:divBdr>
            </w:div>
          </w:divsChild>
        </w:div>
        <w:div w:id="68894834">
          <w:marLeft w:val="0"/>
          <w:marRight w:val="0"/>
          <w:marTop w:val="300"/>
          <w:marBottom w:val="300"/>
          <w:divBdr>
            <w:top w:val="none" w:sz="0" w:space="0" w:color="auto"/>
            <w:left w:val="none" w:sz="0" w:space="0" w:color="auto"/>
            <w:bottom w:val="none" w:sz="0" w:space="0" w:color="auto"/>
            <w:right w:val="none" w:sz="0" w:space="0" w:color="auto"/>
          </w:divBdr>
        </w:div>
        <w:div w:id="1397776934">
          <w:marLeft w:val="0"/>
          <w:marRight w:val="0"/>
          <w:marTop w:val="0"/>
          <w:marBottom w:val="0"/>
          <w:divBdr>
            <w:top w:val="none" w:sz="0" w:space="0" w:color="auto"/>
            <w:left w:val="none" w:sz="0" w:space="0" w:color="auto"/>
            <w:bottom w:val="none" w:sz="0" w:space="0" w:color="auto"/>
            <w:right w:val="none" w:sz="0" w:space="0" w:color="auto"/>
          </w:divBdr>
          <w:divsChild>
            <w:div w:id="2097942401">
              <w:marLeft w:val="0"/>
              <w:marRight w:val="0"/>
              <w:marTop w:val="0"/>
              <w:marBottom w:val="0"/>
              <w:divBdr>
                <w:top w:val="none" w:sz="0" w:space="0" w:color="auto"/>
                <w:left w:val="none" w:sz="0" w:space="0" w:color="auto"/>
                <w:bottom w:val="none" w:sz="0" w:space="0" w:color="auto"/>
                <w:right w:val="none" w:sz="0" w:space="0" w:color="auto"/>
              </w:divBdr>
            </w:div>
          </w:divsChild>
        </w:div>
        <w:div w:id="303243946">
          <w:marLeft w:val="0"/>
          <w:marRight w:val="0"/>
          <w:marTop w:val="0"/>
          <w:marBottom w:val="0"/>
          <w:divBdr>
            <w:top w:val="none" w:sz="0" w:space="0" w:color="auto"/>
            <w:left w:val="none" w:sz="0" w:space="0" w:color="auto"/>
            <w:bottom w:val="none" w:sz="0" w:space="0" w:color="auto"/>
            <w:right w:val="none" w:sz="0" w:space="0" w:color="auto"/>
          </w:divBdr>
          <w:divsChild>
            <w:div w:id="4095556">
              <w:marLeft w:val="0"/>
              <w:marRight w:val="0"/>
              <w:marTop w:val="0"/>
              <w:marBottom w:val="0"/>
              <w:divBdr>
                <w:top w:val="none" w:sz="0" w:space="0" w:color="auto"/>
                <w:left w:val="none" w:sz="0" w:space="0" w:color="auto"/>
                <w:bottom w:val="none" w:sz="0" w:space="0" w:color="auto"/>
                <w:right w:val="none" w:sz="0" w:space="0" w:color="auto"/>
              </w:divBdr>
            </w:div>
          </w:divsChild>
        </w:div>
        <w:div w:id="888029567">
          <w:marLeft w:val="0"/>
          <w:marRight w:val="0"/>
          <w:marTop w:val="0"/>
          <w:marBottom w:val="0"/>
          <w:divBdr>
            <w:top w:val="none" w:sz="0" w:space="0" w:color="auto"/>
            <w:left w:val="none" w:sz="0" w:space="0" w:color="auto"/>
            <w:bottom w:val="none" w:sz="0" w:space="0" w:color="auto"/>
            <w:right w:val="none" w:sz="0" w:space="0" w:color="auto"/>
          </w:divBdr>
          <w:divsChild>
            <w:div w:id="1850026649">
              <w:marLeft w:val="0"/>
              <w:marRight w:val="0"/>
              <w:marTop w:val="0"/>
              <w:marBottom w:val="0"/>
              <w:divBdr>
                <w:top w:val="none" w:sz="0" w:space="0" w:color="auto"/>
                <w:left w:val="none" w:sz="0" w:space="0" w:color="auto"/>
                <w:bottom w:val="none" w:sz="0" w:space="0" w:color="auto"/>
                <w:right w:val="none" w:sz="0" w:space="0" w:color="auto"/>
              </w:divBdr>
            </w:div>
          </w:divsChild>
        </w:div>
        <w:div w:id="249582913">
          <w:marLeft w:val="0"/>
          <w:marRight w:val="0"/>
          <w:marTop w:val="0"/>
          <w:marBottom w:val="0"/>
          <w:divBdr>
            <w:top w:val="none" w:sz="0" w:space="0" w:color="auto"/>
            <w:left w:val="none" w:sz="0" w:space="0" w:color="auto"/>
            <w:bottom w:val="none" w:sz="0" w:space="0" w:color="auto"/>
            <w:right w:val="none" w:sz="0" w:space="0" w:color="auto"/>
          </w:divBdr>
          <w:divsChild>
            <w:div w:id="1343123644">
              <w:marLeft w:val="0"/>
              <w:marRight w:val="0"/>
              <w:marTop w:val="0"/>
              <w:marBottom w:val="0"/>
              <w:divBdr>
                <w:top w:val="none" w:sz="0" w:space="0" w:color="auto"/>
                <w:left w:val="none" w:sz="0" w:space="0" w:color="auto"/>
                <w:bottom w:val="none" w:sz="0" w:space="0" w:color="auto"/>
                <w:right w:val="none" w:sz="0" w:space="0" w:color="auto"/>
              </w:divBdr>
            </w:div>
          </w:divsChild>
        </w:div>
        <w:div w:id="868491552">
          <w:marLeft w:val="0"/>
          <w:marRight w:val="0"/>
          <w:marTop w:val="300"/>
          <w:marBottom w:val="300"/>
          <w:divBdr>
            <w:top w:val="none" w:sz="0" w:space="0" w:color="auto"/>
            <w:left w:val="none" w:sz="0" w:space="0" w:color="auto"/>
            <w:bottom w:val="none" w:sz="0" w:space="0" w:color="auto"/>
            <w:right w:val="none" w:sz="0" w:space="0" w:color="auto"/>
          </w:divBdr>
        </w:div>
        <w:div w:id="1267614564">
          <w:marLeft w:val="0"/>
          <w:marRight w:val="0"/>
          <w:marTop w:val="0"/>
          <w:marBottom w:val="0"/>
          <w:divBdr>
            <w:top w:val="none" w:sz="0" w:space="0" w:color="auto"/>
            <w:left w:val="none" w:sz="0" w:space="0" w:color="auto"/>
            <w:bottom w:val="none" w:sz="0" w:space="0" w:color="auto"/>
            <w:right w:val="none" w:sz="0" w:space="0" w:color="auto"/>
          </w:divBdr>
          <w:divsChild>
            <w:div w:id="1226187330">
              <w:marLeft w:val="0"/>
              <w:marRight w:val="0"/>
              <w:marTop w:val="0"/>
              <w:marBottom w:val="0"/>
              <w:divBdr>
                <w:top w:val="none" w:sz="0" w:space="0" w:color="auto"/>
                <w:left w:val="none" w:sz="0" w:space="0" w:color="auto"/>
                <w:bottom w:val="none" w:sz="0" w:space="0" w:color="auto"/>
                <w:right w:val="none" w:sz="0" w:space="0" w:color="auto"/>
              </w:divBdr>
            </w:div>
          </w:divsChild>
        </w:div>
        <w:div w:id="1538278482">
          <w:marLeft w:val="0"/>
          <w:marRight w:val="0"/>
          <w:marTop w:val="0"/>
          <w:marBottom w:val="0"/>
          <w:divBdr>
            <w:top w:val="none" w:sz="0" w:space="0" w:color="auto"/>
            <w:left w:val="none" w:sz="0" w:space="0" w:color="auto"/>
            <w:bottom w:val="none" w:sz="0" w:space="0" w:color="auto"/>
            <w:right w:val="none" w:sz="0" w:space="0" w:color="auto"/>
          </w:divBdr>
          <w:divsChild>
            <w:div w:id="2126650322">
              <w:marLeft w:val="0"/>
              <w:marRight w:val="0"/>
              <w:marTop w:val="0"/>
              <w:marBottom w:val="0"/>
              <w:divBdr>
                <w:top w:val="none" w:sz="0" w:space="0" w:color="auto"/>
                <w:left w:val="none" w:sz="0" w:space="0" w:color="auto"/>
                <w:bottom w:val="none" w:sz="0" w:space="0" w:color="auto"/>
                <w:right w:val="none" w:sz="0" w:space="0" w:color="auto"/>
              </w:divBdr>
            </w:div>
          </w:divsChild>
        </w:div>
        <w:div w:id="70205594">
          <w:marLeft w:val="0"/>
          <w:marRight w:val="0"/>
          <w:marTop w:val="0"/>
          <w:marBottom w:val="0"/>
          <w:divBdr>
            <w:top w:val="none" w:sz="0" w:space="0" w:color="auto"/>
            <w:left w:val="none" w:sz="0" w:space="0" w:color="auto"/>
            <w:bottom w:val="none" w:sz="0" w:space="0" w:color="auto"/>
            <w:right w:val="none" w:sz="0" w:space="0" w:color="auto"/>
          </w:divBdr>
          <w:divsChild>
            <w:div w:id="486553527">
              <w:marLeft w:val="0"/>
              <w:marRight w:val="0"/>
              <w:marTop w:val="0"/>
              <w:marBottom w:val="0"/>
              <w:divBdr>
                <w:top w:val="none" w:sz="0" w:space="0" w:color="auto"/>
                <w:left w:val="none" w:sz="0" w:space="0" w:color="auto"/>
                <w:bottom w:val="none" w:sz="0" w:space="0" w:color="auto"/>
                <w:right w:val="none" w:sz="0" w:space="0" w:color="auto"/>
              </w:divBdr>
            </w:div>
          </w:divsChild>
        </w:div>
        <w:div w:id="1649675933">
          <w:marLeft w:val="0"/>
          <w:marRight w:val="0"/>
          <w:marTop w:val="0"/>
          <w:marBottom w:val="0"/>
          <w:divBdr>
            <w:top w:val="none" w:sz="0" w:space="0" w:color="auto"/>
            <w:left w:val="none" w:sz="0" w:space="0" w:color="auto"/>
            <w:bottom w:val="none" w:sz="0" w:space="0" w:color="auto"/>
            <w:right w:val="none" w:sz="0" w:space="0" w:color="auto"/>
          </w:divBdr>
          <w:divsChild>
            <w:div w:id="1885171579">
              <w:marLeft w:val="0"/>
              <w:marRight w:val="0"/>
              <w:marTop w:val="0"/>
              <w:marBottom w:val="0"/>
              <w:divBdr>
                <w:top w:val="none" w:sz="0" w:space="0" w:color="auto"/>
                <w:left w:val="none" w:sz="0" w:space="0" w:color="auto"/>
                <w:bottom w:val="none" w:sz="0" w:space="0" w:color="auto"/>
                <w:right w:val="none" w:sz="0" w:space="0" w:color="auto"/>
              </w:divBdr>
            </w:div>
          </w:divsChild>
        </w:div>
        <w:div w:id="991830153">
          <w:marLeft w:val="0"/>
          <w:marRight w:val="0"/>
          <w:marTop w:val="0"/>
          <w:marBottom w:val="0"/>
          <w:divBdr>
            <w:top w:val="none" w:sz="0" w:space="0" w:color="auto"/>
            <w:left w:val="none" w:sz="0" w:space="0" w:color="auto"/>
            <w:bottom w:val="none" w:sz="0" w:space="0" w:color="auto"/>
            <w:right w:val="none" w:sz="0" w:space="0" w:color="auto"/>
          </w:divBdr>
          <w:divsChild>
            <w:div w:id="600796166">
              <w:marLeft w:val="0"/>
              <w:marRight w:val="0"/>
              <w:marTop w:val="0"/>
              <w:marBottom w:val="0"/>
              <w:divBdr>
                <w:top w:val="none" w:sz="0" w:space="0" w:color="auto"/>
                <w:left w:val="none" w:sz="0" w:space="0" w:color="auto"/>
                <w:bottom w:val="none" w:sz="0" w:space="0" w:color="auto"/>
                <w:right w:val="none" w:sz="0" w:space="0" w:color="auto"/>
              </w:divBdr>
            </w:div>
          </w:divsChild>
        </w:div>
        <w:div w:id="921645979">
          <w:marLeft w:val="0"/>
          <w:marRight w:val="0"/>
          <w:marTop w:val="300"/>
          <w:marBottom w:val="300"/>
          <w:divBdr>
            <w:top w:val="none" w:sz="0" w:space="0" w:color="auto"/>
            <w:left w:val="none" w:sz="0" w:space="0" w:color="auto"/>
            <w:bottom w:val="none" w:sz="0" w:space="0" w:color="auto"/>
            <w:right w:val="none" w:sz="0" w:space="0" w:color="auto"/>
          </w:divBdr>
        </w:div>
        <w:div w:id="1116024218">
          <w:marLeft w:val="0"/>
          <w:marRight w:val="0"/>
          <w:marTop w:val="0"/>
          <w:marBottom w:val="0"/>
          <w:divBdr>
            <w:top w:val="none" w:sz="0" w:space="0" w:color="auto"/>
            <w:left w:val="none" w:sz="0" w:space="0" w:color="auto"/>
            <w:bottom w:val="none" w:sz="0" w:space="0" w:color="auto"/>
            <w:right w:val="none" w:sz="0" w:space="0" w:color="auto"/>
          </w:divBdr>
          <w:divsChild>
            <w:div w:id="1590769459">
              <w:marLeft w:val="0"/>
              <w:marRight w:val="0"/>
              <w:marTop w:val="0"/>
              <w:marBottom w:val="0"/>
              <w:divBdr>
                <w:top w:val="none" w:sz="0" w:space="0" w:color="auto"/>
                <w:left w:val="none" w:sz="0" w:space="0" w:color="auto"/>
                <w:bottom w:val="none" w:sz="0" w:space="0" w:color="auto"/>
                <w:right w:val="none" w:sz="0" w:space="0" w:color="auto"/>
              </w:divBdr>
            </w:div>
          </w:divsChild>
        </w:div>
        <w:div w:id="121269964">
          <w:marLeft w:val="0"/>
          <w:marRight w:val="0"/>
          <w:marTop w:val="0"/>
          <w:marBottom w:val="0"/>
          <w:divBdr>
            <w:top w:val="none" w:sz="0" w:space="0" w:color="auto"/>
            <w:left w:val="none" w:sz="0" w:space="0" w:color="auto"/>
            <w:bottom w:val="none" w:sz="0" w:space="0" w:color="auto"/>
            <w:right w:val="none" w:sz="0" w:space="0" w:color="auto"/>
          </w:divBdr>
          <w:divsChild>
            <w:div w:id="1888561762">
              <w:marLeft w:val="0"/>
              <w:marRight w:val="0"/>
              <w:marTop w:val="0"/>
              <w:marBottom w:val="0"/>
              <w:divBdr>
                <w:top w:val="none" w:sz="0" w:space="0" w:color="auto"/>
                <w:left w:val="none" w:sz="0" w:space="0" w:color="auto"/>
                <w:bottom w:val="none" w:sz="0" w:space="0" w:color="auto"/>
                <w:right w:val="none" w:sz="0" w:space="0" w:color="auto"/>
              </w:divBdr>
            </w:div>
          </w:divsChild>
        </w:div>
        <w:div w:id="1370110461">
          <w:marLeft w:val="0"/>
          <w:marRight w:val="0"/>
          <w:marTop w:val="0"/>
          <w:marBottom w:val="0"/>
          <w:divBdr>
            <w:top w:val="none" w:sz="0" w:space="0" w:color="auto"/>
            <w:left w:val="none" w:sz="0" w:space="0" w:color="auto"/>
            <w:bottom w:val="none" w:sz="0" w:space="0" w:color="auto"/>
            <w:right w:val="none" w:sz="0" w:space="0" w:color="auto"/>
          </w:divBdr>
          <w:divsChild>
            <w:div w:id="560990544">
              <w:marLeft w:val="0"/>
              <w:marRight w:val="0"/>
              <w:marTop w:val="0"/>
              <w:marBottom w:val="0"/>
              <w:divBdr>
                <w:top w:val="none" w:sz="0" w:space="0" w:color="auto"/>
                <w:left w:val="none" w:sz="0" w:space="0" w:color="auto"/>
                <w:bottom w:val="none" w:sz="0" w:space="0" w:color="auto"/>
                <w:right w:val="none" w:sz="0" w:space="0" w:color="auto"/>
              </w:divBdr>
            </w:div>
          </w:divsChild>
        </w:div>
        <w:div w:id="1858077566">
          <w:marLeft w:val="0"/>
          <w:marRight w:val="0"/>
          <w:marTop w:val="0"/>
          <w:marBottom w:val="0"/>
          <w:divBdr>
            <w:top w:val="none" w:sz="0" w:space="0" w:color="auto"/>
            <w:left w:val="none" w:sz="0" w:space="0" w:color="auto"/>
            <w:bottom w:val="none" w:sz="0" w:space="0" w:color="auto"/>
            <w:right w:val="none" w:sz="0" w:space="0" w:color="auto"/>
          </w:divBdr>
          <w:divsChild>
            <w:div w:id="877545089">
              <w:marLeft w:val="0"/>
              <w:marRight w:val="0"/>
              <w:marTop w:val="0"/>
              <w:marBottom w:val="0"/>
              <w:divBdr>
                <w:top w:val="none" w:sz="0" w:space="0" w:color="auto"/>
                <w:left w:val="none" w:sz="0" w:space="0" w:color="auto"/>
                <w:bottom w:val="none" w:sz="0" w:space="0" w:color="auto"/>
                <w:right w:val="none" w:sz="0" w:space="0" w:color="auto"/>
              </w:divBdr>
            </w:div>
          </w:divsChild>
        </w:div>
        <w:div w:id="1972052593">
          <w:marLeft w:val="0"/>
          <w:marRight w:val="0"/>
          <w:marTop w:val="0"/>
          <w:marBottom w:val="0"/>
          <w:divBdr>
            <w:top w:val="none" w:sz="0" w:space="0" w:color="auto"/>
            <w:left w:val="none" w:sz="0" w:space="0" w:color="auto"/>
            <w:bottom w:val="none" w:sz="0" w:space="0" w:color="auto"/>
            <w:right w:val="none" w:sz="0" w:space="0" w:color="auto"/>
          </w:divBdr>
          <w:divsChild>
            <w:div w:id="292256629">
              <w:marLeft w:val="0"/>
              <w:marRight w:val="0"/>
              <w:marTop w:val="0"/>
              <w:marBottom w:val="0"/>
              <w:divBdr>
                <w:top w:val="none" w:sz="0" w:space="0" w:color="auto"/>
                <w:left w:val="none" w:sz="0" w:space="0" w:color="auto"/>
                <w:bottom w:val="none" w:sz="0" w:space="0" w:color="auto"/>
                <w:right w:val="none" w:sz="0" w:space="0" w:color="auto"/>
              </w:divBdr>
            </w:div>
          </w:divsChild>
        </w:div>
        <w:div w:id="1615599583">
          <w:marLeft w:val="0"/>
          <w:marRight w:val="0"/>
          <w:marTop w:val="0"/>
          <w:marBottom w:val="0"/>
          <w:divBdr>
            <w:top w:val="none" w:sz="0" w:space="0" w:color="auto"/>
            <w:left w:val="none" w:sz="0" w:space="0" w:color="auto"/>
            <w:bottom w:val="none" w:sz="0" w:space="0" w:color="auto"/>
            <w:right w:val="none" w:sz="0" w:space="0" w:color="auto"/>
          </w:divBdr>
          <w:divsChild>
            <w:div w:id="1279333190">
              <w:marLeft w:val="0"/>
              <w:marRight w:val="0"/>
              <w:marTop w:val="0"/>
              <w:marBottom w:val="0"/>
              <w:divBdr>
                <w:top w:val="none" w:sz="0" w:space="0" w:color="auto"/>
                <w:left w:val="none" w:sz="0" w:space="0" w:color="auto"/>
                <w:bottom w:val="none" w:sz="0" w:space="0" w:color="auto"/>
                <w:right w:val="none" w:sz="0" w:space="0" w:color="auto"/>
              </w:divBdr>
            </w:div>
          </w:divsChild>
        </w:div>
        <w:div w:id="2088113011">
          <w:marLeft w:val="0"/>
          <w:marRight w:val="0"/>
          <w:marTop w:val="0"/>
          <w:marBottom w:val="0"/>
          <w:divBdr>
            <w:top w:val="none" w:sz="0" w:space="0" w:color="auto"/>
            <w:left w:val="none" w:sz="0" w:space="0" w:color="auto"/>
            <w:bottom w:val="none" w:sz="0" w:space="0" w:color="auto"/>
            <w:right w:val="none" w:sz="0" w:space="0" w:color="auto"/>
          </w:divBdr>
          <w:divsChild>
            <w:div w:id="1731034955">
              <w:marLeft w:val="0"/>
              <w:marRight w:val="0"/>
              <w:marTop w:val="0"/>
              <w:marBottom w:val="0"/>
              <w:divBdr>
                <w:top w:val="none" w:sz="0" w:space="0" w:color="auto"/>
                <w:left w:val="none" w:sz="0" w:space="0" w:color="auto"/>
                <w:bottom w:val="none" w:sz="0" w:space="0" w:color="auto"/>
                <w:right w:val="none" w:sz="0" w:space="0" w:color="auto"/>
              </w:divBdr>
            </w:div>
          </w:divsChild>
        </w:div>
        <w:div w:id="714355981">
          <w:marLeft w:val="0"/>
          <w:marRight w:val="0"/>
          <w:marTop w:val="300"/>
          <w:marBottom w:val="300"/>
          <w:divBdr>
            <w:top w:val="none" w:sz="0" w:space="0" w:color="auto"/>
            <w:left w:val="none" w:sz="0" w:space="0" w:color="auto"/>
            <w:bottom w:val="none" w:sz="0" w:space="0" w:color="auto"/>
            <w:right w:val="none" w:sz="0" w:space="0" w:color="auto"/>
          </w:divBdr>
        </w:div>
        <w:div w:id="1147358110">
          <w:marLeft w:val="0"/>
          <w:marRight w:val="0"/>
          <w:marTop w:val="0"/>
          <w:marBottom w:val="0"/>
          <w:divBdr>
            <w:top w:val="none" w:sz="0" w:space="0" w:color="auto"/>
            <w:left w:val="none" w:sz="0" w:space="0" w:color="auto"/>
            <w:bottom w:val="none" w:sz="0" w:space="0" w:color="auto"/>
            <w:right w:val="none" w:sz="0" w:space="0" w:color="auto"/>
          </w:divBdr>
          <w:divsChild>
            <w:div w:id="946811739">
              <w:marLeft w:val="0"/>
              <w:marRight w:val="0"/>
              <w:marTop w:val="0"/>
              <w:marBottom w:val="0"/>
              <w:divBdr>
                <w:top w:val="none" w:sz="0" w:space="0" w:color="auto"/>
                <w:left w:val="none" w:sz="0" w:space="0" w:color="auto"/>
                <w:bottom w:val="none" w:sz="0" w:space="0" w:color="auto"/>
                <w:right w:val="none" w:sz="0" w:space="0" w:color="auto"/>
              </w:divBdr>
            </w:div>
          </w:divsChild>
        </w:div>
        <w:div w:id="1432778198">
          <w:marLeft w:val="0"/>
          <w:marRight w:val="0"/>
          <w:marTop w:val="0"/>
          <w:marBottom w:val="0"/>
          <w:divBdr>
            <w:top w:val="none" w:sz="0" w:space="0" w:color="auto"/>
            <w:left w:val="none" w:sz="0" w:space="0" w:color="auto"/>
            <w:bottom w:val="none" w:sz="0" w:space="0" w:color="auto"/>
            <w:right w:val="none" w:sz="0" w:space="0" w:color="auto"/>
          </w:divBdr>
          <w:divsChild>
            <w:div w:id="2069910299">
              <w:marLeft w:val="0"/>
              <w:marRight w:val="0"/>
              <w:marTop w:val="0"/>
              <w:marBottom w:val="0"/>
              <w:divBdr>
                <w:top w:val="none" w:sz="0" w:space="0" w:color="auto"/>
                <w:left w:val="none" w:sz="0" w:space="0" w:color="auto"/>
                <w:bottom w:val="none" w:sz="0" w:space="0" w:color="auto"/>
                <w:right w:val="none" w:sz="0" w:space="0" w:color="auto"/>
              </w:divBdr>
            </w:div>
          </w:divsChild>
        </w:div>
        <w:div w:id="714279064">
          <w:marLeft w:val="0"/>
          <w:marRight w:val="0"/>
          <w:marTop w:val="0"/>
          <w:marBottom w:val="0"/>
          <w:divBdr>
            <w:top w:val="none" w:sz="0" w:space="0" w:color="auto"/>
            <w:left w:val="none" w:sz="0" w:space="0" w:color="auto"/>
            <w:bottom w:val="none" w:sz="0" w:space="0" w:color="auto"/>
            <w:right w:val="none" w:sz="0" w:space="0" w:color="auto"/>
          </w:divBdr>
          <w:divsChild>
            <w:div w:id="928777841">
              <w:marLeft w:val="0"/>
              <w:marRight w:val="0"/>
              <w:marTop w:val="0"/>
              <w:marBottom w:val="0"/>
              <w:divBdr>
                <w:top w:val="none" w:sz="0" w:space="0" w:color="auto"/>
                <w:left w:val="none" w:sz="0" w:space="0" w:color="auto"/>
                <w:bottom w:val="none" w:sz="0" w:space="0" w:color="auto"/>
                <w:right w:val="none" w:sz="0" w:space="0" w:color="auto"/>
              </w:divBdr>
            </w:div>
          </w:divsChild>
        </w:div>
        <w:div w:id="674647728">
          <w:marLeft w:val="0"/>
          <w:marRight w:val="0"/>
          <w:marTop w:val="0"/>
          <w:marBottom w:val="0"/>
          <w:divBdr>
            <w:top w:val="none" w:sz="0" w:space="0" w:color="auto"/>
            <w:left w:val="none" w:sz="0" w:space="0" w:color="auto"/>
            <w:bottom w:val="none" w:sz="0" w:space="0" w:color="auto"/>
            <w:right w:val="none" w:sz="0" w:space="0" w:color="auto"/>
          </w:divBdr>
          <w:divsChild>
            <w:div w:id="1235505082">
              <w:marLeft w:val="0"/>
              <w:marRight w:val="0"/>
              <w:marTop w:val="0"/>
              <w:marBottom w:val="0"/>
              <w:divBdr>
                <w:top w:val="none" w:sz="0" w:space="0" w:color="auto"/>
                <w:left w:val="none" w:sz="0" w:space="0" w:color="auto"/>
                <w:bottom w:val="none" w:sz="0" w:space="0" w:color="auto"/>
                <w:right w:val="none" w:sz="0" w:space="0" w:color="auto"/>
              </w:divBdr>
            </w:div>
          </w:divsChild>
        </w:div>
        <w:div w:id="1738821143">
          <w:marLeft w:val="0"/>
          <w:marRight w:val="0"/>
          <w:marTop w:val="300"/>
          <w:marBottom w:val="300"/>
          <w:divBdr>
            <w:top w:val="none" w:sz="0" w:space="0" w:color="auto"/>
            <w:left w:val="none" w:sz="0" w:space="0" w:color="auto"/>
            <w:bottom w:val="none" w:sz="0" w:space="0" w:color="auto"/>
            <w:right w:val="none" w:sz="0" w:space="0" w:color="auto"/>
          </w:divBdr>
        </w:div>
        <w:div w:id="295382050">
          <w:marLeft w:val="0"/>
          <w:marRight w:val="0"/>
          <w:marTop w:val="0"/>
          <w:marBottom w:val="0"/>
          <w:divBdr>
            <w:top w:val="none" w:sz="0" w:space="0" w:color="auto"/>
            <w:left w:val="none" w:sz="0" w:space="0" w:color="auto"/>
            <w:bottom w:val="none" w:sz="0" w:space="0" w:color="auto"/>
            <w:right w:val="none" w:sz="0" w:space="0" w:color="auto"/>
          </w:divBdr>
          <w:divsChild>
            <w:div w:id="1880582779">
              <w:marLeft w:val="0"/>
              <w:marRight w:val="0"/>
              <w:marTop w:val="0"/>
              <w:marBottom w:val="0"/>
              <w:divBdr>
                <w:top w:val="none" w:sz="0" w:space="0" w:color="auto"/>
                <w:left w:val="none" w:sz="0" w:space="0" w:color="auto"/>
                <w:bottom w:val="none" w:sz="0" w:space="0" w:color="auto"/>
                <w:right w:val="none" w:sz="0" w:space="0" w:color="auto"/>
              </w:divBdr>
            </w:div>
          </w:divsChild>
        </w:div>
        <w:div w:id="429546994">
          <w:marLeft w:val="0"/>
          <w:marRight w:val="0"/>
          <w:marTop w:val="0"/>
          <w:marBottom w:val="0"/>
          <w:divBdr>
            <w:top w:val="none" w:sz="0" w:space="0" w:color="auto"/>
            <w:left w:val="none" w:sz="0" w:space="0" w:color="auto"/>
            <w:bottom w:val="none" w:sz="0" w:space="0" w:color="auto"/>
            <w:right w:val="none" w:sz="0" w:space="0" w:color="auto"/>
          </w:divBdr>
          <w:divsChild>
            <w:div w:id="835459645">
              <w:marLeft w:val="0"/>
              <w:marRight w:val="0"/>
              <w:marTop w:val="0"/>
              <w:marBottom w:val="0"/>
              <w:divBdr>
                <w:top w:val="none" w:sz="0" w:space="0" w:color="auto"/>
                <w:left w:val="none" w:sz="0" w:space="0" w:color="auto"/>
                <w:bottom w:val="none" w:sz="0" w:space="0" w:color="auto"/>
                <w:right w:val="none" w:sz="0" w:space="0" w:color="auto"/>
              </w:divBdr>
            </w:div>
          </w:divsChild>
        </w:div>
        <w:div w:id="223637700">
          <w:marLeft w:val="0"/>
          <w:marRight w:val="0"/>
          <w:marTop w:val="0"/>
          <w:marBottom w:val="0"/>
          <w:divBdr>
            <w:top w:val="none" w:sz="0" w:space="0" w:color="auto"/>
            <w:left w:val="none" w:sz="0" w:space="0" w:color="auto"/>
            <w:bottom w:val="none" w:sz="0" w:space="0" w:color="auto"/>
            <w:right w:val="none" w:sz="0" w:space="0" w:color="auto"/>
          </w:divBdr>
          <w:divsChild>
            <w:div w:id="902834015">
              <w:marLeft w:val="0"/>
              <w:marRight w:val="0"/>
              <w:marTop w:val="0"/>
              <w:marBottom w:val="0"/>
              <w:divBdr>
                <w:top w:val="none" w:sz="0" w:space="0" w:color="auto"/>
                <w:left w:val="none" w:sz="0" w:space="0" w:color="auto"/>
                <w:bottom w:val="none" w:sz="0" w:space="0" w:color="auto"/>
                <w:right w:val="none" w:sz="0" w:space="0" w:color="auto"/>
              </w:divBdr>
            </w:div>
          </w:divsChild>
        </w:div>
        <w:div w:id="1875725942">
          <w:marLeft w:val="0"/>
          <w:marRight w:val="0"/>
          <w:marTop w:val="0"/>
          <w:marBottom w:val="0"/>
          <w:divBdr>
            <w:top w:val="none" w:sz="0" w:space="0" w:color="auto"/>
            <w:left w:val="none" w:sz="0" w:space="0" w:color="auto"/>
            <w:bottom w:val="none" w:sz="0" w:space="0" w:color="auto"/>
            <w:right w:val="none" w:sz="0" w:space="0" w:color="auto"/>
          </w:divBdr>
          <w:divsChild>
            <w:div w:id="703018227">
              <w:marLeft w:val="0"/>
              <w:marRight w:val="0"/>
              <w:marTop w:val="0"/>
              <w:marBottom w:val="0"/>
              <w:divBdr>
                <w:top w:val="none" w:sz="0" w:space="0" w:color="auto"/>
                <w:left w:val="none" w:sz="0" w:space="0" w:color="auto"/>
                <w:bottom w:val="none" w:sz="0" w:space="0" w:color="auto"/>
                <w:right w:val="none" w:sz="0" w:space="0" w:color="auto"/>
              </w:divBdr>
            </w:div>
          </w:divsChild>
        </w:div>
        <w:div w:id="2032561994">
          <w:marLeft w:val="0"/>
          <w:marRight w:val="0"/>
          <w:marTop w:val="0"/>
          <w:marBottom w:val="0"/>
          <w:divBdr>
            <w:top w:val="none" w:sz="0" w:space="0" w:color="auto"/>
            <w:left w:val="none" w:sz="0" w:space="0" w:color="auto"/>
            <w:bottom w:val="none" w:sz="0" w:space="0" w:color="auto"/>
            <w:right w:val="none" w:sz="0" w:space="0" w:color="auto"/>
          </w:divBdr>
          <w:divsChild>
            <w:div w:id="674965273">
              <w:marLeft w:val="0"/>
              <w:marRight w:val="0"/>
              <w:marTop w:val="0"/>
              <w:marBottom w:val="0"/>
              <w:divBdr>
                <w:top w:val="none" w:sz="0" w:space="0" w:color="auto"/>
                <w:left w:val="none" w:sz="0" w:space="0" w:color="auto"/>
                <w:bottom w:val="none" w:sz="0" w:space="0" w:color="auto"/>
                <w:right w:val="none" w:sz="0" w:space="0" w:color="auto"/>
              </w:divBdr>
            </w:div>
          </w:divsChild>
        </w:div>
        <w:div w:id="370955268">
          <w:marLeft w:val="0"/>
          <w:marRight w:val="0"/>
          <w:marTop w:val="0"/>
          <w:marBottom w:val="0"/>
          <w:divBdr>
            <w:top w:val="none" w:sz="0" w:space="0" w:color="auto"/>
            <w:left w:val="none" w:sz="0" w:space="0" w:color="auto"/>
            <w:bottom w:val="none" w:sz="0" w:space="0" w:color="auto"/>
            <w:right w:val="none" w:sz="0" w:space="0" w:color="auto"/>
          </w:divBdr>
          <w:divsChild>
            <w:div w:id="515463175">
              <w:marLeft w:val="0"/>
              <w:marRight w:val="0"/>
              <w:marTop w:val="0"/>
              <w:marBottom w:val="0"/>
              <w:divBdr>
                <w:top w:val="none" w:sz="0" w:space="0" w:color="auto"/>
                <w:left w:val="none" w:sz="0" w:space="0" w:color="auto"/>
                <w:bottom w:val="none" w:sz="0" w:space="0" w:color="auto"/>
                <w:right w:val="none" w:sz="0" w:space="0" w:color="auto"/>
              </w:divBdr>
            </w:div>
          </w:divsChild>
        </w:div>
        <w:div w:id="808204007">
          <w:marLeft w:val="0"/>
          <w:marRight w:val="0"/>
          <w:marTop w:val="0"/>
          <w:marBottom w:val="0"/>
          <w:divBdr>
            <w:top w:val="none" w:sz="0" w:space="0" w:color="auto"/>
            <w:left w:val="none" w:sz="0" w:space="0" w:color="auto"/>
            <w:bottom w:val="none" w:sz="0" w:space="0" w:color="auto"/>
            <w:right w:val="none" w:sz="0" w:space="0" w:color="auto"/>
          </w:divBdr>
          <w:divsChild>
            <w:div w:id="1307588766">
              <w:marLeft w:val="0"/>
              <w:marRight w:val="0"/>
              <w:marTop w:val="0"/>
              <w:marBottom w:val="0"/>
              <w:divBdr>
                <w:top w:val="none" w:sz="0" w:space="0" w:color="auto"/>
                <w:left w:val="none" w:sz="0" w:space="0" w:color="auto"/>
                <w:bottom w:val="none" w:sz="0" w:space="0" w:color="auto"/>
                <w:right w:val="none" w:sz="0" w:space="0" w:color="auto"/>
              </w:divBdr>
            </w:div>
          </w:divsChild>
        </w:div>
        <w:div w:id="556354491">
          <w:marLeft w:val="0"/>
          <w:marRight w:val="0"/>
          <w:marTop w:val="0"/>
          <w:marBottom w:val="0"/>
          <w:divBdr>
            <w:top w:val="none" w:sz="0" w:space="0" w:color="auto"/>
            <w:left w:val="none" w:sz="0" w:space="0" w:color="auto"/>
            <w:bottom w:val="none" w:sz="0" w:space="0" w:color="auto"/>
            <w:right w:val="none" w:sz="0" w:space="0" w:color="auto"/>
          </w:divBdr>
          <w:divsChild>
            <w:div w:id="1274285822">
              <w:marLeft w:val="0"/>
              <w:marRight w:val="0"/>
              <w:marTop w:val="0"/>
              <w:marBottom w:val="0"/>
              <w:divBdr>
                <w:top w:val="none" w:sz="0" w:space="0" w:color="auto"/>
                <w:left w:val="none" w:sz="0" w:space="0" w:color="auto"/>
                <w:bottom w:val="none" w:sz="0" w:space="0" w:color="auto"/>
                <w:right w:val="none" w:sz="0" w:space="0" w:color="auto"/>
              </w:divBdr>
            </w:div>
          </w:divsChild>
        </w:div>
        <w:div w:id="1821530348">
          <w:marLeft w:val="0"/>
          <w:marRight w:val="0"/>
          <w:marTop w:val="0"/>
          <w:marBottom w:val="0"/>
          <w:divBdr>
            <w:top w:val="none" w:sz="0" w:space="0" w:color="auto"/>
            <w:left w:val="none" w:sz="0" w:space="0" w:color="auto"/>
            <w:bottom w:val="none" w:sz="0" w:space="0" w:color="auto"/>
            <w:right w:val="none" w:sz="0" w:space="0" w:color="auto"/>
          </w:divBdr>
          <w:divsChild>
            <w:div w:id="1879320475">
              <w:marLeft w:val="0"/>
              <w:marRight w:val="0"/>
              <w:marTop w:val="0"/>
              <w:marBottom w:val="0"/>
              <w:divBdr>
                <w:top w:val="none" w:sz="0" w:space="0" w:color="auto"/>
                <w:left w:val="none" w:sz="0" w:space="0" w:color="auto"/>
                <w:bottom w:val="none" w:sz="0" w:space="0" w:color="auto"/>
                <w:right w:val="none" w:sz="0" w:space="0" w:color="auto"/>
              </w:divBdr>
            </w:div>
          </w:divsChild>
        </w:div>
        <w:div w:id="1153763008">
          <w:marLeft w:val="0"/>
          <w:marRight w:val="0"/>
          <w:marTop w:val="0"/>
          <w:marBottom w:val="0"/>
          <w:divBdr>
            <w:top w:val="none" w:sz="0" w:space="0" w:color="auto"/>
            <w:left w:val="none" w:sz="0" w:space="0" w:color="auto"/>
            <w:bottom w:val="none" w:sz="0" w:space="0" w:color="auto"/>
            <w:right w:val="none" w:sz="0" w:space="0" w:color="auto"/>
          </w:divBdr>
          <w:divsChild>
            <w:div w:id="1910187936">
              <w:marLeft w:val="0"/>
              <w:marRight w:val="0"/>
              <w:marTop w:val="0"/>
              <w:marBottom w:val="0"/>
              <w:divBdr>
                <w:top w:val="none" w:sz="0" w:space="0" w:color="auto"/>
                <w:left w:val="none" w:sz="0" w:space="0" w:color="auto"/>
                <w:bottom w:val="none" w:sz="0" w:space="0" w:color="auto"/>
                <w:right w:val="none" w:sz="0" w:space="0" w:color="auto"/>
              </w:divBdr>
            </w:div>
          </w:divsChild>
        </w:div>
        <w:div w:id="692658595">
          <w:marLeft w:val="0"/>
          <w:marRight w:val="0"/>
          <w:marTop w:val="0"/>
          <w:marBottom w:val="0"/>
          <w:divBdr>
            <w:top w:val="none" w:sz="0" w:space="0" w:color="auto"/>
            <w:left w:val="none" w:sz="0" w:space="0" w:color="auto"/>
            <w:bottom w:val="none" w:sz="0" w:space="0" w:color="auto"/>
            <w:right w:val="none" w:sz="0" w:space="0" w:color="auto"/>
          </w:divBdr>
          <w:divsChild>
            <w:div w:id="2129855976">
              <w:marLeft w:val="0"/>
              <w:marRight w:val="0"/>
              <w:marTop w:val="0"/>
              <w:marBottom w:val="0"/>
              <w:divBdr>
                <w:top w:val="none" w:sz="0" w:space="0" w:color="auto"/>
                <w:left w:val="none" w:sz="0" w:space="0" w:color="auto"/>
                <w:bottom w:val="none" w:sz="0" w:space="0" w:color="auto"/>
                <w:right w:val="none" w:sz="0" w:space="0" w:color="auto"/>
              </w:divBdr>
            </w:div>
          </w:divsChild>
        </w:div>
        <w:div w:id="1978948276">
          <w:marLeft w:val="0"/>
          <w:marRight w:val="0"/>
          <w:marTop w:val="300"/>
          <w:marBottom w:val="300"/>
          <w:divBdr>
            <w:top w:val="none" w:sz="0" w:space="0" w:color="auto"/>
            <w:left w:val="none" w:sz="0" w:space="0" w:color="auto"/>
            <w:bottom w:val="none" w:sz="0" w:space="0" w:color="auto"/>
            <w:right w:val="none" w:sz="0" w:space="0" w:color="auto"/>
          </w:divBdr>
        </w:div>
        <w:div w:id="1314914541">
          <w:marLeft w:val="0"/>
          <w:marRight w:val="0"/>
          <w:marTop w:val="0"/>
          <w:marBottom w:val="0"/>
          <w:divBdr>
            <w:top w:val="none" w:sz="0" w:space="0" w:color="auto"/>
            <w:left w:val="none" w:sz="0" w:space="0" w:color="auto"/>
            <w:bottom w:val="none" w:sz="0" w:space="0" w:color="auto"/>
            <w:right w:val="none" w:sz="0" w:space="0" w:color="auto"/>
          </w:divBdr>
          <w:divsChild>
            <w:div w:id="1628655433">
              <w:marLeft w:val="0"/>
              <w:marRight w:val="0"/>
              <w:marTop w:val="0"/>
              <w:marBottom w:val="0"/>
              <w:divBdr>
                <w:top w:val="none" w:sz="0" w:space="0" w:color="auto"/>
                <w:left w:val="none" w:sz="0" w:space="0" w:color="auto"/>
                <w:bottom w:val="none" w:sz="0" w:space="0" w:color="auto"/>
                <w:right w:val="none" w:sz="0" w:space="0" w:color="auto"/>
              </w:divBdr>
            </w:div>
          </w:divsChild>
        </w:div>
        <w:div w:id="497618440">
          <w:marLeft w:val="0"/>
          <w:marRight w:val="0"/>
          <w:marTop w:val="300"/>
          <w:marBottom w:val="300"/>
          <w:divBdr>
            <w:top w:val="none" w:sz="0" w:space="0" w:color="auto"/>
            <w:left w:val="none" w:sz="0" w:space="0" w:color="auto"/>
            <w:bottom w:val="none" w:sz="0" w:space="0" w:color="auto"/>
            <w:right w:val="none" w:sz="0" w:space="0" w:color="auto"/>
          </w:divBdr>
        </w:div>
        <w:div w:id="242253515">
          <w:marLeft w:val="0"/>
          <w:marRight w:val="0"/>
          <w:marTop w:val="0"/>
          <w:marBottom w:val="0"/>
          <w:divBdr>
            <w:top w:val="none" w:sz="0" w:space="0" w:color="auto"/>
            <w:left w:val="none" w:sz="0" w:space="0" w:color="auto"/>
            <w:bottom w:val="none" w:sz="0" w:space="0" w:color="auto"/>
            <w:right w:val="none" w:sz="0" w:space="0" w:color="auto"/>
          </w:divBdr>
          <w:divsChild>
            <w:div w:id="1484472034">
              <w:marLeft w:val="0"/>
              <w:marRight w:val="0"/>
              <w:marTop w:val="0"/>
              <w:marBottom w:val="0"/>
              <w:divBdr>
                <w:top w:val="none" w:sz="0" w:space="0" w:color="auto"/>
                <w:left w:val="none" w:sz="0" w:space="0" w:color="auto"/>
                <w:bottom w:val="none" w:sz="0" w:space="0" w:color="auto"/>
                <w:right w:val="none" w:sz="0" w:space="0" w:color="auto"/>
              </w:divBdr>
            </w:div>
          </w:divsChild>
        </w:div>
        <w:div w:id="34082226">
          <w:marLeft w:val="0"/>
          <w:marRight w:val="0"/>
          <w:marTop w:val="0"/>
          <w:marBottom w:val="0"/>
          <w:divBdr>
            <w:top w:val="none" w:sz="0" w:space="0" w:color="auto"/>
            <w:left w:val="none" w:sz="0" w:space="0" w:color="auto"/>
            <w:bottom w:val="none" w:sz="0" w:space="0" w:color="auto"/>
            <w:right w:val="none" w:sz="0" w:space="0" w:color="auto"/>
          </w:divBdr>
          <w:divsChild>
            <w:div w:id="1893804832">
              <w:marLeft w:val="0"/>
              <w:marRight w:val="0"/>
              <w:marTop w:val="0"/>
              <w:marBottom w:val="0"/>
              <w:divBdr>
                <w:top w:val="none" w:sz="0" w:space="0" w:color="auto"/>
                <w:left w:val="none" w:sz="0" w:space="0" w:color="auto"/>
                <w:bottom w:val="none" w:sz="0" w:space="0" w:color="auto"/>
                <w:right w:val="none" w:sz="0" w:space="0" w:color="auto"/>
              </w:divBdr>
            </w:div>
          </w:divsChild>
        </w:div>
        <w:div w:id="1009329817">
          <w:marLeft w:val="0"/>
          <w:marRight w:val="0"/>
          <w:marTop w:val="0"/>
          <w:marBottom w:val="0"/>
          <w:divBdr>
            <w:top w:val="none" w:sz="0" w:space="0" w:color="auto"/>
            <w:left w:val="none" w:sz="0" w:space="0" w:color="auto"/>
            <w:bottom w:val="none" w:sz="0" w:space="0" w:color="auto"/>
            <w:right w:val="none" w:sz="0" w:space="0" w:color="auto"/>
          </w:divBdr>
          <w:divsChild>
            <w:div w:id="1649943309">
              <w:marLeft w:val="0"/>
              <w:marRight w:val="0"/>
              <w:marTop w:val="0"/>
              <w:marBottom w:val="0"/>
              <w:divBdr>
                <w:top w:val="none" w:sz="0" w:space="0" w:color="auto"/>
                <w:left w:val="none" w:sz="0" w:space="0" w:color="auto"/>
                <w:bottom w:val="none" w:sz="0" w:space="0" w:color="auto"/>
                <w:right w:val="none" w:sz="0" w:space="0" w:color="auto"/>
              </w:divBdr>
            </w:div>
          </w:divsChild>
        </w:div>
        <w:div w:id="809787850">
          <w:marLeft w:val="0"/>
          <w:marRight w:val="0"/>
          <w:marTop w:val="0"/>
          <w:marBottom w:val="0"/>
          <w:divBdr>
            <w:top w:val="none" w:sz="0" w:space="0" w:color="auto"/>
            <w:left w:val="none" w:sz="0" w:space="0" w:color="auto"/>
            <w:bottom w:val="none" w:sz="0" w:space="0" w:color="auto"/>
            <w:right w:val="none" w:sz="0" w:space="0" w:color="auto"/>
          </w:divBdr>
          <w:divsChild>
            <w:div w:id="1040587409">
              <w:marLeft w:val="0"/>
              <w:marRight w:val="0"/>
              <w:marTop w:val="0"/>
              <w:marBottom w:val="0"/>
              <w:divBdr>
                <w:top w:val="none" w:sz="0" w:space="0" w:color="auto"/>
                <w:left w:val="none" w:sz="0" w:space="0" w:color="auto"/>
                <w:bottom w:val="none" w:sz="0" w:space="0" w:color="auto"/>
                <w:right w:val="none" w:sz="0" w:space="0" w:color="auto"/>
              </w:divBdr>
            </w:div>
          </w:divsChild>
        </w:div>
        <w:div w:id="1948849375">
          <w:marLeft w:val="0"/>
          <w:marRight w:val="0"/>
          <w:marTop w:val="0"/>
          <w:marBottom w:val="0"/>
          <w:divBdr>
            <w:top w:val="none" w:sz="0" w:space="0" w:color="auto"/>
            <w:left w:val="none" w:sz="0" w:space="0" w:color="auto"/>
            <w:bottom w:val="none" w:sz="0" w:space="0" w:color="auto"/>
            <w:right w:val="none" w:sz="0" w:space="0" w:color="auto"/>
          </w:divBdr>
          <w:divsChild>
            <w:div w:id="400177195">
              <w:marLeft w:val="0"/>
              <w:marRight w:val="0"/>
              <w:marTop w:val="0"/>
              <w:marBottom w:val="0"/>
              <w:divBdr>
                <w:top w:val="none" w:sz="0" w:space="0" w:color="auto"/>
                <w:left w:val="none" w:sz="0" w:space="0" w:color="auto"/>
                <w:bottom w:val="none" w:sz="0" w:space="0" w:color="auto"/>
                <w:right w:val="none" w:sz="0" w:space="0" w:color="auto"/>
              </w:divBdr>
            </w:div>
          </w:divsChild>
        </w:div>
        <w:div w:id="1220166280">
          <w:marLeft w:val="0"/>
          <w:marRight w:val="0"/>
          <w:marTop w:val="300"/>
          <w:marBottom w:val="300"/>
          <w:divBdr>
            <w:top w:val="none" w:sz="0" w:space="0" w:color="auto"/>
            <w:left w:val="none" w:sz="0" w:space="0" w:color="auto"/>
            <w:bottom w:val="none" w:sz="0" w:space="0" w:color="auto"/>
            <w:right w:val="none" w:sz="0" w:space="0" w:color="auto"/>
          </w:divBdr>
        </w:div>
        <w:div w:id="564100552">
          <w:marLeft w:val="0"/>
          <w:marRight w:val="0"/>
          <w:marTop w:val="0"/>
          <w:marBottom w:val="0"/>
          <w:divBdr>
            <w:top w:val="none" w:sz="0" w:space="0" w:color="auto"/>
            <w:left w:val="none" w:sz="0" w:space="0" w:color="auto"/>
            <w:bottom w:val="none" w:sz="0" w:space="0" w:color="auto"/>
            <w:right w:val="none" w:sz="0" w:space="0" w:color="auto"/>
          </w:divBdr>
          <w:divsChild>
            <w:div w:id="2127314489">
              <w:marLeft w:val="0"/>
              <w:marRight w:val="0"/>
              <w:marTop w:val="0"/>
              <w:marBottom w:val="0"/>
              <w:divBdr>
                <w:top w:val="none" w:sz="0" w:space="0" w:color="auto"/>
                <w:left w:val="none" w:sz="0" w:space="0" w:color="auto"/>
                <w:bottom w:val="none" w:sz="0" w:space="0" w:color="auto"/>
                <w:right w:val="none" w:sz="0" w:space="0" w:color="auto"/>
              </w:divBdr>
            </w:div>
          </w:divsChild>
        </w:div>
        <w:div w:id="289021602">
          <w:marLeft w:val="0"/>
          <w:marRight w:val="0"/>
          <w:marTop w:val="0"/>
          <w:marBottom w:val="0"/>
          <w:divBdr>
            <w:top w:val="none" w:sz="0" w:space="0" w:color="auto"/>
            <w:left w:val="none" w:sz="0" w:space="0" w:color="auto"/>
            <w:bottom w:val="none" w:sz="0" w:space="0" w:color="auto"/>
            <w:right w:val="none" w:sz="0" w:space="0" w:color="auto"/>
          </w:divBdr>
          <w:divsChild>
            <w:div w:id="435290409">
              <w:marLeft w:val="0"/>
              <w:marRight w:val="0"/>
              <w:marTop w:val="0"/>
              <w:marBottom w:val="0"/>
              <w:divBdr>
                <w:top w:val="none" w:sz="0" w:space="0" w:color="auto"/>
                <w:left w:val="none" w:sz="0" w:space="0" w:color="auto"/>
                <w:bottom w:val="none" w:sz="0" w:space="0" w:color="auto"/>
                <w:right w:val="none" w:sz="0" w:space="0" w:color="auto"/>
              </w:divBdr>
            </w:div>
          </w:divsChild>
        </w:div>
        <w:div w:id="1974292307">
          <w:marLeft w:val="0"/>
          <w:marRight w:val="0"/>
          <w:marTop w:val="0"/>
          <w:marBottom w:val="0"/>
          <w:divBdr>
            <w:top w:val="none" w:sz="0" w:space="0" w:color="auto"/>
            <w:left w:val="none" w:sz="0" w:space="0" w:color="auto"/>
            <w:bottom w:val="none" w:sz="0" w:space="0" w:color="auto"/>
            <w:right w:val="none" w:sz="0" w:space="0" w:color="auto"/>
          </w:divBdr>
          <w:divsChild>
            <w:div w:id="1068653657">
              <w:marLeft w:val="0"/>
              <w:marRight w:val="0"/>
              <w:marTop w:val="0"/>
              <w:marBottom w:val="0"/>
              <w:divBdr>
                <w:top w:val="none" w:sz="0" w:space="0" w:color="auto"/>
                <w:left w:val="none" w:sz="0" w:space="0" w:color="auto"/>
                <w:bottom w:val="none" w:sz="0" w:space="0" w:color="auto"/>
                <w:right w:val="none" w:sz="0" w:space="0" w:color="auto"/>
              </w:divBdr>
            </w:div>
          </w:divsChild>
        </w:div>
        <w:div w:id="466440113">
          <w:marLeft w:val="0"/>
          <w:marRight w:val="0"/>
          <w:marTop w:val="0"/>
          <w:marBottom w:val="0"/>
          <w:divBdr>
            <w:top w:val="none" w:sz="0" w:space="0" w:color="auto"/>
            <w:left w:val="none" w:sz="0" w:space="0" w:color="auto"/>
            <w:bottom w:val="none" w:sz="0" w:space="0" w:color="auto"/>
            <w:right w:val="none" w:sz="0" w:space="0" w:color="auto"/>
          </w:divBdr>
          <w:divsChild>
            <w:div w:id="1110783194">
              <w:marLeft w:val="0"/>
              <w:marRight w:val="0"/>
              <w:marTop w:val="0"/>
              <w:marBottom w:val="0"/>
              <w:divBdr>
                <w:top w:val="none" w:sz="0" w:space="0" w:color="auto"/>
                <w:left w:val="none" w:sz="0" w:space="0" w:color="auto"/>
                <w:bottom w:val="none" w:sz="0" w:space="0" w:color="auto"/>
                <w:right w:val="none" w:sz="0" w:space="0" w:color="auto"/>
              </w:divBdr>
            </w:div>
          </w:divsChild>
        </w:div>
        <w:div w:id="182667917">
          <w:marLeft w:val="0"/>
          <w:marRight w:val="0"/>
          <w:marTop w:val="0"/>
          <w:marBottom w:val="0"/>
          <w:divBdr>
            <w:top w:val="none" w:sz="0" w:space="0" w:color="auto"/>
            <w:left w:val="none" w:sz="0" w:space="0" w:color="auto"/>
            <w:bottom w:val="none" w:sz="0" w:space="0" w:color="auto"/>
            <w:right w:val="none" w:sz="0" w:space="0" w:color="auto"/>
          </w:divBdr>
          <w:divsChild>
            <w:div w:id="1615552332">
              <w:marLeft w:val="0"/>
              <w:marRight w:val="0"/>
              <w:marTop w:val="0"/>
              <w:marBottom w:val="0"/>
              <w:divBdr>
                <w:top w:val="none" w:sz="0" w:space="0" w:color="auto"/>
                <w:left w:val="none" w:sz="0" w:space="0" w:color="auto"/>
                <w:bottom w:val="none" w:sz="0" w:space="0" w:color="auto"/>
                <w:right w:val="none" w:sz="0" w:space="0" w:color="auto"/>
              </w:divBdr>
            </w:div>
          </w:divsChild>
        </w:div>
        <w:div w:id="1597983756">
          <w:marLeft w:val="0"/>
          <w:marRight w:val="0"/>
          <w:marTop w:val="0"/>
          <w:marBottom w:val="0"/>
          <w:divBdr>
            <w:top w:val="none" w:sz="0" w:space="0" w:color="auto"/>
            <w:left w:val="none" w:sz="0" w:space="0" w:color="auto"/>
            <w:bottom w:val="none" w:sz="0" w:space="0" w:color="auto"/>
            <w:right w:val="none" w:sz="0" w:space="0" w:color="auto"/>
          </w:divBdr>
          <w:divsChild>
            <w:div w:id="447045848">
              <w:marLeft w:val="0"/>
              <w:marRight w:val="0"/>
              <w:marTop w:val="0"/>
              <w:marBottom w:val="0"/>
              <w:divBdr>
                <w:top w:val="none" w:sz="0" w:space="0" w:color="auto"/>
                <w:left w:val="none" w:sz="0" w:space="0" w:color="auto"/>
                <w:bottom w:val="none" w:sz="0" w:space="0" w:color="auto"/>
                <w:right w:val="none" w:sz="0" w:space="0" w:color="auto"/>
              </w:divBdr>
            </w:div>
          </w:divsChild>
        </w:div>
        <w:div w:id="2070760387">
          <w:marLeft w:val="0"/>
          <w:marRight w:val="0"/>
          <w:marTop w:val="0"/>
          <w:marBottom w:val="0"/>
          <w:divBdr>
            <w:top w:val="none" w:sz="0" w:space="0" w:color="auto"/>
            <w:left w:val="none" w:sz="0" w:space="0" w:color="auto"/>
            <w:bottom w:val="none" w:sz="0" w:space="0" w:color="auto"/>
            <w:right w:val="none" w:sz="0" w:space="0" w:color="auto"/>
          </w:divBdr>
          <w:divsChild>
            <w:div w:id="413939872">
              <w:marLeft w:val="0"/>
              <w:marRight w:val="0"/>
              <w:marTop w:val="0"/>
              <w:marBottom w:val="0"/>
              <w:divBdr>
                <w:top w:val="none" w:sz="0" w:space="0" w:color="auto"/>
                <w:left w:val="none" w:sz="0" w:space="0" w:color="auto"/>
                <w:bottom w:val="none" w:sz="0" w:space="0" w:color="auto"/>
                <w:right w:val="none" w:sz="0" w:space="0" w:color="auto"/>
              </w:divBdr>
            </w:div>
          </w:divsChild>
        </w:div>
        <w:div w:id="1289706330">
          <w:marLeft w:val="0"/>
          <w:marRight w:val="0"/>
          <w:marTop w:val="0"/>
          <w:marBottom w:val="0"/>
          <w:divBdr>
            <w:top w:val="none" w:sz="0" w:space="0" w:color="auto"/>
            <w:left w:val="none" w:sz="0" w:space="0" w:color="auto"/>
            <w:bottom w:val="none" w:sz="0" w:space="0" w:color="auto"/>
            <w:right w:val="none" w:sz="0" w:space="0" w:color="auto"/>
          </w:divBdr>
          <w:divsChild>
            <w:div w:id="122118323">
              <w:marLeft w:val="0"/>
              <w:marRight w:val="0"/>
              <w:marTop w:val="0"/>
              <w:marBottom w:val="0"/>
              <w:divBdr>
                <w:top w:val="none" w:sz="0" w:space="0" w:color="auto"/>
                <w:left w:val="none" w:sz="0" w:space="0" w:color="auto"/>
                <w:bottom w:val="none" w:sz="0" w:space="0" w:color="auto"/>
                <w:right w:val="none" w:sz="0" w:space="0" w:color="auto"/>
              </w:divBdr>
            </w:div>
          </w:divsChild>
        </w:div>
        <w:div w:id="1188371041">
          <w:marLeft w:val="0"/>
          <w:marRight w:val="0"/>
          <w:marTop w:val="0"/>
          <w:marBottom w:val="0"/>
          <w:divBdr>
            <w:top w:val="none" w:sz="0" w:space="0" w:color="auto"/>
            <w:left w:val="none" w:sz="0" w:space="0" w:color="auto"/>
            <w:bottom w:val="none" w:sz="0" w:space="0" w:color="auto"/>
            <w:right w:val="none" w:sz="0" w:space="0" w:color="auto"/>
          </w:divBdr>
          <w:divsChild>
            <w:div w:id="725884428">
              <w:marLeft w:val="0"/>
              <w:marRight w:val="0"/>
              <w:marTop w:val="0"/>
              <w:marBottom w:val="0"/>
              <w:divBdr>
                <w:top w:val="none" w:sz="0" w:space="0" w:color="auto"/>
                <w:left w:val="none" w:sz="0" w:space="0" w:color="auto"/>
                <w:bottom w:val="none" w:sz="0" w:space="0" w:color="auto"/>
                <w:right w:val="none" w:sz="0" w:space="0" w:color="auto"/>
              </w:divBdr>
            </w:div>
          </w:divsChild>
        </w:div>
        <w:div w:id="1891528215">
          <w:marLeft w:val="0"/>
          <w:marRight w:val="0"/>
          <w:marTop w:val="0"/>
          <w:marBottom w:val="0"/>
          <w:divBdr>
            <w:top w:val="none" w:sz="0" w:space="0" w:color="auto"/>
            <w:left w:val="none" w:sz="0" w:space="0" w:color="auto"/>
            <w:bottom w:val="none" w:sz="0" w:space="0" w:color="auto"/>
            <w:right w:val="none" w:sz="0" w:space="0" w:color="auto"/>
          </w:divBdr>
          <w:divsChild>
            <w:div w:id="201215258">
              <w:marLeft w:val="0"/>
              <w:marRight w:val="0"/>
              <w:marTop w:val="0"/>
              <w:marBottom w:val="0"/>
              <w:divBdr>
                <w:top w:val="none" w:sz="0" w:space="0" w:color="auto"/>
                <w:left w:val="none" w:sz="0" w:space="0" w:color="auto"/>
                <w:bottom w:val="none" w:sz="0" w:space="0" w:color="auto"/>
                <w:right w:val="none" w:sz="0" w:space="0" w:color="auto"/>
              </w:divBdr>
            </w:div>
          </w:divsChild>
        </w:div>
        <w:div w:id="332607928">
          <w:marLeft w:val="0"/>
          <w:marRight w:val="0"/>
          <w:marTop w:val="300"/>
          <w:marBottom w:val="300"/>
          <w:divBdr>
            <w:top w:val="none" w:sz="0" w:space="0" w:color="auto"/>
            <w:left w:val="none" w:sz="0" w:space="0" w:color="auto"/>
            <w:bottom w:val="none" w:sz="0" w:space="0" w:color="auto"/>
            <w:right w:val="none" w:sz="0" w:space="0" w:color="auto"/>
          </w:divBdr>
        </w:div>
        <w:div w:id="525603419">
          <w:marLeft w:val="0"/>
          <w:marRight w:val="0"/>
          <w:marTop w:val="0"/>
          <w:marBottom w:val="0"/>
          <w:divBdr>
            <w:top w:val="none" w:sz="0" w:space="0" w:color="auto"/>
            <w:left w:val="none" w:sz="0" w:space="0" w:color="auto"/>
            <w:bottom w:val="none" w:sz="0" w:space="0" w:color="auto"/>
            <w:right w:val="none" w:sz="0" w:space="0" w:color="auto"/>
          </w:divBdr>
          <w:divsChild>
            <w:div w:id="2054883740">
              <w:marLeft w:val="0"/>
              <w:marRight w:val="0"/>
              <w:marTop w:val="0"/>
              <w:marBottom w:val="0"/>
              <w:divBdr>
                <w:top w:val="none" w:sz="0" w:space="0" w:color="auto"/>
                <w:left w:val="none" w:sz="0" w:space="0" w:color="auto"/>
                <w:bottom w:val="none" w:sz="0" w:space="0" w:color="auto"/>
                <w:right w:val="none" w:sz="0" w:space="0" w:color="auto"/>
              </w:divBdr>
            </w:div>
          </w:divsChild>
        </w:div>
        <w:div w:id="508906314">
          <w:marLeft w:val="0"/>
          <w:marRight w:val="0"/>
          <w:marTop w:val="0"/>
          <w:marBottom w:val="0"/>
          <w:divBdr>
            <w:top w:val="none" w:sz="0" w:space="0" w:color="auto"/>
            <w:left w:val="none" w:sz="0" w:space="0" w:color="auto"/>
            <w:bottom w:val="none" w:sz="0" w:space="0" w:color="auto"/>
            <w:right w:val="none" w:sz="0" w:space="0" w:color="auto"/>
          </w:divBdr>
          <w:divsChild>
            <w:div w:id="1246184777">
              <w:marLeft w:val="0"/>
              <w:marRight w:val="0"/>
              <w:marTop w:val="0"/>
              <w:marBottom w:val="0"/>
              <w:divBdr>
                <w:top w:val="none" w:sz="0" w:space="0" w:color="auto"/>
                <w:left w:val="none" w:sz="0" w:space="0" w:color="auto"/>
                <w:bottom w:val="none" w:sz="0" w:space="0" w:color="auto"/>
                <w:right w:val="none" w:sz="0" w:space="0" w:color="auto"/>
              </w:divBdr>
            </w:div>
          </w:divsChild>
        </w:div>
        <w:div w:id="772172408">
          <w:marLeft w:val="0"/>
          <w:marRight w:val="0"/>
          <w:marTop w:val="0"/>
          <w:marBottom w:val="0"/>
          <w:divBdr>
            <w:top w:val="none" w:sz="0" w:space="0" w:color="auto"/>
            <w:left w:val="none" w:sz="0" w:space="0" w:color="auto"/>
            <w:bottom w:val="none" w:sz="0" w:space="0" w:color="auto"/>
            <w:right w:val="none" w:sz="0" w:space="0" w:color="auto"/>
          </w:divBdr>
          <w:divsChild>
            <w:div w:id="2112120947">
              <w:marLeft w:val="0"/>
              <w:marRight w:val="0"/>
              <w:marTop w:val="0"/>
              <w:marBottom w:val="0"/>
              <w:divBdr>
                <w:top w:val="none" w:sz="0" w:space="0" w:color="auto"/>
                <w:left w:val="none" w:sz="0" w:space="0" w:color="auto"/>
                <w:bottom w:val="none" w:sz="0" w:space="0" w:color="auto"/>
                <w:right w:val="none" w:sz="0" w:space="0" w:color="auto"/>
              </w:divBdr>
            </w:div>
          </w:divsChild>
        </w:div>
        <w:div w:id="1466266885">
          <w:marLeft w:val="0"/>
          <w:marRight w:val="0"/>
          <w:marTop w:val="0"/>
          <w:marBottom w:val="0"/>
          <w:divBdr>
            <w:top w:val="none" w:sz="0" w:space="0" w:color="auto"/>
            <w:left w:val="none" w:sz="0" w:space="0" w:color="auto"/>
            <w:bottom w:val="none" w:sz="0" w:space="0" w:color="auto"/>
            <w:right w:val="none" w:sz="0" w:space="0" w:color="auto"/>
          </w:divBdr>
          <w:divsChild>
            <w:div w:id="533007203">
              <w:marLeft w:val="0"/>
              <w:marRight w:val="0"/>
              <w:marTop w:val="0"/>
              <w:marBottom w:val="0"/>
              <w:divBdr>
                <w:top w:val="none" w:sz="0" w:space="0" w:color="auto"/>
                <w:left w:val="none" w:sz="0" w:space="0" w:color="auto"/>
                <w:bottom w:val="none" w:sz="0" w:space="0" w:color="auto"/>
                <w:right w:val="none" w:sz="0" w:space="0" w:color="auto"/>
              </w:divBdr>
            </w:div>
          </w:divsChild>
        </w:div>
        <w:div w:id="2108503578">
          <w:marLeft w:val="0"/>
          <w:marRight w:val="0"/>
          <w:marTop w:val="0"/>
          <w:marBottom w:val="0"/>
          <w:divBdr>
            <w:top w:val="none" w:sz="0" w:space="0" w:color="auto"/>
            <w:left w:val="none" w:sz="0" w:space="0" w:color="auto"/>
            <w:bottom w:val="none" w:sz="0" w:space="0" w:color="auto"/>
            <w:right w:val="none" w:sz="0" w:space="0" w:color="auto"/>
          </w:divBdr>
          <w:divsChild>
            <w:div w:id="2048993222">
              <w:marLeft w:val="0"/>
              <w:marRight w:val="0"/>
              <w:marTop w:val="0"/>
              <w:marBottom w:val="0"/>
              <w:divBdr>
                <w:top w:val="none" w:sz="0" w:space="0" w:color="auto"/>
                <w:left w:val="none" w:sz="0" w:space="0" w:color="auto"/>
                <w:bottom w:val="none" w:sz="0" w:space="0" w:color="auto"/>
                <w:right w:val="none" w:sz="0" w:space="0" w:color="auto"/>
              </w:divBdr>
            </w:div>
          </w:divsChild>
        </w:div>
        <w:div w:id="538083228">
          <w:marLeft w:val="0"/>
          <w:marRight w:val="0"/>
          <w:marTop w:val="0"/>
          <w:marBottom w:val="0"/>
          <w:divBdr>
            <w:top w:val="none" w:sz="0" w:space="0" w:color="auto"/>
            <w:left w:val="none" w:sz="0" w:space="0" w:color="auto"/>
            <w:bottom w:val="none" w:sz="0" w:space="0" w:color="auto"/>
            <w:right w:val="none" w:sz="0" w:space="0" w:color="auto"/>
          </w:divBdr>
          <w:divsChild>
            <w:div w:id="588464130">
              <w:marLeft w:val="0"/>
              <w:marRight w:val="0"/>
              <w:marTop w:val="0"/>
              <w:marBottom w:val="0"/>
              <w:divBdr>
                <w:top w:val="none" w:sz="0" w:space="0" w:color="auto"/>
                <w:left w:val="none" w:sz="0" w:space="0" w:color="auto"/>
                <w:bottom w:val="none" w:sz="0" w:space="0" w:color="auto"/>
                <w:right w:val="none" w:sz="0" w:space="0" w:color="auto"/>
              </w:divBdr>
            </w:div>
          </w:divsChild>
        </w:div>
        <w:div w:id="642740304">
          <w:marLeft w:val="0"/>
          <w:marRight w:val="0"/>
          <w:marTop w:val="0"/>
          <w:marBottom w:val="0"/>
          <w:divBdr>
            <w:top w:val="none" w:sz="0" w:space="0" w:color="auto"/>
            <w:left w:val="none" w:sz="0" w:space="0" w:color="auto"/>
            <w:bottom w:val="none" w:sz="0" w:space="0" w:color="auto"/>
            <w:right w:val="none" w:sz="0" w:space="0" w:color="auto"/>
          </w:divBdr>
          <w:divsChild>
            <w:div w:id="1120882164">
              <w:marLeft w:val="0"/>
              <w:marRight w:val="0"/>
              <w:marTop w:val="0"/>
              <w:marBottom w:val="0"/>
              <w:divBdr>
                <w:top w:val="none" w:sz="0" w:space="0" w:color="auto"/>
                <w:left w:val="none" w:sz="0" w:space="0" w:color="auto"/>
                <w:bottom w:val="none" w:sz="0" w:space="0" w:color="auto"/>
                <w:right w:val="none" w:sz="0" w:space="0" w:color="auto"/>
              </w:divBdr>
            </w:div>
          </w:divsChild>
        </w:div>
        <w:div w:id="1607736912">
          <w:marLeft w:val="0"/>
          <w:marRight w:val="0"/>
          <w:marTop w:val="0"/>
          <w:marBottom w:val="0"/>
          <w:divBdr>
            <w:top w:val="none" w:sz="0" w:space="0" w:color="auto"/>
            <w:left w:val="none" w:sz="0" w:space="0" w:color="auto"/>
            <w:bottom w:val="none" w:sz="0" w:space="0" w:color="auto"/>
            <w:right w:val="none" w:sz="0" w:space="0" w:color="auto"/>
          </w:divBdr>
          <w:divsChild>
            <w:div w:id="1525747388">
              <w:marLeft w:val="0"/>
              <w:marRight w:val="0"/>
              <w:marTop w:val="0"/>
              <w:marBottom w:val="0"/>
              <w:divBdr>
                <w:top w:val="none" w:sz="0" w:space="0" w:color="auto"/>
                <w:left w:val="none" w:sz="0" w:space="0" w:color="auto"/>
                <w:bottom w:val="none" w:sz="0" w:space="0" w:color="auto"/>
                <w:right w:val="none" w:sz="0" w:space="0" w:color="auto"/>
              </w:divBdr>
            </w:div>
          </w:divsChild>
        </w:div>
        <w:div w:id="1710833764">
          <w:marLeft w:val="0"/>
          <w:marRight w:val="0"/>
          <w:marTop w:val="0"/>
          <w:marBottom w:val="0"/>
          <w:divBdr>
            <w:top w:val="none" w:sz="0" w:space="0" w:color="auto"/>
            <w:left w:val="none" w:sz="0" w:space="0" w:color="auto"/>
            <w:bottom w:val="none" w:sz="0" w:space="0" w:color="auto"/>
            <w:right w:val="none" w:sz="0" w:space="0" w:color="auto"/>
          </w:divBdr>
          <w:divsChild>
            <w:div w:id="10378923">
              <w:marLeft w:val="0"/>
              <w:marRight w:val="0"/>
              <w:marTop w:val="0"/>
              <w:marBottom w:val="0"/>
              <w:divBdr>
                <w:top w:val="none" w:sz="0" w:space="0" w:color="auto"/>
                <w:left w:val="none" w:sz="0" w:space="0" w:color="auto"/>
                <w:bottom w:val="none" w:sz="0" w:space="0" w:color="auto"/>
                <w:right w:val="none" w:sz="0" w:space="0" w:color="auto"/>
              </w:divBdr>
            </w:div>
          </w:divsChild>
        </w:div>
        <w:div w:id="1239175898">
          <w:marLeft w:val="0"/>
          <w:marRight w:val="0"/>
          <w:marTop w:val="0"/>
          <w:marBottom w:val="0"/>
          <w:divBdr>
            <w:top w:val="none" w:sz="0" w:space="0" w:color="auto"/>
            <w:left w:val="none" w:sz="0" w:space="0" w:color="auto"/>
            <w:bottom w:val="none" w:sz="0" w:space="0" w:color="auto"/>
            <w:right w:val="none" w:sz="0" w:space="0" w:color="auto"/>
          </w:divBdr>
          <w:divsChild>
            <w:div w:id="1736201577">
              <w:marLeft w:val="0"/>
              <w:marRight w:val="0"/>
              <w:marTop w:val="0"/>
              <w:marBottom w:val="0"/>
              <w:divBdr>
                <w:top w:val="none" w:sz="0" w:space="0" w:color="auto"/>
                <w:left w:val="none" w:sz="0" w:space="0" w:color="auto"/>
                <w:bottom w:val="none" w:sz="0" w:space="0" w:color="auto"/>
                <w:right w:val="none" w:sz="0" w:space="0" w:color="auto"/>
              </w:divBdr>
            </w:div>
          </w:divsChild>
        </w:div>
        <w:div w:id="1340308487">
          <w:marLeft w:val="0"/>
          <w:marRight w:val="0"/>
          <w:marTop w:val="0"/>
          <w:marBottom w:val="0"/>
          <w:divBdr>
            <w:top w:val="none" w:sz="0" w:space="0" w:color="auto"/>
            <w:left w:val="none" w:sz="0" w:space="0" w:color="auto"/>
            <w:bottom w:val="none" w:sz="0" w:space="0" w:color="auto"/>
            <w:right w:val="none" w:sz="0" w:space="0" w:color="auto"/>
          </w:divBdr>
          <w:divsChild>
            <w:div w:id="602690374">
              <w:marLeft w:val="0"/>
              <w:marRight w:val="0"/>
              <w:marTop w:val="0"/>
              <w:marBottom w:val="0"/>
              <w:divBdr>
                <w:top w:val="none" w:sz="0" w:space="0" w:color="auto"/>
                <w:left w:val="none" w:sz="0" w:space="0" w:color="auto"/>
                <w:bottom w:val="none" w:sz="0" w:space="0" w:color="auto"/>
                <w:right w:val="none" w:sz="0" w:space="0" w:color="auto"/>
              </w:divBdr>
            </w:div>
          </w:divsChild>
        </w:div>
        <w:div w:id="1737118912">
          <w:marLeft w:val="0"/>
          <w:marRight w:val="0"/>
          <w:marTop w:val="0"/>
          <w:marBottom w:val="0"/>
          <w:divBdr>
            <w:top w:val="none" w:sz="0" w:space="0" w:color="auto"/>
            <w:left w:val="none" w:sz="0" w:space="0" w:color="auto"/>
            <w:bottom w:val="none" w:sz="0" w:space="0" w:color="auto"/>
            <w:right w:val="none" w:sz="0" w:space="0" w:color="auto"/>
          </w:divBdr>
          <w:divsChild>
            <w:div w:id="1229074084">
              <w:marLeft w:val="0"/>
              <w:marRight w:val="0"/>
              <w:marTop w:val="0"/>
              <w:marBottom w:val="0"/>
              <w:divBdr>
                <w:top w:val="none" w:sz="0" w:space="0" w:color="auto"/>
                <w:left w:val="none" w:sz="0" w:space="0" w:color="auto"/>
                <w:bottom w:val="none" w:sz="0" w:space="0" w:color="auto"/>
                <w:right w:val="none" w:sz="0" w:space="0" w:color="auto"/>
              </w:divBdr>
            </w:div>
          </w:divsChild>
        </w:div>
        <w:div w:id="356739021">
          <w:marLeft w:val="0"/>
          <w:marRight w:val="0"/>
          <w:marTop w:val="0"/>
          <w:marBottom w:val="0"/>
          <w:divBdr>
            <w:top w:val="none" w:sz="0" w:space="0" w:color="auto"/>
            <w:left w:val="none" w:sz="0" w:space="0" w:color="auto"/>
            <w:bottom w:val="none" w:sz="0" w:space="0" w:color="auto"/>
            <w:right w:val="none" w:sz="0" w:space="0" w:color="auto"/>
          </w:divBdr>
          <w:divsChild>
            <w:div w:id="1791589906">
              <w:marLeft w:val="0"/>
              <w:marRight w:val="0"/>
              <w:marTop w:val="0"/>
              <w:marBottom w:val="0"/>
              <w:divBdr>
                <w:top w:val="none" w:sz="0" w:space="0" w:color="auto"/>
                <w:left w:val="none" w:sz="0" w:space="0" w:color="auto"/>
                <w:bottom w:val="none" w:sz="0" w:space="0" w:color="auto"/>
                <w:right w:val="none" w:sz="0" w:space="0" w:color="auto"/>
              </w:divBdr>
            </w:div>
          </w:divsChild>
        </w:div>
        <w:div w:id="1456943367">
          <w:marLeft w:val="0"/>
          <w:marRight w:val="0"/>
          <w:marTop w:val="300"/>
          <w:marBottom w:val="300"/>
          <w:divBdr>
            <w:top w:val="none" w:sz="0" w:space="0" w:color="auto"/>
            <w:left w:val="none" w:sz="0" w:space="0" w:color="auto"/>
            <w:bottom w:val="none" w:sz="0" w:space="0" w:color="auto"/>
            <w:right w:val="none" w:sz="0" w:space="0" w:color="auto"/>
          </w:divBdr>
        </w:div>
        <w:div w:id="1447042020">
          <w:marLeft w:val="0"/>
          <w:marRight w:val="0"/>
          <w:marTop w:val="0"/>
          <w:marBottom w:val="0"/>
          <w:divBdr>
            <w:top w:val="none" w:sz="0" w:space="0" w:color="auto"/>
            <w:left w:val="none" w:sz="0" w:space="0" w:color="auto"/>
            <w:bottom w:val="none" w:sz="0" w:space="0" w:color="auto"/>
            <w:right w:val="none" w:sz="0" w:space="0" w:color="auto"/>
          </w:divBdr>
          <w:divsChild>
            <w:div w:id="2106071014">
              <w:marLeft w:val="0"/>
              <w:marRight w:val="0"/>
              <w:marTop w:val="0"/>
              <w:marBottom w:val="0"/>
              <w:divBdr>
                <w:top w:val="none" w:sz="0" w:space="0" w:color="auto"/>
                <w:left w:val="none" w:sz="0" w:space="0" w:color="auto"/>
                <w:bottom w:val="none" w:sz="0" w:space="0" w:color="auto"/>
                <w:right w:val="none" w:sz="0" w:space="0" w:color="auto"/>
              </w:divBdr>
            </w:div>
          </w:divsChild>
        </w:div>
        <w:div w:id="788664613">
          <w:marLeft w:val="0"/>
          <w:marRight w:val="0"/>
          <w:marTop w:val="0"/>
          <w:marBottom w:val="0"/>
          <w:divBdr>
            <w:top w:val="none" w:sz="0" w:space="0" w:color="auto"/>
            <w:left w:val="none" w:sz="0" w:space="0" w:color="auto"/>
            <w:bottom w:val="none" w:sz="0" w:space="0" w:color="auto"/>
            <w:right w:val="none" w:sz="0" w:space="0" w:color="auto"/>
          </w:divBdr>
          <w:divsChild>
            <w:div w:id="432476452">
              <w:marLeft w:val="0"/>
              <w:marRight w:val="0"/>
              <w:marTop w:val="0"/>
              <w:marBottom w:val="0"/>
              <w:divBdr>
                <w:top w:val="none" w:sz="0" w:space="0" w:color="auto"/>
                <w:left w:val="none" w:sz="0" w:space="0" w:color="auto"/>
                <w:bottom w:val="none" w:sz="0" w:space="0" w:color="auto"/>
                <w:right w:val="none" w:sz="0" w:space="0" w:color="auto"/>
              </w:divBdr>
            </w:div>
          </w:divsChild>
        </w:div>
        <w:div w:id="1505628900">
          <w:marLeft w:val="0"/>
          <w:marRight w:val="0"/>
          <w:marTop w:val="0"/>
          <w:marBottom w:val="0"/>
          <w:divBdr>
            <w:top w:val="none" w:sz="0" w:space="0" w:color="auto"/>
            <w:left w:val="none" w:sz="0" w:space="0" w:color="auto"/>
            <w:bottom w:val="none" w:sz="0" w:space="0" w:color="auto"/>
            <w:right w:val="none" w:sz="0" w:space="0" w:color="auto"/>
          </w:divBdr>
          <w:divsChild>
            <w:div w:id="1177307353">
              <w:marLeft w:val="0"/>
              <w:marRight w:val="0"/>
              <w:marTop w:val="0"/>
              <w:marBottom w:val="0"/>
              <w:divBdr>
                <w:top w:val="none" w:sz="0" w:space="0" w:color="auto"/>
                <w:left w:val="none" w:sz="0" w:space="0" w:color="auto"/>
                <w:bottom w:val="none" w:sz="0" w:space="0" w:color="auto"/>
                <w:right w:val="none" w:sz="0" w:space="0" w:color="auto"/>
              </w:divBdr>
            </w:div>
          </w:divsChild>
        </w:div>
        <w:div w:id="700015173">
          <w:marLeft w:val="0"/>
          <w:marRight w:val="0"/>
          <w:marTop w:val="0"/>
          <w:marBottom w:val="0"/>
          <w:divBdr>
            <w:top w:val="none" w:sz="0" w:space="0" w:color="auto"/>
            <w:left w:val="none" w:sz="0" w:space="0" w:color="auto"/>
            <w:bottom w:val="none" w:sz="0" w:space="0" w:color="auto"/>
            <w:right w:val="none" w:sz="0" w:space="0" w:color="auto"/>
          </w:divBdr>
          <w:divsChild>
            <w:div w:id="845243090">
              <w:marLeft w:val="0"/>
              <w:marRight w:val="0"/>
              <w:marTop w:val="0"/>
              <w:marBottom w:val="0"/>
              <w:divBdr>
                <w:top w:val="none" w:sz="0" w:space="0" w:color="auto"/>
                <w:left w:val="none" w:sz="0" w:space="0" w:color="auto"/>
                <w:bottom w:val="none" w:sz="0" w:space="0" w:color="auto"/>
                <w:right w:val="none" w:sz="0" w:space="0" w:color="auto"/>
              </w:divBdr>
            </w:div>
          </w:divsChild>
        </w:div>
        <w:div w:id="346833173">
          <w:marLeft w:val="0"/>
          <w:marRight w:val="0"/>
          <w:marTop w:val="0"/>
          <w:marBottom w:val="0"/>
          <w:divBdr>
            <w:top w:val="none" w:sz="0" w:space="0" w:color="auto"/>
            <w:left w:val="none" w:sz="0" w:space="0" w:color="auto"/>
            <w:bottom w:val="none" w:sz="0" w:space="0" w:color="auto"/>
            <w:right w:val="none" w:sz="0" w:space="0" w:color="auto"/>
          </w:divBdr>
          <w:divsChild>
            <w:div w:id="389501268">
              <w:marLeft w:val="0"/>
              <w:marRight w:val="0"/>
              <w:marTop w:val="0"/>
              <w:marBottom w:val="0"/>
              <w:divBdr>
                <w:top w:val="none" w:sz="0" w:space="0" w:color="auto"/>
                <w:left w:val="none" w:sz="0" w:space="0" w:color="auto"/>
                <w:bottom w:val="none" w:sz="0" w:space="0" w:color="auto"/>
                <w:right w:val="none" w:sz="0" w:space="0" w:color="auto"/>
              </w:divBdr>
            </w:div>
          </w:divsChild>
        </w:div>
        <w:div w:id="1248078748">
          <w:marLeft w:val="0"/>
          <w:marRight w:val="0"/>
          <w:marTop w:val="0"/>
          <w:marBottom w:val="0"/>
          <w:divBdr>
            <w:top w:val="none" w:sz="0" w:space="0" w:color="auto"/>
            <w:left w:val="none" w:sz="0" w:space="0" w:color="auto"/>
            <w:bottom w:val="none" w:sz="0" w:space="0" w:color="auto"/>
            <w:right w:val="none" w:sz="0" w:space="0" w:color="auto"/>
          </w:divBdr>
          <w:divsChild>
            <w:div w:id="1616477555">
              <w:marLeft w:val="0"/>
              <w:marRight w:val="0"/>
              <w:marTop w:val="0"/>
              <w:marBottom w:val="0"/>
              <w:divBdr>
                <w:top w:val="none" w:sz="0" w:space="0" w:color="auto"/>
                <w:left w:val="none" w:sz="0" w:space="0" w:color="auto"/>
                <w:bottom w:val="none" w:sz="0" w:space="0" w:color="auto"/>
                <w:right w:val="none" w:sz="0" w:space="0" w:color="auto"/>
              </w:divBdr>
            </w:div>
          </w:divsChild>
        </w:div>
        <w:div w:id="1474561041">
          <w:marLeft w:val="0"/>
          <w:marRight w:val="0"/>
          <w:marTop w:val="0"/>
          <w:marBottom w:val="0"/>
          <w:divBdr>
            <w:top w:val="none" w:sz="0" w:space="0" w:color="auto"/>
            <w:left w:val="none" w:sz="0" w:space="0" w:color="auto"/>
            <w:bottom w:val="none" w:sz="0" w:space="0" w:color="auto"/>
            <w:right w:val="none" w:sz="0" w:space="0" w:color="auto"/>
          </w:divBdr>
          <w:divsChild>
            <w:div w:id="134224710">
              <w:marLeft w:val="0"/>
              <w:marRight w:val="0"/>
              <w:marTop w:val="0"/>
              <w:marBottom w:val="0"/>
              <w:divBdr>
                <w:top w:val="none" w:sz="0" w:space="0" w:color="auto"/>
                <w:left w:val="none" w:sz="0" w:space="0" w:color="auto"/>
                <w:bottom w:val="none" w:sz="0" w:space="0" w:color="auto"/>
                <w:right w:val="none" w:sz="0" w:space="0" w:color="auto"/>
              </w:divBdr>
            </w:div>
          </w:divsChild>
        </w:div>
        <w:div w:id="1569608843">
          <w:marLeft w:val="0"/>
          <w:marRight w:val="0"/>
          <w:marTop w:val="0"/>
          <w:marBottom w:val="0"/>
          <w:divBdr>
            <w:top w:val="none" w:sz="0" w:space="0" w:color="auto"/>
            <w:left w:val="none" w:sz="0" w:space="0" w:color="auto"/>
            <w:bottom w:val="none" w:sz="0" w:space="0" w:color="auto"/>
            <w:right w:val="none" w:sz="0" w:space="0" w:color="auto"/>
          </w:divBdr>
          <w:divsChild>
            <w:div w:id="200676733">
              <w:marLeft w:val="0"/>
              <w:marRight w:val="0"/>
              <w:marTop w:val="0"/>
              <w:marBottom w:val="0"/>
              <w:divBdr>
                <w:top w:val="none" w:sz="0" w:space="0" w:color="auto"/>
                <w:left w:val="none" w:sz="0" w:space="0" w:color="auto"/>
                <w:bottom w:val="none" w:sz="0" w:space="0" w:color="auto"/>
                <w:right w:val="none" w:sz="0" w:space="0" w:color="auto"/>
              </w:divBdr>
            </w:div>
          </w:divsChild>
        </w:div>
        <w:div w:id="601302461">
          <w:marLeft w:val="0"/>
          <w:marRight w:val="0"/>
          <w:marTop w:val="0"/>
          <w:marBottom w:val="0"/>
          <w:divBdr>
            <w:top w:val="none" w:sz="0" w:space="0" w:color="auto"/>
            <w:left w:val="none" w:sz="0" w:space="0" w:color="auto"/>
            <w:bottom w:val="none" w:sz="0" w:space="0" w:color="auto"/>
            <w:right w:val="none" w:sz="0" w:space="0" w:color="auto"/>
          </w:divBdr>
          <w:divsChild>
            <w:div w:id="2066175957">
              <w:marLeft w:val="0"/>
              <w:marRight w:val="0"/>
              <w:marTop w:val="0"/>
              <w:marBottom w:val="0"/>
              <w:divBdr>
                <w:top w:val="none" w:sz="0" w:space="0" w:color="auto"/>
                <w:left w:val="none" w:sz="0" w:space="0" w:color="auto"/>
                <w:bottom w:val="none" w:sz="0" w:space="0" w:color="auto"/>
                <w:right w:val="none" w:sz="0" w:space="0" w:color="auto"/>
              </w:divBdr>
            </w:div>
          </w:divsChild>
        </w:div>
        <w:div w:id="425729810">
          <w:marLeft w:val="0"/>
          <w:marRight w:val="0"/>
          <w:marTop w:val="0"/>
          <w:marBottom w:val="0"/>
          <w:divBdr>
            <w:top w:val="none" w:sz="0" w:space="0" w:color="auto"/>
            <w:left w:val="none" w:sz="0" w:space="0" w:color="auto"/>
            <w:bottom w:val="none" w:sz="0" w:space="0" w:color="auto"/>
            <w:right w:val="none" w:sz="0" w:space="0" w:color="auto"/>
          </w:divBdr>
          <w:divsChild>
            <w:div w:id="1223981225">
              <w:marLeft w:val="0"/>
              <w:marRight w:val="0"/>
              <w:marTop w:val="0"/>
              <w:marBottom w:val="0"/>
              <w:divBdr>
                <w:top w:val="none" w:sz="0" w:space="0" w:color="auto"/>
                <w:left w:val="none" w:sz="0" w:space="0" w:color="auto"/>
                <w:bottom w:val="none" w:sz="0" w:space="0" w:color="auto"/>
                <w:right w:val="none" w:sz="0" w:space="0" w:color="auto"/>
              </w:divBdr>
            </w:div>
          </w:divsChild>
        </w:div>
        <w:div w:id="2035422445">
          <w:marLeft w:val="0"/>
          <w:marRight w:val="0"/>
          <w:marTop w:val="300"/>
          <w:marBottom w:val="300"/>
          <w:divBdr>
            <w:top w:val="none" w:sz="0" w:space="0" w:color="auto"/>
            <w:left w:val="none" w:sz="0" w:space="0" w:color="auto"/>
            <w:bottom w:val="none" w:sz="0" w:space="0" w:color="auto"/>
            <w:right w:val="none" w:sz="0" w:space="0" w:color="auto"/>
          </w:divBdr>
        </w:div>
        <w:div w:id="1932542024">
          <w:marLeft w:val="0"/>
          <w:marRight w:val="0"/>
          <w:marTop w:val="0"/>
          <w:marBottom w:val="0"/>
          <w:divBdr>
            <w:top w:val="none" w:sz="0" w:space="0" w:color="auto"/>
            <w:left w:val="none" w:sz="0" w:space="0" w:color="auto"/>
            <w:bottom w:val="none" w:sz="0" w:space="0" w:color="auto"/>
            <w:right w:val="none" w:sz="0" w:space="0" w:color="auto"/>
          </w:divBdr>
          <w:divsChild>
            <w:div w:id="1234584844">
              <w:marLeft w:val="0"/>
              <w:marRight w:val="0"/>
              <w:marTop w:val="0"/>
              <w:marBottom w:val="0"/>
              <w:divBdr>
                <w:top w:val="none" w:sz="0" w:space="0" w:color="auto"/>
                <w:left w:val="none" w:sz="0" w:space="0" w:color="auto"/>
                <w:bottom w:val="none" w:sz="0" w:space="0" w:color="auto"/>
                <w:right w:val="none" w:sz="0" w:space="0" w:color="auto"/>
              </w:divBdr>
            </w:div>
          </w:divsChild>
        </w:div>
        <w:div w:id="1788769605">
          <w:marLeft w:val="0"/>
          <w:marRight w:val="0"/>
          <w:marTop w:val="0"/>
          <w:marBottom w:val="0"/>
          <w:divBdr>
            <w:top w:val="none" w:sz="0" w:space="0" w:color="auto"/>
            <w:left w:val="none" w:sz="0" w:space="0" w:color="auto"/>
            <w:bottom w:val="none" w:sz="0" w:space="0" w:color="auto"/>
            <w:right w:val="none" w:sz="0" w:space="0" w:color="auto"/>
          </w:divBdr>
          <w:divsChild>
            <w:div w:id="787238393">
              <w:marLeft w:val="0"/>
              <w:marRight w:val="0"/>
              <w:marTop w:val="0"/>
              <w:marBottom w:val="0"/>
              <w:divBdr>
                <w:top w:val="none" w:sz="0" w:space="0" w:color="auto"/>
                <w:left w:val="none" w:sz="0" w:space="0" w:color="auto"/>
                <w:bottom w:val="none" w:sz="0" w:space="0" w:color="auto"/>
                <w:right w:val="none" w:sz="0" w:space="0" w:color="auto"/>
              </w:divBdr>
            </w:div>
          </w:divsChild>
        </w:div>
        <w:div w:id="1387728129">
          <w:marLeft w:val="0"/>
          <w:marRight w:val="0"/>
          <w:marTop w:val="0"/>
          <w:marBottom w:val="0"/>
          <w:divBdr>
            <w:top w:val="none" w:sz="0" w:space="0" w:color="auto"/>
            <w:left w:val="none" w:sz="0" w:space="0" w:color="auto"/>
            <w:bottom w:val="none" w:sz="0" w:space="0" w:color="auto"/>
            <w:right w:val="none" w:sz="0" w:space="0" w:color="auto"/>
          </w:divBdr>
          <w:divsChild>
            <w:div w:id="92553086">
              <w:marLeft w:val="0"/>
              <w:marRight w:val="0"/>
              <w:marTop w:val="0"/>
              <w:marBottom w:val="0"/>
              <w:divBdr>
                <w:top w:val="none" w:sz="0" w:space="0" w:color="auto"/>
                <w:left w:val="none" w:sz="0" w:space="0" w:color="auto"/>
                <w:bottom w:val="none" w:sz="0" w:space="0" w:color="auto"/>
                <w:right w:val="none" w:sz="0" w:space="0" w:color="auto"/>
              </w:divBdr>
            </w:div>
          </w:divsChild>
        </w:div>
        <w:div w:id="959729521">
          <w:marLeft w:val="0"/>
          <w:marRight w:val="0"/>
          <w:marTop w:val="0"/>
          <w:marBottom w:val="0"/>
          <w:divBdr>
            <w:top w:val="none" w:sz="0" w:space="0" w:color="auto"/>
            <w:left w:val="none" w:sz="0" w:space="0" w:color="auto"/>
            <w:bottom w:val="none" w:sz="0" w:space="0" w:color="auto"/>
            <w:right w:val="none" w:sz="0" w:space="0" w:color="auto"/>
          </w:divBdr>
          <w:divsChild>
            <w:div w:id="1733504398">
              <w:marLeft w:val="0"/>
              <w:marRight w:val="0"/>
              <w:marTop w:val="0"/>
              <w:marBottom w:val="0"/>
              <w:divBdr>
                <w:top w:val="none" w:sz="0" w:space="0" w:color="auto"/>
                <w:left w:val="none" w:sz="0" w:space="0" w:color="auto"/>
                <w:bottom w:val="none" w:sz="0" w:space="0" w:color="auto"/>
                <w:right w:val="none" w:sz="0" w:space="0" w:color="auto"/>
              </w:divBdr>
            </w:div>
          </w:divsChild>
        </w:div>
        <w:div w:id="977299819">
          <w:marLeft w:val="0"/>
          <w:marRight w:val="0"/>
          <w:marTop w:val="0"/>
          <w:marBottom w:val="0"/>
          <w:divBdr>
            <w:top w:val="none" w:sz="0" w:space="0" w:color="auto"/>
            <w:left w:val="none" w:sz="0" w:space="0" w:color="auto"/>
            <w:bottom w:val="none" w:sz="0" w:space="0" w:color="auto"/>
            <w:right w:val="none" w:sz="0" w:space="0" w:color="auto"/>
          </w:divBdr>
          <w:divsChild>
            <w:div w:id="1135098262">
              <w:marLeft w:val="0"/>
              <w:marRight w:val="0"/>
              <w:marTop w:val="0"/>
              <w:marBottom w:val="0"/>
              <w:divBdr>
                <w:top w:val="none" w:sz="0" w:space="0" w:color="auto"/>
                <w:left w:val="none" w:sz="0" w:space="0" w:color="auto"/>
                <w:bottom w:val="none" w:sz="0" w:space="0" w:color="auto"/>
                <w:right w:val="none" w:sz="0" w:space="0" w:color="auto"/>
              </w:divBdr>
            </w:div>
          </w:divsChild>
        </w:div>
        <w:div w:id="1348483299">
          <w:marLeft w:val="0"/>
          <w:marRight w:val="0"/>
          <w:marTop w:val="300"/>
          <w:marBottom w:val="300"/>
          <w:divBdr>
            <w:top w:val="none" w:sz="0" w:space="0" w:color="auto"/>
            <w:left w:val="none" w:sz="0" w:space="0" w:color="auto"/>
            <w:bottom w:val="none" w:sz="0" w:space="0" w:color="auto"/>
            <w:right w:val="none" w:sz="0" w:space="0" w:color="auto"/>
          </w:divBdr>
        </w:div>
        <w:div w:id="479033732">
          <w:marLeft w:val="0"/>
          <w:marRight w:val="0"/>
          <w:marTop w:val="0"/>
          <w:marBottom w:val="0"/>
          <w:divBdr>
            <w:top w:val="none" w:sz="0" w:space="0" w:color="auto"/>
            <w:left w:val="none" w:sz="0" w:space="0" w:color="auto"/>
            <w:bottom w:val="none" w:sz="0" w:space="0" w:color="auto"/>
            <w:right w:val="none" w:sz="0" w:space="0" w:color="auto"/>
          </w:divBdr>
          <w:divsChild>
            <w:div w:id="86733039">
              <w:marLeft w:val="0"/>
              <w:marRight w:val="0"/>
              <w:marTop w:val="0"/>
              <w:marBottom w:val="0"/>
              <w:divBdr>
                <w:top w:val="none" w:sz="0" w:space="0" w:color="auto"/>
                <w:left w:val="none" w:sz="0" w:space="0" w:color="auto"/>
                <w:bottom w:val="none" w:sz="0" w:space="0" w:color="auto"/>
                <w:right w:val="none" w:sz="0" w:space="0" w:color="auto"/>
              </w:divBdr>
            </w:div>
          </w:divsChild>
        </w:div>
        <w:div w:id="375666903">
          <w:marLeft w:val="0"/>
          <w:marRight w:val="0"/>
          <w:marTop w:val="0"/>
          <w:marBottom w:val="0"/>
          <w:divBdr>
            <w:top w:val="none" w:sz="0" w:space="0" w:color="auto"/>
            <w:left w:val="none" w:sz="0" w:space="0" w:color="auto"/>
            <w:bottom w:val="none" w:sz="0" w:space="0" w:color="auto"/>
            <w:right w:val="none" w:sz="0" w:space="0" w:color="auto"/>
          </w:divBdr>
          <w:divsChild>
            <w:div w:id="1872110185">
              <w:marLeft w:val="0"/>
              <w:marRight w:val="0"/>
              <w:marTop w:val="0"/>
              <w:marBottom w:val="0"/>
              <w:divBdr>
                <w:top w:val="none" w:sz="0" w:space="0" w:color="auto"/>
                <w:left w:val="none" w:sz="0" w:space="0" w:color="auto"/>
                <w:bottom w:val="none" w:sz="0" w:space="0" w:color="auto"/>
                <w:right w:val="none" w:sz="0" w:space="0" w:color="auto"/>
              </w:divBdr>
            </w:div>
          </w:divsChild>
        </w:div>
        <w:div w:id="915357575">
          <w:marLeft w:val="0"/>
          <w:marRight w:val="0"/>
          <w:marTop w:val="300"/>
          <w:marBottom w:val="300"/>
          <w:divBdr>
            <w:top w:val="none" w:sz="0" w:space="0" w:color="auto"/>
            <w:left w:val="none" w:sz="0" w:space="0" w:color="auto"/>
            <w:bottom w:val="none" w:sz="0" w:space="0" w:color="auto"/>
            <w:right w:val="none" w:sz="0" w:space="0" w:color="auto"/>
          </w:divBdr>
        </w:div>
        <w:div w:id="1101295003">
          <w:marLeft w:val="0"/>
          <w:marRight w:val="0"/>
          <w:marTop w:val="0"/>
          <w:marBottom w:val="0"/>
          <w:divBdr>
            <w:top w:val="none" w:sz="0" w:space="0" w:color="auto"/>
            <w:left w:val="none" w:sz="0" w:space="0" w:color="auto"/>
            <w:bottom w:val="none" w:sz="0" w:space="0" w:color="auto"/>
            <w:right w:val="none" w:sz="0" w:space="0" w:color="auto"/>
          </w:divBdr>
          <w:divsChild>
            <w:div w:id="686948717">
              <w:marLeft w:val="0"/>
              <w:marRight w:val="0"/>
              <w:marTop w:val="0"/>
              <w:marBottom w:val="0"/>
              <w:divBdr>
                <w:top w:val="none" w:sz="0" w:space="0" w:color="auto"/>
                <w:left w:val="none" w:sz="0" w:space="0" w:color="auto"/>
                <w:bottom w:val="none" w:sz="0" w:space="0" w:color="auto"/>
                <w:right w:val="none" w:sz="0" w:space="0" w:color="auto"/>
              </w:divBdr>
            </w:div>
          </w:divsChild>
        </w:div>
        <w:div w:id="490298422">
          <w:marLeft w:val="0"/>
          <w:marRight w:val="0"/>
          <w:marTop w:val="0"/>
          <w:marBottom w:val="0"/>
          <w:divBdr>
            <w:top w:val="none" w:sz="0" w:space="0" w:color="auto"/>
            <w:left w:val="none" w:sz="0" w:space="0" w:color="auto"/>
            <w:bottom w:val="none" w:sz="0" w:space="0" w:color="auto"/>
            <w:right w:val="none" w:sz="0" w:space="0" w:color="auto"/>
          </w:divBdr>
          <w:divsChild>
            <w:div w:id="54011197">
              <w:marLeft w:val="0"/>
              <w:marRight w:val="0"/>
              <w:marTop w:val="0"/>
              <w:marBottom w:val="0"/>
              <w:divBdr>
                <w:top w:val="none" w:sz="0" w:space="0" w:color="auto"/>
                <w:left w:val="none" w:sz="0" w:space="0" w:color="auto"/>
                <w:bottom w:val="none" w:sz="0" w:space="0" w:color="auto"/>
                <w:right w:val="none" w:sz="0" w:space="0" w:color="auto"/>
              </w:divBdr>
            </w:div>
          </w:divsChild>
        </w:div>
        <w:div w:id="1702852273">
          <w:marLeft w:val="0"/>
          <w:marRight w:val="0"/>
          <w:marTop w:val="0"/>
          <w:marBottom w:val="0"/>
          <w:divBdr>
            <w:top w:val="none" w:sz="0" w:space="0" w:color="auto"/>
            <w:left w:val="none" w:sz="0" w:space="0" w:color="auto"/>
            <w:bottom w:val="none" w:sz="0" w:space="0" w:color="auto"/>
            <w:right w:val="none" w:sz="0" w:space="0" w:color="auto"/>
          </w:divBdr>
          <w:divsChild>
            <w:div w:id="415370921">
              <w:marLeft w:val="0"/>
              <w:marRight w:val="0"/>
              <w:marTop w:val="0"/>
              <w:marBottom w:val="0"/>
              <w:divBdr>
                <w:top w:val="none" w:sz="0" w:space="0" w:color="auto"/>
                <w:left w:val="none" w:sz="0" w:space="0" w:color="auto"/>
                <w:bottom w:val="none" w:sz="0" w:space="0" w:color="auto"/>
                <w:right w:val="none" w:sz="0" w:space="0" w:color="auto"/>
              </w:divBdr>
            </w:div>
          </w:divsChild>
        </w:div>
        <w:div w:id="1155999248">
          <w:marLeft w:val="0"/>
          <w:marRight w:val="0"/>
          <w:marTop w:val="0"/>
          <w:marBottom w:val="0"/>
          <w:divBdr>
            <w:top w:val="none" w:sz="0" w:space="0" w:color="auto"/>
            <w:left w:val="none" w:sz="0" w:space="0" w:color="auto"/>
            <w:bottom w:val="none" w:sz="0" w:space="0" w:color="auto"/>
            <w:right w:val="none" w:sz="0" w:space="0" w:color="auto"/>
          </w:divBdr>
          <w:divsChild>
            <w:div w:id="549848173">
              <w:marLeft w:val="0"/>
              <w:marRight w:val="0"/>
              <w:marTop w:val="0"/>
              <w:marBottom w:val="0"/>
              <w:divBdr>
                <w:top w:val="none" w:sz="0" w:space="0" w:color="auto"/>
                <w:left w:val="none" w:sz="0" w:space="0" w:color="auto"/>
                <w:bottom w:val="none" w:sz="0" w:space="0" w:color="auto"/>
                <w:right w:val="none" w:sz="0" w:space="0" w:color="auto"/>
              </w:divBdr>
            </w:div>
          </w:divsChild>
        </w:div>
        <w:div w:id="504975953">
          <w:marLeft w:val="0"/>
          <w:marRight w:val="0"/>
          <w:marTop w:val="0"/>
          <w:marBottom w:val="0"/>
          <w:divBdr>
            <w:top w:val="none" w:sz="0" w:space="0" w:color="auto"/>
            <w:left w:val="none" w:sz="0" w:space="0" w:color="auto"/>
            <w:bottom w:val="none" w:sz="0" w:space="0" w:color="auto"/>
            <w:right w:val="none" w:sz="0" w:space="0" w:color="auto"/>
          </w:divBdr>
          <w:divsChild>
            <w:div w:id="1215628602">
              <w:marLeft w:val="0"/>
              <w:marRight w:val="0"/>
              <w:marTop w:val="0"/>
              <w:marBottom w:val="0"/>
              <w:divBdr>
                <w:top w:val="none" w:sz="0" w:space="0" w:color="auto"/>
                <w:left w:val="none" w:sz="0" w:space="0" w:color="auto"/>
                <w:bottom w:val="none" w:sz="0" w:space="0" w:color="auto"/>
                <w:right w:val="none" w:sz="0" w:space="0" w:color="auto"/>
              </w:divBdr>
            </w:div>
          </w:divsChild>
        </w:div>
        <w:div w:id="752892385">
          <w:marLeft w:val="0"/>
          <w:marRight w:val="0"/>
          <w:marTop w:val="0"/>
          <w:marBottom w:val="0"/>
          <w:divBdr>
            <w:top w:val="none" w:sz="0" w:space="0" w:color="auto"/>
            <w:left w:val="none" w:sz="0" w:space="0" w:color="auto"/>
            <w:bottom w:val="none" w:sz="0" w:space="0" w:color="auto"/>
            <w:right w:val="none" w:sz="0" w:space="0" w:color="auto"/>
          </w:divBdr>
          <w:divsChild>
            <w:div w:id="413089514">
              <w:marLeft w:val="0"/>
              <w:marRight w:val="0"/>
              <w:marTop w:val="0"/>
              <w:marBottom w:val="0"/>
              <w:divBdr>
                <w:top w:val="none" w:sz="0" w:space="0" w:color="auto"/>
                <w:left w:val="none" w:sz="0" w:space="0" w:color="auto"/>
                <w:bottom w:val="none" w:sz="0" w:space="0" w:color="auto"/>
                <w:right w:val="none" w:sz="0" w:space="0" w:color="auto"/>
              </w:divBdr>
            </w:div>
          </w:divsChild>
        </w:div>
        <w:div w:id="2059276434">
          <w:marLeft w:val="0"/>
          <w:marRight w:val="0"/>
          <w:marTop w:val="0"/>
          <w:marBottom w:val="0"/>
          <w:divBdr>
            <w:top w:val="none" w:sz="0" w:space="0" w:color="auto"/>
            <w:left w:val="none" w:sz="0" w:space="0" w:color="auto"/>
            <w:bottom w:val="none" w:sz="0" w:space="0" w:color="auto"/>
            <w:right w:val="none" w:sz="0" w:space="0" w:color="auto"/>
          </w:divBdr>
          <w:divsChild>
            <w:div w:id="33122858">
              <w:marLeft w:val="0"/>
              <w:marRight w:val="0"/>
              <w:marTop w:val="0"/>
              <w:marBottom w:val="0"/>
              <w:divBdr>
                <w:top w:val="none" w:sz="0" w:space="0" w:color="auto"/>
                <w:left w:val="none" w:sz="0" w:space="0" w:color="auto"/>
                <w:bottom w:val="none" w:sz="0" w:space="0" w:color="auto"/>
                <w:right w:val="none" w:sz="0" w:space="0" w:color="auto"/>
              </w:divBdr>
            </w:div>
          </w:divsChild>
        </w:div>
        <w:div w:id="1695307372">
          <w:marLeft w:val="0"/>
          <w:marRight w:val="0"/>
          <w:marTop w:val="0"/>
          <w:marBottom w:val="0"/>
          <w:divBdr>
            <w:top w:val="none" w:sz="0" w:space="0" w:color="auto"/>
            <w:left w:val="none" w:sz="0" w:space="0" w:color="auto"/>
            <w:bottom w:val="none" w:sz="0" w:space="0" w:color="auto"/>
            <w:right w:val="none" w:sz="0" w:space="0" w:color="auto"/>
          </w:divBdr>
          <w:divsChild>
            <w:div w:id="1240410551">
              <w:marLeft w:val="0"/>
              <w:marRight w:val="0"/>
              <w:marTop w:val="0"/>
              <w:marBottom w:val="0"/>
              <w:divBdr>
                <w:top w:val="none" w:sz="0" w:space="0" w:color="auto"/>
                <w:left w:val="none" w:sz="0" w:space="0" w:color="auto"/>
                <w:bottom w:val="none" w:sz="0" w:space="0" w:color="auto"/>
                <w:right w:val="none" w:sz="0" w:space="0" w:color="auto"/>
              </w:divBdr>
            </w:div>
          </w:divsChild>
        </w:div>
        <w:div w:id="817570489">
          <w:marLeft w:val="0"/>
          <w:marRight w:val="0"/>
          <w:marTop w:val="0"/>
          <w:marBottom w:val="0"/>
          <w:divBdr>
            <w:top w:val="none" w:sz="0" w:space="0" w:color="auto"/>
            <w:left w:val="none" w:sz="0" w:space="0" w:color="auto"/>
            <w:bottom w:val="none" w:sz="0" w:space="0" w:color="auto"/>
            <w:right w:val="none" w:sz="0" w:space="0" w:color="auto"/>
          </w:divBdr>
          <w:divsChild>
            <w:div w:id="512187193">
              <w:marLeft w:val="0"/>
              <w:marRight w:val="0"/>
              <w:marTop w:val="0"/>
              <w:marBottom w:val="0"/>
              <w:divBdr>
                <w:top w:val="none" w:sz="0" w:space="0" w:color="auto"/>
                <w:left w:val="none" w:sz="0" w:space="0" w:color="auto"/>
                <w:bottom w:val="none" w:sz="0" w:space="0" w:color="auto"/>
                <w:right w:val="none" w:sz="0" w:space="0" w:color="auto"/>
              </w:divBdr>
            </w:div>
          </w:divsChild>
        </w:div>
        <w:div w:id="139079720">
          <w:marLeft w:val="0"/>
          <w:marRight w:val="0"/>
          <w:marTop w:val="0"/>
          <w:marBottom w:val="0"/>
          <w:divBdr>
            <w:top w:val="none" w:sz="0" w:space="0" w:color="auto"/>
            <w:left w:val="none" w:sz="0" w:space="0" w:color="auto"/>
            <w:bottom w:val="none" w:sz="0" w:space="0" w:color="auto"/>
            <w:right w:val="none" w:sz="0" w:space="0" w:color="auto"/>
          </w:divBdr>
          <w:divsChild>
            <w:div w:id="496768922">
              <w:marLeft w:val="0"/>
              <w:marRight w:val="0"/>
              <w:marTop w:val="0"/>
              <w:marBottom w:val="0"/>
              <w:divBdr>
                <w:top w:val="none" w:sz="0" w:space="0" w:color="auto"/>
                <w:left w:val="none" w:sz="0" w:space="0" w:color="auto"/>
                <w:bottom w:val="none" w:sz="0" w:space="0" w:color="auto"/>
                <w:right w:val="none" w:sz="0" w:space="0" w:color="auto"/>
              </w:divBdr>
            </w:div>
          </w:divsChild>
        </w:div>
        <w:div w:id="1195532877">
          <w:marLeft w:val="0"/>
          <w:marRight w:val="0"/>
          <w:marTop w:val="0"/>
          <w:marBottom w:val="0"/>
          <w:divBdr>
            <w:top w:val="none" w:sz="0" w:space="0" w:color="auto"/>
            <w:left w:val="none" w:sz="0" w:space="0" w:color="auto"/>
            <w:bottom w:val="none" w:sz="0" w:space="0" w:color="auto"/>
            <w:right w:val="none" w:sz="0" w:space="0" w:color="auto"/>
          </w:divBdr>
          <w:divsChild>
            <w:div w:id="2065563806">
              <w:marLeft w:val="0"/>
              <w:marRight w:val="0"/>
              <w:marTop w:val="0"/>
              <w:marBottom w:val="0"/>
              <w:divBdr>
                <w:top w:val="none" w:sz="0" w:space="0" w:color="auto"/>
                <w:left w:val="none" w:sz="0" w:space="0" w:color="auto"/>
                <w:bottom w:val="none" w:sz="0" w:space="0" w:color="auto"/>
                <w:right w:val="none" w:sz="0" w:space="0" w:color="auto"/>
              </w:divBdr>
            </w:div>
          </w:divsChild>
        </w:div>
        <w:div w:id="108596615">
          <w:marLeft w:val="0"/>
          <w:marRight w:val="0"/>
          <w:marTop w:val="0"/>
          <w:marBottom w:val="0"/>
          <w:divBdr>
            <w:top w:val="none" w:sz="0" w:space="0" w:color="auto"/>
            <w:left w:val="none" w:sz="0" w:space="0" w:color="auto"/>
            <w:bottom w:val="none" w:sz="0" w:space="0" w:color="auto"/>
            <w:right w:val="none" w:sz="0" w:space="0" w:color="auto"/>
          </w:divBdr>
          <w:divsChild>
            <w:div w:id="1024748295">
              <w:marLeft w:val="0"/>
              <w:marRight w:val="0"/>
              <w:marTop w:val="0"/>
              <w:marBottom w:val="0"/>
              <w:divBdr>
                <w:top w:val="none" w:sz="0" w:space="0" w:color="auto"/>
                <w:left w:val="none" w:sz="0" w:space="0" w:color="auto"/>
                <w:bottom w:val="none" w:sz="0" w:space="0" w:color="auto"/>
                <w:right w:val="none" w:sz="0" w:space="0" w:color="auto"/>
              </w:divBdr>
            </w:div>
          </w:divsChild>
        </w:div>
        <w:div w:id="1646812690">
          <w:marLeft w:val="0"/>
          <w:marRight w:val="0"/>
          <w:marTop w:val="0"/>
          <w:marBottom w:val="0"/>
          <w:divBdr>
            <w:top w:val="none" w:sz="0" w:space="0" w:color="auto"/>
            <w:left w:val="none" w:sz="0" w:space="0" w:color="auto"/>
            <w:bottom w:val="none" w:sz="0" w:space="0" w:color="auto"/>
            <w:right w:val="none" w:sz="0" w:space="0" w:color="auto"/>
          </w:divBdr>
          <w:divsChild>
            <w:div w:id="215048138">
              <w:marLeft w:val="0"/>
              <w:marRight w:val="0"/>
              <w:marTop w:val="0"/>
              <w:marBottom w:val="0"/>
              <w:divBdr>
                <w:top w:val="none" w:sz="0" w:space="0" w:color="auto"/>
                <w:left w:val="none" w:sz="0" w:space="0" w:color="auto"/>
                <w:bottom w:val="none" w:sz="0" w:space="0" w:color="auto"/>
                <w:right w:val="none" w:sz="0" w:space="0" w:color="auto"/>
              </w:divBdr>
            </w:div>
          </w:divsChild>
        </w:div>
        <w:div w:id="1645307611">
          <w:marLeft w:val="0"/>
          <w:marRight w:val="0"/>
          <w:marTop w:val="0"/>
          <w:marBottom w:val="0"/>
          <w:divBdr>
            <w:top w:val="none" w:sz="0" w:space="0" w:color="auto"/>
            <w:left w:val="none" w:sz="0" w:space="0" w:color="auto"/>
            <w:bottom w:val="none" w:sz="0" w:space="0" w:color="auto"/>
            <w:right w:val="none" w:sz="0" w:space="0" w:color="auto"/>
          </w:divBdr>
          <w:divsChild>
            <w:div w:id="1924290599">
              <w:marLeft w:val="0"/>
              <w:marRight w:val="0"/>
              <w:marTop w:val="0"/>
              <w:marBottom w:val="0"/>
              <w:divBdr>
                <w:top w:val="none" w:sz="0" w:space="0" w:color="auto"/>
                <w:left w:val="none" w:sz="0" w:space="0" w:color="auto"/>
                <w:bottom w:val="none" w:sz="0" w:space="0" w:color="auto"/>
                <w:right w:val="none" w:sz="0" w:space="0" w:color="auto"/>
              </w:divBdr>
            </w:div>
          </w:divsChild>
        </w:div>
        <w:div w:id="175848180">
          <w:marLeft w:val="0"/>
          <w:marRight w:val="0"/>
          <w:marTop w:val="0"/>
          <w:marBottom w:val="0"/>
          <w:divBdr>
            <w:top w:val="none" w:sz="0" w:space="0" w:color="auto"/>
            <w:left w:val="none" w:sz="0" w:space="0" w:color="auto"/>
            <w:bottom w:val="none" w:sz="0" w:space="0" w:color="auto"/>
            <w:right w:val="none" w:sz="0" w:space="0" w:color="auto"/>
          </w:divBdr>
          <w:divsChild>
            <w:div w:id="23409774">
              <w:marLeft w:val="0"/>
              <w:marRight w:val="0"/>
              <w:marTop w:val="0"/>
              <w:marBottom w:val="0"/>
              <w:divBdr>
                <w:top w:val="none" w:sz="0" w:space="0" w:color="auto"/>
                <w:left w:val="none" w:sz="0" w:space="0" w:color="auto"/>
                <w:bottom w:val="none" w:sz="0" w:space="0" w:color="auto"/>
                <w:right w:val="none" w:sz="0" w:space="0" w:color="auto"/>
              </w:divBdr>
            </w:div>
          </w:divsChild>
        </w:div>
        <w:div w:id="2142191340">
          <w:marLeft w:val="0"/>
          <w:marRight w:val="0"/>
          <w:marTop w:val="0"/>
          <w:marBottom w:val="0"/>
          <w:divBdr>
            <w:top w:val="none" w:sz="0" w:space="0" w:color="auto"/>
            <w:left w:val="none" w:sz="0" w:space="0" w:color="auto"/>
            <w:bottom w:val="none" w:sz="0" w:space="0" w:color="auto"/>
            <w:right w:val="none" w:sz="0" w:space="0" w:color="auto"/>
          </w:divBdr>
          <w:divsChild>
            <w:div w:id="894437153">
              <w:marLeft w:val="0"/>
              <w:marRight w:val="0"/>
              <w:marTop w:val="0"/>
              <w:marBottom w:val="0"/>
              <w:divBdr>
                <w:top w:val="none" w:sz="0" w:space="0" w:color="auto"/>
                <w:left w:val="none" w:sz="0" w:space="0" w:color="auto"/>
                <w:bottom w:val="none" w:sz="0" w:space="0" w:color="auto"/>
                <w:right w:val="none" w:sz="0" w:space="0" w:color="auto"/>
              </w:divBdr>
            </w:div>
          </w:divsChild>
        </w:div>
        <w:div w:id="154420241">
          <w:marLeft w:val="0"/>
          <w:marRight w:val="0"/>
          <w:marTop w:val="0"/>
          <w:marBottom w:val="0"/>
          <w:divBdr>
            <w:top w:val="none" w:sz="0" w:space="0" w:color="auto"/>
            <w:left w:val="none" w:sz="0" w:space="0" w:color="auto"/>
            <w:bottom w:val="none" w:sz="0" w:space="0" w:color="auto"/>
            <w:right w:val="none" w:sz="0" w:space="0" w:color="auto"/>
          </w:divBdr>
          <w:divsChild>
            <w:div w:id="292298477">
              <w:marLeft w:val="0"/>
              <w:marRight w:val="0"/>
              <w:marTop w:val="0"/>
              <w:marBottom w:val="0"/>
              <w:divBdr>
                <w:top w:val="none" w:sz="0" w:space="0" w:color="auto"/>
                <w:left w:val="none" w:sz="0" w:space="0" w:color="auto"/>
                <w:bottom w:val="none" w:sz="0" w:space="0" w:color="auto"/>
                <w:right w:val="none" w:sz="0" w:space="0" w:color="auto"/>
              </w:divBdr>
            </w:div>
          </w:divsChild>
        </w:div>
        <w:div w:id="1158576515">
          <w:marLeft w:val="0"/>
          <w:marRight w:val="0"/>
          <w:marTop w:val="0"/>
          <w:marBottom w:val="0"/>
          <w:divBdr>
            <w:top w:val="none" w:sz="0" w:space="0" w:color="auto"/>
            <w:left w:val="none" w:sz="0" w:space="0" w:color="auto"/>
            <w:bottom w:val="none" w:sz="0" w:space="0" w:color="auto"/>
            <w:right w:val="none" w:sz="0" w:space="0" w:color="auto"/>
          </w:divBdr>
          <w:divsChild>
            <w:div w:id="1304847872">
              <w:marLeft w:val="0"/>
              <w:marRight w:val="0"/>
              <w:marTop w:val="0"/>
              <w:marBottom w:val="0"/>
              <w:divBdr>
                <w:top w:val="none" w:sz="0" w:space="0" w:color="auto"/>
                <w:left w:val="none" w:sz="0" w:space="0" w:color="auto"/>
                <w:bottom w:val="none" w:sz="0" w:space="0" w:color="auto"/>
                <w:right w:val="none" w:sz="0" w:space="0" w:color="auto"/>
              </w:divBdr>
            </w:div>
          </w:divsChild>
        </w:div>
        <w:div w:id="1377270084">
          <w:marLeft w:val="0"/>
          <w:marRight w:val="0"/>
          <w:marTop w:val="300"/>
          <w:marBottom w:val="300"/>
          <w:divBdr>
            <w:top w:val="none" w:sz="0" w:space="0" w:color="auto"/>
            <w:left w:val="none" w:sz="0" w:space="0" w:color="auto"/>
            <w:bottom w:val="none" w:sz="0" w:space="0" w:color="auto"/>
            <w:right w:val="none" w:sz="0" w:space="0" w:color="auto"/>
          </w:divBdr>
        </w:div>
        <w:div w:id="1408453842">
          <w:marLeft w:val="0"/>
          <w:marRight w:val="0"/>
          <w:marTop w:val="0"/>
          <w:marBottom w:val="0"/>
          <w:divBdr>
            <w:top w:val="none" w:sz="0" w:space="0" w:color="auto"/>
            <w:left w:val="none" w:sz="0" w:space="0" w:color="auto"/>
            <w:bottom w:val="none" w:sz="0" w:space="0" w:color="auto"/>
            <w:right w:val="none" w:sz="0" w:space="0" w:color="auto"/>
          </w:divBdr>
          <w:divsChild>
            <w:div w:id="1245141037">
              <w:marLeft w:val="0"/>
              <w:marRight w:val="0"/>
              <w:marTop w:val="0"/>
              <w:marBottom w:val="0"/>
              <w:divBdr>
                <w:top w:val="none" w:sz="0" w:space="0" w:color="auto"/>
                <w:left w:val="none" w:sz="0" w:space="0" w:color="auto"/>
                <w:bottom w:val="none" w:sz="0" w:space="0" w:color="auto"/>
                <w:right w:val="none" w:sz="0" w:space="0" w:color="auto"/>
              </w:divBdr>
            </w:div>
          </w:divsChild>
        </w:div>
        <w:div w:id="2103139023">
          <w:marLeft w:val="0"/>
          <w:marRight w:val="0"/>
          <w:marTop w:val="0"/>
          <w:marBottom w:val="0"/>
          <w:divBdr>
            <w:top w:val="none" w:sz="0" w:space="0" w:color="auto"/>
            <w:left w:val="none" w:sz="0" w:space="0" w:color="auto"/>
            <w:bottom w:val="none" w:sz="0" w:space="0" w:color="auto"/>
            <w:right w:val="none" w:sz="0" w:space="0" w:color="auto"/>
          </w:divBdr>
          <w:divsChild>
            <w:div w:id="601843028">
              <w:marLeft w:val="0"/>
              <w:marRight w:val="0"/>
              <w:marTop w:val="0"/>
              <w:marBottom w:val="0"/>
              <w:divBdr>
                <w:top w:val="none" w:sz="0" w:space="0" w:color="auto"/>
                <w:left w:val="none" w:sz="0" w:space="0" w:color="auto"/>
                <w:bottom w:val="none" w:sz="0" w:space="0" w:color="auto"/>
                <w:right w:val="none" w:sz="0" w:space="0" w:color="auto"/>
              </w:divBdr>
            </w:div>
          </w:divsChild>
        </w:div>
        <w:div w:id="533613237">
          <w:marLeft w:val="0"/>
          <w:marRight w:val="0"/>
          <w:marTop w:val="0"/>
          <w:marBottom w:val="0"/>
          <w:divBdr>
            <w:top w:val="none" w:sz="0" w:space="0" w:color="auto"/>
            <w:left w:val="none" w:sz="0" w:space="0" w:color="auto"/>
            <w:bottom w:val="none" w:sz="0" w:space="0" w:color="auto"/>
            <w:right w:val="none" w:sz="0" w:space="0" w:color="auto"/>
          </w:divBdr>
          <w:divsChild>
            <w:div w:id="1724792120">
              <w:marLeft w:val="0"/>
              <w:marRight w:val="0"/>
              <w:marTop w:val="0"/>
              <w:marBottom w:val="0"/>
              <w:divBdr>
                <w:top w:val="none" w:sz="0" w:space="0" w:color="auto"/>
                <w:left w:val="none" w:sz="0" w:space="0" w:color="auto"/>
                <w:bottom w:val="none" w:sz="0" w:space="0" w:color="auto"/>
                <w:right w:val="none" w:sz="0" w:space="0" w:color="auto"/>
              </w:divBdr>
            </w:div>
          </w:divsChild>
        </w:div>
        <w:div w:id="768621646">
          <w:marLeft w:val="0"/>
          <w:marRight w:val="0"/>
          <w:marTop w:val="0"/>
          <w:marBottom w:val="0"/>
          <w:divBdr>
            <w:top w:val="none" w:sz="0" w:space="0" w:color="auto"/>
            <w:left w:val="none" w:sz="0" w:space="0" w:color="auto"/>
            <w:bottom w:val="none" w:sz="0" w:space="0" w:color="auto"/>
            <w:right w:val="none" w:sz="0" w:space="0" w:color="auto"/>
          </w:divBdr>
          <w:divsChild>
            <w:div w:id="454174200">
              <w:marLeft w:val="0"/>
              <w:marRight w:val="0"/>
              <w:marTop w:val="0"/>
              <w:marBottom w:val="0"/>
              <w:divBdr>
                <w:top w:val="none" w:sz="0" w:space="0" w:color="auto"/>
                <w:left w:val="none" w:sz="0" w:space="0" w:color="auto"/>
                <w:bottom w:val="none" w:sz="0" w:space="0" w:color="auto"/>
                <w:right w:val="none" w:sz="0" w:space="0" w:color="auto"/>
              </w:divBdr>
            </w:div>
          </w:divsChild>
        </w:div>
        <w:div w:id="1802765366">
          <w:marLeft w:val="0"/>
          <w:marRight w:val="0"/>
          <w:marTop w:val="0"/>
          <w:marBottom w:val="0"/>
          <w:divBdr>
            <w:top w:val="none" w:sz="0" w:space="0" w:color="auto"/>
            <w:left w:val="none" w:sz="0" w:space="0" w:color="auto"/>
            <w:bottom w:val="none" w:sz="0" w:space="0" w:color="auto"/>
            <w:right w:val="none" w:sz="0" w:space="0" w:color="auto"/>
          </w:divBdr>
          <w:divsChild>
            <w:div w:id="308680061">
              <w:marLeft w:val="0"/>
              <w:marRight w:val="0"/>
              <w:marTop w:val="0"/>
              <w:marBottom w:val="0"/>
              <w:divBdr>
                <w:top w:val="none" w:sz="0" w:space="0" w:color="auto"/>
                <w:left w:val="none" w:sz="0" w:space="0" w:color="auto"/>
                <w:bottom w:val="none" w:sz="0" w:space="0" w:color="auto"/>
                <w:right w:val="none" w:sz="0" w:space="0" w:color="auto"/>
              </w:divBdr>
            </w:div>
          </w:divsChild>
        </w:div>
        <w:div w:id="1384449708">
          <w:marLeft w:val="0"/>
          <w:marRight w:val="0"/>
          <w:marTop w:val="0"/>
          <w:marBottom w:val="0"/>
          <w:divBdr>
            <w:top w:val="none" w:sz="0" w:space="0" w:color="auto"/>
            <w:left w:val="none" w:sz="0" w:space="0" w:color="auto"/>
            <w:bottom w:val="none" w:sz="0" w:space="0" w:color="auto"/>
            <w:right w:val="none" w:sz="0" w:space="0" w:color="auto"/>
          </w:divBdr>
          <w:divsChild>
            <w:div w:id="662856443">
              <w:marLeft w:val="0"/>
              <w:marRight w:val="0"/>
              <w:marTop w:val="0"/>
              <w:marBottom w:val="0"/>
              <w:divBdr>
                <w:top w:val="none" w:sz="0" w:space="0" w:color="auto"/>
                <w:left w:val="none" w:sz="0" w:space="0" w:color="auto"/>
                <w:bottom w:val="none" w:sz="0" w:space="0" w:color="auto"/>
                <w:right w:val="none" w:sz="0" w:space="0" w:color="auto"/>
              </w:divBdr>
            </w:div>
          </w:divsChild>
        </w:div>
        <w:div w:id="1455948819">
          <w:marLeft w:val="0"/>
          <w:marRight w:val="0"/>
          <w:marTop w:val="0"/>
          <w:marBottom w:val="0"/>
          <w:divBdr>
            <w:top w:val="none" w:sz="0" w:space="0" w:color="auto"/>
            <w:left w:val="none" w:sz="0" w:space="0" w:color="auto"/>
            <w:bottom w:val="none" w:sz="0" w:space="0" w:color="auto"/>
            <w:right w:val="none" w:sz="0" w:space="0" w:color="auto"/>
          </w:divBdr>
          <w:divsChild>
            <w:div w:id="1801222375">
              <w:marLeft w:val="0"/>
              <w:marRight w:val="0"/>
              <w:marTop w:val="0"/>
              <w:marBottom w:val="0"/>
              <w:divBdr>
                <w:top w:val="none" w:sz="0" w:space="0" w:color="auto"/>
                <w:left w:val="none" w:sz="0" w:space="0" w:color="auto"/>
                <w:bottom w:val="none" w:sz="0" w:space="0" w:color="auto"/>
                <w:right w:val="none" w:sz="0" w:space="0" w:color="auto"/>
              </w:divBdr>
            </w:div>
          </w:divsChild>
        </w:div>
        <w:div w:id="1143037302">
          <w:marLeft w:val="0"/>
          <w:marRight w:val="0"/>
          <w:marTop w:val="300"/>
          <w:marBottom w:val="300"/>
          <w:divBdr>
            <w:top w:val="none" w:sz="0" w:space="0" w:color="auto"/>
            <w:left w:val="none" w:sz="0" w:space="0" w:color="auto"/>
            <w:bottom w:val="none" w:sz="0" w:space="0" w:color="auto"/>
            <w:right w:val="none" w:sz="0" w:space="0" w:color="auto"/>
          </w:divBdr>
        </w:div>
        <w:div w:id="150799648">
          <w:marLeft w:val="0"/>
          <w:marRight w:val="0"/>
          <w:marTop w:val="0"/>
          <w:marBottom w:val="0"/>
          <w:divBdr>
            <w:top w:val="none" w:sz="0" w:space="0" w:color="auto"/>
            <w:left w:val="none" w:sz="0" w:space="0" w:color="auto"/>
            <w:bottom w:val="none" w:sz="0" w:space="0" w:color="auto"/>
            <w:right w:val="none" w:sz="0" w:space="0" w:color="auto"/>
          </w:divBdr>
          <w:divsChild>
            <w:div w:id="679159517">
              <w:marLeft w:val="0"/>
              <w:marRight w:val="0"/>
              <w:marTop w:val="0"/>
              <w:marBottom w:val="0"/>
              <w:divBdr>
                <w:top w:val="none" w:sz="0" w:space="0" w:color="auto"/>
                <w:left w:val="none" w:sz="0" w:space="0" w:color="auto"/>
                <w:bottom w:val="none" w:sz="0" w:space="0" w:color="auto"/>
                <w:right w:val="none" w:sz="0" w:space="0" w:color="auto"/>
              </w:divBdr>
            </w:div>
          </w:divsChild>
        </w:div>
        <w:div w:id="762459134">
          <w:marLeft w:val="0"/>
          <w:marRight w:val="0"/>
          <w:marTop w:val="0"/>
          <w:marBottom w:val="0"/>
          <w:divBdr>
            <w:top w:val="none" w:sz="0" w:space="0" w:color="auto"/>
            <w:left w:val="none" w:sz="0" w:space="0" w:color="auto"/>
            <w:bottom w:val="none" w:sz="0" w:space="0" w:color="auto"/>
            <w:right w:val="none" w:sz="0" w:space="0" w:color="auto"/>
          </w:divBdr>
          <w:divsChild>
            <w:div w:id="325716590">
              <w:marLeft w:val="0"/>
              <w:marRight w:val="0"/>
              <w:marTop w:val="0"/>
              <w:marBottom w:val="0"/>
              <w:divBdr>
                <w:top w:val="none" w:sz="0" w:space="0" w:color="auto"/>
                <w:left w:val="none" w:sz="0" w:space="0" w:color="auto"/>
                <w:bottom w:val="none" w:sz="0" w:space="0" w:color="auto"/>
                <w:right w:val="none" w:sz="0" w:space="0" w:color="auto"/>
              </w:divBdr>
            </w:div>
          </w:divsChild>
        </w:div>
        <w:div w:id="695278078">
          <w:marLeft w:val="0"/>
          <w:marRight w:val="0"/>
          <w:marTop w:val="0"/>
          <w:marBottom w:val="0"/>
          <w:divBdr>
            <w:top w:val="none" w:sz="0" w:space="0" w:color="auto"/>
            <w:left w:val="none" w:sz="0" w:space="0" w:color="auto"/>
            <w:bottom w:val="none" w:sz="0" w:space="0" w:color="auto"/>
            <w:right w:val="none" w:sz="0" w:space="0" w:color="auto"/>
          </w:divBdr>
          <w:divsChild>
            <w:div w:id="520361723">
              <w:marLeft w:val="0"/>
              <w:marRight w:val="0"/>
              <w:marTop w:val="0"/>
              <w:marBottom w:val="0"/>
              <w:divBdr>
                <w:top w:val="none" w:sz="0" w:space="0" w:color="auto"/>
                <w:left w:val="none" w:sz="0" w:space="0" w:color="auto"/>
                <w:bottom w:val="none" w:sz="0" w:space="0" w:color="auto"/>
                <w:right w:val="none" w:sz="0" w:space="0" w:color="auto"/>
              </w:divBdr>
            </w:div>
          </w:divsChild>
        </w:div>
        <w:div w:id="789057733">
          <w:marLeft w:val="0"/>
          <w:marRight w:val="0"/>
          <w:marTop w:val="0"/>
          <w:marBottom w:val="0"/>
          <w:divBdr>
            <w:top w:val="none" w:sz="0" w:space="0" w:color="auto"/>
            <w:left w:val="none" w:sz="0" w:space="0" w:color="auto"/>
            <w:bottom w:val="none" w:sz="0" w:space="0" w:color="auto"/>
            <w:right w:val="none" w:sz="0" w:space="0" w:color="auto"/>
          </w:divBdr>
          <w:divsChild>
            <w:div w:id="1042365098">
              <w:marLeft w:val="0"/>
              <w:marRight w:val="0"/>
              <w:marTop w:val="0"/>
              <w:marBottom w:val="0"/>
              <w:divBdr>
                <w:top w:val="none" w:sz="0" w:space="0" w:color="auto"/>
                <w:left w:val="none" w:sz="0" w:space="0" w:color="auto"/>
                <w:bottom w:val="none" w:sz="0" w:space="0" w:color="auto"/>
                <w:right w:val="none" w:sz="0" w:space="0" w:color="auto"/>
              </w:divBdr>
            </w:div>
          </w:divsChild>
        </w:div>
        <w:div w:id="1005548725">
          <w:marLeft w:val="0"/>
          <w:marRight w:val="0"/>
          <w:marTop w:val="0"/>
          <w:marBottom w:val="0"/>
          <w:divBdr>
            <w:top w:val="none" w:sz="0" w:space="0" w:color="auto"/>
            <w:left w:val="none" w:sz="0" w:space="0" w:color="auto"/>
            <w:bottom w:val="none" w:sz="0" w:space="0" w:color="auto"/>
            <w:right w:val="none" w:sz="0" w:space="0" w:color="auto"/>
          </w:divBdr>
          <w:divsChild>
            <w:div w:id="1481800320">
              <w:marLeft w:val="0"/>
              <w:marRight w:val="0"/>
              <w:marTop w:val="0"/>
              <w:marBottom w:val="0"/>
              <w:divBdr>
                <w:top w:val="none" w:sz="0" w:space="0" w:color="auto"/>
                <w:left w:val="none" w:sz="0" w:space="0" w:color="auto"/>
                <w:bottom w:val="none" w:sz="0" w:space="0" w:color="auto"/>
                <w:right w:val="none" w:sz="0" w:space="0" w:color="auto"/>
              </w:divBdr>
            </w:div>
          </w:divsChild>
        </w:div>
        <w:div w:id="840897846">
          <w:marLeft w:val="0"/>
          <w:marRight w:val="0"/>
          <w:marTop w:val="0"/>
          <w:marBottom w:val="0"/>
          <w:divBdr>
            <w:top w:val="none" w:sz="0" w:space="0" w:color="auto"/>
            <w:left w:val="none" w:sz="0" w:space="0" w:color="auto"/>
            <w:bottom w:val="none" w:sz="0" w:space="0" w:color="auto"/>
            <w:right w:val="none" w:sz="0" w:space="0" w:color="auto"/>
          </w:divBdr>
          <w:divsChild>
            <w:div w:id="1960599984">
              <w:marLeft w:val="0"/>
              <w:marRight w:val="0"/>
              <w:marTop w:val="0"/>
              <w:marBottom w:val="0"/>
              <w:divBdr>
                <w:top w:val="none" w:sz="0" w:space="0" w:color="auto"/>
                <w:left w:val="none" w:sz="0" w:space="0" w:color="auto"/>
                <w:bottom w:val="none" w:sz="0" w:space="0" w:color="auto"/>
                <w:right w:val="none" w:sz="0" w:space="0" w:color="auto"/>
              </w:divBdr>
            </w:div>
          </w:divsChild>
        </w:div>
        <w:div w:id="1164131212">
          <w:marLeft w:val="0"/>
          <w:marRight w:val="0"/>
          <w:marTop w:val="300"/>
          <w:marBottom w:val="300"/>
          <w:divBdr>
            <w:top w:val="none" w:sz="0" w:space="0" w:color="auto"/>
            <w:left w:val="none" w:sz="0" w:space="0" w:color="auto"/>
            <w:bottom w:val="none" w:sz="0" w:space="0" w:color="auto"/>
            <w:right w:val="none" w:sz="0" w:space="0" w:color="auto"/>
          </w:divBdr>
        </w:div>
        <w:div w:id="889078898">
          <w:marLeft w:val="0"/>
          <w:marRight w:val="0"/>
          <w:marTop w:val="0"/>
          <w:marBottom w:val="0"/>
          <w:divBdr>
            <w:top w:val="none" w:sz="0" w:space="0" w:color="auto"/>
            <w:left w:val="none" w:sz="0" w:space="0" w:color="auto"/>
            <w:bottom w:val="none" w:sz="0" w:space="0" w:color="auto"/>
            <w:right w:val="none" w:sz="0" w:space="0" w:color="auto"/>
          </w:divBdr>
          <w:divsChild>
            <w:div w:id="1916629221">
              <w:marLeft w:val="0"/>
              <w:marRight w:val="0"/>
              <w:marTop w:val="0"/>
              <w:marBottom w:val="0"/>
              <w:divBdr>
                <w:top w:val="none" w:sz="0" w:space="0" w:color="auto"/>
                <w:left w:val="none" w:sz="0" w:space="0" w:color="auto"/>
                <w:bottom w:val="none" w:sz="0" w:space="0" w:color="auto"/>
                <w:right w:val="none" w:sz="0" w:space="0" w:color="auto"/>
              </w:divBdr>
            </w:div>
          </w:divsChild>
        </w:div>
        <w:div w:id="615019887">
          <w:marLeft w:val="0"/>
          <w:marRight w:val="0"/>
          <w:marTop w:val="0"/>
          <w:marBottom w:val="0"/>
          <w:divBdr>
            <w:top w:val="none" w:sz="0" w:space="0" w:color="auto"/>
            <w:left w:val="none" w:sz="0" w:space="0" w:color="auto"/>
            <w:bottom w:val="none" w:sz="0" w:space="0" w:color="auto"/>
            <w:right w:val="none" w:sz="0" w:space="0" w:color="auto"/>
          </w:divBdr>
          <w:divsChild>
            <w:div w:id="1567643558">
              <w:marLeft w:val="0"/>
              <w:marRight w:val="0"/>
              <w:marTop w:val="0"/>
              <w:marBottom w:val="0"/>
              <w:divBdr>
                <w:top w:val="none" w:sz="0" w:space="0" w:color="auto"/>
                <w:left w:val="none" w:sz="0" w:space="0" w:color="auto"/>
                <w:bottom w:val="none" w:sz="0" w:space="0" w:color="auto"/>
                <w:right w:val="none" w:sz="0" w:space="0" w:color="auto"/>
              </w:divBdr>
            </w:div>
          </w:divsChild>
        </w:div>
        <w:div w:id="1325355966">
          <w:marLeft w:val="0"/>
          <w:marRight w:val="0"/>
          <w:marTop w:val="0"/>
          <w:marBottom w:val="0"/>
          <w:divBdr>
            <w:top w:val="none" w:sz="0" w:space="0" w:color="auto"/>
            <w:left w:val="none" w:sz="0" w:space="0" w:color="auto"/>
            <w:bottom w:val="none" w:sz="0" w:space="0" w:color="auto"/>
            <w:right w:val="none" w:sz="0" w:space="0" w:color="auto"/>
          </w:divBdr>
          <w:divsChild>
            <w:div w:id="1032540111">
              <w:marLeft w:val="0"/>
              <w:marRight w:val="0"/>
              <w:marTop w:val="0"/>
              <w:marBottom w:val="0"/>
              <w:divBdr>
                <w:top w:val="none" w:sz="0" w:space="0" w:color="auto"/>
                <w:left w:val="none" w:sz="0" w:space="0" w:color="auto"/>
                <w:bottom w:val="none" w:sz="0" w:space="0" w:color="auto"/>
                <w:right w:val="none" w:sz="0" w:space="0" w:color="auto"/>
              </w:divBdr>
            </w:div>
          </w:divsChild>
        </w:div>
        <w:div w:id="113528130">
          <w:marLeft w:val="0"/>
          <w:marRight w:val="0"/>
          <w:marTop w:val="0"/>
          <w:marBottom w:val="0"/>
          <w:divBdr>
            <w:top w:val="none" w:sz="0" w:space="0" w:color="auto"/>
            <w:left w:val="none" w:sz="0" w:space="0" w:color="auto"/>
            <w:bottom w:val="none" w:sz="0" w:space="0" w:color="auto"/>
            <w:right w:val="none" w:sz="0" w:space="0" w:color="auto"/>
          </w:divBdr>
          <w:divsChild>
            <w:div w:id="904026535">
              <w:marLeft w:val="0"/>
              <w:marRight w:val="0"/>
              <w:marTop w:val="0"/>
              <w:marBottom w:val="0"/>
              <w:divBdr>
                <w:top w:val="none" w:sz="0" w:space="0" w:color="auto"/>
                <w:left w:val="none" w:sz="0" w:space="0" w:color="auto"/>
                <w:bottom w:val="none" w:sz="0" w:space="0" w:color="auto"/>
                <w:right w:val="none" w:sz="0" w:space="0" w:color="auto"/>
              </w:divBdr>
            </w:div>
          </w:divsChild>
        </w:div>
        <w:div w:id="1810510719">
          <w:marLeft w:val="0"/>
          <w:marRight w:val="0"/>
          <w:marTop w:val="300"/>
          <w:marBottom w:val="300"/>
          <w:divBdr>
            <w:top w:val="none" w:sz="0" w:space="0" w:color="auto"/>
            <w:left w:val="none" w:sz="0" w:space="0" w:color="auto"/>
            <w:bottom w:val="none" w:sz="0" w:space="0" w:color="auto"/>
            <w:right w:val="none" w:sz="0" w:space="0" w:color="auto"/>
          </w:divBdr>
        </w:div>
        <w:div w:id="817384230">
          <w:marLeft w:val="0"/>
          <w:marRight w:val="0"/>
          <w:marTop w:val="0"/>
          <w:marBottom w:val="0"/>
          <w:divBdr>
            <w:top w:val="none" w:sz="0" w:space="0" w:color="auto"/>
            <w:left w:val="none" w:sz="0" w:space="0" w:color="auto"/>
            <w:bottom w:val="none" w:sz="0" w:space="0" w:color="auto"/>
            <w:right w:val="none" w:sz="0" w:space="0" w:color="auto"/>
          </w:divBdr>
          <w:divsChild>
            <w:div w:id="694891728">
              <w:marLeft w:val="0"/>
              <w:marRight w:val="0"/>
              <w:marTop w:val="0"/>
              <w:marBottom w:val="0"/>
              <w:divBdr>
                <w:top w:val="none" w:sz="0" w:space="0" w:color="auto"/>
                <w:left w:val="none" w:sz="0" w:space="0" w:color="auto"/>
                <w:bottom w:val="none" w:sz="0" w:space="0" w:color="auto"/>
                <w:right w:val="none" w:sz="0" w:space="0" w:color="auto"/>
              </w:divBdr>
            </w:div>
          </w:divsChild>
        </w:div>
        <w:div w:id="289168245">
          <w:marLeft w:val="0"/>
          <w:marRight w:val="0"/>
          <w:marTop w:val="0"/>
          <w:marBottom w:val="0"/>
          <w:divBdr>
            <w:top w:val="none" w:sz="0" w:space="0" w:color="auto"/>
            <w:left w:val="none" w:sz="0" w:space="0" w:color="auto"/>
            <w:bottom w:val="none" w:sz="0" w:space="0" w:color="auto"/>
            <w:right w:val="none" w:sz="0" w:space="0" w:color="auto"/>
          </w:divBdr>
          <w:divsChild>
            <w:div w:id="260799514">
              <w:marLeft w:val="0"/>
              <w:marRight w:val="0"/>
              <w:marTop w:val="0"/>
              <w:marBottom w:val="0"/>
              <w:divBdr>
                <w:top w:val="none" w:sz="0" w:space="0" w:color="auto"/>
                <w:left w:val="none" w:sz="0" w:space="0" w:color="auto"/>
                <w:bottom w:val="none" w:sz="0" w:space="0" w:color="auto"/>
                <w:right w:val="none" w:sz="0" w:space="0" w:color="auto"/>
              </w:divBdr>
            </w:div>
          </w:divsChild>
        </w:div>
        <w:div w:id="1239245488">
          <w:marLeft w:val="0"/>
          <w:marRight w:val="0"/>
          <w:marTop w:val="0"/>
          <w:marBottom w:val="0"/>
          <w:divBdr>
            <w:top w:val="none" w:sz="0" w:space="0" w:color="auto"/>
            <w:left w:val="none" w:sz="0" w:space="0" w:color="auto"/>
            <w:bottom w:val="none" w:sz="0" w:space="0" w:color="auto"/>
            <w:right w:val="none" w:sz="0" w:space="0" w:color="auto"/>
          </w:divBdr>
          <w:divsChild>
            <w:div w:id="692807289">
              <w:marLeft w:val="0"/>
              <w:marRight w:val="0"/>
              <w:marTop w:val="0"/>
              <w:marBottom w:val="0"/>
              <w:divBdr>
                <w:top w:val="none" w:sz="0" w:space="0" w:color="auto"/>
                <w:left w:val="none" w:sz="0" w:space="0" w:color="auto"/>
                <w:bottom w:val="none" w:sz="0" w:space="0" w:color="auto"/>
                <w:right w:val="none" w:sz="0" w:space="0" w:color="auto"/>
              </w:divBdr>
            </w:div>
          </w:divsChild>
        </w:div>
        <w:div w:id="591935109">
          <w:marLeft w:val="0"/>
          <w:marRight w:val="0"/>
          <w:marTop w:val="0"/>
          <w:marBottom w:val="0"/>
          <w:divBdr>
            <w:top w:val="none" w:sz="0" w:space="0" w:color="auto"/>
            <w:left w:val="none" w:sz="0" w:space="0" w:color="auto"/>
            <w:bottom w:val="none" w:sz="0" w:space="0" w:color="auto"/>
            <w:right w:val="none" w:sz="0" w:space="0" w:color="auto"/>
          </w:divBdr>
          <w:divsChild>
            <w:div w:id="557399452">
              <w:marLeft w:val="0"/>
              <w:marRight w:val="0"/>
              <w:marTop w:val="0"/>
              <w:marBottom w:val="0"/>
              <w:divBdr>
                <w:top w:val="none" w:sz="0" w:space="0" w:color="auto"/>
                <w:left w:val="none" w:sz="0" w:space="0" w:color="auto"/>
                <w:bottom w:val="none" w:sz="0" w:space="0" w:color="auto"/>
                <w:right w:val="none" w:sz="0" w:space="0" w:color="auto"/>
              </w:divBdr>
            </w:div>
          </w:divsChild>
        </w:div>
        <w:div w:id="1122842534">
          <w:marLeft w:val="0"/>
          <w:marRight w:val="0"/>
          <w:marTop w:val="0"/>
          <w:marBottom w:val="0"/>
          <w:divBdr>
            <w:top w:val="none" w:sz="0" w:space="0" w:color="auto"/>
            <w:left w:val="none" w:sz="0" w:space="0" w:color="auto"/>
            <w:bottom w:val="none" w:sz="0" w:space="0" w:color="auto"/>
            <w:right w:val="none" w:sz="0" w:space="0" w:color="auto"/>
          </w:divBdr>
          <w:divsChild>
            <w:div w:id="304163521">
              <w:marLeft w:val="0"/>
              <w:marRight w:val="0"/>
              <w:marTop w:val="0"/>
              <w:marBottom w:val="0"/>
              <w:divBdr>
                <w:top w:val="none" w:sz="0" w:space="0" w:color="auto"/>
                <w:left w:val="none" w:sz="0" w:space="0" w:color="auto"/>
                <w:bottom w:val="none" w:sz="0" w:space="0" w:color="auto"/>
                <w:right w:val="none" w:sz="0" w:space="0" w:color="auto"/>
              </w:divBdr>
            </w:div>
          </w:divsChild>
        </w:div>
        <w:div w:id="538274699">
          <w:marLeft w:val="0"/>
          <w:marRight w:val="0"/>
          <w:marTop w:val="0"/>
          <w:marBottom w:val="0"/>
          <w:divBdr>
            <w:top w:val="none" w:sz="0" w:space="0" w:color="auto"/>
            <w:left w:val="none" w:sz="0" w:space="0" w:color="auto"/>
            <w:bottom w:val="none" w:sz="0" w:space="0" w:color="auto"/>
            <w:right w:val="none" w:sz="0" w:space="0" w:color="auto"/>
          </w:divBdr>
          <w:divsChild>
            <w:div w:id="18508111">
              <w:marLeft w:val="0"/>
              <w:marRight w:val="0"/>
              <w:marTop w:val="0"/>
              <w:marBottom w:val="0"/>
              <w:divBdr>
                <w:top w:val="none" w:sz="0" w:space="0" w:color="auto"/>
                <w:left w:val="none" w:sz="0" w:space="0" w:color="auto"/>
                <w:bottom w:val="none" w:sz="0" w:space="0" w:color="auto"/>
                <w:right w:val="none" w:sz="0" w:space="0" w:color="auto"/>
              </w:divBdr>
            </w:div>
          </w:divsChild>
        </w:div>
        <w:div w:id="2134205720">
          <w:marLeft w:val="0"/>
          <w:marRight w:val="0"/>
          <w:marTop w:val="0"/>
          <w:marBottom w:val="0"/>
          <w:divBdr>
            <w:top w:val="none" w:sz="0" w:space="0" w:color="auto"/>
            <w:left w:val="none" w:sz="0" w:space="0" w:color="auto"/>
            <w:bottom w:val="none" w:sz="0" w:space="0" w:color="auto"/>
            <w:right w:val="none" w:sz="0" w:space="0" w:color="auto"/>
          </w:divBdr>
          <w:divsChild>
            <w:div w:id="1247688444">
              <w:marLeft w:val="0"/>
              <w:marRight w:val="0"/>
              <w:marTop w:val="0"/>
              <w:marBottom w:val="0"/>
              <w:divBdr>
                <w:top w:val="none" w:sz="0" w:space="0" w:color="auto"/>
                <w:left w:val="none" w:sz="0" w:space="0" w:color="auto"/>
                <w:bottom w:val="none" w:sz="0" w:space="0" w:color="auto"/>
                <w:right w:val="none" w:sz="0" w:space="0" w:color="auto"/>
              </w:divBdr>
            </w:div>
          </w:divsChild>
        </w:div>
        <w:div w:id="1076628983">
          <w:marLeft w:val="0"/>
          <w:marRight w:val="0"/>
          <w:marTop w:val="0"/>
          <w:marBottom w:val="0"/>
          <w:divBdr>
            <w:top w:val="none" w:sz="0" w:space="0" w:color="auto"/>
            <w:left w:val="none" w:sz="0" w:space="0" w:color="auto"/>
            <w:bottom w:val="none" w:sz="0" w:space="0" w:color="auto"/>
            <w:right w:val="none" w:sz="0" w:space="0" w:color="auto"/>
          </w:divBdr>
          <w:divsChild>
            <w:div w:id="2078623257">
              <w:marLeft w:val="0"/>
              <w:marRight w:val="0"/>
              <w:marTop w:val="0"/>
              <w:marBottom w:val="0"/>
              <w:divBdr>
                <w:top w:val="none" w:sz="0" w:space="0" w:color="auto"/>
                <w:left w:val="none" w:sz="0" w:space="0" w:color="auto"/>
                <w:bottom w:val="none" w:sz="0" w:space="0" w:color="auto"/>
                <w:right w:val="none" w:sz="0" w:space="0" w:color="auto"/>
              </w:divBdr>
            </w:div>
          </w:divsChild>
        </w:div>
        <w:div w:id="849563579">
          <w:marLeft w:val="0"/>
          <w:marRight w:val="0"/>
          <w:marTop w:val="0"/>
          <w:marBottom w:val="0"/>
          <w:divBdr>
            <w:top w:val="none" w:sz="0" w:space="0" w:color="auto"/>
            <w:left w:val="none" w:sz="0" w:space="0" w:color="auto"/>
            <w:bottom w:val="none" w:sz="0" w:space="0" w:color="auto"/>
            <w:right w:val="none" w:sz="0" w:space="0" w:color="auto"/>
          </w:divBdr>
          <w:divsChild>
            <w:div w:id="1137911972">
              <w:marLeft w:val="0"/>
              <w:marRight w:val="0"/>
              <w:marTop w:val="0"/>
              <w:marBottom w:val="0"/>
              <w:divBdr>
                <w:top w:val="none" w:sz="0" w:space="0" w:color="auto"/>
                <w:left w:val="none" w:sz="0" w:space="0" w:color="auto"/>
                <w:bottom w:val="none" w:sz="0" w:space="0" w:color="auto"/>
                <w:right w:val="none" w:sz="0" w:space="0" w:color="auto"/>
              </w:divBdr>
            </w:div>
          </w:divsChild>
        </w:div>
        <w:div w:id="2081709052">
          <w:marLeft w:val="0"/>
          <w:marRight w:val="0"/>
          <w:marTop w:val="0"/>
          <w:marBottom w:val="0"/>
          <w:divBdr>
            <w:top w:val="none" w:sz="0" w:space="0" w:color="auto"/>
            <w:left w:val="none" w:sz="0" w:space="0" w:color="auto"/>
            <w:bottom w:val="none" w:sz="0" w:space="0" w:color="auto"/>
            <w:right w:val="none" w:sz="0" w:space="0" w:color="auto"/>
          </w:divBdr>
          <w:divsChild>
            <w:div w:id="1572697269">
              <w:marLeft w:val="0"/>
              <w:marRight w:val="0"/>
              <w:marTop w:val="0"/>
              <w:marBottom w:val="0"/>
              <w:divBdr>
                <w:top w:val="none" w:sz="0" w:space="0" w:color="auto"/>
                <w:left w:val="none" w:sz="0" w:space="0" w:color="auto"/>
                <w:bottom w:val="none" w:sz="0" w:space="0" w:color="auto"/>
                <w:right w:val="none" w:sz="0" w:space="0" w:color="auto"/>
              </w:divBdr>
            </w:div>
          </w:divsChild>
        </w:div>
        <w:div w:id="1334261270">
          <w:marLeft w:val="0"/>
          <w:marRight w:val="0"/>
          <w:marTop w:val="0"/>
          <w:marBottom w:val="0"/>
          <w:divBdr>
            <w:top w:val="none" w:sz="0" w:space="0" w:color="auto"/>
            <w:left w:val="none" w:sz="0" w:space="0" w:color="auto"/>
            <w:bottom w:val="none" w:sz="0" w:space="0" w:color="auto"/>
            <w:right w:val="none" w:sz="0" w:space="0" w:color="auto"/>
          </w:divBdr>
          <w:divsChild>
            <w:div w:id="1896425477">
              <w:marLeft w:val="0"/>
              <w:marRight w:val="0"/>
              <w:marTop w:val="0"/>
              <w:marBottom w:val="0"/>
              <w:divBdr>
                <w:top w:val="none" w:sz="0" w:space="0" w:color="auto"/>
                <w:left w:val="none" w:sz="0" w:space="0" w:color="auto"/>
                <w:bottom w:val="none" w:sz="0" w:space="0" w:color="auto"/>
                <w:right w:val="none" w:sz="0" w:space="0" w:color="auto"/>
              </w:divBdr>
            </w:div>
          </w:divsChild>
        </w:div>
        <w:div w:id="1176383974">
          <w:marLeft w:val="0"/>
          <w:marRight w:val="0"/>
          <w:marTop w:val="0"/>
          <w:marBottom w:val="0"/>
          <w:divBdr>
            <w:top w:val="none" w:sz="0" w:space="0" w:color="auto"/>
            <w:left w:val="none" w:sz="0" w:space="0" w:color="auto"/>
            <w:bottom w:val="none" w:sz="0" w:space="0" w:color="auto"/>
            <w:right w:val="none" w:sz="0" w:space="0" w:color="auto"/>
          </w:divBdr>
          <w:divsChild>
            <w:div w:id="79103151">
              <w:marLeft w:val="0"/>
              <w:marRight w:val="0"/>
              <w:marTop w:val="0"/>
              <w:marBottom w:val="0"/>
              <w:divBdr>
                <w:top w:val="none" w:sz="0" w:space="0" w:color="auto"/>
                <w:left w:val="none" w:sz="0" w:space="0" w:color="auto"/>
                <w:bottom w:val="none" w:sz="0" w:space="0" w:color="auto"/>
                <w:right w:val="none" w:sz="0" w:space="0" w:color="auto"/>
              </w:divBdr>
            </w:div>
          </w:divsChild>
        </w:div>
        <w:div w:id="1806317115">
          <w:marLeft w:val="0"/>
          <w:marRight w:val="0"/>
          <w:marTop w:val="300"/>
          <w:marBottom w:val="300"/>
          <w:divBdr>
            <w:top w:val="none" w:sz="0" w:space="0" w:color="auto"/>
            <w:left w:val="none" w:sz="0" w:space="0" w:color="auto"/>
            <w:bottom w:val="none" w:sz="0" w:space="0" w:color="auto"/>
            <w:right w:val="none" w:sz="0" w:space="0" w:color="auto"/>
          </w:divBdr>
        </w:div>
        <w:div w:id="101918512">
          <w:marLeft w:val="0"/>
          <w:marRight w:val="0"/>
          <w:marTop w:val="0"/>
          <w:marBottom w:val="0"/>
          <w:divBdr>
            <w:top w:val="none" w:sz="0" w:space="0" w:color="auto"/>
            <w:left w:val="none" w:sz="0" w:space="0" w:color="auto"/>
            <w:bottom w:val="none" w:sz="0" w:space="0" w:color="auto"/>
            <w:right w:val="none" w:sz="0" w:space="0" w:color="auto"/>
          </w:divBdr>
          <w:divsChild>
            <w:div w:id="100876623">
              <w:marLeft w:val="0"/>
              <w:marRight w:val="0"/>
              <w:marTop w:val="0"/>
              <w:marBottom w:val="0"/>
              <w:divBdr>
                <w:top w:val="none" w:sz="0" w:space="0" w:color="auto"/>
                <w:left w:val="none" w:sz="0" w:space="0" w:color="auto"/>
                <w:bottom w:val="none" w:sz="0" w:space="0" w:color="auto"/>
                <w:right w:val="none" w:sz="0" w:space="0" w:color="auto"/>
              </w:divBdr>
            </w:div>
          </w:divsChild>
        </w:div>
        <w:div w:id="1700005805">
          <w:marLeft w:val="0"/>
          <w:marRight w:val="0"/>
          <w:marTop w:val="0"/>
          <w:marBottom w:val="0"/>
          <w:divBdr>
            <w:top w:val="none" w:sz="0" w:space="0" w:color="auto"/>
            <w:left w:val="none" w:sz="0" w:space="0" w:color="auto"/>
            <w:bottom w:val="none" w:sz="0" w:space="0" w:color="auto"/>
            <w:right w:val="none" w:sz="0" w:space="0" w:color="auto"/>
          </w:divBdr>
          <w:divsChild>
            <w:div w:id="1723401499">
              <w:marLeft w:val="0"/>
              <w:marRight w:val="0"/>
              <w:marTop w:val="0"/>
              <w:marBottom w:val="0"/>
              <w:divBdr>
                <w:top w:val="none" w:sz="0" w:space="0" w:color="auto"/>
                <w:left w:val="none" w:sz="0" w:space="0" w:color="auto"/>
                <w:bottom w:val="none" w:sz="0" w:space="0" w:color="auto"/>
                <w:right w:val="none" w:sz="0" w:space="0" w:color="auto"/>
              </w:divBdr>
            </w:div>
          </w:divsChild>
        </w:div>
        <w:div w:id="18436101">
          <w:marLeft w:val="0"/>
          <w:marRight w:val="0"/>
          <w:marTop w:val="0"/>
          <w:marBottom w:val="0"/>
          <w:divBdr>
            <w:top w:val="none" w:sz="0" w:space="0" w:color="auto"/>
            <w:left w:val="none" w:sz="0" w:space="0" w:color="auto"/>
            <w:bottom w:val="none" w:sz="0" w:space="0" w:color="auto"/>
            <w:right w:val="none" w:sz="0" w:space="0" w:color="auto"/>
          </w:divBdr>
          <w:divsChild>
            <w:div w:id="2023704724">
              <w:marLeft w:val="0"/>
              <w:marRight w:val="0"/>
              <w:marTop w:val="0"/>
              <w:marBottom w:val="0"/>
              <w:divBdr>
                <w:top w:val="none" w:sz="0" w:space="0" w:color="auto"/>
                <w:left w:val="none" w:sz="0" w:space="0" w:color="auto"/>
                <w:bottom w:val="none" w:sz="0" w:space="0" w:color="auto"/>
                <w:right w:val="none" w:sz="0" w:space="0" w:color="auto"/>
              </w:divBdr>
            </w:div>
          </w:divsChild>
        </w:div>
        <w:div w:id="751589991">
          <w:marLeft w:val="0"/>
          <w:marRight w:val="0"/>
          <w:marTop w:val="0"/>
          <w:marBottom w:val="0"/>
          <w:divBdr>
            <w:top w:val="none" w:sz="0" w:space="0" w:color="auto"/>
            <w:left w:val="none" w:sz="0" w:space="0" w:color="auto"/>
            <w:bottom w:val="none" w:sz="0" w:space="0" w:color="auto"/>
            <w:right w:val="none" w:sz="0" w:space="0" w:color="auto"/>
          </w:divBdr>
          <w:divsChild>
            <w:div w:id="1821653094">
              <w:marLeft w:val="0"/>
              <w:marRight w:val="0"/>
              <w:marTop w:val="0"/>
              <w:marBottom w:val="0"/>
              <w:divBdr>
                <w:top w:val="none" w:sz="0" w:space="0" w:color="auto"/>
                <w:left w:val="none" w:sz="0" w:space="0" w:color="auto"/>
                <w:bottom w:val="none" w:sz="0" w:space="0" w:color="auto"/>
                <w:right w:val="none" w:sz="0" w:space="0" w:color="auto"/>
              </w:divBdr>
            </w:div>
          </w:divsChild>
        </w:div>
        <w:div w:id="2081632656">
          <w:marLeft w:val="0"/>
          <w:marRight w:val="0"/>
          <w:marTop w:val="0"/>
          <w:marBottom w:val="0"/>
          <w:divBdr>
            <w:top w:val="none" w:sz="0" w:space="0" w:color="auto"/>
            <w:left w:val="none" w:sz="0" w:space="0" w:color="auto"/>
            <w:bottom w:val="none" w:sz="0" w:space="0" w:color="auto"/>
            <w:right w:val="none" w:sz="0" w:space="0" w:color="auto"/>
          </w:divBdr>
          <w:divsChild>
            <w:div w:id="900600229">
              <w:marLeft w:val="0"/>
              <w:marRight w:val="0"/>
              <w:marTop w:val="0"/>
              <w:marBottom w:val="0"/>
              <w:divBdr>
                <w:top w:val="none" w:sz="0" w:space="0" w:color="auto"/>
                <w:left w:val="none" w:sz="0" w:space="0" w:color="auto"/>
                <w:bottom w:val="none" w:sz="0" w:space="0" w:color="auto"/>
                <w:right w:val="none" w:sz="0" w:space="0" w:color="auto"/>
              </w:divBdr>
            </w:div>
          </w:divsChild>
        </w:div>
        <w:div w:id="1036976225">
          <w:marLeft w:val="0"/>
          <w:marRight w:val="0"/>
          <w:marTop w:val="0"/>
          <w:marBottom w:val="0"/>
          <w:divBdr>
            <w:top w:val="none" w:sz="0" w:space="0" w:color="auto"/>
            <w:left w:val="none" w:sz="0" w:space="0" w:color="auto"/>
            <w:bottom w:val="none" w:sz="0" w:space="0" w:color="auto"/>
            <w:right w:val="none" w:sz="0" w:space="0" w:color="auto"/>
          </w:divBdr>
          <w:divsChild>
            <w:div w:id="2095280504">
              <w:marLeft w:val="0"/>
              <w:marRight w:val="0"/>
              <w:marTop w:val="0"/>
              <w:marBottom w:val="0"/>
              <w:divBdr>
                <w:top w:val="none" w:sz="0" w:space="0" w:color="auto"/>
                <w:left w:val="none" w:sz="0" w:space="0" w:color="auto"/>
                <w:bottom w:val="none" w:sz="0" w:space="0" w:color="auto"/>
                <w:right w:val="none" w:sz="0" w:space="0" w:color="auto"/>
              </w:divBdr>
            </w:div>
          </w:divsChild>
        </w:div>
        <w:div w:id="1733428021">
          <w:marLeft w:val="0"/>
          <w:marRight w:val="0"/>
          <w:marTop w:val="0"/>
          <w:marBottom w:val="0"/>
          <w:divBdr>
            <w:top w:val="none" w:sz="0" w:space="0" w:color="auto"/>
            <w:left w:val="none" w:sz="0" w:space="0" w:color="auto"/>
            <w:bottom w:val="none" w:sz="0" w:space="0" w:color="auto"/>
            <w:right w:val="none" w:sz="0" w:space="0" w:color="auto"/>
          </w:divBdr>
          <w:divsChild>
            <w:div w:id="233197900">
              <w:marLeft w:val="0"/>
              <w:marRight w:val="0"/>
              <w:marTop w:val="0"/>
              <w:marBottom w:val="0"/>
              <w:divBdr>
                <w:top w:val="none" w:sz="0" w:space="0" w:color="auto"/>
                <w:left w:val="none" w:sz="0" w:space="0" w:color="auto"/>
                <w:bottom w:val="none" w:sz="0" w:space="0" w:color="auto"/>
                <w:right w:val="none" w:sz="0" w:space="0" w:color="auto"/>
              </w:divBdr>
            </w:div>
          </w:divsChild>
        </w:div>
        <w:div w:id="1183326268">
          <w:marLeft w:val="0"/>
          <w:marRight w:val="0"/>
          <w:marTop w:val="0"/>
          <w:marBottom w:val="0"/>
          <w:divBdr>
            <w:top w:val="none" w:sz="0" w:space="0" w:color="auto"/>
            <w:left w:val="none" w:sz="0" w:space="0" w:color="auto"/>
            <w:bottom w:val="none" w:sz="0" w:space="0" w:color="auto"/>
            <w:right w:val="none" w:sz="0" w:space="0" w:color="auto"/>
          </w:divBdr>
          <w:divsChild>
            <w:div w:id="2121292778">
              <w:marLeft w:val="0"/>
              <w:marRight w:val="0"/>
              <w:marTop w:val="0"/>
              <w:marBottom w:val="0"/>
              <w:divBdr>
                <w:top w:val="none" w:sz="0" w:space="0" w:color="auto"/>
                <w:left w:val="none" w:sz="0" w:space="0" w:color="auto"/>
                <w:bottom w:val="none" w:sz="0" w:space="0" w:color="auto"/>
                <w:right w:val="none" w:sz="0" w:space="0" w:color="auto"/>
              </w:divBdr>
            </w:div>
          </w:divsChild>
        </w:div>
        <w:div w:id="1910772057">
          <w:marLeft w:val="0"/>
          <w:marRight w:val="0"/>
          <w:marTop w:val="0"/>
          <w:marBottom w:val="0"/>
          <w:divBdr>
            <w:top w:val="none" w:sz="0" w:space="0" w:color="auto"/>
            <w:left w:val="none" w:sz="0" w:space="0" w:color="auto"/>
            <w:bottom w:val="none" w:sz="0" w:space="0" w:color="auto"/>
            <w:right w:val="none" w:sz="0" w:space="0" w:color="auto"/>
          </w:divBdr>
          <w:divsChild>
            <w:div w:id="1079256643">
              <w:marLeft w:val="0"/>
              <w:marRight w:val="0"/>
              <w:marTop w:val="0"/>
              <w:marBottom w:val="0"/>
              <w:divBdr>
                <w:top w:val="none" w:sz="0" w:space="0" w:color="auto"/>
                <w:left w:val="none" w:sz="0" w:space="0" w:color="auto"/>
                <w:bottom w:val="none" w:sz="0" w:space="0" w:color="auto"/>
                <w:right w:val="none" w:sz="0" w:space="0" w:color="auto"/>
              </w:divBdr>
            </w:div>
          </w:divsChild>
        </w:div>
        <w:div w:id="999425631">
          <w:marLeft w:val="0"/>
          <w:marRight w:val="0"/>
          <w:marTop w:val="0"/>
          <w:marBottom w:val="0"/>
          <w:divBdr>
            <w:top w:val="none" w:sz="0" w:space="0" w:color="auto"/>
            <w:left w:val="none" w:sz="0" w:space="0" w:color="auto"/>
            <w:bottom w:val="none" w:sz="0" w:space="0" w:color="auto"/>
            <w:right w:val="none" w:sz="0" w:space="0" w:color="auto"/>
          </w:divBdr>
          <w:divsChild>
            <w:div w:id="81463221">
              <w:marLeft w:val="0"/>
              <w:marRight w:val="0"/>
              <w:marTop w:val="0"/>
              <w:marBottom w:val="0"/>
              <w:divBdr>
                <w:top w:val="none" w:sz="0" w:space="0" w:color="auto"/>
                <w:left w:val="none" w:sz="0" w:space="0" w:color="auto"/>
                <w:bottom w:val="none" w:sz="0" w:space="0" w:color="auto"/>
                <w:right w:val="none" w:sz="0" w:space="0" w:color="auto"/>
              </w:divBdr>
            </w:div>
          </w:divsChild>
        </w:div>
        <w:div w:id="348803302">
          <w:marLeft w:val="0"/>
          <w:marRight w:val="0"/>
          <w:marTop w:val="0"/>
          <w:marBottom w:val="0"/>
          <w:divBdr>
            <w:top w:val="none" w:sz="0" w:space="0" w:color="auto"/>
            <w:left w:val="none" w:sz="0" w:space="0" w:color="auto"/>
            <w:bottom w:val="none" w:sz="0" w:space="0" w:color="auto"/>
            <w:right w:val="none" w:sz="0" w:space="0" w:color="auto"/>
          </w:divBdr>
          <w:divsChild>
            <w:div w:id="2075469417">
              <w:marLeft w:val="0"/>
              <w:marRight w:val="0"/>
              <w:marTop w:val="0"/>
              <w:marBottom w:val="0"/>
              <w:divBdr>
                <w:top w:val="none" w:sz="0" w:space="0" w:color="auto"/>
                <w:left w:val="none" w:sz="0" w:space="0" w:color="auto"/>
                <w:bottom w:val="none" w:sz="0" w:space="0" w:color="auto"/>
                <w:right w:val="none" w:sz="0" w:space="0" w:color="auto"/>
              </w:divBdr>
            </w:div>
          </w:divsChild>
        </w:div>
        <w:div w:id="768895022">
          <w:marLeft w:val="0"/>
          <w:marRight w:val="0"/>
          <w:marTop w:val="300"/>
          <w:marBottom w:val="300"/>
          <w:divBdr>
            <w:top w:val="none" w:sz="0" w:space="0" w:color="auto"/>
            <w:left w:val="none" w:sz="0" w:space="0" w:color="auto"/>
            <w:bottom w:val="none" w:sz="0" w:space="0" w:color="auto"/>
            <w:right w:val="none" w:sz="0" w:space="0" w:color="auto"/>
          </w:divBdr>
        </w:div>
        <w:div w:id="1671978573">
          <w:marLeft w:val="0"/>
          <w:marRight w:val="0"/>
          <w:marTop w:val="0"/>
          <w:marBottom w:val="0"/>
          <w:divBdr>
            <w:top w:val="none" w:sz="0" w:space="0" w:color="auto"/>
            <w:left w:val="none" w:sz="0" w:space="0" w:color="auto"/>
            <w:bottom w:val="none" w:sz="0" w:space="0" w:color="auto"/>
            <w:right w:val="none" w:sz="0" w:space="0" w:color="auto"/>
          </w:divBdr>
          <w:divsChild>
            <w:div w:id="1177310220">
              <w:marLeft w:val="0"/>
              <w:marRight w:val="0"/>
              <w:marTop w:val="0"/>
              <w:marBottom w:val="0"/>
              <w:divBdr>
                <w:top w:val="none" w:sz="0" w:space="0" w:color="auto"/>
                <w:left w:val="none" w:sz="0" w:space="0" w:color="auto"/>
                <w:bottom w:val="none" w:sz="0" w:space="0" w:color="auto"/>
                <w:right w:val="none" w:sz="0" w:space="0" w:color="auto"/>
              </w:divBdr>
            </w:div>
          </w:divsChild>
        </w:div>
        <w:div w:id="1856991996">
          <w:marLeft w:val="0"/>
          <w:marRight w:val="0"/>
          <w:marTop w:val="0"/>
          <w:marBottom w:val="0"/>
          <w:divBdr>
            <w:top w:val="none" w:sz="0" w:space="0" w:color="auto"/>
            <w:left w:val="none" w:sz="0" w:space="0" w:color="auto"/>
            <w:bottom w:val="none" w:sz="0" w:space="0" w:color="auto"/>
            <w:right w:val="none" w:sz="0" w:space="0" w:color="auto"/>
          </w:divBdr>
          <w:divsChild>
            <w:div w:id="1296638114">
              <w:marLeft w:val="0"/>
              <w:marRight w:val="0"/>
              <w:marTop w:val="0"/>
              <w:marBottom w:val="0"/>
              <w:divBdr>
                <w:top w:val="none" w:sz="0" w:space="0" w:color="auto"/>
                <w:left w:val="none" w:sz="0" w:space="0" w:color="auto"/>
                <w:bottom w:val="none" w:sz="0" w:space="0" w:color="auto"/>
                <w:right w:val="none" w:sz="0" w:space="0" w:color="auto"/>
              </w:divBdr>
            </w:div>
          </w:divsChild>
        </w:div>
        <w:div w:id="1559168811">
          <w:marLeft w:val="0"/>
          <w:marRight w:val="0"/>
          <w:marTop w:val="0"/>
          <w:marBottom w:val="0"/>
          <w:divBdr>
            <w:top w:val="none" w:sz="0" w:space="0" w:color="auto"/>
            <w:left w:val="none" w:sz="0" w:space="0" w:color="auto"/>
            <w:bottom w:val="none" w:sz="0" w:space="0" w:color="auto"/>
            <w:right w:val="none" w:sz="0" w:space="0" w:color="auto"/>
          </w:divBdr>
          <w:divsChild>
            <w:div w:id="1181965281">
              <w:marLeft w:val="0"/>
              <w:marRight w:val="0"/>
              <w:marTop w:val="0"/>
              <w:marBottom w:val="0"/>
              <w:divBdr>
                <w:top w:val="none" w:sz="0" w:space="0" w:color="auto"/>
                <w:left w:val="none" w:sz="0" w:space="0" w:color="auto"/>
                <w:bottom w:val="none" w:sz="0" w:space="0" w:color="auto"/>
                <w:right w:val="none" w:sz="0" w:space="0" w:color="auto"/>
              </w:divBdr>
            </w:div>
          </w:divsChild>
        </w:div>
        <w:div w:id="1204366495">
          <w:marLeft w:val="0"/>
          <w:marRight w:val="0"/>
          <w:marTop w:val="0"/>
          <w:marBottom w:val="0"/>
          <w:divBdr>
            <w:top w:val="none" w:sz="0" w:space="0" w:color="auto"/>
            <w:left w:val="none" w:sz="0" w:space="0" w:color="auto"/>
            <w:bottom w:val="none" w:sz="0" w:space="0" w:color="auto"/>
            <w:right w:val="none" w:sz="0" w:space="0" w:color="auto"/>
          </w:divBdr>
          <w:divsChild>
            <w:div w:id="411506107">
              <w:marLeft w:val="0"/>
              <w:marRight w:val="0"/>
              <w:marTop w:val="0"/>
              <w:marBottom w:val="0"/>
              <w:divBdr>
                <w:top w:val="none" w:sz="0" w:space="0" w:color="auto"/>
                <w:left w:val="none" w:sz="0" w:space="0" w:color="auto"/>
                <w:bottom w:val="none" w:sz="0" w:space="0" w:color="auto"/>
                <w:right w:val="none" w:sz="0" w:space="0" w:color="auto"/>
              </w:divBdr>
            </w:div>
          </w:divsChild>
        </w:div>
        <w:div w:id="846793168">
          <w:marLeft w:val="0"/>
          <w:marRight w:val="0"/>
          <w:marTop w:val="0"/>
          <w:marBottom w:val="0"/>
          <w:divBdr>
            <w:top w:val="none" w:sz="0" w:space="0" w:color="auto"/>
            <w:left w:val="none" w:sz="0" w:space="0" w:color="auto"/>
            <w:bottom w:val="none" w:sz="0" w:space="0" w:color="auto"/>
            <w:right w:val="none" w:sz="0" w:space="0" w:color="auto"/>
          </w:divBdr>
          <w:divsChild>
            <w:div w:id="1377193647">
              <w:marLeft w:val="0"/>
              <w:marRight w:val="0"/>
              <w:marTop w:val="0"/>
              <w:marBottom w:val="0"/>
              <w:divBdr>
                <w:top w:val="none" w:sz="0" w:space="0" w:color="auto"/>
                <w:left w:val="none" w:sz="0" w:space="0" w:color="auto"/>
                <w:bottom w:val="none" w:sz="0" w:space="0" w:color="auto"/>
                <w:right w:val="none" w:sz="0" w:space="0" w:color="auto"/>
              </w:divBdr>
            </w:div>
          </w:divsChild>
        </w:div>
        <w:div w:id="518086316">
          <w:marLeft w:val="0"/>
          <w:marRight w:val="0"/>
          <w:marTop w:val="0"/>
          <w:marBottom w:val="0"/>
          <w:divBdr>
            <w:top w:val="none" w:sz="0" w:space="0" w:color="auto"/>
            <w:left w:val="none" w:sz="0" w:space="0" w:color="auto"/>
            <w:bottom w:val="none" w:sz="0" w:space="0" w:color="auto"/>
            <w:right w:val="none" w:sz="0" w:space="0" w:color="auto"/>
          </w:divBdr>
          <w:divsChild>
            <w:div w:id="2115325381">
              <w:marLeft w:val="0"/>
              <w:marRight w:val="0"/>
              <w:marTop w:val="0"/>
              <w:marBottom w:val="0"/>
              <w:divBdr>
                <w:top w:val="none" w:sz="0" w:space="0" w:color="auto"/>
                <w:left w:val="none" w:sz="0" w:space="0" w:color="auto"/>
                <w:bottom w:val="none" w:sz="0" w:space="0" w:color="auto"/>
                <w:right w:val="none" w:sz="0" w:space="0" w:color="auto"/>
              </w:divBdr>
            </w:div>
          </w:divsChild>
        </w:div>
        <w:div w:id="1567373983">
          <w:marLeft w:val="0"/>
          <w:marRight w:val="0"/>
          <w:marTop w:val="0"/>
          <w:marBottom w:val="0"/>
          <w:divBdr>
            <w:top w:val="none" w:sz="0" w:space="0" w:color="auto"/>
            <w:left w:val="none" w:sz="0" w:space="0" w:color="auto"/>
            <w:bottom w:val="none" w:sz="0" w:space="0" w:color="auto"/>
            <w:right w:val="none" w:sz="0" w:space="0" w:color="auto"/>
          </w:divBdr>
          <w:divsChild>
            <w:div w:id="443505876">
              <w:marLeft w:val="0"/>
              <w:marRight w:val="0"/>
              <w:marTop w:val="0"/>
              <w:marBottom w:val="0"/>
              <w:divBdr>
                <w:top w:val="none" w:sz="0" w:space="0" w:color="auto"/>
                <w:left w:val="none" w:sz="0" w:space="0" w:color="auto"/>
                <w:bottom w:val="none" w:sz="0" w:space="0" w:color="auto"/>
                <w:right w:val="none" w:sz="0" w:space="0" w:color="auto"/>
              </w:divBdr>
            </w:div>
          </w:divsChild>
        </w:div>
        <w:div w:id="918102990">
          <w:marLeft w:val="0"/>
          <w:marRight w:val="0"/>
          <w:marTop w:val="0"/>
          <w:marBottom w:val="0"/>
          <w:divBdr>
            <w:top w:val="none" w:sz="0" w:space="0" w:color="auto"/>
            <w:left w:val="none" w:sz="0" w:space="0" w:color="auto"/>
            <w:bottom w:val="none" w:sz="0" w:space="0" w:color="auto"/>
            <w:right w:val="none" w:sz="0" w:space="0" w:color="auto"/>
          </w:divBdr>
          <w:divsChild>
            <w:div w:id="171847551">
              <w:marLeft w:val="0"/>
              <w:marRight w:val="0"/>
              <w:marTop w:val="0"/>
              <w:marBottom w:val="0"/>
              <w:divBdr>
                <w:top w:val="none" w:sz="0" w:space="0" w:color="auto"/>
                <w:left w:val="none" w:sz="0" w:space="0" w:color="auto"/>
                <w:bottom w:val="none" w:sz="0" w:space="0" w:color="auto"/>
                <w:right w:val="none" w:sz="0" w:space="0" w:color="auto"/>
              </w:divBdr>
            </w:div>
          </w:divsChild>
        </w:div>
        <w:div w:id="491651328">
          <w:marLeft w:val="0"/>
          <w:marRight w:val="0"/>
          <w:marTop w:val="0"/>
          <w:marBottom w:val="0"/>
          <w:divBdr>
            <w:top w:val="none" w:sz="0" w:space="0" w:color="auto"/>
            <w:left w:val="none" w:sz="0" w:space="0" w:color="auto"/>
            <w:bottom w:val="none" w:sz="0" w:space="0" w:color="auto"/>
            <w:right w:val="none" w:sz="0" w:space="0" w:color="auto"/>
          </w:divBdr>
          <w:divsChild>
            <w:div w:id="448469772">
              <w:marLeft w:val="0"/>
              <w:marRight w:val="0"/>
              <w:marTop w:val="0"/>
              <w:marBottom w:val="0"/>
              <w:divBdr>
                <w:top w:val="none" w:sz="0" w:space="0" w:color="auto"/>
                <w:left w:val="none" w:sz="0" w:space="0" w:color="auto"/>
                <w:bottom w:val="none" w:sz="0" w:space="0" w:color="auto"/>
                <w:right w:val="none" w:sz="0" w:space="0" w:color="auto"/>
              </w:divBdr>
            </w:div>
          </w:divsChild>
        </w:div>
        <w:div w:id="1742215486">
          <w:marLeft w:val="0"/>
          <w:marRight w:val="0"/>
          <w:marTop w:val="300"/>
          <w:marBottom w:val="300"/>
          <w:divBdr>
            <w:top w:val="none" w:sz="0" w:space="0" w:color="auto"/>
            <w:left w:val="none" w:sz="0" w:space="0" w:color="auto"/>
            <w:bottom w:val="none" w:sz="0" w:space="0" w:color="auto"/>
            <w:right w:val="none" w:sz="0" w:space="0" w:color="auto"/>
          </w:divBdr>
        </w:div>
        <w:div w:id="114757487">
          <w:marLeft w:val="0"/>
          <w:marRight w:val="0"/>
          <w:marTop w:val="0"/>
          <w:marBottom w:val="0"/>
          <w:divBdr>
            <w:top w:val="none" w:sz="0" w:space="0" w:color="auto"/>
            <w:left w:val="none" w:sz="0" w:space="0" w:color="auto"/>
            <w:bottom w:val="none" w:sz="0" w:space="0" w:color="auto"/>
            <w:right w:val="none" w:sz="0" w:space="0" w:color="auto"/>
          </w:divBdr>
          <w:divsChild>
            <w:div w:id="2585625">
              <w:marLeft w:val="0"/>
              <w:marRight w:val="0"/>
              <w:marTop w:val="0"/>
              <w:marBottom w:val="0"/>
              <w:divBdr>
                <w:top w:val="none" w:sz="0" w:space="0" w:color="auto"/>
                <w:left w:val="none" w:sz="0" w:space="0" w:color="auto"/>
                <w:bottom w:val="none" w:sz="0" w:space="0" w:color="auto"/>
                <w:right w:val="none" w:sz="0" w:space="0" w:color="auto"/>
              </w:divBdr>
            </w:div>
          </w:divsChild>
        </w:div>
        <w:div w:id="1398743590">
          <w:marLeft w:val="0"/>
          <w:marRight w:val="0"/>
          <w:marTop w:val="0"/>
          <w:marBottom w:val="0"/>
          <w:divBdr>
            <w:top w:val="none" w:sz="0" w:space="0" w:color="auto"/>
            <w:left w:val="none" w:sz="0" w:space="0" w:color="auto"/>
            <w:bottom w:val="none" w:sz="0" w:space="0" w:color="auto"/>
            <w:right w:val="none" w:sz="0" w:space="0" w:color="auto"/>
          </w:divBdr>
          <w:divsChild>
            <w:div w:id="752506304">
              <w:marLeft w:val="0"/>
              <w:marRight w:val="0"/>
              <w:marTop w:val="0"/>
              <w:marBottom w:val="0"/>
              <w:divBdr>
                <w:top w:val="none" w:sz="0" w:space="0" w:color="auto"/>
                <w:left w:val="none" w:sz="0" w:space="0" w:color="auto"/>
                <w:bottom w:val="none" w:sz="0" w:space="0" w:color="auto"/>
                <w:right w:val="none" w:sz="0" w:space="0" w:color="auto"/>
              </w:divBdr>
            </w:div>
          </w:divsChild>
        </w:div>
        <w:div w:id="948272347">
          <w:marLeft w:val="0"/>
          <w:marRight w:val="0"/>
          <w:marTop w:val="0"/>
          <w:marBottom w:val="0"/>
          <w:divBdr>
            <w:top w:val="none" w:sz="0" w:space="0" w:color="auto"/>
            <w:left w:val="none" w:sz="0" w:space="0" w:color="auto"/>
            <w:bottom w:val="none" w:sz="0" w:space="0" w:color="auto"/>
            <w:right w:val="none" w:sz="0" w:space="0" w:color="auto"/>
          </w:divBdr>
          <w:divsChild>
            <w:div w:id="722631230">
              <w:marLeft w:val="0"/>
              <w:marRight w:val="0"/>
              <w:marTop w:val="0"/>
              <w:marBottom w:val="0"/>
              <w:divBdr>
                <w:top w:val="none" w:sz="0" w:space="0" w:color="auto"/>
                <w:left w:val="none" w:sz="0" w:space="0" w:color="auto"/>
                <w:bottom w:val="none" w:sz="0" w:space="0" w:color="auto"/>
                <w:right w:val="none" w:sz="0" w:space="0" w:color="auto"/>
              </w:divBdr>
            </w:div>
          </w:divsChild>
        </w:div>
        <w:div w:id="1008219605">
          <w:marLeft w:val="0"/>
          <w:marRight w:val="0"/>
          <w:marTop w:val="0"/>
          <w:marBottom w:val="0"/>
          <w:divBdr>
            <w:top w:val="none" w:sz="0" w:space="0" w:color="auto"/>
            <w:left w:val="none" w:sz="0" w:space="0" w:color="auto"/>
            <w:bottom w:val="none" w:sz="0" w:space="0" w:color="auto"/>
            <w:right w:val="none" w:sz="0" w:space="0" w:color="auto"/>
          </w:divBdr>
          <w:divsChild>
            <w:div w:id="397822699">
              <w:marLeft w:val="0"/>
              <w:marRight w:val="0"/>
              <w:marTop w:val="0"/>
              <w:marBottom w:val="0"/>
              <w:divBdr>
                <w:top w:val="none" w:sz="0" w:space="0" w:color="auto"/>
                <w:left w:val="none" w:sz="0" w:space="0" w:color="auto"/>
                <w:bottom w:val="none" w:sz="0" w:space="0" w:color="auto"/>
                <w:right w:val="none" w:sz="0" w:space="0" w:color="auto"/>
              </w:divBdr>
            </w:div>
          </w:divsChild>
        </w:div>
        <w:div w:id="1389299216">
          <w:marLeft w:val="0"/>
          <w:marRight w:val="0"/>
          <w:marTop w:val="0"/>
          <w:marBottom w:val="0"/>
          <w:divBdr>
            <w:top w:val="none" w:sz="0" w:space="0" w:color="auto"/>
            <w:left w:val="none" w:sz="0" w:space="0" w:color="auto"/>
            <w:bottom w:val="none" w:sz="0" w:space="0" w:color="auto"/>
            <w:right w:val="none" w:sz="0" w:space="0" w:color="auto"/>
          </w:divBdr>
          <w:divsChild>
            <w:div w:id="844903987">
              <w:marLeft w:val="0"/>
              <w:marRight w:val="0"/>
              <w:marTop w:val="0"/>
              <w:marBottom w:val="0"/>
              <w:divBdr>
                <w:top w:val="none" w:sz="0" w:space="0" w:color="auto"/>
                <w:left w:val="none" w:sz="0" w:space="0" w:color="auto"/>
                <w:bottom w:val="none" w:sz="0" w:space="0" w:color="auto"/>
                <w:right w:val="none" w:sz="0" w:space="0" w:color="auto"/>
              </w:divBdr>
            </w:div>
          </w:divsChild>
        </w:div>
        <w:div w:id="511727068">
          <w:marLeft w:val="0"/>
          <w:marRight w:val="0"/>
          <w:marTop w:val="0"/>
          <w:marBottom w:val="0"/>
          <w:divBdr>
            <w:top w:val="none" w:sz="0" w:space="0" w:color="auto"/>
            <w:left w:val="none" w:sz="0" w:space="0" w:color="auto"/>
            <w:bottom w:val="none" w:sz="0" w:space="0" w:color="auto"/>
            <w:right w:val="none" w:sz="0" w:space="0" w:color="auto"/>
          </w:divBdr>
          <w:divsChild>
            <w:div w:id="500243966">
              <w:marLeft w:val="0"/>
              <w:marRight w:val="0"/>
              <w:marTop w:val="0"/>
              <w:marBottom w:val="0"/>
              <w:divBdr>
                <w:top w:val="none" w:sz="0" w:space="0" w:color="auto"/>
                <w:left w:val="none" w:sz="0" w:space="0" w:color="auto"/>
                <w:bottom w:val="none" w:sz="0" w:space="0" w:color="auto"/>
                <w:right w:val="none" w:sz="0" w:space="0" w:color="auto"/>
              </w:divBdr>
            </w:div>
          </w:divsChild>
        </w:div>
        <w:div w:id="1176578867">
          <w:marLeft w:val="0"/>
          <w:marRight w:val="0"/>
          <w:marTop w:val="0"/>
          <w:marBottom w:val="0"/>
          <w:divBdr>
            <w:top w:val="none" w:sz="0" w:space="0" w:color="auto"/>
            <w:left w:val="none" w:sz="0" w:space="0" w:color="auto"/>
            <w:bottom w:val="none" w:sz="0" w:space="0" w:color="auto"/>
            <w:right w:val="none" w:sz="0" w:space="0" w:color="auto"/>
          </w:divBdr>
          <w:divsChild>
            <w:div w:id="2042245999">
              <w:marLeft w:val="0"/>
              <w:marRight w:val="0"/>
              <w:marTop w:val="0"/>
              <w:marBottom w:val="0"/>
              <w:divBdr>
                <w:top w:val="none" w:sz="0" w:space="0" w:color="auto"/>
                <w:left w:val="none" w:sz="0" w:space="0" w:color="auto"/>
                <w:bottom w:val="none" w:sz="0" w:space="0" w:color="auto"/>
                <w:right w:val="none" w:sz="0" w:space="0" w:color="auto"/>
              </w:divBdr>
            </w:div>
          </w:divsChild>
        </w:div>
        <w:div w:id="1630472341">
          <w:marLeft w:val="0"/>
          <w:marRight w:val="0"/>
          <w:marTop w:val="0"/>
          <w:marBottom w:val="0"/>
          <w:divBdr>
            <w:top w:val="none" w:sz="0" w:space="0" w:color="auto"/>
            <w:left w:val="none" w:sz="0" w:space="0" w:color="auto"/>
            <w:bottom w:val="none" w:sz="0" w:space="0" w:color="auto"/>
            <w:right w:val="none" w:sz="0" w:space="0" w:color="auto"/>
          </w:divBdr>
          <w:divsChild>
            <w:div w:id="1570112608">
              <w:marLeft w:val="0"/>
              <w:marRight w:val="0"/>
              <w:marTop w:val="0"/>
              <w:marBottom w:val="0"/>
              <w:divBdr>
                <w:top w:val="none" w:sz="0" w:space="0" w:color="auto"/>
                <w:left w:val="none" w:sz="0" w:space="0" w:color="auto"/>
                <w:bottom w:val="none" w:sz="0" w:space="0" w:color="auto"/>
                <w:right w:val="none" w:sz="0" w:space="0" w:color="auto"/>
              </w:divBdr>
            </w:div>
          </w:divsChild>
        </w:div>
        <w:div w:id="1202789335">
          <w:marLeft w:val="0"/>
          <w:marRight w:val="0"/>
          <w:marTop w:val="0"/>
          <w:marBottom w:val="0"/>
          <w:divBdr>
            <w:top w:val="none" w:sz="0" w:space="0" w:color="auto"/>
            <w:left w:val="none" w:sz="0" w:space="0" w:color="auto"/>
            <w:bottom w:val="none" w:sz="0" w:space="0" w:color="auto"/>
            <w:right w:val="none" w:sz="0" w:space="0" w:color="auto"/>
          </w:divBdr>
          <w:divsChild>
            <w:div w:id="1168835596">
              <w:marLeft w:val="0"/>
              <w:marRight w:val="0"/>
              <w:marTop w:val="0"/>
              <w:marBottom w:val="0"/>
              <w:divBdr>
                <w:top w:val="none" w:sz="0" w:space="0" w:color="auto"/>
                <w:left w:val="none" w:sz="0" w:space="0" w:color="auto"/>
                <w:bottom w:val="none" w:sz="0" w:space="0" w:color="auto"/>
                <w:right w:val="none" w:sz="0" w:space="0" w:color="auto"/>
              </w:divBdr>
            </w:div>
          </w:divsChild>
        </w:div>
        <w:div w:id="330987200">
          <w:marLeft w:val="0"/>
          <w:marRight w:val="0"/>
          <w:marTop w:val="0"/>
          <w:marBottom w:val="0"/>
          <w:divBdr>
            <w:top w:val="none" w:sz="0" w:space="0" w:color="auto"/>
            <w:left w:val="none" w:sz="0" w:space="0" w:color="auto"/>
            <w:bottom w:val="none" w:sz="0" w:space="0" w:color="auto"/>
            <w:right w:val="none" w:sz="0" w:space="0" w:color="auto"/>
          </w:divBdr>
          <w:divsChild>
            <w:div w:id="444740775">
              <w:marLeft w:val="0"/>
              <w:marRight w:val="0"/>
              <w:marTop w:val="0"/>
              <w:marBottom w:val="0"/>
              <w:divBdr>
                <w:top w:val="none" w:sz="0" w:space="0" w:color="auto"/>
                <w:left w:val="none" w:sz="0" w:space="0" w:color="auto"/>
                <w:bottom w:val="none" w:sz="0" w:space="0" w:color="auto"/>
                <w:right w:val="none" w:sz="0" w:space="0" w:color="auto"/>
              </w:divBdr>
            </w:div>
          </w:divsChild>
        </w:div>
        <w:div w:id="1198929190">
          <w:marLeft w:val="0"/>
          <w:marRight w:val="0"/>
          <w:marTop w:val="0"/>
          <w:marBottom w:val="0"/>
          <w:divBdr>
            <w:top w:val="none" w:sz="0" w:space="0" w:color="auto"/>
            <w:left w:val="none" w:sz="0" w:space="0" w:color="auto"/>
            <w:bottom w:val="none" w:sz="0" w:space="0" w:color="auto"/>
            <w:right w:val="none" w:sz="0" w:space="0" w:color="auto"/>
          </w:divBdr>
          <w:divsChild>
            <w:div w:id="1209994039">
              <w:marLeft w:val="0"/>
              <w:marRight w:val="0"/>
              <w:marTop w:val="0"/>
              <w:marBottom w:val="0"/>
              <w:divBdr>
                <w:top w:val="none" w:sz="0" w:space="0" w:color="auto"/>
                <w:left w:val="none" w:sz="0" w:space="0" w:color="auto"/>
                <w:bottom w:val="none" w:sz="0" w:space="0" w:color="auto"/>
                <w:right w:val="none" w:sz="0" w:space="0" w:color="auto"/>
              </w:divBdr>
            </w:div>
          </w:divsChild>
        </w:div>
        <w:div w:id="1155225515">
          <w:marLeft w:val="0"/>
          <w:marRight w:val="0"/>
          <w:marTop w:val="0"/>
          <w:marBottom w:val="0"/>
          <w:divBdr>
            <w:top w:val="none" w:sz="0" w:space="0" w:color="auto"/>
            <w:left w:val="none" w:sz="0" w:space="0" w:color="auto"/>
            <w:bottom w:val="none" w:sz="0" w:space="0" w:color="auto"/>
            <w:right w:val="none" w:sz="0" w:space="0" w:color="auto"/>
          </w:divBdr>
          <w:divsChild>
            <w:div w:id="45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7125">
      <w:bodyDiv w:val="1"/>
      <w:marLeft w:val="0"/>
      <w:marRight w:val="0"/>
      <w:marTop w:val="0"/>
      <w:marBottom w:val="0"/>
      <w:divBdr>
        <w:top w:val="none" w:sz="0" w:space="0" w:color="auto"/>
        <w:left w:val="none" w:sz="0" w:space="0" w:color="auto"/>
        <w:bottom w:val="none" w:sz="0" w:space="0" w:color="auto"/>
        <w:right w:val="none" w:sz="0" w:space="0" w:color="auto"/>
      </w:divBdr>
    </w:div>
    <w:div w:id="2070153654">
      <w:bodyDiv w:val="1"/>
      <w:marLeft w:val="0"/>
      <w:marRight w:val="0"/>
      <w:marTop w:val="0"/>
      <w:marBottom w:val="0"/>
      <w:divBdr>
        <w:top w:val="none" w:sz="0" w:space="0" w:color="auto"/>
        <w:left w:val="none" w:sz="0" w:space="0" w:color="auto"/>
        <w:bottom w:val="none" w:sz="0" w:space="0" w:color="auto"/>
        <w:right w:val="none" w:sz="0" w:space="0" w:color="auto"/>
      </w:divBdr>
      <w:divsChild>
        <w:div w:id="660475215">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relatoria.colombiacompra.gov.co/ficha/C-475%20de%202020" TargetMode="External"/><Relationship Id="rId3" Type="http://schemas.openxmlformats.org/officeDocument/2006/relationships/customXml" Target="../customXml/item3.xml"/><Relationship Id="rId21" Type="http://schemas.openxmlformats.org/officeDocument/2006/relationships/hyperlink" Target="http://relatoria.colombiacompra.gov.co/ficha/C-047%20%20de%202020"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relatoria.colombiacompra.gov.co/ficha/C-359%20de%202020" TargetMode="External"/><Relationship Id="rId33" Type="http://schemas.openxmlformats.org/officeDocument/2006/relationships/image" Target="media/image16.jp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relatoria.colombiacompra.gov.co/ficha/C-486%20de%2020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hyperlink" Target="http://relatoria.colombiacompra.gov.co/ficha/4201913000005089" TargetMode="External"/><Relationship Id="rId32" Type="http://schemas.openxmlformats.org/officeDocument/2006/relationships/image" Target="media/image15.jp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hyperlink" Target="https://relatoria.colombiacompra.gov.co/ficha/C-376%20de%202022" TargetMode="External"/><Relationship Id="rId28" Type="http://schemas.openxmlformats.org/officeDocument/2006/relationships/hyperlink" Target="http://relatoria.colombiacompra.gov.co/ficha/C-426%20de%20202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4.jpg"/><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relatoria.colombiacompra.gov.co/ficha/C-106%20de%202021" TargetMode="External"/><Relationship Id="rId27" Type="http://schemas.openxmlformats.org/officeDocument/2006/relationships/hyperlink" Target="http://relatoria.colombiacompra.gov.co/ficha/C-418%20de%202020" TargetMode="External"/><Relationship Id="rId30" Type="http://schemas.openxmlformats.org/officeDocument/2006/relationships/image" Target="media/image13.jpg"/><Relationship Id="rId35" Type="http://schemas.openxmlformats.org/officeDocument/2006/relationships/theme" Target="theme/theme1.xml"/><Relationship Id="rId8" Type="http://schemas.openxmlformats.org/officeDocument/2006/relationships/hyperlink" Target="http://relatoria.colombiacompra.gov.co/ficha/C-696%20de%202020"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16" ma:contentTypeDescription="Crear nuevo documento." ma:contentTypeScope="" ma:versionID="4d0aff64a573d8785e6a72518a5ad9d8">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36a2f457a6205ac8ec841d28bbb076c"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lcf76f155ced4ddcb4097134ff3c332f xmlns="9d85dbaf-23eb-4e57-a637-93dcacc8b1a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7CD2146-7676-4894-AC76-57F9B8853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553A1F-19F3-4414-9999-7DDFF4F89547}">
  <ds:schemaRefs>
    <ds:schemaRef ds:uri="a6cb9e4b-f1d1-4245-83ec-6cad768d538a"/>
    <ds:schemaRef ds:uri="http://purl.org/dc/dcmitype/"/>
    <ds:schemaRef ds:uri="http://schemas.microsoft.com/office/infopath/2007/PartnerControls"/>
    <ds:schemaRef ds:uri="http://www.w3.org/XML/1998/namespace"/>
    <ds:schemaRef ds:uri="http://purl.org/dc/terms/"/>
    <ds:schemaRef ds:uri="http://purl.org/dc/elements/1.1/"/>
    <ds:schemaRef ds:uri="http://schemas.microsoft.com/office/2006/documentManagement/types"/>
    <ds:schemaRef ds:uri="http://schemas.openxmlformats.org/package/2006/metadata/core-properties"/>
    <ds:schemaRef ds:uri="9d85dbaf-23eb-4e57-a637-93dcacc8b1a1"/>
    <ds:schemaRef ds:uri="http://schemas.microsoft.com/office/2006/metadata/properties"/>
  </ds:schemaRefs>
</ds:datastoreItem>
</file>

<file path=customXml/itemProps3.xml><?xml version="1.0" encoding="utf-8"?>
<ds:datastoreItem xmlns:ds="http://schemas.openxmlformats.org/officeDocument/2006/customXml" ds:itemID="{E5C97ABB-014A-42B0-8B9B-ABE5C300CB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548</Pages>
  <Words>256330</Words>
  <Characters>1409819</Characters>
  <Application>Microsoft Office Word</Application>
  <DocSecurity>0</DocSecurity>
  <Lines>11748</Lines>
  <Paragraphs>3325</Paragraphs>
  <ScaleCrop>false</ScaleCrop>
  <Company/>
  <LinksUpToDate>false</LinksUpToDate>
  <CharactersWithSpaces>1662824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jmanuel.castillo.lopez@gmail.com</dc:creator>
  <cp:keywords/>
  <dc:description/>
  <cp:lastModifiedBy>Manuela Mantilla Pacheco</cp:lastModifiedBy>
  <cp:revision>2</cp:revision>
  <dcterms:created xsi:type="dcterms:W3CDTF">2022-10-18T19:15:00Z</dcterms:created>
  <dcterms:modified xsi:type="dcterms:W3CDTF">2022-10-18T19:15:00Z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y fmtid="{D5CDD505-2E9C-101B-9397-08002B2CF9AE}" pid="3" name="MediaServiceImageTags">
    <vt:lpwstr/>
  </property>
</Properties>
</file>