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95EC5" w14:textId="5EE5E400" w:rsidR="00562064" w:rsidRPr="00562064" w:rsidRDefault="00562064" w:rsidP="00562064">
      <w:pPr>
        <w:spacing w:after="0" w:line="240" w:lineRule="auto"/>
        <w:ind w:left="1701" w:right="1588"/>
        <w:jc w:val="both"/>
        <w:rPr>
          <w:rFonts w:ascii="Arial" w:eastAsia="Arial" w:hAnsi="Arial" w:cs="Arial"/>
          <w:color w:val="FF0000"/>
          <w:sz w:val="20"/>
          <w:szCs w:val="20"/>
        </w:rPr>
      </w:pPr>
      <w:r w:rsidRPr="00562064">
        <w:rPr>
          <w:rFonts w:ascii="Arial" w:eastAsia="Arial" w:hAnsi="Arial" w:cs="Arial"/>
          <w:b/>
          <w:bCs/>
          <w:color w:val="FF0000"/>
          <w:sz w:val="20"/>
          <w:szCs w:val="20"/>
        </w:rPr>
        <w:t>Nota:</w:t>
      </w:r>
      <w:r w:rsidRPr="00562064">
        <w:rPr>
          <w:rFonts w:ascii="Arial" w:eastAsia="Arial" w:hAnsi="Arial" w:cs="Arial"/>
          <w:color w:val="FF0000"/>
          <w:sz w:val="20"/>
          <w:szCs w:val="20"/>
        </w:rPr>
        <w:t xml:space="preserve"> la siguiente norma se trascribe completa, pero de ella la Agencia Nacional de Contratación Pública –Colombia Compra Eficiente– solo ha emitido conceptos que interpretan las siguientes disposiciones relacionadas con la contratación estatal: artículos 2.1.1.2.1.7, 2.1.1.2.1.8, 2.1.1.2.1.9</w:t>
      </w:r>
      <w:r w:rsidR="00EB0D1D">
        <w:rPr>
          <w:rFonts w:ascii="Arial" w:eastAsia="Arial" w:hAnsi="Arial" w:cs="Arial"/>
          <w:color w:val="FF0000"/>
          <w:sz w:val="20"/>
          <w:szCs w:val="20"/>
        </w:rPr>
        <w:t>,</w:t>
      </w:r>
      <w:r w:rsidRPr="00562064">
        <w:rPr>
          <w:rFonts w:ascii="Arial" w:eastAsia="Arial" w:hAnsi="Arial" w:cs="Arial"/>
          <w:color w:val="FF0000"/>
          <w:sz w:val="20"/>
          <w:szCs w:val="20"/>
        </w:rPr>
        <w:t xml:space="preserve"> 2.1.1.2.1.10</w:t>
      </w:r>
      <w:r w:rsidR="00EB0D1D">
        <w:rPr>
          <w:rFonts w:ascii="Arial" w:eastAsia="Arial" w:hAnsi="Arial" w:cs="Arial"/>
          <w:color w:val="FF0000"/>
          <w:sz w:val="20"/>
          <w:szCs w:val="20"/>
        </w:rPr>
        <w:t xml:space="preserve"> y </w:t>
      </w:r>
      <w:r w:rsidR="00EB0D1D" w:rsidRPr="00EB0D1D">
        <w:rPr>
          <w:rFonts w:ascii="Arial" w:eastAsia="Arial" w:hAnsi="Arial" w:cs="Arial"/>
          <w:color w:val="FF0000"/>
          <w:sz w:val="20"/>
          <w:szCs w:val="20"/>
        </w:rPr>
        <w:t>2.2.2.1.3.</w:t>
      </w:r>
    </w:p>
    <w:p w14:paraId="22FB3C14" w14:textId="77777777" w:rsidR="00562064" w:rsidRPr="00562064" w:rsidRDefault="00562064" w:rsidP="00562064">
      <w:pPr>
        <w:spacing w:after="0" w:line="240" w:lineRule="auto"/>
        <w:ind w:left="1701" w:right="1588"/>
        <w:jc w:val="both"/>
        <w:rPr>
          <w:rFonts w:ascii="Arial" w:eastAsia="Arial" w:hAnsi="Arial" w:cs="Arial"/>
          <w:color w:val="FF0000"/>
          <w:sz w:val="20"/>
          <w:szCs w:val="20"/>
        </w:rPr>
      </w:pPr>
    </w:p>
    <w:p w14:paraId="670F9392" w14:textId="5F35834E" w:rsidR="00562064" w:rsidRPr="00562064" w:rsidRDefault="00562064" w:rsidP="00562064">
      <w:pPr>
        <w:spacing w:after="0" w:line="240" w:lineRule="auto"/>
        <w:ind w:left="1701" w:right="1588"/>
        <w:jc w:val="both"/>
        <w:rPr>
          <w:rFonts w:ascii="Arial" w:eastAsia="Arial" w:hAnsi="Arial" w:cs="Arial"/>
          <w:color w:val="FF0000"/>
          <w:sz w:val="20"/>
          <w:szCs w:val="20"/>
        </w:rPr>
      </w:pPr>
      <w:r w:rsidRPr="00562064">
        <w:rPr>
          <w:rFonts w:ascii="Arial" w:eastAsia="Arial" w:hAnsi="Arial" w:cs="Arial"/>
          <w:color w:val="FF0000"/>
          <w:sz w:val="20"/>
          <w:szCs w:val="20"/>
        </w:rPr>
        <w:t>Los conceptos se relacionan al pie de cada disposición, y abren dando “clic” en el hipervínculo.</w:t>
      </w:r>
    </w:p>
    <w:p w14:paraId="7196E70E" w14:textId="77777777" w:rsidR="005D6AC4" w:rsidRPr="00562064" w:rsidRDefault="005D6AC4" w:rsidP="005D6AC4">
      <w:pPr>
        <w:spacing w:after="0" w:line="390" w:lineRule="atLeast"/>
        <w:jc w:val="both"/>
        <w:rPr>
          <w:rFonts w:ascii="Arial" w:eastAsia="Times New Roman" w:hAnsi="Arial" w:cs="Arial"/>
          <w:b/>
          <w:bCs/>
          <w:color w:val="000000" w:themeColor="text1"/>
          <w:lang w:eastAsia="es-CO"/>
        </w:rPr>
      </w:pPr>
    </w:p>
    <w:p w14:paraId="5483BE70" w14:textId="418049AA" w:rsidR="00E475BF" w:rsidRPr="00562064" w:rsidRDefault="00E475BF" w:rsidP="00143180">
      <w:pPr>
        <w:spacing w:after="0" w:line="390"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DECRETO 1081 DE 2015</w:t>
      </w:r>
    </w:p>
    <w:p w14:paraId="2030DC96" w14:textId="77777777" w:rsidR="005E36FC" w:rsidRDefault="005E36FC" w:rsidP="00143180">
      <w:pPr>
        <w:spacing w:after="150" w:line="254" w:lineRule="atLeast"/>
        <w:jc w:val="center"/>
        <w:rPr>
          <w:rFonts w:ascii="Arial" w:eastAsia="Times New Roman" w:hAnsi="Arial" w:cs="Arial"/>
          <w:b/>
          <w:bCs/>
          <w:color w:val="000000" w:themeColor="text1"/>
          <w:lang w:eastAsia="es-CO"/>
        </w:rPr>
      </w:pPr>
    </w:p>
    <w:p w14:paraId="0C29FD54" w14:textId="43EAC268" w:rsidR="00E475BF" w:rsidRPr="00562064" w:rsidRDefault="00E475BF" w:rsidP="00143180">
      <w:pPr>
        <w:spacing w:after="15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por medio del cual se expide el Decreto Reglamentario Único del Sector Presidencia de la República.</w:t>
      </w:r>
    </w:p>
    <w:p w14:paraId="41E83DC8" w14:textId="7F2806EC" w:rsidR="00E475BF" w:rsidRPr="00562064" w:rsidRDefault="00E475BF" w:rsidP="00143180">
      <w:pPr>
        <w:spacing w:after="0" w:line="254" w:lineRule="atLeast"/>
        <w:jc w:val="center"/>
        <w:rPr>
          <w:rFonts w:ascii="Arial" w:eastAsia="Times New Roman" w:hAnsi="Arial" w:cs="Arial"/>
          <w:b/>
          <w:bCs/>
          <w:color w:val="000000" w:themeColor="text1"/>
          <w:lang w:eastAsia="es-CO"/>
        </w:rPr>
      </w:pPr>
      <w:bookmarkStart w:id="0" w:name="ver_30052265"/>
      <w:bookmarkEnd w:id="0"/>
      <w:r w:rsidRPr="00562064">
        <w:rPr>
          <w:rFonts w:ascii="Arial" w:eastAsia="Times New Roman" w:hAnsi="Arial" w:cs="Arial"/>
          <w:b/>
          <w:bCs/>
          <w:color w:val="000000" w:themeColor="text1"/>
          <w:lang w:eastAsia="es-CO"/>
        </w:rPr>
        <w:t>El Presidente de la República de Colombia, en ejercicio de las facultades que le confiere el numeral 11 del artículo 189 de la Constitución Política, y</w:t>
      </w:r>
    </w:p>
    <w:p w14:paraId="0596F954" w14:textId="3D9E8186" w:rsidR="00E475BF" w:rsidRPr="00562064" w:rsidRDefault="00E475BF" w:rsidP="00143180">
      <w:pPr>
        <w:spacing w:after="0" w:line="254" w:lineRule="atLeast"/>
        <w:jc w:val="center"/>
        <w:rPr>
          <w:rFonts w:ascii="Arial" w:eastAsia="Times New Roman" w:hAnsi="Arial" w:cs="Arial"/>
          <w:b/>
          <w:bCs/>
          <w:color w:val="000000" w:themeColor="text1"/>
          <w:lang w:eastAsia="es-CO"/>
        </w:rPr>
      </w:pPr>
    </w:p>
    <w:p w14:paraId="0BE7AC90" w14:textId="04DBB9D7" w:rsidR="00E475BF" w:rsidRPr="00562064" w:rsidRDefault="00E475BF" w:rsidP="00143180">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CONSIDERANDO:</w:t>
      </w:r>
    </w:p>
    <w:p w14:paraId="51D3C7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4A347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Que la producción normativa ocupa un espacio central en la implementación de políticas públicas, siendo el medio a través del cual se estructuran los instrumentos jurídicos que materializan en gran parte las decisiones del Estado. </w:t>
      </w:r>
    </w:p>
    <w:p w14:paraId="46EF54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9079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Que la racionalización y simplificación del ordenamiento jurídico es una de las principales herramientas para asegurar la eficiencia económica y social del sistema legal y para afianzar la seguridad jurídica. </w:t>
      </w:r>
    </w:p>
    <w:p w14:paraId="4F8A03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A869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Que constituye una política pública gubernamental la simplificación y compilación orgánica del sistema nacional regulatorio. </w:t>
      </w:r>
    </w:p>
    <w:p w14:paraId="63D30F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F960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Que la facultad reglamentaria incluye la posibilidad de compilar normas de la misma naturaleza. </w:t>
      </w:r>
    </w:p>
    <w:p w14:paraId="23E6A9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0107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Que por tratarse de un decreto compilatorio de normas reglamentarias preexistentes, las mismas no requieren de consulta previa alguna, dado que las normas fuente cumplieron al momento de su expedición con las regulaciones vigentes sobre la materia. </w:t>
      </w:r>
    </w:p>
    <w:p w14:paraId="398164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3F642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 </w:t>
      </w:r>
    </w:p>
    <w:p w14:paraId="0952A22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22BF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Que en virtud de sus características propias, el contenido material de este decreto guarda correspondencia con el de los decretos compilados; en consecuencia, no puede predicarse el decaimiento de las resoluciones, las circulares y demás actos administrativos expedidos por distintas autoridades administrativas con fundamento en las facultades derivadas de los decretos compilados. </w:t>
      </w:r>
    </w:p>
    <w:p w14:paraId="4A0C1B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9A135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Que la compilación de que trata el presente decreto se contrae a la normatividad vigente al momento de su expedición, sin perjuicio de los efectos ultractivos de disposiciones derogadas a la fecha, de conformidad con el artículo 38 de la Ley 153 de 1887. </w:t>
      </w:r>
    </w:p>
    <w:p w14:paraId="2AE5FD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3257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Que por cuanto este decreto constituye un ejercicio de compilación de reglamentaciones preexistentes, los considerandos de los decretos fuente se entienden incorporados a su texto, aunque no se transcriban, para lo cual en cada artículo se indica el origen del mismo. </w:t>
      </w:r>
    </w:p>
    <w:p w14:paraId="2A5380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7B2E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Que las normas que integran el Libro 1 de este decreto no tienen naturaleza reglamentaria, como quiera que se limitan a describir la estructura general administrativa del sector. </w:t>
      </w:r>
    </w:p>
    <w:p w14:paraId="70A683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1B56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Que durante el trabajo compilatorio recogido en este Decreto, el Gobierno verificó que ninguna norma compilada hubiera sido objeto de declaración de nulidad o de suspensión provisional, acudiendo para ello a la información suministrada por la Relatoría y la Secretaría General del Consejo de Estado. </w:t>
      </w:r>
    </w:p>
    <w:p w14:paraId="16CF25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3EFEE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Que con el objetivo de compilar y racionalizar las normas de carácter reglamentario que rigen en el sector y contar con un instrumento jurídico único para el mismo, se hace necesario expedir el presente Decreto Reglamentario Único Sectorial. </w:t>
      </w:r>
    </w:p>
    <w:p w14:paraId="46A68E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EA6FD5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Por lo anteriormente expuesto, </w:t>
      </w:r>
    </w:p>
    <w:p w14:paraId="6752211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CD3106" w14:textId="7C751D81" w:rsidR="00E475BF" w:rsidRPr="00562064" w:rsidRDefault="00E475BF" w:rsidP="00143180">
      <w:pPr>
        <w:spacing w:after="15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DECRETA:</w:t>
      </w:r>
    </w:p>
    <w:p w14:paraId="5EDE84B3"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 w:name="ver_30052267"/>
      <w:bookmarkEnd w:id="1"/>
      <w:r w:rsidRPr="00562064">
        <w:rPr>
          <w:rFonts w:ascii="Arial" w:eastAsia="Times New Roman" w:hAnsi="Arial" w:cs="Arial"/>
          <w:b/>
          <w:bCs/>
          <w:color w:val="000000" w:themeColor="text1"/>
          <w:lang w:eastAsia="es-CO"/>
        </w:rPr>
        <w:t>LIBRO 1</w:t>
      </w:r>
    </w:p>
    <w:p w14:paraId="1995B8D9"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ESTRUCTURA DEL SECTOR ADMINISTRATIVO DE LA PRESIDENCIA DE LA REPÚBLICA</w:t>
      </w:r>
    </w:p>
    <w:p w14:paraId="1FE10CF0"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PARTE 1</w:t>
      </w:r>
    </w:p>
    <w:p w14:paraId="17BA1E32"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SECTOR CENTRAL</w:t>
      </w:r>
    </w:p>
    <w:p w14:paraId="5A2510D2"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Título 1</w:t>
      </w:r>
    </w:p>
    <w:p w14:paraId="5B032C04"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El Departamento Administrativo de la Presidencia de la República</w:t>
      </w:r>
    </w:p>
    <w:p w14:paraId="23BC8C9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 w:name="ver_30052266"/>
      <w:bookmarkEnd w:id="2"/>
    </w:p>
    <w:p w14:paraId="136A4F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1.1.1.1. Cabeza del sector. La Presidencia de la República está integrada por el conjunto de servicios auxiliares del Presidente de la República y su régimen es el de un Departamento Administrativo. Le corresponde asistir al Presidente de la República en su calidad de Jefe de Estado, Jefe de Gobierno y Suprema Autoridad Administrativa en el ejercicio de sus atribuciones constitucionales y legales, y prestarle el apoyo administrativo necesario para dicho fin. </w:t>
      </w:r>
    </w:p>
    <w:p w14:paraId="7073090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82D7F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Departamento Administrativo de la Presidencia de la República tendrá como denominación abreviada la de “Presidencia de la República”, la cual será válida para todos los efectos legales. </w:t>
      </w:r>
    </w:p>
    <w:p w14:paraId="547B4948" w14:textId="1314AC43" w:rsidR="00E475BF"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B213493" w14:textId="63EAA1A6" w:rsidR="00562064" w:rsidRDefault="00562064" w:rsidP="00143180">
      <w:pPr>
        <w:spacing w:after="0" w:line="254" w:lineRule="atLeast"/>
        <w:jc w:val="both"/>
        <w:rPr>
          <w:rFonts w:ascii="Arial" w:eastAsia="Times New Roman" w:hAnsi="Arial" w:cs="Arial"/>
          <w:color w:val="000000" w:themeColor="text1"/>
          <w:lang w:eastAsia="es-CO"/>
        </w:rPr>
      </w:pPr>
    </w:p>
    <w:p w14:paraId="3B484AA0" w14:textId="5F63B67D" w:rsidR="00562064" w:rsidRDefault="00562064" w:rsidP="00143180">
      <w:pPr>
        <w:spacing w:after="0" w:line="254" w:lineRule="atLeast"/>
        <w:jc w:val="both"/>
        <w:rPr>
          <w:rFonts w:ascii="Arial" w:eastAsia="Times New Roman" w:hAnsi="Arial" w:cs="Arial"/>
          <w:color w:val="000000" w:themeColor="text1"/>
          <w:lang w:eastAsia="es-CO"/>
        </w:rPr>
      </w:pPr>
    </w:p>
    <w:p w14:paraId="0F5CB580" w14:textId="72ABAC0A" w:rsidR="00562064" w:rsidRDefault="00562064" w:rsidP="00143180">
      <w:pPr>
        <w:spacing w:after="0" w:line="254" w:lineRule="atLeast"/>
        <w:jc w:val="both"/>
        <w:rPr>
          <w:rFonts w:ascii="Arial" w:eastAsia="Times New Roman" w:hAnsi="Arial" w:cs="Arial"/>
          <w:color w:val="000000" w:themeColor="text1"/>
          <w:lang w:eastAsia="es-CO"/>
        </w:rPr>
      </w:pPr>
    </w:p>
    <w:p w14:paraId="3EF3F2D8" w14:textId="2FB82202" w:rsidR="00562064" w:rsidRDefault="00562064" w:rsidP="00143180">
      <w:pPr>
        <w:spacing w:after="0" w:line="254" w:lineRule="atLeast"/>
        <w:jc w:val="both"/>
        <w:rPr>
          <w:rFonts w:ascii="Arial" w:eastAsia="Times New Roman" w:hAnsi="Arial" w:cs="Arial"/>
          <w:color w:val="000000" w:themeColor="text1"/>
          <w:lang w:eastAsia="es-CO"/>
        </w:rPr>
      </w:pPr>
    </w:p>
    <w:p w14:paraId="45FD82E3" w14:textId="77777777" w:rsidR="00562064" w:rsidRPr="00562064" w:rsidRDefault="00562064" w:rsidP="00143180">
      <w:pPr>
        <w:spacing w:after="0" w:line="254" w:lineRule="atLeast"/>
        <w:jc w:val="both"/>
        <w:rPr>
          <w:rFonts w:ascii="Arial" w:eastAsia="Times New Roman" w:hAnsi="Arial" w:cs="Arial"/>
          <w:color w:val="000000" w:themeColor="text1"/>
          <w:lang w:eastAsia="es-CO"/>
        </w:rPr>
      </w:pPr>
    </w:p>
    <w:p w14:paraId="4495BCD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7AE0B2"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3" w:name="ver_30052269"/>
      <w:bookmarkEnd w:id="3"/>
      <w:r w:rsidRPr="00562064">
        <w:rPr>
          <w:rFonts w:ascii="Arial" w:eastAsia="Times New Roman" w:hAnsi="Arial" w:cs="Arial"/>
          <w:b/>
          <w:bCs/>
          <w:color w:val="000000" w:themeColor="text1"/>
          <w:lang w:eastAsia="es-CO"/>
        </w:rPr>
        <w:lastRenderedPageBreak/>
        <w:t>Título 2</w:t>
      </w:r>
    </w:p>
    <w:p w14:paraId="680ADCE9"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Fondo de Programas Especiales para la Paz</w:t>
      </w:r>
    </w:p>
    <w:p w14:paraId="03C9C51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 w:name="ver_30066933"/>
      <w:bookmarkEnd w:id="4"/>
    </w:p>
    <w:p w14:paraId="6E9AD3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1.1.2.1.Fondo Paz. El Fondo de Programas Especiales para la Paz –Fondo Paz- es una cuenta especial del Departamento Administrativo de la Presidencia de la República, sin personería jurídica, administrada como un sistema separado de cuentas.  </w:t>
      </w:r>
    </w:p>
    <w:p w14:paraId="44A36A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46A267" w14:textId="77777777" w:rsidR="00E475BF" w:rsidRPr="00EE5A21" w:rsidRDefault="00E475BF" w:rsidP="00143180">
      <w:pPr>
        <w:spacing w:after="0" w:line="293" w:lineRule="atLeast"/>
        <w:jc w:val="center"/>
        <w:rPr>
          <w:rFonts w:ascii="Arial" w:eastAsia="Times New Roman" w:hAnsi="Arial" w:cs="Arial"/>
          <w:b/>
          <w:bCs/>
          <w:color w:val="000000" w:themeColor="text1"/>
          <w:lang w:val="pt-BR" w:eastAsia="es-CO"/>
        </w:rPr>
      </w:pPr>
      <w:bookmarkStart w:id="5" w:name="ver_30052270"/>
      <w:bookmarkEnd w:id="5"/>
      <w:r w:rsidRPr="00EE5A21">
        <w:rPr>
          <w:rFonts w:ascii="Arial" w:eastAsia="Times New Roman" w:hAnsi="Arial" w:cs="Arial"/>
          <w:b/>
          <w:bCs/>
          <w:color w:val="000000" w:themeColor="text1"/>
          <w:lang w:val="pt-BR" w:eastAsia="es-CO"/>
        </w:rPr>
        <w:t>PARTE 2</w:t>
      </w:r>
    </w:p>
    <w:p w14:paraId="32D14713" w14:textId="77777777" w:rsidR="00E475BF" w:rsidRPr="00EE5A21" w:rsidRDefault="00E475BF" w:rsidP="00143180">
      <w:pPr>
        <w:spacing w:after="0" w:line="293" w:lineRule="atLeast"/>
        <w:jc w:val="center"/>
        <w:rPr>
          <w:rFonts w:ascii="Arial" w:eastAsia="Times New Roman" w:hAnsi="Arial" w:cs="Arial"/>
          <w:b/>
          <w:bCs/>
          <w:color w:val="000000" w:themeColor="text1"/>
          <w:lang w:val="pt-BR" w:eastAsia="es-CO"/>
        </w:rPr>
      </w:pPr>
      <w:r w:rsidRPr="00EE5A21">
        <w:rPr>
          <w:rFonts w:ascii="Arial" w:eastAsia="Times New Roman" w:hAnsi="Arial" w:cs="Arial"/>
          <w:b/>
          <w:bCs/>
          <w:color w:val="000000" w:themeColor="text1"/>
          <w:lang w:val="pt-BR" w:eastAsia="es-CO"/>
        </w:rPr>
        <w:t>SECTOR DESCENTRALIZADO</w:t>
      </w:r>
    </w:p>
    <w:p w14:paraId="21A06ED5" w14:textId="77777777" w:rsidR="00E475BF" w:rsidRPr="00EE5A21" w:rsidRDefault="00E475BF" w:rsidP="00143180">
      <w:pPr>
        <w:spacing w:after="0" w:line="293" w:lineRule="atLeast"/>
        <w:jc w:val="center"/>
        <w:rPr>
          <w:rFonts w:ascii="Arial" w:eastAsia="Times New Roman" w:hAnsi="Arial" w:cs="Arial"/>
          <w:b/>
          <w:bCs/>
          <w:color w:val="000000" w:themeColor="text1"/>
          <w:lang w:val="pt-BR" w:eastAsia="es-CO"/>
        </w:rPr>
      </w:pPr>
      <w:r w:rsidRPr="00EE5A21">
        <w:rPr>
          <w:rFonts w:ascii="Arial" w:eastAsia="Times New Roman" w:hAnsi="Arial" w:cs="Arial"/>
          <w:b/>
          <w:bCs/>
          <w:color w:val="000000" w:themeColor="text1"/>
          <w:lang w:val="pt-BR" w:eastAsia="es-CO"/>
        </w:rPr>
        <w:t>Título 1</w:t>
      </w:r>
    </w:p>
    <w:p w14:paraId="22C8AD6F" w14:textId="77777777" w:rsidR="00E475BF" w:rsidRPr="00EE5A21" w:rsidRDefault="00E475BF" w:rsidP="00143180">
      <w:pPr>
        <w:spacing w:line="293" w:lineRule="atLeast"/>
        <w:jc w:val="center"/>
        <w:rPr>
          <w:rFonts w:ascii="Arial" w:eastAsia="Times New Roman" w:hAnsi="Arial" w:cs="Arial"/>
          <w:b/>
          <w:bCs/>
          <w:color w:val="000000" w:themeColor="text1"/>
          <w:lang w:val="pt-BR" w:eastAsia="es-CO"/>
        </w:rPr>
      </w:pPr>
      <w:r w:rsidRPr="00EE5A21">
        <w:rPr>
          <w:rFonts w:ascii="Arial" w:eastAsia="Times New Roman" w:hAnsi="Arial" w:cs="Arial"/>
          <w:b/>
          <w:bCs/>
          <w:color w:val="000000" w:themeColor="text1"/>
          <w:lang w:val="pt-BR" w:eastAsia="es-CO"/>
        </w:rPr>
        <w:t>Entidades adscritas</w:t>
      </w:r>
    </w:p>
    <w:p w14:paraId="07B23CD1" w14:textId="77777777" w:rsidR="00E475BF" w:rsidRPr="00EE5A21" w:rsidRDefault="00E475BF" w:rsidP="00143180">
      <w:pPr>
        <w:spacing w:after="0" w:line="240" w:lineRule="auto"/>
        <w:jc w:val="both"/>
        <w:rPr>
          <w:rFonts w:ascii="Arial" w:eastAsia="Times New Roman" w:hAnsi="Arial" w:cs="Arial"/>
          <w:color w:val="000000" w:themeColor="text1"/>
          <w:lang w:val="pt-BR" w:eastAsia="es-CO"/>
        </w:rPr>
      </w:pPr>
      <w:bookmarkStart w:id="6" w:name="ver_30052271"/>
      <w:bookmarkEnd w:id="6"/>
    </w:p>
    <w:p w14:paraId="693E5110" w14:textId="7CF3EC9E"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1.2.1.1. Agencia Colombiana para la Reintegración de Personas y Grupos Alzados en Armas (ACR). La Agencia Colombiana para la Reintegración de Personas y Grupos Alzados en Armas tiene como objeto gestionar, implementar, coordinar y evaluar, de forma articulada con las instancias competentes, los planes, programas y proyectos de la Política de Reintegración, con el fin de propender por la paz, la seguridad y la convivencia.   </w:t>
      </w:r>
    </w:p>
    <w:p w14:paraId="16B8B44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7" w:name="ver_30052272"/>
      <w:bookmarkEnd w:id="7"/>
    </w:p>
    <w:p w14:paraId="46E987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1.2.1.2. Unidad Nacional para la Gestión del Riesgo de Desastres. La Unidad Nacional para la Gestión del Riesgo de Desastres tiene como objetivo dirigir la implementación de la gestión del riesgo de desastres, atendiendo las políticas de desarrollo sostenible, y coordinar el funcionamiento y el desarrollo continuo del Sistema Nacional para la Prevención y Atención de Desastres (SNPAD). </w:t>
      </w:r>
    </w:p>
    <w:p w14:paraId="2F0643AD" w14:textId="34C9759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8" w:name="ver_30052273"/>
      <w:bookmarkEnd w:id="8"/>
    </w:p>
    <w:p w14:paraId="1E5F18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1.2.1.3. Agencia Presidencial de Cooperación Internacional de Colombia, (APC). La Agencia Presidencial de Cooperación Internacional de Colombia, APC– Colombia 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 </w:t>
      </w:r>
    </w:p>
    <w:p w14:paraId="412B2F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274F0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9" w:name="ver_30105555"/>
      <w:bookmarkEnd w:id="9"/>
    </w:p>
    <w:p w14:paraId="080EE9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1.2.1.4. Agencia Nacional Inmobiliaria Virgilio Barco Vargas. La Agencia Nacional Inmobiliaria Virgilio Barco Vargas tendrá por objeto identificar, promover, gestionar, gerenciar y ejecutar proyectos de renovación y de desarrollo urbano, en Bogotá u otras ciudades del país, así como construir o gestionar, mediante asociaciones público-privadas o contratación de obras, inmuebles destinados a entidades oficiales del orden nacional y a otros usos complementarios que pueda tener el mismo proyecto” </w:t>
      </w:r>
    </w:p>
    <w:p w14:paraId="3F300528" w14:textId="77777777" w:rsidR="00E475BF" w:rsidRPr="00562064" w:rsidRDefault="00E475BF" w:rsidP="00143180">
      <w:pPr>
        <w:spacing w:after="0" w:line="254" w:lineRule="atLeast"/>
        <w:jc w:val="center"/>
        <w:rPr>
          <w:rFonts w:ascii="Arial" w:eastAsia="Times New Roman" w:hAnsi="Arial" w:cs="Arial"/>
          <w:color w:val="000000" w:themeColor="text1"/>
          <w:lang w:eastAsia="es-CO"/>
        </w:rPr>
      </w:pPr>
    </w:p>
    <w:p w14:paraId="05F00FA4"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0" w:name="ver_30052274"/>
      <w:bookmarkEnd w:id="10"/>
      <w:r w:rsidRPr="00562064">
        <w:rPr>
          <w:rFonts w:ascii="Arial" w:eastAsia="Times New Roman" w:hAnsi="Arial" w:cs="Arial"/>
          <w:b/>
          <w:bCs/>
          <w:color w:val="000000" w:themeColor="text1"/>
          <w:lang w:eastAsia="es-CO"/>
        </w:rPr>
        <w:t>Título 2</w:t>
      </w:r>
    </w:p>
    <w:p w14:paraId="6594AB84"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Entidades vinculadas</w:t>
      </w:r>
    </w:p>
    <w:p w14:paraId="77ACB778"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1" w:name="ver_30105568"/>
      <w:bookmarkStart w:id="12" w:name="ver_30052276"/>
      <w:bookmarkEnd w:id="11"/>
      <w:bookmarkEnd w:id="12"/>
      <w:r w:rsidRPr="00562064">
        <w:rPr>
          <w:rFonts w:ascii="Arial" w:eastAsia="Times New Roman" w:hAnsi="Arial" w:cs="Arial"/>
          <w:b/>
          <w:bCs/>
          <w:color w:val="000000" w:themeColor="text1"/>
          <w:lang w:eastAsia="es-CO"/>
        </w:rPr>
        <w:t>PARTE 3</w:t>
      </w:r>
    </w:p>
    <w:p w14:paraId="3807729A"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ÓRGANOS DE ASESORIA Y COORDINACIÓN</w:t>
      </w:r>
    </w:p>
    <w:p w14:paraId="10C4491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3" w:name="ver_30052277"/>
      <w:bookmarkEnd w:id="13"/>
    </w:p>
    <w:p w14:paraId="553525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Artículo 1.3.1. Órganos de asesoría y coordinación. Son órganos de asesoría y coordinación cuya secretaría técnica se ejerce desde el Sector de la Presidencia de la República los siguientes: </w:t>
      </w:r>
    </w:p>
    <w:p w14:paraId="72DACC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D592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Consejo de Ministros </w:t>
      </w:r>
    </w:p>
    <w:p w14:paraId="61DCCCC0" w14:textId="31ED30E4"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A7C2B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Consejo de Seguridad Nacional. </w:t>
      </w:r>
    </w:p>
    <w:p w14:paraId="74CB80AE" w14:textId="1FE03689"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148B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Comisión Intersectorial para la prevención del reclutamiento, la utilización y la violencia sexual contra niños, niñas y adolescentes por grupos armados al margen de la ley y por grupos delictivos organizados. </w:t>
      </w:r>
    </w:p>
    <w:p w14:paraId="3C940249" w14:textId="7798F03F"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287D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Comisión Intersectorial “Mesa Interinstitucional para Erradicar la Violencia contra las Mujeres”. </w:t>
      </w:r>
    </w:p>
    <w:p w14:paraId="23132EF3" w14:textId="033B31F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FCD33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Comisión Intersectorial para la Atención Integral de la Primera Infancia (AIPI) y la Comisión Especial de Seguimiento para la Atención Integral a la Primera Infancia. </w:t>
      </w:r>
    </w:p>
    <w:p w14:paraId="4B4045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B29F2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Comisión Intersectorial de orientación y apoyo al financiamiento de programas y proyectos de inversión de la Subcuenta Departamento Archipiélago de San Andrés. </w:t>
      </w:r>
    </w:p>
    <w:p w14:paraId="3864B0FB" w14:textId="41458FDB"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9E657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Comisión Intersectorial de la Política Pública Nacional de Equidad de Género. </w:t>
      </w:r>
    </w:p>
    <w:p w14:paraId="12B364F3" w14:textId="76DBE121"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73486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Comisión Intersectorial para la Integración y Desarrollo del Litoral Pacífico. </w:t>
      </w:r>
    </w:p>
    <w:p w14:paraId="5C9CF525" w14:textId="5327E4CF"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7563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Comisión Nacional para la Moralización. </w:t>
      </w:r>
    </w:p>
    <w:p w14:paraId="02FD33B6" w14:textId="6C58B34F"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6B57E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Comisión Intersectorial de Derechos Humanos y de Derecho Internacional Humanitario. </w:t>
      </w:r>
    </w:p>
    <w:p w14:paraId="5B80899A" w14:textId="3C82C726"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2BBF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Comisión Intersectorial Nacional para la Acción contra las Minas Antipersonal. </w:t>
      </w:r>
    </w:p>
    <w:p w14:paraId="213E44CF" w14:textId="001EDE5E"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CE28600"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4" w:name="ver_30052278"/>
      <w:bookmarkEnd w:id="14"/>
      <w:r w:rsidRPr="00562064">
        <w:rPr>
          <w:rFonts w:ascii="Arial" w:eastAsia="Times New Roman" w:hAnsi="Arial" w:cs="Arial"/>
          <w:b/>
          <w:bCs/>
          <w:color w:val="000000" w:themeColor="text1"/>
          <w:lang w:eastAsia="es-CO"/>
        </w:rPr>
        <w:t>LIBRO 2</w:t>
      </w:r>
    </w:p>
    <w:p w14:paraId="493B8ECF"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RÉGIMEN REGLAMENTARIO DEL SECTOR DE LA PRESIDENCIA DE LA REPÚBLICA</w:t>
      </w:r>
    </w:p>
    <w:p w14:paraId="0CE268C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5" w:name="ver_30052279"/>
      <w:bookmarkEnd w:id="15"/>
    </w:p>
    <w:p w14:paraId="64D967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 Objeto del Libro 2. El Libro 2 del Decreto Reglamentario Único del Sector de la Presidencia de la República compila los Decretos Reglamentarios expedidos por el señor Presidente de la República en ejercicio del numeral 11 del artículo 189 de la Constitución Política que regulan, en lo pertinente, la actividad de las entidades que componen el sector administrativo. </w:t>
      </w:r>
    </w:p>
    <w:p w14:paraId="0364FD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63F38A"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6" w:name="ver_30052280"/>
      <w:bookmarkEnd w:id="16"/>
      <w:r w:rsidRPr="00562064">
        <w:rPr>
          <w:rFonts w:ascii="Arial" w:eastAsia="Times New Roman" w:hAnsi="Arial" w:cs="Arial"/>
          <w:b/>
          <w:bCs/>
          <w:color w:val="000000" w:themeColor="text1"/>
          <w:lang w:eastAsia="es-CO"/>
        </w:rPr>
        <w:t>PARTE 1</w:t>
      </w:r>
    </w:p>
    <w:p w14:paraId="1982E959"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REGLAMENTARIAS GENERALES</w:t>
      </w:r>
    </w:p>
    <w:p w14:paraId="4E3ECA9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7" w:name="ver_30052281"/>
      <w:bookmarkEnd w:id="17"/>
    </w:p>
    <w:p w14:paraId="59EF7CE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 La Parte 1 del Libro 2 del presente Decreto Reglamentario Único compila las disposiciones reglamentarias expedidas por el señor Presidente de la República en ejercicio del numeral 11 de artículo 189 de la Constitución Política, que otorgan directrices generales a las entidades del poder público, según los temas y ámbitos de aplicación señalados en cada caso. </w:t>
      </w:r>
    </w:p>
    <w:p w14:paraId="539715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  </w:t>
      </w:r>
    </w:p>
    <w:p w14:paraId="662D98DE"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8" w:name="ver_30052282"/>
      <w:bookmarkEnd w:id="18"/>
      <w:r w:rsidRPr="00562064">
        <w:rPr>
          <w:rFonts w:ascii="Arial" w:eastAsia="Times New Roman" w:hAnsi="Arial" w:cs="Arial"/>
          <w:b/>
          <w:bCs/>
          <w:color w:val="000000" w:themeColor="text1"/>
          <w:lang w:eastAsia="es-CO"/>
        </w:rPr>
        <w:t>Título 1</w:t>
      </w:r>
    </w:p>
    <w:p w14:paraId="7E4E6C96"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generales en materia de transparencia y del derecho de acceso a la información pública nacional</w:t>
      </w:r>
    </w:p>
    <w:p w14:paraId="21A8C4EF"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1</w:t>
      </w:r>
    </w:p>
    <w:p w14:paraId="6297C3D6"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generales</w:t>
      </w:r>
    </w:p>
    <w:p w14:paraId="7340DFB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9" w:name="ver_30052283"/>
      <w:bookmarkEnd w:id="19"/>
    </w:p>
    <w:p w14:paraId="1AD3CD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2.1.1.1.1. Objeto. Este Título tiene por objeto reglamentar la Ley 1712 de 2014, en lo relativo a la gestión de la información pública. </w:t>
      </w:r>
    </w:p>
    <w:p w14:paraId="5C4AC9C5" w14:textId="3EA70E00" w:rsidR="00E475BF" w:rsidRPr="00562064" w:rsidRDefault="00E475BF" w:rsidP="00143180">
      <w:pPr>
        <w:spacing w:after="0" w:line="254" w:lineRule="atLeast"/>
        <w:jc w:val="both"/>
        <w:rPr>
          <w:rFonts w:ascii="Arial" w:eastAsia="Times New Roman" w:hAnsi="Arial" w:cs="Arial"/>
          <w:color w:val="000000" w:themeColor="text1"/>
          <w:lang w:eastAsia="es-CO"/>
        </w:rPr>
      </w:pPr>
      <w:bookmarkStart w:id="20" w:name="ver_30052284"/>
      <w:bookmarkEnd w:id="20"/>
    </w:p>
    <w:p w14:paraId="3C2B7F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2.1.1.1.2. Ámbito de aplicación. Las disposiciones del presente Título serán aplicables a los sujetos obligados a los que se refiere el artículo 5° de la Ley 1712 de 2014, en los términos allí señalados. </w:t>
      </w:r>
    </w:p>
    <w:p w14:paraId="6BD0EC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0424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Para los sujetos obligados previstos en los literales c), d), f) y en el último inciso del mencionado artículo 5°, las disposiciones contenidas en este título serán aplicables respecto a la información relacionada con el cumplimiento de la función pública delegada o servicio público que presten, o los fondos o recursos de naturaleza u origen público que reciban, intermedien o administren, atendiendo las reglas especiales que regulan cada sector. </w:t>
      </w:r>
    </w:p>
    <w:p w14:paraId="3EFDCBC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C4E81EB"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21" w:name="ver_30052285"/>
      <w:bookmarkEnd w:id="21"/>
      <w:r w:rsidRPr="00562064">
        <w:rPr>
          <w:rFonts w:ascii="Arial" w:eastAsia="Times New Roman" w:hAnsi="Arial" w:cs="Arial"/>
          <w:b/>
          <w:bCs/>
          <w:color w:val="000000" w:themeColor="text1"/>
          <w:lang w:eastAsia="es-CO"/>
        </w:rPr>
        <w:t>Capítulo 2</w:t>
      </w:r>
    </w:p>
    <w:p w14:paraId="5ADAEF2F"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Publicación y divulgación de la información pública –transparencia activa–</w:t>
      </w:r>
    </w:p>
    <w:p w14:paraId="1C16BD9C"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2F74D3DA"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Directrices generales para la publicación de información pública</w:t>
      </w:r>
    </w:p>
    <w:p w14:paraId="2FF0254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2" w:name="ver_30052286"/>
      <w:bookmarkEnd w:id="22"/>
    </w:p>
    <w:p w14:paraId="2AD372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2.1.1.2.1.1. Estándares para publicar la información. El Ministerio de Tecnologías de la Información y las Comunicaciones a través de la estrategia de Gobierno en Línea expedirá los lineamientos que deben atender los sujetos obligados para cumplir con la publicación y divulgación de la información señalada en la Ley 1712 de 2014, con el objeto de que sean dispuestos de manera estandarizada. </w:t>
      </w:r>
    </w:p>
    <w:p w14:paraId="6E3429D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3" w:name="ver_30052287"/>
      <w:bookmarkEnd w:id="23"/>
    </w:p>
    <w:p w14:paraId="6235CF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2.1.1.2.1.4. Publicación de información en sección particular del sitio web oficial. Los sujetos obligados, de conformidad con las condiciones establecidas en el artículo 5° de la Ley 1712 de 2014, deben publicar en la página principal de su sitio web oficial, en una sección particular identificada con el nombre de “Transparencia y acceso a información pública”, la siguiente información: </w:t>
      </w:r>
    </w:p>
    <w:p w14:paraId="4572F7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810F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La información mínima requerida a publicar de que tratan los artículos 9°, 10 y 11 de la Ley 1712 de 2014. Cuando la información se encuentre publicada en otra sección del sitio web o en un sistema de información del Estado, los sujetos obligados deben identificar la información que reposa en estos y habilitar los enlaces para permitir el acceso a la misma. </w:t>
      </w:r>
    </w:p>
    <w:p w14:paraId="0048FE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5371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Registro de Activos de Información. </w:t>
      </w:r>
    </w:p>
    <w:p w14:paraId="1B43B5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8D46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El índice de Información Clasificada y Reservada. </w:t>
      </w:r>
    </w:p>
    <w:p w14:paraId="39D7CE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2356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Esquema de Publicación de Información. </w:t>
      </w:r>
    </w:p>
    <w:p w14:paraId="11C6F8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  </w:t>
      </w:r>
    </w:p>
    <w:p w14:paraId="193DFF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El Programa de Gestión Documental. </w:t>
      </w:r>
    </w:p>
    <w:p w14:paraId="7A7619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FB3DF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Las Tablas de Retención Documental. </w:t>
      </w:r>
    </w:p>
    <w:p w14:paraId="5282D87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B715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El informe de solicitudes de acceso a la información señalado en el artículo 2.1.1.6.2 del presente Título. </w:t>
      </w:r>
    </w:p>
    <w:p w14:paraId="0AD06C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EBCB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Los costos de reproducción de la información pública, con su respectiva motivación. </w:t>
      </w:r>
    </w:p>
    <w:p w14:paraId="08D95C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AC07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Entiéndase por Tabla de Retención Documental la lista de series documentales con sus correspondientes tipos de documentos, a los cuales se les asigna el tiempo de permanencia en cada etapa del ciclo vital de los documentos. </w:t>
      </w:r>
    </w:p>
    <w:p w14:paraId="039B4D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EA4B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Para efectos del cumplimiento de la Ley 1712 de 2014 y del presente decreto, los términos ventanilla electrónica, sitio web oficial y medio electrónico institucional se entenderán como equivalentes. </w:t>
      </w:r>
    </w:p>
    <w:p w14:paraId="69F1CBB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4" w:name="ver_30106700"/>
      <w:bookmarkStart w:id="25" w:name="ver_30106699"/>
      <w:bookmarkEnd w:id="24"/>
    </w:p>
    <w:p w14:paraId="7C21F8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2.1.1.2.1.5. Directorio de Información de servidores públicos, empleados y contratistas. Para efectos del cumplimiento de lo establecido en los literales c) y e) y en el parágrafo 2° del artí</w:t>
      </w:r>
      <w:r w:rsidRPr="00562064">
        <w:rPr>
          <w:rFonts w:ascii="Arial" w:eastAsia="Times New Roman" w:hAnsi="Arial" w:cs="Arial"/>
          <w:color w:val="000000" w:themeColor="text1"/>
          <w:lang w:eastAsia="es-CO"/>
        </w:rPr>
        <w:softHyphen/>
        <w:t>culo 9° de la Ley 1712 de 2014, los sujetos obligados, de conformidad con las condiciones establecidas en el artí</w:t>
      </w:r>
      <w:r w:rsidRPr="00562064">
        <w:rPr>
          <w:rFonts w:ascii="Arial" w:eastAsia="Times New Roman" w:hAnsi="Arial" w:cs="Arial"/>
          <w:color w:val="000000" w:themeColor="text1"/>
          <w:lang w:eastAsia="es-CO"/>
        </w:rPr>
        <w:softHyphen/>
        <w:t>culo 5° de la citada Ley, deben publicar de forma proactiva un Directorio de sus servidores públicos, empleados, y personas naturales vinculadas mediante contrato de prestación de servicios, que contenga por lo menos la siguiente información: </w:t>
      </w:r>
    </w:p>
    <w:p w14:paraId="3E4B68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F657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Nombres y apellidos completos. </w:t>
      </w:r>
    </w:p>
    <w:p w14:paraId="1E8088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FFB5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País, Departamento y Ciudad de nacimiento. </w:t>
      </w:r>
    </w:p>
    <w:p w14:paraId="43E907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CB3A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Formación académica. </w:t>
      </w:r>
    </w:p>
    <w:p w14:paraId="588277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029B6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Experiencia laboral y profesional. </w:t>
      </w:r>
    </w:p>
    <w:p w14:paraId="7B52C6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8E20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Empleo, cargo o actividad que desempeña. </w:t>
      </w:r>
    </w:p>
    <w:p w14:paraId="34767FE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1665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Dependencia en la que presta sus servicios en la entidad o institución. </w:t>
      </w:r>
    </w:p>
    <w:p w14:paraId="133E58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CF2B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Dirección de correo electrónico institucional. </w:t>
      </w:r>
    </w:p>
    <w:p w14:paraId="7BC245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FF62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Teléfono Institucional. </w:t>
      </w:r>
    </w:p>
    <w:p w14:paraId="6E67A8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9B927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Escala salarial según las categorías para servidores públicos y/o empleados del sector privado. </w:t>
      </w:r>
    </w:p>
    <w:p w14:paraId="6F19EA7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44AB4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Objeto, valor total de los honorarios, fecha de inicio y de terminación, cuando se trate contratos de prestación de servicios. </w:t>
      </w:r>
    </w:p>
    <w:p w14:paraId="756C7B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C3C4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Indicación de si se trata de una Persona Expuesta Políticamente”.  </w:t>
      </w:r>
    </w:p>
    <w:p w14:paraId="3A4975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24B5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Parágrafo 1°. Para las entidades u organismos públicos, el requisito se entendeá¡ cumplido con publicación de la información que contiene el directorio en el Sistema de Gestión del Empleo Público (SIGEP), de que trata el artíulo 18 de la Ley 909 de 2004 y las normas que la reglamentan. </w:t>
      </w:r>
    </w:p>
    <w:p w14:paraId="2E457D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E84D5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publicación de la información de los contratos de prestación de servicios en el Sistema de Gestión del Empleo Público (SIGEP) no releva a los sujetos obligados que contratan con recursos públicos de la obligación de publicar la actividad contractual de tales contratos en el Sistema Electrónico para la Contratación Pública (SECOP). </w:t>
      </w:r>
    </w:p>
    <w:p w14:paraId="085EEACF" w14:textId="4F76DDD0"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62B43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6" w:name="ver_30052289"/>
      <w:bookmarkEnd w:id="25"/>
      <w:bookmarkEnd w:id="26"/>
    </w:p>
    <w:p w14:paraId="31A91B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2.1.1.2.1.6. Publicación de los trámites y servicios que se adelantan ante los sujetos obligados. Los sujetos obligados deben publicar en su sitio web oficial los trámites que se adelanten ante los mismos, señalando la norma que los sustenta, procedimientos, costos, formatos y formularios requeridos. </w:t>
      </w:r>
    </w:p>
    <w:p w14:paraId="3F9645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E617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los sujetos obligados a inscribir sus trámites en el Sistema Único de Información de Trámites y Procedimientos Administrativos (SUIT), de que trata la Ley 962 de 2005 y el Decreto-ley 019 de 2012, dicho requisito se entenderá cumplido con la inscripción de los trámites en dicho sistema y la relación de los nombres de los mismos en el respectivo sitio web oficial del sujeto obligado con un enlace al Portal del Estado Colombiano o el que haga sus veces. </w:t>
      </w:r>
    </w:p>
    <w:p w14:paraId="5021F7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0C5CD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7" w:name="ver_30052290"/>
      <w:bookmarkEnd w:id="27"/>
    </w:p>
    <w:p w14:paraId="1D5341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2.1.1.2.1.7. Publicación de la información contractual. 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w:t>
      </w:r>
    </w:p>
    <w:p w14:paraId="1E04ED0C" w14:textId="6A4D16B3"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F4AFC9" w14:textId="0CDA35FF" w:rsidR="00C41AC0" w:rsidRPr="00562064" w:rsidRDefault="2E1D20D5" w:rsidP="5CBA0D9A">
      <w:pPr>
        <w:spacing w:after="0" w:line="240" w:lineRule="auto"/>
        <w:jc w:val="both"/>
        <w:rPr>
          <w:rFonts w:ascii="Arial" w:eastAsia="Arial" w:hAnsi="Arial" w:cs="Arial"/>
          <w:sz w:val="20"/>
          <w:szCs w:val="20"/>
          <w:lang w:val="es-ES"/>
        </w:rPr>
      </w:pPr>
      <w:r w:rsidRPr="07BFCC3C">
        <w:rPr>
          <w:rFonts w:ascii="Arial" w:eastAsia="Arial" w:hAnsi="Arial" w:cs="Arial"/>
          <w:sz w:val="20"/>
          <w:szCs w:val="20"/>
        </w:rPr>
        <w:t>(Ver conceptos:</w:t>
      </w:r>
      <w:r w:rsidRPr="07BFCC3C">
        <w:rPr>
          <w:rFonts w:ascii="Arial" w:eastAsia="Arial" w:hAnsi="Arial" w:cs="Arial"/>
          <w:sz w:val="20"/>
          <w:szCs w:val="20"/>
          <w:lang w:val="es-ES"/>
        </w:rPr>
        <w:t xml:space="preserve"> </w:t>
      </w:r>
      <w:hyperlink r:id="rId8">
        <w:r w:rsidRPr="07BFCC3C">
          <w:rPr>
            <w:rStyle w:val="Hipervnculo"/>
            <w:rFonts w:ascii="Arial" w:eastAsia="Arial" w:hAnsi="Arial" w:cs="Arial"/>
            <w:sz w:val="20"/>
            <w:szCs w:val="20"/>
            <w:lang w:eastAsia="es-CO"/>
          </w:rPr>
          <w:t>4201913000006442 del 01/11/2019</w:t>
        </w:r>
      </w:hyperlink>
      <w:r w:rsidRPr="07BFCC3C">
        <w:rPr>
          <w:rFonts w:ascii="Arial" w:eastAsia="Arial" w:hAnsi="Arial" w:cs="Arial"/>
          <w:sz w:val="20"/>
          <w:szCs w:val="20"/>
          <w:lang w:eastAsia="es-CO"/>
        </w:rPr>
        <w:t xml:space="preserve">,  </w:t>
      </w:r>
      <w:hyperlink r:id="rId9">
        <w:r w:rsidRPr="07BFCC3C">
          <w:rPr>
            <w:rStyle w:val="Hipervnculo"/>
            <w:rFonts w:ascii="Arial" w:eastAsia="Arial" w:hAnsi="Arial" w:cs="Arial"/>
            <w:sz w:val="20"/>
            <w:szCs w:val="20"/>
            <w:lang w:eastAsia="es-CO"/>
          </w:rPr>
          <w:t>C</w:t>
        </w:r>
        <w:r w:rsidRPr="07BFCC3C">
          <w:rPr>
            <w:rStyle w:val="Hipervnculo"/>
            <w:rFonts w:ascii="Arial" w:eastAsia="Arial" w:hAnsi="Arial" w:cs="Arial"/>
            <w:sz w:val="20"/>
            <w:szCs w:val="20"/>
            <w:lang w:val="es-ES"/>
          </w:rPr>
          <w:t>−</w:t>
        </w:r>
        <w:r w:rsidRPr="07BFCC3C">
          <w:rPr>
            <w:rStyle w:val="Hipervnculo"/>
            <w:rFonts w:ascii="Arial" w:eastAsia="Arial" w:hAnsi="Arial" w:cs="Arial"/>
            <w:sz w:val="20"/>
            <w:szCs w:val="20"/>
            <w:lang w:eastAsia="es-CO"/>
          </w:rPr>
          <w:t>055 del 28/01/2020</w:t>
        </w:r>
      </w:hyperlink>
      <w:r w:rsidRPr="07BFCC3C">
        <w:rPr>
          <w:rFonts w:ascii="Arial" w:eastAsia="Arial" w:hAnsi="Arial" w:cs="Arial"/>
          <w:sz w:val="20"/>
          <w:szCs w:val="20"/>
          <w:lang w:eastAsia="es-CO"/>
        </w:rPr>
        <w:t xml:space="preserve">, </w:t>
      </w:r>
      <w:hyperlink r:id="rId10">
        <w:r w:rsidRPr="07BFCC3C">
          <w:rPr>
            <w:rStyle w:val="Hipervnculo"/>
            <w:rFonts w:ascii="Arial" w:eastAsia="Times New Roman" w:hAnsi="Arial" w:cs="Arial"/>
            <w:sz w:val="20"/>
            <w:szCs w:val="20"/>
            <w:lang w:eastAsia="es-CO"/>
          </w:rPr>
          <w:t>C</w:t>
        </w:r>
        <w:r w:rsidRPr="07BFCC3C">
          <w:rPr>
            <w:rStyle w:val="Hipervnculo"/>
            <w:rFonts w:ascii="Arial" w:eastAsia="Arial" w:hAnsi="Arial" w:cs="Arial"/>
            <w:sz w:val="20"/>
            <w:szCs w:val="20"/>
            <w:lang w:val="es-ES"/>
          </w:rPr>
          <w:t>−</w:t>
        </w:r>
        <w:r w:rsidRPr="07BFCC3C">
          <w:rPr>
            <w:rStyle w:val="Hipervnculo"/>
            <w:rFonts w:ascii="Arial" w:eastAsia="Times New Roman" w:hAnsi="Arial" w:cs="Arial"/>
            <w:sz w:val="20"/>
            <w:szCs w:val="20"/>
            <w:lang w:eastAsia="es-CO"/>
          </w:rPr>
          <w:t>088 del 03/03/2020</w:t>
        </w:r>
      </w:hyperlink>
      <w:r w:rsidRPr="07BFCC3C">
        <w:rPr>
          <w:rFonts w:ascii="Arial" w:eastAsia="Times New Roman" w:hAnsi="Arial" w:cs="Arial"/>
          <w:sz w:val="20"/>
          <w:szCs w:val="20"/>
          <w:lang w:eastAsia="es-CO"/>
        </w:rPr>
        <w:t xml:space="preserve">, </w:t>
      </w:r>
      <w:hyperlink r:id="rId11">
        <w:r w:rsidRPr="07BFCC3C">
          <w:rPr>
            <w:rStyle w:val="Hipervnculo"/>
            <w:rFonts w:ascii="Arial" w:eastAsia="Times New Roman" w:hAnsi="Arial" w:cs="Arial"/>
            <w:sz w:val="20"/>
            <w:szCs w:val="20"/>
            <w:lang w:eastAsia="es-CO"/>
          </w:rPr>
          <w:t>C</w:t>
        </w:r>
        <w:r w:rsidRPr="07BFCC3C">
          <w:rPr>
            <w:rStyle w:val="Hipervnculo"/>
            <w:rFonts w:ascii="Arial" w:eastAsia="Arial" w:hAnsi="Arial" w:cs="Arial"/>
            <w:sz w:val="20"/>
            <w:szCs w:val="20"/>
            <w:lang w:val="es-ES"/>
          </w:rPr>
          <w:t>−</w:t>
        </w:r>
        <w:r w:rsidRPr="07BFCC3C">
          <w:rPr>
            <w:rStyle w:val="Hipervnculo"/>
            <w:rFonts w:ascii="Arial" w:eastAsia="Times New Roman" w:hAnsi="Arial" w:cs="Arial"/>
            <w:sz w:val="20"/>
            <w:szCs w:val="20"/>
            <w:lang w:eastAsia="es-CO"/>
          </w:rPr>
          <w:t>095 del 16/03/2020</w:t>
        </w:r>
      </w:hyperlink>
      <w:r w:rsidRPr="07BFCC3C">
        <w:rPr>
          <w:rFonts w:ascii="Arial" w:eastAsia="Times New Roman" w:hAnsi="Arial" w:cs="Arial"/>
          <w:sz w:val="20"/>
          <w:szCs w:val="20"/>
          <w:lang w:eastAsia="es-CO"/>
        </w:rPr>
        <w:t xml:space="preserve">, </w:t>
      </w:r>
      <w:hyperlink r:id="rId12">
        <w:r w:rsidRPr="07BFCC3C">
          <w:rPr>
            <w:rStyle w:val="Hipervnculo"/>
            <w:rFonts w:ascii="Arial" w:eastAsia="Arial" w:hAnsi="Arial" w:cs="Arial"/>
            <w:sz w:val="20"/>
            <w:szCs w:val="20"/>
            <w:lang w:val="es-ES"/>
          </w:rPr>
          <w:t>C−197</w:t>
        </w:r>
        <w:r w:rsidRPr="07BFCC3C">
          <w:rPr>
            <w:rStyle w:val="Hipervnculo"/>
            <w:rFonts w:ascii="Arial" w:eastAsia="Calibri" w:hAnsi="Arial" w:cs="Arial"/>
            <w:sz w:val="20"/>
            <w:szCs w:val="20"/>
            <w:lang w:val="es-ES"/>
          </w:rPr>
          <w:t xml:space="preserve"> del 26/03/2020</w:t>
        </w:r>
      </w:hyperlink>
      <w:r w:rsidRPr="07BFCC3C">
        <w:rPr>
          <w:rFonts w:ascii="Arial" w:eastAsia="Calibri" w:hAnsi="Arial" w:cs="Arial"/>
          <w:sz w:val="20"/>
          <w:szCs w:val="20"/>
          <w:lang w:val="es-ES"/>
        </w:rPr>
        <w:t xml:space="preserve">, </w:t>
      </w:r>
      <w:r w:rsidRPr="07BFCC3C">
        <w:rPr>
          <w:rFonts w:ascii="Arial" w:eastAsia="Arial" w:hAnsi="Arial" w:cs="Arial"/>
          <w:sz w:val="20"/>
          <w:szCs w:val="20"/>
          <w:lang w:val="es-ES" w:eastAsia="es-CO"/>
        </w:rPr>
        <w:t xml:space="preserve"> </w:t>
      </w:r>
      <w:hyperlink r:id="rId13">
        <w:r w:rsidRPr="07BFCC3C">
          <w:rPr>
            <w:rStyle w:val="Hipervnculo"/>
            <w:rFonts w:ascii="Arial" w:eastAsia="Arial" w:hAnsi="Arial" w:cs="Arial"/>
            <w:sz w:val="20"/>
            <w:szCs w:val="20"/>
            <w:lang w:val="es-MX"/>
          </w:rPr>
          <w:t>C</w:t>
        </w:r>
        <w:r w:rsidRPr="07BFCC3C">
          <w:rPr>
            <w:rStyle w:val="Hipervnculo"/>
            <w:rFonts w:ascii="Arial" w:eastAsia="Arial" w:hAnsi="Arial" w:cs="Arial"/>
            <w:sz w:val="20"/>
            <w:szCs w:val="20"/>
            <w:lang w:val="es-ES"/>
          </w:rPr>
          <w:t>−</w:t>
        </w:r>
        <w:r w:rsidRPr="07BFCC3C">
          <w:rPr>
            <w:rStyle w:val="Hipervnculo"/>
            <w:rFonts w:ascii="Arial" w:eastAsia="Arial" w:hAnsi="Arial" w:cs="Arial"/>
            <w:sz w:val="20"/>
            <w:szCs w:val="20"/>
            <w:lang w:val="es-MX"/>
          </w:rPr>
          <w:t>206 del 29/03/2020</w:t>
        </w:r>
      </w:hyperlink>
      <w:r w:rsidRPr="07BFCC3C">
        <w:rPr>
          <w:rFonts w:ascii="Arial" w:eastAsia="Arial" w:hAnsi="Arial" w:cs="Arial"/>
          <w:sz w:val="20"/>
          <w:szCs w:val="20"/>
          <w:lang w:val="es-MX"/>
        </w:rPr>
        <w:t xml:space="preserve">, </w:t>
      </w:r>
      <w:hyperlink r:id="rId14">
        <w:r w:rsidRPr="07BFCC3C">
          <w:rPr>
            <w:rStyle w:val="Hipervnculo"/>
            <w:rFonts w:ascii="Arial" w:eastAsia="Arial" w:hAnsi="Arial" w:cs="Arial"/>
            <w:sz w:val="20"/>
            <w:szCs w:val="20"/>
            <w:lang w:val="es-MX"/>
          </w:rPr>
          <w:t>C</w:t>
        </w:r>
        <w:r w:rsidRPr="07BFCC3C">
          <w:rPr>
            <w:rStyle w:val="Hipervnculo"/>
            <w:rFonts w:ascii="Arial" w:eastAsia="Arial" w:hAnsi="Arial" w:cs="Arial"/>
            <w:sz w:val="20"/>
            <w:szCs w:val="20"/>
            <w:lang w:val="es-ES"/>
          </w:rPr>
          <w:t>−</w:t>
        </w:r>
        <w:r w:rsidRPr="07BFCC3C">
          <w:rPr>
            <w:rStyle w:val="Hipervnculo"/>
            <w:rFonts w:ascii="Arial" w:eastAsia="Arial" w:hAnsi="Arial" w:cs="Arial"/>
            <w:sz w:val="20"/>
            <w:szCs w:val="20"/>
            <w:lang w:val="es-MX"/>
          </w:rPr>
          <w:t>181 del 06/04/2020</w:t>
        </w:r>
      </w:hyperlink>
      <w:r w:rsidRPr="07BFCC3C">
        <w:rPr>
          <w:rFonts w:ascii="Arial" w:eastAsia="Arial" w:hAnsi="Arial" w:cs="Arial"/>
          <w:sz w:val="20"/>
          <w:szCs w:val="20"/>
          <w:lang w:val="es-MX"/>
        </w:rPr>
        <w:t xml:space="preserve">, </w:t>
      </w:r>
      <w:r w:rsidRPr="07BFCC3C">
        <w:rPr>
          <w:rFonts w:ascii="Arial" w:eastAsia="Arial" w:hAnsi="Arial" w:cs="Arial"/>
          <w:sz w:val="20"/>
          <w:szCs w:val="20"/>
          <w:lang w:eastAsia="es-CO"/>
        </w:rPr>
        <w:t xml:space="preserve"> </w:t>
      </w:r>
      <w:hyperlink r:id="rId15">
        <w:r w:rsidRPr="07BFCC3C">
          <w:rPr>
            <w:rStyle w:val="Hipervnculo"/>
            <w:rFonts w:ascii="Arial" w:eastAsia="Arial" w:hAnsi="Arial" w:cs="Arial"/>
            <w:sz w:val="20"/>
            <w:szCs w:val="20"/>
            <w:lang w:eastAsia="es-CO"/>
          </w:rPr>
          <w:t>C</w:t>
        </w:r>
        <w:r w:rsidRPr="07BFCC3C">
          <w:rPr>
            <w:rStyle w:val="Hipervnculo"/>
            <w:rFonts w:ascii="Arial" w:eastAsia="Arial" w:hAnsi="Arial" w:cs="Arial"/>
            <w:sz w:val="20"/>
            <w:szCs w:val="20"/>
            <w:lang w:val="es-ES"/>
          </w:rPr>
          <w:t>−</w:t>
        </w:r>
        <w:r w:rsidRPr="07BFCC3C">
          <w:rPr>
            <w:rStyle w:val="Hipervnculo"/>
            <w:rFonts w:ascii="Arial" w:eastAsia="Arial" w:hAnsi="Arial" w:cs="Arial"/>
            <w:sz w:val="20"/>
            <w:szCs w:val="20"/>
            <w:lang w:eastAsia="es-CO"/>
          </w:rPr>
          <w:t>264 del 07/04/2020</w:t>
        </w:r>
      </w:hyperlink>
      <w:r w:rsidRPr="07BFCC3C">
        <w:rPr>
          <w:rFonts w:ascii="Arial" w:eastAsia="Arial" w:hAnsi="Arial" w:cs="Arial"/>
          <w:sz w:val="20"/>
          <w:szCs w:val="20"/>
          <w:lang w:eastAsia="es-CO"/>
        </w:rPr>
        <w:t xml:space="preserve">, </w:t>
      </w:r>
      <w:hyperlink r:id="rId16">
        <w:r w:rsidRPr="07BFCC3C">
          <w:rPr>
            <w:rStyle w:val="Hipervnculo"/>
            <w:rFonts w:ascii="Arial" w:eastAsia="Arial" w:hAnsi="Arial" w:cs="Arial"/>
            <w:sz w:val="20"/>
            <w:szCs w:val="20"/>
            <w:lang w:eastAsia="es-CO"/>
          </w:rPr>
          <w:t>C</w:t>
        </w:r>
        <w:r w:rsidRPr="07BFCC3C">
          <w:rPr>
            <w:rStyle w:val="Hipervnculo"/>
            <w:rFonts w:ascii="Arial" w:eastAsia="Arial" w:hAnsi="Arial" w:cs="Arial"/>
            <w:sz w:val="20"/>
            <w:szCs w:val="20"/>
            <w:lang w:val="es-ES"/>
          </w:rPr>
          <w:t>−</w:t>
        </w:r>
        <w:r w:rsidRPr="07BFCC3C">
          <w:rPr>
            <w:rStyle w:val="Hipervnculo"/>
            <w:rFonts w:ascii="Arial" w:eastAsia="Arial" w:hAnsi="Arial" w:cs="Arial"/>
            <w:sz w:val="20"/>
            <w:szCs w:val="20"/>
            <w:lang w:eastAsia="es-CO"/>
          </w:rPr>
          <w:t>249 del 15/04/2020</w:t>
        </w:r>
      </w:hyperlink>
      <w:r w:rsidRPr="07BFCC3C">
        <w:rPr>
          <w:rFonts w:ascii="Arial" w:eastAsia="Arial" w:hAnsi="Arial" w:cs="Arial"/>
          <w:sz w:val="20"/>
          <w:szCs w:val="20"/>
          <w:lang w:eastAsia="es-CO"/>
        </w:rPr>
        <w:t xml:space="preserve">, </w:t>
      </w:r>
      <w:hyperlink r:id="rId17">
        <w:r w:rsidRPr="07BFCC3C">
          <w:rPr>
            <w:rStyle w:val="Hipervnculo"/>
            <w:rFonts w:ascii="Arial" w:eastAsia="Arial" w:hAnsi="Arial" w:cs="Arial"/>
            <w:sz w:val="20"/>
            <w:szCs w:val="20"/>
            <w:lang w:eastAsia="es-CO"/>
          </w:rPr>
          <w:t>C</w:t>
        </w:r>
        <w:r w:rsidRPr="07BFCC3C">
          <w:rPr>
            <w:rStyle w:val="Hipervnculo"/>
            <w:rFonts w:ascii="Arial" w:eastAsia="Arial" w:hAnsi="Arial" w:cs="Arial"/>
            <w:sz w:val="20"/>
            <w:szCs w:val="20"/>
            <w:lang w:val="es-ES"/>
          </w:rPr>
          <w:t>−</w:t>
        </w:r>
        <w:r w:rsidRPr="07BFCC3C">
          <w:rPr>
            <w:rStyle w:val="Hipervnculo"/>
            <w:rFonts w:ascii="Arial" w:eastAsia="Arial" w:hAnsi="Arial" w:cs="Arial"/>
            <w:sz w:val="20"/>
            <w:szCs w:val="20"/>
            <w:lang w:eastAsia="es-CO"/>
          </w:rPr>
          <w:t>270 del 15/04/2020</w:t>
        </w:r>
      </w:hyperlink>
      <w:r w:rsidRPr="07BFCC3C">
        <w:rPr>
          <w:rFonts w:ascii="Arial" w:eastAsia="Arial" w:hAnsi="Arial" w:cs="Arial"/>
          <w:sz w:val="20"/>
          <w:szCs w:val="20"/>
          <w:lang w:eastAsia="es-CO"/>
        </w:rPr>
        <w:t>,</w:t>
      </w:r>
      <w:r w:rsidRPr="07BFCC3C">
        <w:rPr>
          <w:rFonts w:ascii="Arial" w:eastAsia="Times New Roman" w:hAnsi="Arial" w:cs="Arial"/>
          <w:sz w:val="20"/>
          <w:szCs w:val="20"/>
          <w:lang w:eastAsia="es-CO"/>
        </w:rPr>
        <w:t xml:space="preserve"> </w:t>
      </w:r>
      <w:hyperlink r:id="rId18">
        <w:r w:rsidRPr="07BFCC3C">
          <w:rPr>
            <w:rStyle w:val="Hipervnculo"/>
            <w:rFonts w:ascii="Arial" w:eastAsia="Arial" w:hAnsi="Arial" w:cs="Arial"/>
            <w:sz w:val="20"/>
            <w:szCs w:val="20"/>
            <w:lang w:eastAsia="es-CO"/>
          </w:rPr>
          <w:t>C</w:t>
        </w:r>
        <w:r w:rsidRPr="07BFCC3C">
          <w:rPr>
            <w:rStyle w:val="Hipervnculo"/>
            <w:rFonts w:ascii="Arial" w:eastAsia="Arial" w:hAnsi="Arial" w:cs="Arial"/>
            <w:sz w:val="20"/>
            <w:szCs w:val="20"/>
            <w:lang w:val="es-ES"/>
          </w:rPr>
          <w:t>−</w:t>
        </w:r>
        <w:r w:rsidRPr="07BFCC3C">
          <w:rPr>
            <w:rStyle w:val="Hipervnculo"/>
            <w:rFonts w:ascii="Arial" w:eastAsia="Arial" w:hAnsi="Arial" w:cs="Arial"/>
            <w:sz w:val="20"/>
            <w:szCs w:val="20"/>
            <w:lang w:eastAsia="es-CO"/>
          </w:rPr>
          <w:t>190 del 16/04/2020</w:t>
        </w:r>
      </w:hyperlink>
      <w:r w:rsidRPr="07BFCC3C">
        <w:rPr>
          <w:rFonts w:ascii="Arial" w:eastAsia="Arial" w:hAnsi="Arial" w:cs="Arial"/>
          <w:sz w:val="20"/>
          <w:szCs w:val="20"/>
          <w:lang w:eastAsia="es-CO"/>
        </w:rPr>
        <w:t xml:space="preserve">, </w:t>
      </w:r>
      <w:hyperlink r:id="rId19">
        <w:r w:rsidRPr="07BFCC3C">
          <w:rPr>
            <w:rStyle w:val="Hipervnculo"/>
            <w:rFonts w:ascii="Arial" w:eastAsia="Times New Roman" w:hAnsi="Arial" w:cs="Arial"/>
            <w:sz w:val="20"/>
            <w:szCs w:val="20"/>
            <w:lang w:val="es-ES" w:eastAsia="es-CO"/>
          </w:rPr>
          <w:t>C</w:t>
        </w:r>
        <w:r w:rsidRPr="07BFCC3C">
          <w:rPr>
            <w:rStyle w:val="Hipervnculo"/>
            <w:rFonts w:ascii="Arial" w:eastAsia="Arial" w:hAnsi="Arial" w:cs="Arial"/>
            <w:sz w:val="20"/>
            <w:szCs w:val="20"/>
            <w:lang w:val="es-ES"/>
          </w:rPr>
          <w:t>−</w:t>
        </w:r>
        <w:r w:rsidRPr="07BFCC3C">
          <w:rPr>
            <w:rStyle w:val="Hipervnculo"/>
            <w:rFonts w:ascii="Arial" w:eastAsia="Times New Roman" w:hAnsi="Arial" w:cs="Arial"/>
            <w:sz w:val="20"/>
            <w:szCs w:val="20"/>
            <w:lang w:val="es-ES" w:eastAsia="es-CO"/>
          </w:rPr>
          <w:t>271 del 22/04/2020</w:t>
        </w:r>
      </w:hyperlink>
      <w:r w:rsidRPr="07BFCC3C">
        <w:rPr>
          <w:rFonts w:ascii="Arial" w:eastAsia="Times New Roman" w:hAnsi="Arial" w:cs="Arial"/>
          <w:sz w:val="20"/>
          <w:szCs w:val="20"/>
          <w:lang w:val="es-ES" w:eastAsia="es-CO"/>
        </w:rPr>
        <w:t xml:space="preserve">, </w:t>
      </w:r>
      <w:r w:rsidR="087DFA20" w:rsidRPr="07BFCC3C">
        <w:rPr>
          <w:rFonts w:ascii="Arial" w:eastAsia="Times New Roman" w:hAnsi="Arial" w:cs="Arial"/>
          <w:sz w:val="20"/>
          <w:szCs w:val="20"/>
          <w:lang w:val="es-ES" w:eastAsia="es-CO"/>
        </w:rPr>
        <w:t xml:space="preserve"> </w:t>
      </w:r>
      <w:hyperlink r:id="rId20">
        <w:r w:rsidR="087DFA20" w:rsidRPr="07BFCC3C">
          <w:rPr>
            <w:rStyle w:val="Hipervnculo"/>
            <w:rFonts w:ascii="Arial" w:eastAsia="Times New Roman" w:hAnsi="Arial" w:cs="Arial"/>
            <w:sz w:val="20"/>
            <w:szCs w:val="20"/>
            <w:lang w:val="es-ES" w:eastAsia="es-CO"/>
          </w:rPr>
          <w:t>C- 313 del 29/06/2021</w:t>
        </w:r>
      </w:hyperlink>
      <w:r w:rsidR="087DFA20" w:rsidRPr="07BFCC3C">
        <w:rPr>
          <w:rFonts w:ascii="Arial" w:eastAsia="Times New Roman" w:hAnsi="Arial" w:cs="Arial"/>
          <w:sz w:val="20"/>
          <w:szCs w:val="20"/>
          <w:lang w:val="es-ES" w:eastAsia="es-CO"/>
        </w:rPr>
        <w:t xml:space="preserve"> </w:t>
      </w:r>
      <w:hyperlink r:id="rId21">
        <w:r w:rsidRPr="07BFCC3C">
          <w:rPr>
            <w:rStyle w:val="Hipervnculo"/>
            <w:rFonts w:ascii="Arial" w:eastAsia="Times New Roman" w:hAnsi="Arial" w:cs="Arial"/>
            <w:sz w:val="20"/>
            <w:szCs w:val="20"/>
            <w:lang w:val="es-ES" w:eastAsia="es-CO"/>
          </w:rPr>
          <w:t>C</w:t>
        </w:r>
        <w:r w:rsidRPr="07BFCC3C">
          <w:rPr>
            <w:rStyle w:val="Hipervnculo"/>
            <w:rFonts w:ascii="Arial" w:eastAsia="Arial" w:hAnsi="Arial" w:cs="Arial"/>
            <w:sz w:val="20"/>
            <w:szCs w:val="20"/>
            <w:lang w:val="es-ES"/>
          </w:rPr>
          <w:t>−</w:t>
        </w:r>
        <w:r w:rsidRPr="07BFCC3C">
          <w:rPr>
            <w:rStyle w:val="Hipervnculo"/>
            <w:rFonts w:ascii="Arial" w:eastAsia="Times New Roman" w:hAnsi="Arial" w:cs="Arial"/>
            <w:sz w:val="20"/>
            <w:szCs w:val="20"/>
            <w:lang w:val="es-ES" w:eastAsia="es-CO"/>
          </w:rPr>
          <w:t>367 del 23/07/2020</w:t>
        </w:r>
      </w:hyperlink>
      <w:r w:rsidRPr="07BFCC3C">
        <w:rPr>
          <w:rFonts w:ascii="Arial" w:eastAsia="Times New Roman" w:hAnsi="Arial" w:cs="Arial"/>
          <w:sz w:val="20"/>
          <w:szCs w:val="20"/>
          <w:lang w:val="es-ES" w:eastAsia="es-CO"/>
        </w:rPr>
        <w:t xml:space="preserve">, </w:t>
      </w:r>
      <w:hyperlink r:id="rId22">
        <w:r w:rsidRPr="07BFCC3C">
          <w:rPr>
            <w:rStyle w:val="Hipervnculo"/>
            <w:rFonts w:ascii="Arial" w:eastAsia="Arial" w:hAnsi="Arial" w:cs="Arial"/>
            <w:sz w:val="20"/>
            <w:szCs w:val="20"/>
            <w:lang w:val="es-ES"/>
          </w:rPr>
          <w:t>C−433 de 24/07/2020</w:t>
        </w:r>
      </w:hyperlink>
      <w:r w:rsidRPr="07BFCC3C">
        <w:rPr>
          <w:rFonts w:ascii="Arial" w:eastAsia="Arial" w:hAnsi="Arial" w:cs="Arial"/>
          <w:sz w:val="20"/>
          <w:szCs w:val="20"/>
          <w:lang w:val="es-ES"/>
        </w:rPr>
        <w:t xml:space="preserve">, </w:t>
      </w:r>
      <w:hyperlink r:id="rId23">
        <w:r w:rsidRPr="07BFCC3C">
          <w:rPr>
            <w:rStyle w:val="Hipervnculo"/>
            <w:rFonts w:ascii="Arial" w:eastAsia="Arial" w:hAnsi="Arial" w:cs="Arial"/>
            <w:sz w:val="20"/>
            <w:szCs w:val="20"/>
            <w:lang w:val="es-ES"/>
          </w:rPr>
          <w:t>C−474 de 24/07/2020</w:t>
        </w:r>
      </w:hyperlink>
      <w:r w:rsidRPr="07BFCC3C">
        <w:rPr>
          <w:rFonts w:ascii="Arial" w:eastAsia="Arial" w:hAnsi="Arial" w:cs="Arial"/>
          <w:sz w:val="20"/>
          <w:szCs w:val="20"/>
          <w:lang w:val="es-ES"/>
        </w:rPr>
        <w:t xml:space="preserve">, </w:t>
      </w:r>
      <w:hyperlink r:id="rId24">
        <w:r w:rsidRPr="07BFCC3C">
          <w:rPr>
            <w:rStyle w:val="Hipervnculo"/>
            <w:rFonts w:ascii="Arial" w:eastAsia="Arial" w:hAnsi="Arial" w:cs="Arial"/>
            <w:sz w:val="20"/>
            <w:szCs w:val="20"/>
            <w:lang w:val="es-ES"/>
          </w:rPr>
          <w:t>C−504 del 31/07/2020</w:t>
        </w:r>
      </w:hyperlink>
      <w:r w:rsidR="3F214C72" w:rsidRPr="07BFCC3C">
        <w:rPr>
          <w:rFonts w:ascii="Arial" w:eastAsia="Arial" w:hAnsi="Arial" w:cs="Arial"/>
          <w:sz w:val="20"/>
          <w:szCs w:val="20"/>
          <w:lang w:val="es-ES"/>
        </w:rPr>
        <w:t xml:space="preserve">, </w:t>
      </w:r>
      <w:hyperlink r:id="rId25">
        <w:r w:rsidR="3F214C72" w:rsidRPr="07BFCC3C">
          <w:rPr>
            <w:rStyle w:val="Hipervnculo"/>
            <w:rFonts w:ascii="Arial" w:eastAsia="Arial" w:hAnsi="Arial" w:cs="Arial"/>
            <w:sz w:val="20"/>
            <w:szCs w:val="20"/>
            <w:lang w:val="es-ES"/>
          </w:rPr>
          <w:t>C-521 del 11/08/2020</w:t>
        </w:r>
      </w:hyperlink>
      <w:r w:rsidR="746A9C25" w:rsidRPr="07BFCC3C">
        <w:rPr>
          <w:rFonts w:ascii="Arial" w:eastAsia="Arial" w:hAnsi="Arial" w:cs="Arial"/>
          <w:sz w:val="20"/>
          <w:szCs w:val="20"/>
          <w:lang w:val="es-ES"/>
        </w:rPr>
        <w:t xml:space="preserve">, </w:t>
      </w:r>
      <w:hyperlink r:id="rId26">
        <w:r w:rsidR="746A9C25" w:rsidRPr="07BFCC3C">
          <w:rPr>
            <w:rStyle w:val="Hipervnculo"/>
            <w:rFonts w:ascii="Arial" w:eastAsia="Arial" w:hAnsi="Arial" w:cs="Arial"/>
            <w:sz w:val="20"/>
            <w:szCs w:val="20"/>
            <w:lang w:val="es-ES"/>
          </w:rPr>
          <w:t>C-543 del 19/08/2020</w:t>
        </w:r>
      </w:hyperlink>
      <w:r w:rsidR="67D77D75" w:rsidRPr="07BFCC3C">
        <w:rPr>
          <w:rFonts w:ascii="Arial" w:eastAsia="Arial" w:hAnsi="Arial" w:cs="Arial"/>
          <w:sz w:val="20"/>
          <w:szCs w:val="20"/>
          <w:lang w:val="es-ES"/>
        </w:rPr>
        <w:t xml:space="preserve">, </w:t>
      </w:r>
      <w:hyperlink r:id="rId27">
        <w:r w:rsidR="67D77D75" w:rsidRPr="07BFCC3C">
          <w:rPr>
            <w:rStyle w:val="Hipervnculo"/>
            <w:rFonts w:ascii="Arial" w:eastAsia="Arial" w:hAnsi="Arial" w:cs="Arial"/>
            <w:sz w:val="20"/>
            <w:szCs w:val="20"/>
            <w:lang w:val="es-ES"/>
          </w:rPr>
          <w:t>C-562 del 25/08/2020</w:t>
        </w:r>
      </w:hyperlink>
      <w:r w:rsidR="00B14D8F" w:rsidRPr="07BFCC3C">
        <w:rPr>
          <w:rStyle w:val="Hipervnculo"/>
          <w:rFonts w:ascii="Arial" w:eastAsia="Arial" w:hAnsi="Arial" w:cs="Arial"/>
          <w:color w:val="auto"/>
          <w:sz w:val="20"/>
          <w:szCs w:val="20"/>
          <w:u w:val="none"/>
          <w:lang w:val="es-ES"/>
        </w:rPr>
        <w:t xml:space="preserve">, </w:t>
      </w:r>
      <w:hyperlink r:id="rId28">
        <w:r w:rsidR="00B14D8F" w:rsidRPr="07BFCC3C">
          <w:rPr>
            <w:rStyle w:val="Hipervnculo"/>
            <w:rFonts w:ascii="Arial" w:eastAsia="Arial" w:hAnsi="Arial" w:cs="Arial"/>
            <w:sz w:val="20"/>
            <w:szCs w:val="20"/>
            <w:lang w:val="es-ES"/>
          </w:rPr>
          <w:t>C</w:t>
        </w:r>
        <w:r w:rsidR="00EE5A21" w:rsidRPr="07BFCC3C">
          <w:rPr>
            <w:rStyle w:val="Hipervnculo"/>
            <w:rFonts w:ascii="Arial" w:eastAsia="Arial" w:hAnsi="Arial" w:cs="Arial"/>
            <w:sz w:val="20"/>
            <w:szCs w:val="20"/>
            <w:lang w:val="es-ES"/>
          </w:rPr>
          <w:t>−</w:t>
        </w:r>
        <w:r w:rsidR="00B14D8F" w:rsidRPr="07BFCC3C">
          <w:rPr>
            <w:rStyle w:val="Hipervnculo"/>
            <w:rFonts w:ascii="Arial" w:eastAsia="Arial" w:hAnsi="Arial" w:cs="Arial"/>
            <w:sz w:val="20"/>
            <w:szCs w:val="20"/>
            <w:lang w:val="es-ES"/>
          </w:rPr>
          <w:t>574 del 27/08/2020</w:t>
        </w:r>
      </w:hyperlink>
      <w:r w:rsidR="00FA1331" w:rsidRPr="07BFCC3C">
        <w:rPr>
          <w:rFonts w:ascii="Arial" w:eastAsia="Arial" w:hAnsi="Arial" w:cs="Arial"/>
          <w:sz w:val="20"/>
          <w:szCs w:val="20"/>
          <w:lang w:val="es-ES"/>
        </w:rPr>
        <w:t xml:space="preserve">, </w:t>
      </w:r>
      <w:hyperlink r:id="rId29">
        <w:r w:rsidR="00FA1331" w:rsidRPr="07BFCC3C">
          <w:rPr>
            <w:rStyle w:val="Hipervnculo"/>
            <w:rFonts w:ascii="Arial" w:eastAsia="Arial" w:hAnsi="Arial" w:cs="Arial"/>
            <w:sz w:val="20"/>
            <w:szCs w:val="20"/>
            <w:lang w:val="es-ES"/>
          </w:rPr>
          <w:t>C</w:t>
        </w:r>
        <w:r w:rsidR="00B6584E" w:rsidRPr="07BFCC3C">
          <w:rPr>
            <w:rStyle w:val="Hipervnculo"/>
            <w:rFonts w:ascii="Arial" w:eastAsia="Arial" w:hAnsi="Arial" w:cs="Arial"/>
            <w:sz w:val="20"/>
            <w:szCs w:val="20"/>
            <w:lang w:val="es-ES"/>
          </w:rPr>
          <w:t>−</w:t>
        </w:r>
        <w:r w:rsidR="00FA1331" w:rsidRPr="07BFCC3C">
          <w:rPr>
            <w:rStyle w:val="Hipervnculo"/>
            <w:rFonts w:ascii="Arial" w:eastAsia="Arial" w:hAnsi="Arial" w:cs="Arial"/>
            <w:sz w:val="20"/>
            <w:szCs w:val="20"/>
            <w:lang w:val="es-ES"/>
          </w:rPr>
          <w:t>575 del 27/08/2020</w:t>
        </w:r>
      </w:hyperlink>
      <w:r w:rsidR="00BA0F4A" w:rsidRPr="07BFCC3C">
        <w:rPr>
          <w:rFonts w:ascii="Arial" w:eastAsia="Arial" w:hAnsi="Arial" w:cs="Arial"/>
          <w:sz w:val="20"/>
          <w:szCs w:val="20"/>
          <w:lang w:val="es-ES"/>
        </w:rPr>
        <w:t xml:space="preserve">, </w:t>
      </w:r>
      <w:hyperlink r:id="rId30">
        <w:r w:rsidR="0097339A" w:rsidRPr="07BFCC3C">
          <w:rPr>
            <w:rStyle w:val="Hipervnculo"/>
            <w:rFonts w:ascii="Arial" w:eastAsia="Arial" w:hAnsi="Arial" w:cs="Arial"/>
            <w:sz w:val="20"/>
            <w:szCs w:val="20"/>
            <w:lang w:val="es-ES"/>
          </w:rPr>
          <w:t>C−604 de</w:t>
        </w:r>
        <w:r w:rsidR="00605E50" w:rsidRPr="07BFCC3C">
          <w:rPr>
            <w:rStyle w:val="Hipervnculo"/>
            <w:rFonts w:ascii="Arial" w:eastAsia="Arial" w:hAnsi="Arial" w:cs="Arial"/>
            <w:sz w:val="20"/>
            <w:szCs w:val="20"/>
            <w:lang w:val="es-ES"/>
          </w:rPr>
          <w:t>l</w:t>
        </w:r>
        <w:r w:rsidR="00514691" w:rsidRPr="07BFCC3C">
          <w:rPr>
            <w:rStyle w:val="Hipervnculo"/>
            <w:rFonts w:ascii="Arial" w:eastAsia="Arial" w:hAnsi="Arial" w:cs="Arial"/>
            <w:sz w:val="20"/>
            <w:szCs w:val="20"/>
            <w:lang w:val="es-ES"/>
          </w:rPr>
          <w:t xml:space="preserve"> </w:t>
        </w:r>
        <w:r w:rsidR="00514691" w:rsidRPr="07BFCC3C">
          <w:rPr>
            <w:rStyle w:val="Hipervnculo"/>
            <w:rFonts w:ascii="Arial" w:hAnsi="Arial" w:cs="Arial"/>
          </w:rPr>
          <w:t>09/09/2020</w:t>
        </w:r>
      </w:hyperlink>
      <w:r w:rsidR="0097339A" w:rsidRPr="07BFCC3C">
        <w:rPr>
          <w:rFonts w:ascii="Arial" w:eastAsia="Arial" w:hAnsi="Arial" w:cs="Arial"/>
          <w:sz w:val="20"/>
          <w:szCs w:val="20"/>
          <w:lang w:val="es-ES"/>
        </w:rPr>
        <w:t xml:space="preserve">, </w:t>
      </w:r>
      <w:hyperlink r:id="rId31">
        <w:r w:rsidR="00BA0F4A" w:rsidRPr="07BFCC3C">
          <w:rPr>
            <w:rStyle w:val="Hipervnculo"/>
            <w:rFonts w:ascii="Arial" w:eastAsia="Arial" w:hAnsi="Arial" w:cs="Arial"/>
            <w:sz w:val="20"/>
            <w:szCs w:val="20"/>
            <w:lang w:val="es-ES"/>
          </w:rPr>
          <w:t>C-680 del 18/11/2020</w:t>
        </w:r>
      </w:hyperlink>
      <w:r w:rsidR="00D3681D" w:rsidRPr="07BFCC3C">
        <w:rPr>
          <w:rStyle w:val="Hipervnculo"/>
          <w:rFonts w:ascii="Arial" w:eastAsia="Arial" w:hAnsi="Arial" w:cs="Arial"/>
          <w:sz w:val="20"/>
          <w:szCs w:val="20"/>
          <w:lang w:val="es-ES"/>
        </w:rPr>
        <w:t>,</w:t>
      </w:r>
      <w:r w:rsidR="00D3681D" w:rsidRPr="07BFCC3C">
        <w:rPr>
          <w:rStyle w:val="Hipervnculo"/>
          <w:rFonts w:ascii="Arial" w:eastAsia="Arial" w:hAnsi="Arial" w:cs="Arial"/>
          <w:color w:val="auto"/>
          <w:sz w:val="20"/>
          <w:szCs w:val="20"/>
          <w:u w:val="none"/>
          <w:lang w:val="es-ES"/>
        </w:rPr>
        <w:t xml:space="preserve"> </w:t>
      </w:r>
      <w:hyperlink r:id="rId32">
        <w:r w:rsidR="00D3681D" w:rsidRPr="07BFCC3C">
          <w:rPr>
            <w:rStyle w:val="Hipervnculo"/>
            <w:rFonts w:ascii="Arial" w:eastAsia="Arial" w:hAnsi="Arial" w:cs="Arial"/>
            <w:sz w:val="20"/>
            <w:szCs w:val="20"/>
            <w:lang w:val="es-ES"/>
          </w:rPr>
          <w:t>C-719 del 03/02/2021</w:t>
        </w:r>
      </w:hyperlink>
      <w:r w:rsidR="003F71C3">
        <w:rPr>
          <w:rFonts w:ascii="Arial" w:eastAsia="Arial" w:hAnsi="Arial" w:cs="Arial"/>
          <w:sz w:val="20"/>
          <w:szCs w:val="20"/>
          <w:lang w:val="es-ES"/>
        </w:rPr>
        <w:t xml:space="preserve"> </w:t>
      </w:r>
      <w:r w:rsidR="5A3ACB50" w:rsidRPr="07BFCC3C">
        <w:rPr>
          <w:rFonts w:ascii="Arial" w:eastAsia="Arial" w:hAnsi="Arial" w:cs="Arial"/>
          <w:sz w:val="20"/>
          <w:szCs w:val="20"/>
          <w:lang w:val="es-ES"/>
        </w:rPr>
        <w:t xml:space="preserve"> </w:t>
      </w:r>
      <w:hyperlink r:id="rId33">
        <w:r w:rsidR="5A3ACB50" w:rsidRPr="07BFCC3C">
          <w:rPr>
            <w:rStyle w:val="Hipervnculo"/>
            <w:rFonts w:ascii="Arial" w:eastAsia="Arial" w:hAnsi="Arial" w:cs="Arial"/>
            <w:sz w:val="20"/>
            <w:szCs w:val="20"/>
            <w:lang w:val="es-ES"/>
          </w:rPr>
          <w:t>C</w:t>
        </w:r>
        <w:r w:rsidR="28FB6848" w:rsidRPr="07BFCC3C">
          <w:rPr>
            <w:rStyle w:val="Hipervnculo"/>
            <w:rFonts w:ascii="Arial" w:eastAsia="Arial" w:hAnsi="Arial" w:cs="Arial"/>
            <w:sz w:val="20"/>
            <w:szCs w:val="20"/>
            <w:lang w:val="es-ES"/>
          </w:rPr>
          <w:t>-03</w:t>
        </w:r>
        <w:r w:rsidR="2A2B05B4" w:rsidRPr="07BFCC3C">
          <w:rPr>
            <w:rStyle w:val="Hipervnculo"/>
            <w:rFonts w:ascii="Arial" w:eastAsia="Arial" w:hAnsi="Arial" w:cs="Arial"/>
            <w:sz w:val="20"/>
            <w:szCs w:val="20"/>
            <w:lang w:val="es-ES"/>
          </w:rPr>
          <w:t>2</w:t>
        </w:r>
        <w:r w:rsidR="28FB6848" w:rsidRPr="07BFCC3C">
          <w:rPr>
            <w:rStyle w:val="Hipervnculo"/>
            <w:rFonts w:ascii="Arial" w:eastAsia="Arial" w:hAnsi="Arial" w:cs="Arial"/>
            <w:sz w:val="20"/>
            <w:szCs w:val="20"/>
            <w:lang w:val="es-ES"/>
          </w:rPr>
          <w:t xml:space="preserve"> del 4/03/2021</w:t>
        </w:r>
      </w:hyperlink>
      <w:r w:rsidR="55D6A5AC" w:rsidRPr="07BFCC3C">
        <w:rPr>
          <w:rFonts w:ascii="Arial" w:eastAsia="Arial" w:hAnsi="Arial" w:cs="Arial"/>
          <w:sz w:val="20"/>
          <w:szCs w:val="20"/>
          <w:lang w:val="es-ES"/>
        </w:rPr>
        <w:t xml:space="preserve"> </w:t>
      </w:r>
      <w:hyperlink r:id="rId34">
        <w:r w:rsidR="00D08449" w:rsidRPr="07BFCC3C">
          <w:rPr>
            <w:rStyle w:val="Hipervnculo"/>
            <w:rFonts w:ascii="Arial" w:eastAsia="Arial" w:hAnsi="Arial" w:cs="Arial"/>
            <w:sz w:val="20"/>
            <w:szCs w:val="20"/>
            <w:lang w:val="es-ES"/>
          </w:rPr>
          <w:t>C-118 del 26 /03/2021</w:t>
        </w:r>
      </w:hyperlink>
      <w:r w:rsidR="003F71C3">
        <w:rPr>
          <w:rFonts w:ascii="Arial" w:eastAsia="Arial" w:hAnsi="Arial" w:cs="Arial"/>
          <w:sz w:val="20"/>
          <w:szCs w:val="20"/>
          <w:lang w:val="es-ES"/>
        </w:rPr>
        <w:t xml:space="preserve"> </w:t>
      </w:r>
      <w:hyperlink r:id="rId35">
        <w:r w:rsidR="22586AAC" w:rsidRPr="07BFCC3C">
          <w:rPr>
            <w:rStyle w:val="Hipervnculo"/>
            <w:rFonts w:ascii="Arial" w:eastAsia="Arial" w:hAnsi="Arial" w:cs="Arial"/>
            <w:sz w:val="20"/>
            <w:szCs w:val="20"/>
            <w:lang w:val="es-ES"/>
          </w:rPr>
          <w:t>C-135del 6/04/2021</w:t>
        </w:r>
      </w:hyperlink>
      <w:r w:rsidR="110160AB" w:rsidRPr="07BFCC3C">
        <w:rPr>
          <w:rFonts w:ascii="Arial" w:eastAsia="Arial" w:hAnsi="Arial" w:cs="Arial"/>
          <w:sz w:val="20"/>
          <w:szCs w:val="20"/>
          <w:lang w:val="es-ES"/>
        </w:rPr>
        <w:t xml:space="preserve">  </w:t>
      </w:r>
      <w:hyperlink r:id="rId36">
        <w:r w:rsidR="110160AB" w:rsidRPr="07BFCC3C">
          <w:rPr>
            <w:rStyle w:val="Hipervnculo"/>
            <w:rFonts w:ascii="Arial" w:eastAsia="Arial" w:hAnsi="Arial" w:cs="Arial"/>
            <w:sz w:val="20"/>
            <w:szCs w:val="20"/>
            <w:lang w:val="es-ES"/>
          </w:rPr>
          <w:t>C-472 del 06/09/2021</w:t>
        </w:r>
      </w:hyperlink>
      <w:r w:rsidR="730A0621" w:rsidRPr="07BFCC3C">
        <w:rPr>
          <w:rFonts w:ascii="Arial" w:eastAsia="Arial" w:hAnsi="Arial" w:cs="Arial"/>
          <w:sz w:val="20"/>
          <w:szCs w:val="20"/>
          <w:lang w:val="es-ES"/>
        </w:rPr>
        <w:t xml:space="preserve"> </w:t>
      </w:r>
      <w:hyperlink r:id="rId37">
        <w:r w:rsidR="730A0621" w:rsidRPr="07BFCC3C">
          <w:rPr>
            <w:rStyle w:val="Hipervnculo"/>
            <w:rFonts w:ascii="Arial" w:eastAsia="Arial" w:hAnsi="Arial" w:cs="Arial"/>
            <w:sz w:val="20"/>
            <w:szCs w:val="20"/>
            <w:lang w:val="es-ES"/>
          </w:rPr>
          <w:t>C-709</w:t>
        </w:r>
        <w:r w:rsidR="546B6E92" w:rsidRPr="07BFCC3C">
          <w:rPr>
            <w:rStyle w:val="Hipervnculo"/>
            <w:rFonts w:ascii="Arial" w:eastAsia="Arial" w:hAnsi="Arial" w:cs="Arial"/>
            <w:sz w:val="20"/>
            <w:szCs w:val="20"/>
            <w:lang w:val="es-ES"/>
          </w:rPr>
          <w:t xml:space="preserve"> del 11/01/202</w:t>
        </w:r>
        <w:r w:rsidR="42B18CE1" w:rsidRPr="07BFCC3C">
          <w:rPr>
            <w:rStyle w:val="Hipervnculo"/>
            <w:rFonts w:ascii="Arial" w:eastAsia="Arial" w:hAnsi="Arial" w:cs="Arial"/>
            <w:sz w:val="20"/>
            <w:szCs w:val="20"/>
            <w:lang w:val="es-ES"/>
          </w:rPr>
          <w:t>2,</w:t>
        </w:r>
      </w:hyperlink>
      <w:r w:rsidR="305AA586" w:rsidRPr="07BFCC3C">
        <w:rPr>
          <w:rFonts w:ascii="Arial" w:eastAsia="Arial" w:hAnsi="Arial" w:cs="Arial"/>
          <w:sz w:val="20"/>
          <w:szCs w:val="20"/>
          <w:lang w:val="es-ES"/>
        </w:rPr>
        <w:t xml:space="preserve"> </w:t>
      </w:r>
      <w:hyperlink r:id="rId38">
        <w:r w:rsidR="305AA586" w:rsidRPr="07BFCC3C">
          <w:rPr>
            <w:rStyle w:val="Hipervnculo"/>
            <w:rFonts w:ascii="Arial" w:eastAsia="Arial" w:hAnsi="Arial" w:cs="Arial"/>
            <w:sz w:val="20"/>
            <w:szCs w:val="20"/>
          </w:rPr>
          <w:t>C- 508 del 31/07/2020,</w:t>
        </w:r>
      </w:hyperlink>
      <w:r w:rsidR="305AA586" w:rsidRPr="07BFCC3C">
        <w:rPr>
          <w:rFonts w:ascii="Arial" w:eastAsia="Arial" w:hAnsi="Arial" w:cs="Arial"/>
          <w:sz w:val="20"/>
          <w:szCs w:val="20"/>
        </w:rPr>
        <w:t xml:space="preserve"> </w:t>
      </w:r>
      <w:hyperlink r:id="rId39">
        <w:r w:rsidR="7CF7B5AF" w:rsidRPr="07BFCC3C">
          <w:rPr>
            <w:rStyle w:val="Hipervnculo"/>
            <w:rFonts w:ascii="Arial" w:eastAsia="Times New Roman" w:hAnsi="Arial" w:cs="Arial"/>
            <w:sz w:val="20"/>
            <w:szCs w:val="20"/>
            <w:lang w:val="es-ES" w:eastAsia="es-CO"/>
          </w:rPr>
          <w:t>C-544 del 21/08/2020,</w:t>
        </w:r>
      </w:hyperlink>
      <w:r w:rsidR="07BFCC3C" w:rsidRPr="07BFCC3C">
        <w:rPr>
          <w:rFonts w:ascii="Arial" w:eastAsia="Times New Roman" w:hAnsi="Arial" w:cs="Arial"/>
          <w:sz w:val="20"/>
          <w:szCs w:val="20"/>
          <w:lang w:val="es-ES" w:eastAsia="es-CO"/>
        </w:rPr>
        <w:t xml:space="preserve"> </w:t>
      </w:r>
      <w:hyperlink r:id="rId40">
        <w:r w:rsidR="07BFCC3C" w:rsidRPr="07BFCC3C">
          <w:rPr>
            <w:rStyle w:val="Hipervnculo"/>
            <w:rFonts w:ascii="Arial" w:eastAsia="Times New Roman" w:hAnsi="Arial" w:cs="Arial"/>
            <w:sz w:val="20"/>
            <w:szCs w:val="20"/>
            <w:lang w:val="es-ES" w:eastAsia="es-CO"/>
          </w:rPr>
          <w:t>C-332 del 23/05/2022</w:t>
        </w:r>
      </w:hyperlink>
    </w:p>
    <w:p w14:paraId="4169D87F" w14:textId="17CA4CA7" w:rsidR="22748A77" w:rsidRDefault="22748A77" w:rsidP="22748A77">
      <w:pPr>
        <w:spacing w:after="0" w:line="240" w:lineRule="auto"/>
        <w:jc w:val="both"/>
        <w:rPr>
          <w:rFonts w:ascii="Arial" w:eastAsia="Arial" w:hAnsi="Arial" w:cs="Arial"/>
          <w:sz w:val="20"/>
          <w:szCs w:val="20"/>
          <w:lang w:val="es-ES"/>
        </w:rPr>
      </w:pPr>
    </w:p>
    <w:p w14:paraId="6F74D71D" w14:textId="233CBD43" w:rsidR="22748A77" w:rsidRDefault="22748A77" w:rsidP="22748A77">
      <w:pPr>
        <w:spacing w:after="0" w:line="240" w:lineRule="auto"/>
        <w:jc w:val="both"/>
        <w:rPr>
          <w:rFonts w:ascii="Arial" w:eastAsia="Arial" w:hAnsi="Arial" w:cs="Arial"/>
          <w:sz w:val="20"/>
          <w:szCs w:val="20"/>
          <w:lang w:val="es-ES"/>
        </w:rPr>
      </w:pPr>
    </w:p>
    <w:p w14:paraId="57FD8AFF" w14:textId="103BBD52" w:rsidR="22748A77" w:rsidRDefault="22748A77" w:rsidP="22748A77">
      <w:pPr>
        <w:spacing w:after="0" w:line="240" w:lineRule="auto"/>
        <w:jc w:val="both"/>
        <w:rPr>
          <w:rFonts w:ascii="Arial" w:eastAsia="Arial" w:hAnsi="Arial" w:cs="Arial"/>
          <w:sz w:val="20"/>
          <w:szCs w:val="20"/>
          <w:lang w:val="es-ES"/>
        </w:rPr>
      </w:pPr>
    </w:p>
    <w:p w14:paraId="75AFEBDF" w14:textId="0C1B0AEE" w:rsidR="22748A77" w:rsidRDefault="22748A77" w:rsidP="22748A77">
      <w:pPr>
        <w:spacing w:after="0" w:line="240" w:lineRule="auto"/>
        <w:jc w:val="both"/>
        <w:rPr>
          <w:rFonts w:ascii="Arial" w:eastAsia="Arial" w:hAnsi="Arial" w:cs="Arial"/>
          <w:sz w:val="20"/>
          <w:szCs w:val="20"/>
          <w:lang w:val="es-ES"/>
        </w:rPr>
      </w:pPr>
    </w:p>
    <w:p w14:paraId="58E784F4" w14:textId="507D9EBE" w:rsidR="22748A77" w:rsidRDefault="22748A77" w:rsidP="22748A77">
      <w:pPr>
        <w:spacing w:after="0" w:line="240" w:lineRule="auto"/>
        <w:jc w:val="both"/>
        <w:rPr>
          <w:rFonts w:ascii="Arial" w:eastAsia="Arial" w:hAnsi="Arial" w:cs="Arial"/>
          <w:sz w:val="20"/>
          <w:szCs w:val="20"/>
          <w:lang w:val="es-ES"/>
        </w:rPr>
      </w:pPr>
    </w:p>
    <w:p w14:paraId="66801B06" w14:textId="1CA0B679" w:rsidR="22748A77" w:rsidRDefault="22748A77" w:rsidP="22748A77">
      <w:pPr>
        <w:spacing w:after="0" w:line="240" w:lineRule="auto"/>
        <w:jc w:val="both"/>
        <w:rPr>
          <w:rFonts w:ascii="Arial" w:eastAsia="Arial" w:hAnsi="Arial" w:cs="Arial"/>
          <w:sz w:val="20"/>
          <w:szCs w:val="20"/>
          <w:lang w:val="es-ES"/>
        </w:rPr>
      </w:pPr>
    </w:p>
    <w:p w14:paraId="5509E028" w14:textId="4410B8B0" w:rsidR="22748A77" w:rsidRDefault="22748A77" w:rsidP="22748A77">
      <w:pPr>
        <w:spacing w:after="0" w:line="240" w:lineRule="auto"/>
        <w:jc w:val="both"/>
        <w:rPr>
          <w:rFonts w:ascii="Arial" w:eastAsia="Arial" w:hAnsi="Arial" w:cs="Arial"/>
          <w:sz w:val="20"/>
          <w:szCs w:val="20"/>
          <w:lang w:val="es-ES"/>
        </w:rPr>
      </w:pPr>
    </w:p>
    <w:p w14:paraId="0DA61A9B" w14:textId="6610AC3D" w:rsidR="22748A77" w:rsidRDefault="22748A77" w:rsidP="22748A77">
      <w:pPr>
        <w:spacing w:after="0" w:line="240" w:lineRule="auto"/>
        <w:jc w:val="both"/>
        <w:rPr>
          <w:rFonts w:ascii="Arial" w:eastAsia="Arial" w:hAnsi="Arial" w:cs="Arial"/>
          <w:sz w:val="20"/>
          <w:szCs w:val="20"/>
          <w:lang w:val="es-ES"/>
        </w:rPr>
      </w:pPr>
    </w:p>
    <w:p w14:paraId="2A6CC5FE" w14:textId="77777777" w:rsidR="00C41AC0" w:rsidRPr="00562064" w:rsidRDefault="00C41AC0" w:rsidP="00143180">
      <w:pPr>
        <w:spacing w:after="0" w:line="254" w:lineRule="atLeast"/>
        <w:jc w:val="both"/>
        <w:rPr>
          <w:rFonts w:ascii="Arial" w:eastAsia="Times New Roman" w:hAnsi="Arial" w:cs="Arial"/>
          <w:color w:val="000000" w:themeColor="text1"/>
          <w:lang w:eastAsia="es-CO"/>
        </w:rPr>
      </w:pPr>
    </w:p>
    <w:p w14:paraId="3E06B0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sujetos obligados que contratan con cargo a recursos públicos deben publicar la información de su gestión contractual en el plazo previsto en el artículo 19 del Decreto 1510 de 2013, o el que lo modifique, sustituya o adicione. </w:t>
      </w:r>
    </w:p>
    <w:p w14:paraId="21AE728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6D405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Los sujetos obligados que contratan con recursos públicos y recursos privados, deben publicar la información de su gestión contractual con cargo a recursos públicos en el Sistema Electrónico para la Contratación Pública (SECOP). </w:t>
      </w:r>
    </w:p>
    <w:p w14:paraId="464A67D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7105F3" w14:textId="221D0A20"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2.1.1.2.1.8. Publicación de la ejecución de contratos. 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 </w:t>
      </w:r>
    </w:p>
    <w:p w14:paraId="4F1A4092" w14:textId="3D2BFDCD" w:rsidR="00C41AC0" w:rsidRPr="00562064" w:rsidRDefault="00C41AC0" w:rsidP="00143180">
      <w:pPr>
        <w:spacing w:after="0" w:line="254" w:lineRule="atLeast"/>
        <w:jc w:val="both"/>
        <w:rPr>
          <w:rFonts w:ascii="Arial" w:eastAsia="Times New Roman" w:hAnsi="Arial" w:cs="Arial"/>
          <w:color w:val="000000" w:themeColor="text1"/>
          <w:lang w:eastAsia="es-CO"/>
        </w:rPr>
      </w:pPr>
    </w:p>
    <w:p w14:paraId="69EFA9FF" w14:textId="18916AAB" w:rsidR="00C41AC0" w:rsidRPr="00562064" w:rsidRDefault="00C41AC0" w:rsidP="07BFCC3C">
      <w:pPr>
        <w:spacing w:after="0" w:line="240" w:lineRule="auto"/>
        <w:jc w:val="both"/>
        <w:rPr>
          <w:rFonts w:ascii="Arial" w:eastAsia="Arial" w:hAnsi="Arial" w:cs="Arial"/>
          <w:sz w:val="20"/>
          <w:szCs w:val="20"/>
          <w:lang w:val="es-ES"/>
        </w:rPr>
      </w:pPr>
      <w:r w:rsidRPr="07BFCC3C">
        <w:rPr>
          <w:rFonts w:ascii="Arial" w:eastAsia="Arial" w:hAnsi="Arial" w:cs="Arial"/>
          <w:sz w:val="20"/>
          <w:szCs w:val="20"/>
        </w:rPr>
        <w:t xml:space="preserve">(Ver conceptos: </w:t>
      </w:r>
      <w:hyperlink r:id="rId41">
        <w:r w:rsidRPr="07BFCC3C">
          <w:rPr>
            <w:rStyle w:val="Hipervnculo"/>
            <w:rFonts w:ascii="Arial" w:eastAsia="Arial" w:hAnsi="Arial" w:cs="Arial"/>
            <w:sz w:val="20"/>
            <w:szCs w:val="20"/>
            <w:lang w:val="es-ES"/>
          </w:rPr>
          <w:t>C−055 del 28/01/2020</w:t>
        </w:r>
      </w:hyperlink>
      <w:r w:rsidRPr="07BFCC3C">
        <w:rPr>
          <w:rFonts w:ascii="Arial" w:eastAsia="Arial" w:hAnsi="Arial" w:cs="Arial"/>
          <w:sz w:val="20"/>
          <w:szCs w:val="20"/>
          <w:lang w:val="es-ES"/>
        </w:rPr>
        <w:t xml:space="preserve">, </w:t>
      </w:r>
      <w:hyperlink r:id="rId42">
        <w:r w:rsidRPr="07BFCC3C">
          <w:rPr>
            <w:rStyle w:val="Hipervnculo"/>
            <w:rFonts w:ascii="Arial" w:eastAsia="Arial" w:hAnsi="Arial" w:cs="Arial"/>
            <w:sz w:val="20"/>
            <w:szCs w:val="20"/>
            <w:lang w:val="es-ES"/>
          </w:rPr>
          <w:t>C−270 del 15/04/2020</w:t>
        </w:r>
      </w:hyperlink>
      <w:r w:rsidRPr="07BFCC3C">
        <w:rPr>
          <w:rFonts w:ascii="Arial" w:eastAsia="Arial" w:hAnsi="Arial" w:cs="Arial"/>
          <w:sz w:val="20"/>
          <w:szCs w:val="20"/>
          <w:lang w:val="es-ES"/>
        </w:rPr>
        <w:t xml:space="preserve">, </w:t>
      </w:r>
      <w:hyperlink r:id="rId43">
        <w:r w:rsidRPr="07BFCC3C">
          <w:rPr>
            <w:rStyle w:val="Hipervnculo"/>
            <w:rFonts w:ascii="Arial" w:eastAsia="Arial" w:hAnsi="Arial" w:cs="Arial"/>
            <w:sz w:val="20"/>
            <w:szCs w:val="20"/>
            <w:lang w:val="es-ES"/>
          </w:rPr>
          <w:t>C−271 del 22/04/2020</w:t>
        </w:r>
      </w:hyperlink>
      <w:r w:rsidRPr="07BFCC3C">
        <w:rPr>
          <w:rFonts w:ascii="Arial" w:eastAsia="Arial" w:hAnsi="Arial" w:cs="Arial"/>
          <w:sz w:val="20"/>
          <w:szCs w:val="20"/>
          <w:lang w:val="es-ES"/>
        </w:rPr>
        <w:t xml:space="preserve">, </w:t>
      </w:r>
      <w:hyperlink r:id="rId44">
        <w:r w:rsidRPr="07BFCC3C">
          <w:rPr>
            <w:rStyle w:val="Hipervnculo"/>
            <w:rFonts w:ascii="Arial" w:eastAsia="Times New Roman" w:hAnsi="Arial" w:cs="Arial"/>
            <w:sz w:val="20"/>
            <w:szCs w:val="20"/>
            <w:lang w:val="es-ES" w:eastAsia="es-CO"/>
          </w:rPr>
          <w:t>CU</w:t>
        </w:r>
        <w:r w:rsidRPr="07BFCC3C">
          <w:rPr>
            <w:rStyle w:val="Hipervnculo"/>
            <w:rFonts w:ascii="Arial" w:eastAsia="Arial" w:hAnsi="Arial" w:cs="Arial"/>
            <w:sz w:val="20"/>
            <w:szCs w:val="20"/>
            <w:lang w:val="es-ES"/>
          </w:rPr>
          <w:t>−</w:t>
        </w:r>
        <w:r w:rsidRPr="07BFCC3C">
          <w:rPr>
            <w:rStyle w:val="Hipervnculo"/>
            <w:rFonts w:ascii="Arial" w:eastAsia="Times New Roman" w:hAnsi="Arial" w:cs="Arial"/>
            <w:sz w:val="20"/>
            <w:szCs w:val="20"/>
            <w:lang w:val="es-ES" w:eastAsia="es-CO"/>
          </w:rPr>
          <w:t>367 del 23/07/2020</w:t>
        </w:r>
      </w:hyperlink>
      <w:r w:rsidRPr="07BFCC3C">
        <w:rPr>
          <w:rFonts w:ascii="Arial" w:eastAsia="Times New Roman" w:hAnsi="Arial" w:cs="Arial"/>
          <w:sz w:val="20"/>
          <w:szCs w:val="20"/>
          <w:lang w:val="es-ES" w:eastAsia="es-CO"/>
        </w:rPr>
        <w:t xml:space="preserve">, </w:t>
      </w:r>
      <w:hyperlink r:id="rId45">
        <w:r w:rsidRPr="07BFCC3C">
          <w:rPr>
            <w:rStyle w:val="Hipervnculo"/>
            <w:rFonts w:ascii="Arial" w:eastAsia="Times New Roman" w:hAnsi="Arial" w:cs="Arial"/>
            <w:sz w:val="20"/>
            <w:szCs w:val="20"/>
            <w:lang w:val="es-ES" w:eastAsia="es-CO"/>
          </w:rPr>
          <w:t>C</w:t>
        </w:r>
        <w:r w:rsidRPr="07BFCC3C">
          <w:rPr>
            <w:rStyle w:val="Hipervnculo"/>
            <w:rFonts w:ascii="Arial" w:eastAsia="Arial" w:hAnsi="Arial" w:cs="Arial"/>
            <w:sz w:val="20"/>
            <w:szCs w:val="20"/>
            <w:lang w:val="es-ES"/>
          </w:rPr>
          <w:t>−</w:t>
        </w:r>
        <w:r w:rsidRPr="07BFCC3C">
          <w:rPr>
            <w:rStyle w:val="Hipervnculo"/>
            <w:rFonts w:ascii="Arial" w:eastAsia="Times New Roman" w:hAnsi="Arial" w:cs="Arial"/>
            <w:sz w:val="20"/>
            <w:szCs w:val="20"/>
            <w:lang w:val="es-ES" w:eastAsia="es-CO"/>
          </w:rPr>
          <w:t>433 de 24/07/2020</w:t>
        </w:r>
      </w:hyperlink>
      <w:r w:rsidRPr="07BFCC3C">
        <w:rPr>
          <w:rFonts w:ascii="Arial" w:eastAsia="Times New Roman" w:hAnsi="Arial" w:cs="Arial"/>
          <w:sz w:val="20"/>
          <w:szCs w:val="20"/>
          <w:lang w:val="es-ES" w:eastAsia="es-CO"/>
        </w:rPr>
        <w:t xml:space="preserve">, </w:t>
      </w:r>
      <w:hyperlink r:id="rId46">
        <w:r w:rsidRPr="07BFCC3C">
          <w:rPr>
            <w:rStyle w:val="Hipervnculo"/>
            <w:rFonts w:ascii="Arial" w:eastAsia="Times New Roman" w:hAnsi="Arial" w:cs="Arial"/>
            <w:sz w:val="20"/>
            <w:szCs w:val="20"/>
            <w:lang w:val="es-ES" w:eastAsia="es-CO"/>
          </w:rPr>
          <w:t>C</w:t>
        </w:r>
        <w:r w:rsidRPr="07BFCC3C">
          <w:rPr>
            <w:rStyle w:val="Hipervnculo"/>
            <w:rFonts w:ascii="Arial" w:eastAsia="Arial" w:hAnsi="Arial" w:cs="Arial"/>
            <w:sz w:val="20"/>
            <w:szCs w:val="20"/>
            <w:lang w:val="es-ES"/>
          </w:rPr>
          <w:t>−</w:t>
        </w:r>
        <w:r w:rsidRPr="07BFCC3C">
          <w:rPr>
            <w:rStyle w:val="Hipervnculo"/>
            <w:rFonts w:ascii="Arial" w:eastAsia="Times New Roman" w:hAnsi="Arial" w:cs="Arial"/>
            <w:sz w:val="20"/>
            <w:szCs w:val="20"/>
            <w:lang w:val="es-ES" w:eastAsia="es-CO"/>
          </w:rPr>
          <w:t>474 de 24/07/2020</w:t>
        </w:r>
      </w:hyperlink>
      <w:r w:rsidRPr="07BFCC3C">
        <w:rPr>
          <w:rFonts w:ascii="Arial" w:eastAsia="Times New Roman" w:hAnsi="Arial" w:cs="Arial"/>
          <w:sz w:val="20"/>
          <w:szCs w:val="20"/>
          <w:lang w:val="es-ES" w:eastAsia="es-CO"/>
        </w:rPr>
        <w:t xml:space="preserve">, </w:t>
      </w:r>
      <w:hyperlink r:id="rId47">
        <w:r w:rsidRPr="07BFCC3C">
          <w:rPr>
            <w:rStyle w:val="Hipervnculo"/>
            <w:rFonts w:ascii="Arial" w:eastAsia="Times New Roman" w:hAnsi="Arial" w:cs="Arial"/>
            <w:sz w:val="20"/>
            <w:szCs w:val="20"/>
            <w:lang w:val="es-ES" w:eastAsia="es-CO"/>
          </w:rPr>
          <w:t>C-504 del 31/07/2020</w:t>
        </w:r>
      </w:hyperlink>
      <w:r w:rsidR="7CF7B5AF" w:rsidRPr="07BFCC3C">
        <w:rPr>
          <w:rFonts w:ascii="Arial" w:eastAsia="Times New Roman" w:hAnsi="Arial" w:cs="Arial"/>
          <w:sz w:val="20"/>
          <w:szCs w:val="20"/>
          <w:lang w:val="es-ES" w:eastAsia="es-CO"/>
        </w:rPr>
        <w:t xml:space="preserve">, </w:t>
      </w:r>
      <w:hyperlink r:id="rId48">
        <w:r w:rsidR="7CF7B5AF" w:rsidRPr="07BFCC3C">
          <w:rPr>
            <w:rStyle w:val="Hipervnculo"/>
            <w:rFonts w:ascii="Arial" w:eastAsia="Times New Roman" w:hAnsi="Arial" w:cs="Arial"/>
            <w:sz w:val="20"/>
            <w:szCs w:val="20"/>
            <w:lang w:val="es-ES" w:eastAsia="es-CO"/>
          </w:rPr>
          <w:t>C-544 del 21/08/2020</w:t>
        </w:r>
      </w:hyperlink>
      <w:r w:rsidR="3096DBE5" w:rsidRPr="07BFCC3C">
        <w:rPr>
          <w:rFonts w:ascii="Arial" w:eastAsia="Times New Roman" w:hAnsi="Arial" w:cs="Arial"/>
          <w:sz w:val="20"/>
          <w:szCs w:val="20"/>
          <w:lang w:val="es-ES" w:eastAsia="es-CO"/>
        </w:rPr>
        <w:t xml:space="preserve">, </w:t>
      </w:r>
      <w:hyperlink r:id="rId49">
        <w:r w:rsidR="3096DBE5" w:rsidRPr="07BFCC3C">
          <w:rPr>
            <w:rStyle w:val="Hipervnculo"/>
            <w:rFonts w:ascii="Arial" w:eastAsia="Times New Roman" w:hAnsi="Arial" w:cs="Arial"/>
            <w:sz w:val="20"/>
            <w:szCs w:val="20"/>
            <w:lang w:val="es-ES" w:eastAsia="es-CO"/>
          </w:rPr>
          <w:t>C-562 del 25/08/2020</w:t>
        </w:r>
      </w:hyperlink>
      <w:r w:rsidR="00B14D8F" w:rsidRPr="07BFCC3C">
        <w:rPr>
          <w:rStyle w:val="Hipervnculo"/>
          <w:rFonts w:ascii="Arial" w:eastAsia="Times New Roman" w:hAnsi="Arial" w:cs="Arial"/>
          <w:sz w:val="20"/>
          <w:szCs w:val="20"/>
          <w:lang w:val="es-ES" w:eastAsia="es-CO"/>
        </w:rPr>
        <w:t>,</w:t>
      </w:r>
      <w:r w:rsidR="009E2212" w:rsidRPr="07BFCC3C">
        <w:rPr>
          <w:rFonts w:ascii="Arial" w:eastAsia="Arial" w:hAnsi="Arial" w:cs="Arial"/>
          <w:sz w:val="20"/>
          <w:szCs w:val="20"/>
          <w:lang w:val="es-ES"/>
        </w:rPr>
        <w:t xml:space="preserve"> </w:t>
      </w:r>
      <w:hyperlink r:id="rId50">
        <w:r w:rsidR="009E2212" w:rsidRPr="07BFCC3C">
          <w:rPr>
            <w:rStyle w:val="Hipervnculo"/>
            <w:rFonts w:ascii="Arial" w:eastAsia="Arial" w:hAnsi="Arial" w:cs="Arial"/>
            <w:sz w:val="20"/>
            <w:szCs w:val="20"/>
            <w:lang w:val="es-ES"/>
          </w:rPr>
          <w:t>C−574 del 27/08/2020</w:t>
        </w:r>
      </w:hyperlink>
      <w:r w:rsidR="009E2212" w:rsidRPr="07BFCC3C">
        <w:rPr>
          <w:rFonts w:ascii="Arial" w:eastAsia="Arial" w:hAnsi="Arial" w:cs="Arial"/>
          <w:sz w:val="20"/>
          <w:szCs w:val="20"/>
          <w:lang w:val="es-ES"/>
        </w:rPr>
        <w:t xml:space="preserve">, </w:t>
      </w:r>
      <w:hyperlink r:id="rId51">
        <w:r w:rsidR="009E2212" w:rsidRPr="07BFCC3C">
          <w:rPr>
            <w:rStyle w:val="Hipervnculo"/>
            <w:rFonts w:ascii="Arial" w:eastAsia="Arial" w:hAnsi="Arial" w:cs="Arial"/>
            <w:sz w:val="20"/>
            <w:szCs w:val="20"/>
            <w:lang w:val="es-ES"/>
          </w:rPr>
          <w:t>C−575 del 27/08/2020</w:t>
        </w:r>
      </w:hyperlink>
      <w:r w:rsidR="00514691" w:rsidRPr="07BFCC3C">
        <w:rPr>
          <w:rFonts w:ascii="Arial" w:eastAsia="Arial" w:hAnsi="Arial" w:cs="Arial"/>
          <w:sz w:val="20"/>
          <w:szCs w:val="20"/>
          <w:lang w:val="es-ES"/>
        </w:rPr>
        <w:t xml:space="preserve">, </w:t>
      </w:r>
      <w:hyperlink r:id="rId52">
        <w:r w:rsidR="00514691" w:rsidRPr="07BFCC3C">
          <w:rPr>
            <w:rStyle w:val="Hipervnculo"/>
            <w:rFonts w:ascii="Arial" w:eastAsia="Arial" w:hAnsi="Arial" w:cs="Arial"/>
            <w:sz w:val="20"/>
            <w:szCs w:val="20"/>
            <w:lang w:val="es-ES"/>
          </w:rPr>
          <w:t xml:space="preserve">C−604 del </w:t>
        </w:r>
        <w:r w:rsidR="00514691" w:rsidRPr="07BFCC3C">
          <w:rPr>
            <w:rStyle w:val="Hipervnculo"/>
            <w:rFonts w:ascii="Arial" w:hAnsi="Arial" w:cs="Arial"/>
          </w:rPr>
          <w:t>09/09/2020</w:t>
        </w:r>
      </w:hyperlink>
      <w:r w:rsidR="00D3681D" w:rsidRPr="07BFCC3C">
        <w:rPr>
          <w:rStyle w:val="Hipervnculo"/>
          <w:rFonts w:ascii="Arial" w:hAnsi="Arial" w:cs="Arial"/>
        </w:rPr>
        <w:t>,</w:t>
      </w:r>
      <w:r w:rsidR="5F841CF6" w:rsidRPr="07BFCC3C">
        <w:rPr>
          <w:rStyle w:val="Hipervnculo"/>
          <w:rFonts w:ascii="Arial" w:hAnsi="Arial" w:cs="Arial"/>
        </w:rPr>
        <w:t xml:space="preserve"> </w:t>
      </w:r>
      <w:r w:rsidR="00D3681D" w:rsidRPr="07BFCC3C">
        <w:rPr>
          <w:rStyle w:val="Hipervnculo"/>
          <w:rFonts w:ascii="Arial" w:eastAsia="Arial" w:hAnsi="Arial" w:cs="Arial"/>
          <w:color w:val="auto"/>
          <w:sz w:val="20"/>
          <w:szCs w:val="20"/>
          <w:u w:val="none"/>
          <w:lang w:val="es-ES"/>
        </w:rPr>
        <w:t xml:space="preserve"> </w:t>
      </w:r>
      <w:hyperlink r:id="rId53">
        <w:r w:rsidR="00D3681D" w:rsidRPr="07BFCC3C">
          <w:rPr>
            <w:rStyle w:val="Hipervnculo"/>
            <w:rFonts w:ascii="Arial" w:eastAsia="Arial" w:hAnsi="Arial" w:cs="Arial"/>
            <w:sz w:val="20"/>
            <w:szCs w:val="20"/>
            <w:lang w:val="es-ES"/>
          </w:rPr>
          <w:t>C-719 del 03/02/2021</w:t>
        </w:r>
      </w:hyperlink>
      <w:r w:rsidR="13184312" w:rsidRPr="07BFCC3C">
        <w:rPr>
          <w:rFonts w:ascii="Arial" w:eastAsia="Arial" w:hAnsi="Arial" w:cs="Arial"/>
          <w:sz w:val="20"/>
          <w:szCs w:val="20"/>
          <w:lang w:val="es-ES"/>
        </w:rPr>
        <w:t xml:space="preserve"> </w:t>
      </w:r>
      <w:r w:rsidR="46C5ECB3" w:rsidRPr="07BFCC3C">
        <w:rPr>
          <w:rFonts w:ascii="Arial" w:eastAsia="Arial" w:hAnsi="Arial" w:cs="Arial"/>
          <w:sz w:val="20"/>
          <w:szCs w:val="20"/>
          <w:lang w:val="es-ES"/>
        </w:rPr>
        <w:t xml:space="preserve">  </w:t>
      </w:r>
      <w:hyperlink r:id="rId54">
        <w:r w:rsidR="46C5ECB3" w:rsidRPr="07BFCC3C">
          <w:rPr>
            <w:rStyle w:val="Hipervnculo"/>
            <w:rFonts w:ascii="Arial" w:eastAsia="Arial" w:hAnsi="Arial" w:cs="Arial"/>
            <w:sz w:val="20"/>
            <w:szCs w:val="20"/>
            <w:lang w:val="es-ES"/>
          </w:rPr>
          <w:t>C-093 del 23/03/2021</w:t>
        </w:r>
      </w:hyperlink>
      <w:r w:rsidR="34F36590" w:rsidRPr="07BFCC3C">
        <w:rPr>
          <w:rFonts w:ascii="Arial" w:eastAsia="Arial" w:hAnsi="Arial" w:cs="Arial"/>
          <w:sz w:val="20"/>
          <w:szCs w:val="20"/>
          <w:lang w:val="es-ES"/>
        </w:rPr>
        <w:t xml:space="preserve"> </w:t>
      </w:r>
      <w:hyperlink r:id="rId55">
        <w:r w:rsidR="34F36590" w:rsidRPr="07BFCC3C">
          <w:rPr>
            <w:rStyle w:val="Hipervnculo"/>
            <w:rFonts w:ascii="Arial" w:eastAsia="Arial" w:hAnsi="Arial" w:cs="Arial"/>
            <w:sz w:val="20"/>
            <w:szCs w:val="20"/>
            <w:lang w:val="es-ES"/>
          </w:rPr>
          <w:t>C-313 del 26/06/2021,</w:t>
        </w:r>
      </w:hyperlink>
      <w:r w:rsidR="305AA586" w:rsidRPr="07BFCC3C">
        <w:rPr>
          <w:rFonts w:ascii="Arial" w:eastAsia="Arial" w:hAnsi="Arial" w:cs="Arial"/>
          <w:sz w:val="20"/>
          <w:szCs w:val="20"/>
          <w:lang w:val="es-ES"/>
        </w:rPr>
        <w:t xml:space="preserve"> </w:t>
      </w:r>
      <w:hyperlink r:id="rId56">
        <w:r w:rsidR="305AA586" w:rsidRPr="07BFCC3C">
          <w:rPr>
            <w:rStyle w:val="Hipervnculo"/>
            <w:rFonts w:ascii="Arial" w:eastAsia="Arial" w:hAnsi="Arial" w:cs="Arial"/>
            <w:sz w:val="20"/>
            <w:szCs w:val="20"/>
          </w:rPr>
          <w:t>C- 508 del 31/07/2020,</w:t>
        </w:r>
      </w:hyperlink>
      <w:r w:rsidR="305AA586" w:rsidRPr="07BFCC3C">
        <w:rPr>
          <w:rFonts w:ascii="Arial" w:eastAsia="Arial" w:hAnsi="Arial" w:cs="Arial"/>
          <w:sz w:val="20"/>
          <w:szCs w:val="20"/>
        </w:rPr>
        <w:t xml:space="preserve"> </w:t>
      </w:r>
      <w:hyperlink r:id="rId57">
        <w:r w:rsidR="3F214C72" w:rsidRPr="07BFCC3C">
          <w:rPr>
            <w:rStyle w:val="Hipervnculo"/>
            <w:rFonts w:ascii="Arial" w:eastAsia="Arial" w:hAnsi="Arial" w:cs="Arial"/>
            <w:sz w:val="20"/>
            <w:szCs w:val="20"/>
            <w:lang w:val="es-ES"/>
          </w:rPr>
          <w:t>C-521 del 11/08/2020,</w:t>
        </w:r>
      </w:hyperlink>
      <w:r w:rsidR="59A1B8B4" w:rsidRPr="07BFCC3C">
        <w:rPr>
          <w:rFonts w:ascii="Arial" w:eastAsia="Arial" w:hAnsi="Arial" w:cs="Arial"/>
          <w:sz w:val="20"/>
          <w:szCs w:val="20"/>
          <w:lang w:val="es-ES"/>
        </w:rPr>
        <w:t xml:space="preserve"> </w:t>
      </w:r>
      <w:hyperlink r:id="rId58">
        <w:r w:rsidR="59A1B8B4" w:rsidRPr="07BFCC3C">
          <w:rPr>
            <w:rStyle w:val="Hipervnculo"/>
            <w:rFonts w:ascii="Arial" w:eastAsia="Arial" w:hAnsi="Arial" w:cs="Arial"/>
            <w:sz w:val="20"/>
            <w:szCs w:val="20"/>
            <w:lang w:val="es-ES"/>
          </w:rPr>
          <w:t>C-135 del 6/04/2021),</w:t>
        </w:r>
      </w:hyperlink>
      <w:r w:rsidR="305AA586" w:rsidRPr="07BFCC3C">
        <w:rPr>
          <w:rFonts w:ascii="Arial" w:eastAsia="Arial" w:hAnsi="Arial" w:cs="Arial"/>
          <w:sz w:val="20"/>
          <w:szCs w:val="20"/>
          <w:lang w:val="es-ES"/>
        </w:rPr>
        <w:t xml:space="preserve"> </w:t>
      </w:r>
      <w:hyperlink r:id="rId59">
        <w:r w:rsidR="746A9C25" w:rsidRPr="07BFCC3C">
          <w:rPr>
            <w:rStyle w:val="Hipervnculo"/>
            <w:rFonts w:ascii="Arial" w:eastAsia="Arial" w:hAnsi="Arial" w:cs="Arial"/>
            <w:sz w:val="20"/>
            <w:szCs w:val="20"/>
            <w:lang w:val="es-ES"/>
          </w:rPr>
          <w:t>C-543 del 19/08/2020,</w:t>
        </w:r>
      </w:hyperlink>
      <w:r w:rsidR="07BFCC3C" w:rsidRPr="07BFCC3C">
        <w:rPr>
          <w:rFonts w:ascii="Arial" w:eastAsia="Arial" w:hAnsi="Arial" w:cs="Arial"/>
          <w:sz w:val="20"/>
          <w:szCs w:val="20"/>
          <w:lang w:val="es-ES"/>
        </w:rPr>
        <w:t xml:space="preserve"> </w:t>
      </w:r>
      <w:hyperlink r:id="rId60">
        <w:r w:rsidR="07BFCC3C" w:rsidRPr="07BFCC3C">
          <w:rPr>
            <w:rStyle w:val="Hipervnculo"/>
            <w:rFonts w:ascii="Arial" w:eastAsia="Times New Roman" w:hAnsi="Arial" w:cs="Arial"/>
            <w:sz w:val="20"/>
            <w:szCs w:val="20"/>
            <w:lang w:val="es-ES" w:eastAsia="es-CO"/>
          </w:rPr>
          <w:t>C-332 del 23/05/2022</w:t>
        </w:r>
      </w:hyperlink>
    </w:p>
    <w:p w14:paraId="5BB4765D" w14:textId="23DEE1D7" w:rsidR="00C41AC0" w:rsidRPr="00562064" w:rsidRDefault="00C41AC0" w:rsidP="07BFCC3C">
      <w:pPr>
        <w:spacing w:after="0" w:line="240" w:lineRule="auto"/>
        <w:jc w:val="both"/>
        <w:rPr>
          <w:rFonts w:ascii="Arial" w:eastAsia="Arial" w:hAnsi="Arial" w:cs="Arial"/>
          <w:sz w:val="20"/>
          <w:szCs w:val="20"/>
          <w:lang w:val="es-ES"/>
        </w:rPr>
      </w:pPr>
    </w:p>
    <w:p w14:paraId="7D186B6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8" w:name="ver_30052292"/>
      <w:bookmarkEnd w:id="28"/>
    </w:p>
    <w:p w14:paraId="2CDCFA8D" w14:textId="34435CB5"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2.1.1.2.1.9. Publicación de procedimientos, lineamientos y políticas en materia de adquisición y compras. Para los sujetos obligados que contratan con cargo a recursos públicos, los procedimientos, lineamientos y políticas en materia de adquisición y compras de los que trata el literal g) del artículo 11 de la Ley 1712 de 2014 son los previstos en el manual de contratación expedido conforme a las directrices señaladas por la Agencia Nacional de Contratación Pública –Colombia Compra Eficiente–, el cual debe estar publicado en el sitio web oficial del sujeto obligado. </w:t>
      </w:r>
    </w:p>
    <w:p w14:paraId="17486211" w14:textId="4EE6D3FE" w:rsidR="00C41AC0" w:rsidRPr="00562064" w:rsidRDefault="00C41AC0" w:rsidP="00143180">
      <w:pPr>
        <w:spacing w:after="0" w:line="254" w:lineRule="atLeast"/>
        <w:jc w:val="both"/>
        <w:rPr>
          <w:rFonts w:ascii="Arial" w:eastAsia="Times New Roman" w:hAnsi="Arial" w:cs="Arial"/>
          <w:color w:val="000000" w:themeColor="text1"/>
          <w:lang w:eastAsia="es-CO"/>
        </w:rPr>
      </w:pPr>
    </w:p>
    <w:p w14:paraId="17F85219" w14:textId="26CE21E4" w:rsidR="00C41AC0" w:rsidRPr="00562064" w:rsidRDefault="00C41AC0" w:rsidP="07BFCC3C">
      <w:pPr>
        <w:spacing w:after="0" w:line="240" w:lineRule="auto"/>
        <w:jc w:val="both"/>
        <w:rPr>
          <w:rFonts w:ascii="Arial" w:eastAsia="Arial" w:hAnsi="Arial" w:cs="Arial"/>
          <w:sz w:val="20"/>
          <w:szCs w:val="20"/>
          <w:lang w:val="es-ES"/>
        </w:rPr>
      </w:pPr>
      <w:r w:rsidRPr="07BFCC3C">
        <w:rPr>
          <w:rFonts w:ascii="Arial" w:eastAsia="Calibri" w:hAnsi="Arial" w:cs="Arial"/>
          <w:sz w:val="20"/>
          <w:szCs w:val="20"/>
        </w:rPr>
        <w:t xml:space="preserve">(Ver conceptos: </w:t>
      </w:r>
      <w:hyperlink r:id="rId61">
        <w:r w:rsidRPr="07BFCC3C">
          <w:rPr>
            <w:rStyle w:val="Hipervnculo"/>
            <w:rFonts w:ascii="Arial" w:eastAsia="Calibri" w:hAnsi="Arial" w:cs="Arial"/>
            <w:sz w:val="20"/>
            <w:szCs w:val="20"/>
          </w:rPr>
          <w:t>C</w:t>
        </w:r>
        <w:r w:rsidRPr="07BFCC3C">
          <w:rPr>
            <w:rStyle w:val="Hipervnculo"/>
            <w:rFonts w:ascii="Arial" w:eastAsia="Arial" w:hAnsi="Arial" w:cs="Arial"/>
            <w:sz w:val="20"/>
            <w:szCs w:val="20"/>
            <w:lang w:val="es-ES"/>
          </w:rPr>
          <w:t>−</w:t>
        </w:r>
        <w:r w:rsidRPr="07BFCC3C">
          <w:rPr>
            <w:rStyle w:val="Hipervnculo"/>
            <w:rFonts w:ascii="Arial" w:eastAsia="Calibri" w:hAnsi="Arial" w:cs="Arial"/>
            <w:sz w:val="20"/>
            <w:szCs w:val="20"/>
          </w:rPr>
          <w:t>055 del 28/01/2020</w:t>
        </w:r>
      </w:hyperlink>
      <w:r w:rsidRPr="07BFCC3C">
        <w:rPr>
          <w:rFonts w:ascii="Arial" w:eastAsia="Calibri" w:hAnsi="Arial" w:cs="Arial"/>
          <w:sz w:val="20"/>
          <w:szCs w:val="20"/>
        </w:rPr>
        <w:t xml:space="preserve">, </w:t>
      </w:r>
      <w:hyperlink r:id="rId62">
        <w:r w:rsidRPr="07BFCC3C">
          <w:rPr>
            <w:rStyle w:val="Hipervnculo"/>
            <w:rFonts w:ascii="Arial" w:eastAsia="Times New Roman" w:hAnsi="Arial" w:cs="Arial"/>
            <w:sz w:val="20"/>
            <w:szCs w:val="20"/>
            <w:lang w:val="es-ES" w:eastAsia="es-CO"/>
          </w:rPr>
          <w:t>CU</w:t>
        </w:r>
        <w:r w:rsidRPr="07BFCC3C">
          <w:rPr>
            <w:rStyle w:val="Hipervnculo"/>
            <w:rFonts w:ascii="Arial" w:eastAsia="Arial" w:hAnsi="Arial" w:cs="Arial"/>
            <w:sz w:val="20"/>
            <w:szCs w:val="20"/>
            <w:lang w:val="es-ES"/>
          </w:rPr>
          <w:t>−</w:t>
        </w:r>
        <w:r w:rsidRPr="07BFCC3C">
          <w:rPr>
            <w:rStyle w:val="Hipervnculo"/>
            <w:rFonts w:ascii="Arial" w:eastAsia="Times New Roman" w:hAnsi="Arial" w:cs="Arial"/>
            <w:sz w:val="20"/>
            <w:szCs w:val="20"/>
            <w:lang w:val="es-ES" w:eastAsia="es-CO"/>
          </w:rPr>
          <w:t>367 del 23/07/2020</w:t>
        </w:r>
      </w:hyperlink>
      <w:r w:rsidRPr="07BFCC3C">
        <w:rPr>
          <w:rFonts w:ascii="Arial" w:eastAsia="Times New Roman" w:hAnsi="Arial" w:cs="Arial"/>
          <w:sz w:val="20"/>
          <w:szCs w:val="20"/>
          <w:lang w:val="es-ES" w:eastAsia="es-CO"/>
        </w:rPr>
        <w:t xml:space="preserve">, </w:t>
      </w:r>
      <w:hyperlink r:id="rId63">
        <w:r w:rsidRPr="07BFCC3C">
          <w:rPr>
            <w:rStyle w:val="Hipervnculo"/>
            <w:rFonts w:ascii="Arial" w:eastAsia="Arial" w:hAnsi="Arial" w:cs="Arial"/>
            <w:sz w:val="20"/>
            <w:szCs w:val="20"/>
            <w:lang w:val="es-ES"/>
          </w:rPr>
          <w:t>C−433 de 24/07/2020</w:t>
        </w:r>
      </w:hyperlink>
      <w:r w:rsidRPr="07BFCC3C">
        <w:rPr>
          <w:rFonts w:ascii="Arial" w:eastAsia="Arial" w:hAnsi="Arial" w:cs="Arial"/>
          <w:sz w:val="20"/>
          <w:szCs w:val="20"/>
          <w:lang w:val="es-ES"/>
        </w:rPr>
        <w:t xml:space="preserve">, </w:t>
      </w:r>
      <w:hyperlink r:id="rId64">
        <w:r w:rsidRPr="07BFCC3C">
          <w:rPr>
            <w:rStyle w:val="Hipervnculo"/>
            <w:rFonts w:ascii="Arial" w:eastAsia="Arial" w:hAnsi="Arial" w:cs="Arial"/>
            <w:sz w:val="20"/>
            <w:szCs w:val="20"/>
            <w:lang w:val="es-ES"/>
          </w:rPr>
          <w:t>C−474 de 24/07/2020</w:t>
        </w:r>
      </w:hyperlink>
      <w:r w:rsidRPr="07BFCC3C">
        <w:rPr>
          <w:rFonts w:ascii="Arial" w:eastAsia="Arial" w:hAnsi="Arial" w:cs="Arial"/>
          <w:sz w:val="20"/>
          <w:szCs w:val="20"/>
          <w:lang w:val="es-ES"/>
        </w:rPr>
        <w:t xml:space="preserve">, </w:t>
      </w:r>
      <w:hyperlink r:id="rId65">
        <w:r w:rsidRPr="07BFCC3C">
          <w:rPr>
            <w:rStyle w:val="Hipervnculo"/>
            <w:rFonts w:ascii="Arial" w:eastAsia="Arial" w:hAnsi="Arial" w:cs="Arial"/>
            <w:sz w:val="20"/>
            <w:szCs w:val="20"/>
            <w:lang w:val="es-ES"/>
          </w:rPr>
          <w:t>C-504 del 31/07/2020</w:t>
        </w:r>
      </w:hyperlink>
      <w:r w:rsidR="5FEC946E" w:rsidRPr="07BFCC3C">
        <w:rPr>
          <w:rFonts w:ascii="Arial" w:eastAsia="Arial" w:hAnsi="Arial" w:cs="Arial"/>
          <w:sz w:val="20"/>
          <w:szCs w:val="20"/>
          <w:lang w:val="es-ES"/>
        </w:rPr>
        <w:t xml:space="preserve">, </w:t>
      </w:r>
      <w:hyperlink r:id="rId66">
        <w:r w:rsidR="5FEC946E" w:rsidRPr="07BFCC3C">
          <w:rPr>
            <w:rStyle w:val="Hipervnculo"/>
            <w:rFonts w:ascii="Arial" w:eastAsia="Times New Roman" w:hAnsi="Arial" w:cs="Arial"/>
            <w:sz w:val="20"/>
            <w:szCs w:val="20"/>
            <w:lang w:val="es-ES" w:eastAsia="es-CO"/>
          </w:rPr>
          <w:t>C-544 del 21/08/2020</w:t>
        </w:r>
      </w:hyperlink>
      <w:r w:rsidR="2ABD533E" w:rsidRPr="07BFCC3C">
        <w:rPr>
          <w:rFonts w:ascii="Arial" w:eastAsia="Arial" w:hAnsi="Arial" w:cs="Arial"/>
          <w:sz w:val="20"/>
          <w:szCs w:val="20"/>
          <w:lang w:val="es-ES"/>
        </w:rPr>
        <w:t xml:space="preserve">, </w:t>
      </w:r>
      <w:hyperlink r:id="rId67">
        <w:r w:rsidR="2ABD533E" w:rsidRPr="07BFCC3C">
          <w:rPr>
            <w:rStyle w:val="Hipervnculo"/>
            <w:rFonts w:ascii="Arial" w:eastAsia="Arial" w:hAnsi="Arial" w:cs="Arial"/>
            <w:sz w:val="20"/>
            <w:szCs w:val="20"/>
            <w:lang w:val="es-ES"/>
          </w:rPr>
          <w:t>C-562 del 25/08/2020</w:t>
        </w:r>
      </w:hyperlink>
      <w:r w:rsidR="00B14D8F" w:rsidRPr="07BFCC3C">
        <w:rPr>
          <w:rStyle w:val="Hipervnculo"/>
          <w:rFonts w:ascii="Arial" w:eastAsia="Arial" w:hAnsi="Arial" w:cs="Arial"/>
          <w:sz w:val="20"/>
          <w:szCs w:val="20"/>
          <w:u w:val="none"/>
          <w:lang w:val="es-ES"/>
        </w:rPr>
        <w:t>,</w:t>
      </w:r>
      <w:r w:rsidR="009E2212" w:rsidRPr="07BFCC3C">
        <w:rPr>
          <w:rFonts w:ascii="Arial" w:eastAsia="Arial" w:hAnsi="Arial" w:cs="Arial"/>
          <w:sz w:val="20"/>
          <w:szCs w:val="20"/>
          <w:lang w:val="es-ES"/>
        </w:rPr>
        <w:t xml:space="preserve"> </w:t>
      </w:r>
      <w:hyperlink r:id="rId68">
        <w:r w:rsidR="009E2212" w:rsidRPr="07BFCC3C">
          <w:rPr>
            <w:rStyle w:val="Hipervnculo"/>
            <w:rFonts w:ascii="Arial" w:eastAsia="Arial" w:hAnsi="Arial" w:cs="Arial"/>
            <w:sz w:val="20"/>
            <w:szCs w:val="20"/>
            <w:lang w:val="es-ES"/>
          </w:rPr>
          <w:t>C−574 del 27/08/2020</w:t>
        </w:r>
      </w:hyperlink>
      <w:r w:rsidR="009E2212" w:rsidRPr="07BFCC3C">
        <w:rPr>
          <w:rFonts w:ascii="Arial" w:eastAsia="Arial" w:hAnsi="Arial" w:cs="Arial"/>
          <w:sz w:val="20"/>
          <w:szCs w:val="20"/>
          <w:lang w:val="es-ES"/>
        </w:rPr>
        <w:t xml:space="preserve">, </w:t>
      </w:r>
      <w:hyperlink r:id="rId69">
        <w:r w:rsidR="009E2212" w:rsidRPr="07BFCC3C">
          <w:rPr>
            <w:rStyle w:val="Hipervnculo"/>
            <w:rFonts w:ascii="Arial" w:eastAsia="Arial" w:hAnsi="Arial" w:cs="Arial"/>
            <w:sz w:val="20"/>
            <w:szCs w:val="20"/>
            <w:lang w:val="es-ES"/>
          </w:rPr>
          <w:t>C−575 del 27/08/2020</w:t>
        </w:r>
      </w:hyperlink>
      <w:r w:rsidR="00514691" w:rsidRPr="07BFCC3C">
        <w:rPr>
          <w:rFonts w:ascii="Arial" w:eastAsia="Arial" w:hAnsi="Arial" w:cs="Arial"/>
          <w:sz w:val="20"/>
          <w:szCs w:val="20"/>
          <w:lang w:val="es-ES"/>
        </w:rPr>
        <w:t xml:space="preserve">, </w:t>
      </w:r>
      <w:hyperlink r:id="rId70">
        <w:r w:rsidR="00514691" w:rsidRPr="07BFCC3C">
          <w:rPr>
            <w:rStyle w:val="Hipervnculo"/>
            <w:rFonts w:ascii="Arial" w:eastAsia="Arial" w:hAnsi="Arial" w:cs="Arial"/>
            <w:sz w:val="20"/>
            <w:szCs w:val="20"/>
            <w:lang w:val="es-ES"/>
          </w:rPr>
          <w:t xml:space="preserve">C−604 del </w:t>
        </w:r>
        <w:r w:rsidR="00514691" w:rsidRPr="07BFCC3C">
          <w:rPr>
            <w:rStyle w:val="Hipervnculo"/>
            <w:rFonts w:ascii="Arial" w:hAnsi="Arial" w:cs="Arial"/>
          </w:rPr>
          <w:t>09/09/2020</w:t>
        </w:r>
      </w:hyperlink>
      <w:r w:rsidR="00D3681D" w:rsidRPr="07BFCC3C">
        <w:rPr>
          <w:rStyle w:val="Hipervnculo"/>
          <w:rFonts w:ascii="Arial" w:hAnsi="Arial" w:cs="Arial"/>
        </w:rPr>
        <w:t>,</w:t>
      </w:r>
      <w:r w:rsidR="00D3681D" w:rsidRPr="07BFCC3C">
        <w:rPr>
          <w:rStyle w:val="Hipervnculo"/>
          <w:rFonts w:ascii="Arial" w:eastAsia="Arial" w:hAnsi="Arial" w:cs="Arial"/>
          <w:color w:val="auto"/>
          <w:sz w:val="20"/>
          <w:szCs w:val="20"/>
          <w:u w:val="none"/>
          <w:lang w:val="es-ES"/>
        </w:rPr>
        <w:t xml:space="preserve"> </w:t>
      </w:r>
      <w:hyperlink r:id="rId71">
        <w:r w:rsidR="13500DBB" w:rsidRPr="07BFCC3C">
          <w:rPr>
            <w:rStyle w:val="Hipervnculo"/>
            <w:rFonts w:ascii="Arial" w:eastAsia="Arial" w:hAnsi="Arial" w:cs="Arial"/>
            <w:sz w:val="20"/>
            <w:szCs w:val="20"/>
            <w:lang w:val="es-ES"/>
          </w:rPr>
          <w:t>C-719 del 03/02/2021</w:t>
        </w:r>
      </w:hyperlink>
      <w:r w:rsidR="13500DBB" w:rsidRPr="07BFCC3C">
        <w:rPr>
          <w:rFonts w:ascii="Arial" w:eastAsia="Arial" w:hAnsi="Arial" w:cs="Arial"/>
          <w:sz w:val="20"/>
          <w:szCs w:val="20"/>
          <w:lang w:val="es-ES"/>
        </w:rPr>
        <w:t>)</w:t>
      </w:r>
      <w:r w:rsidR="74DBAA83" w:rsidRPr="07BFCC3C">
        <w:rPr>
          <w:rFonts w:ascii="Arial" w:eastAsia="Arial" w:hAnsi="Arial" w:cs="Arial"/>
          <w:sz w:val="20"/>
          <w:szCs w:val="20"/>
          <w:lang w:val="es-ES"/>
        </w:rPr>
        <w:t xml:space="preserve">   </w:t>
      </w:r>
      <w:hyperlink r:id="rId72">
        <w:r w:rsidR="74DBAA83" w:rsidRPr="07BFCC3C">
          <w:rPr>
            <w:rStyle w:val="Hipervnculo"/>
            <w:rFonts w:ascii="Arial" w:eastAsia="Arial" w:hAnsi="Arial" w:cs="Arial"/>
            <w:sz w:val="20"/>
            <w:szCs w:val="20"/>
            <w:lang w:val="es-ES"/>
          </w:rPr>
          <w:t>(C-135del 6/04/2021</w:t>
        </w:r>
      </w:hyperlink>
      <w:r w:rsidR="301B530A" w:rsidRPr="07BFCC3C">
        <w:rPr>
          <w:rFonts w:ascii="Arial" w:eastAsia="Arial" w:hAnsi="Arial" w:cs="Arial"/>
          <w:sz w:val="20"/>
          <w:szCs w:val="20"/>
          <w:lang w:val="es-ES"/>
        </w:rPr>
        <w:t xml:space="preserve">  </w:t>
      </w:r>
      <w:hyperlink r:id="rId73">
        <w:r w:rsidR="301B530A" w:rsidRPr="07BFCC3C">
          <w:rPr>
            <w:rStyle w:val="Hipervnculo"/>
            <w:rFonts w:ascii="Arial" w:eastAsia="Arial" w:hAnsi="Arial" w:cs="Arial"/>
            <w:sz w:val="20"/>
            <w:szCs w:val="20"/>
            <w:lang w:val="es-ES"/>
          </w:rPr>
          <w:t>C-472 del 06/09/2021</w:t>
        </w:r>
      </w:hyperlink>
      <w:r w:rsidR="4021F312" w:rsidRPr="07BFCC3C">
        <w:rPr>
          <w:rFonts w:ascii="Arial" w:eastAsia="Arial" w:hAnsi="Arial" w:cs="Arial"/>
          <w:sz w:val="20"/>
          <w:szCs w:val="20"/>
          <w:lang w:val="es-ES"/>
        </w:rPr>
        <w:t xml:space="preserve">  </w:t>
      </w:r>
      <w:hyperlink r:id="rId74">
        <w:r w:rsidR="4021F312" w:rsidRPr="07BFCC3C">
          <w:rPr>
            <w:rStyle w:val="Hipervnculo"/>
            <w:rFonts w:ascii="Arial" w:eastAsia="Arial" w:hAnsi="Arial" w:cs="Arial"/>
            <w:sz w:val="20"/>
            <w:szCs w:val="20"/>
            <w:lang w:val="es-ES"/>
          </w:rPr>
          <w:t>C – 32 20/03/2021,</w:t>
        </w:r>
      </w:hyperlink>
      <w:r w:rsidR="305AA586" w:rsidRPr="07BFCC3C">
        <w:rPr>
          <w:rFonts w:ascii="Arial" w:eastAsia="Arial" w:hAnsi="Arial" w:cs="Arial"/>
          <w:sz w:val="20"/>
          <w:szCs w:val="20"/>
          <w:lang w:val="es-ES"/>
        </w:rPr>
        <w:t xml:space="preserve"> </w:t>
      </w:r>
      <w:hyperlink r:id="rId75">
        <w:r w:rsidR="305AA586" w:rsidRPr="07BFCC3C">
          <w:rPr>
            <w:rStyle w:val="Hipervnculo"/>
            <w:rFonts w:ascii="Arial" w:eastAsia="Arial" w:hAnsi="Arial" w:cs="Arial"/>
            <w:sz w:val="20"/>
            <w:szCs w:val="20"/>
          </w:rPr>
          <w:t>C- 508 del 31/07/2020,</w:t>
        </w:r>
      </w:hyperlink>
      <w:r w:rsidR="305AA586" w:rsidRPr="07BFCC3C">
        <w:rPr>
          <w:rFonts w:ascii="Arial" w:eastAsia="Arial" w:hAnsi="Arial" w:cs="Arial"/>
          <w:sz w:val="20"/>
          <w:szCs w:val="20"/>
        </w:rPr>
        <w:t xml:space="preserve">  </w:t>
      </w:r>
      <w:hyperlink r:id="rId76">
        <w:r w:rsidR="3F214C72" w:rsidRPr="07BFCC3C">
          <w:rPr>
            <w:rStyle w:val="Hipervnculo"/>
            <w:rFonts w:ascii="Arial" w:eastAsia="Arial" w:hAnsi="Arial" w:cs="Arial"/>
            <w:sz w:val="20"/>
            <w:szCs w:val="20"/>
            <w:lang w:val="es-ES"/>
          </w:rPr>
          <w:t>C-521 del 11/08/2020</w:t>
        </w:r>
      </w:hyperlink>
      <w:r w:rsidR="305AA586" w:rsidRPr="07BFCC3C">
        <w:rPr>
          <w:rFonts w:ascii="Arial" w:eastAsia="Arial" w:hAnsi="Arial" w:cs="Arial"/>
          <w:sz w:val="20"/>
          <w:szCs w:val="20"/>
          <w:lang w:val="es-ES"/>
        </w:rPr>
        <w:t xml:space="preserve"> , </w:t>
      </w:r>
      <w:hyperlink r:id="rId77">
        <w:r w:rsidR="746A9C25" w:rsidRPr="07BFCC3C">
          <w:rPr>
            <w:rStyle w:val="Hipervnculo"/>
            <w:rFonts w:ascii="Arial" w:eastAsia="Arial" w:hAnsi="Arial" w:cs="Arial"/>
            <w:sz w:val="20"/>
            <w:szCs w:val="20"/>
            <w:lang w:val="es-ES"/>
          </w:rPr>
          <w:t>C-543 del 19/08/2020,</w:t>
        </w:r>
      </w:hyperlink>
      <w:r w:rsidR="07BFCC3C" w:rsidRPr="07BFCC3C">
        <w:rPr>
          <w:rFonts w:ascii="Arial" w:eastAsia="Arial" w:hAnsi="Arial" w:cs="Arial"/>
          <w:sz w:val="20"/>
          <w:szCs w:val="20"/>
          <w:lang w:val="es-ES"/>
        </w:rPr>
        <w:t xml:space="preserve"> </w:t>
      </w:r>
      <w:hyperlink r:id="rId78">
        <w:r w:rsidR="07BFCC3C" w:rsidRPr="07BFCC3C">
          <w:rPr>
            <w:rStyle w:val="Hipervnculo"/>
            <w:rFonts w:ascii="Arial" w:eastAsia="Times New Roman" w:hAnsi="Arial" w:cs="Arial"/>
            <w:sz w:val="20"/>
            <w:szCs w:val="20"/>
            <w:lang w:val="es-ES" w:eastAsia="es-CO"/>
          </w:rPr>
          <w:t>C-332 del 23/05/2022</w:t>
        </w:r>
      </w:hyperlink>
    </w:p>
    <w:p w14:paraId="639E32DD" w14:textId="40A972D5" w:rsidR="00C41AC0" w:rsidRPr="00562064" w:rsidRDefault="00C41AC0" w:rsidP="07BFCC3C">
      <w:pPr>
        <w:spacing w:after="0" w:line="240" w:lineRule="auto"/>
        <w:jc w:val="both"/>
        <w:rPr>
          <w:rFonts w:ascii="Arial" w:eastAsia="Arial" w:hAnsi="Arial" w:cs="Arial"/>
          <w:sz w:val="20"/>
          <w:szCs w:val="20"/>
          <w:lang w:val="es-ES"/>
        </w:rPr>
      </w:pPr>
    </w:p>
    <w:p w14:paraId="1EB3CBCA" w14:textId="77777777" w:rsidR="00C41AC0" w:rsidRPr="00562064" w:rsidRDefault="00C41AC0" w:rsidP="00143180">
      <w:pPr>
        <w:spacing w:after="0" w:line="254" w:lineRule="atLeast"/>
        <w:jc w:val="both"/>
        <w:rPr>
          <w:rFonts w:ascii="Arial" w:eastAsia="Times New Roman" w:hAnsi="Arial" w:cs="Arial"/>
          <w:color w:val="000000" w:themeColor="text1"/>
          <w:lang w:eastAsia="es-CO"/>
        </w:rPr>
      </w:pPr>
      <w:bookmarkStart w:id="29" w:name="ver_30052293"/>
      <w:bookmarkEnd w:id="29"/>
    </w:p>
    <w:p w14:paraId="4D5FDBB2" w14:textId="471228CB"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2.1.1.2.1.10. Publicación del Plan Anual de Adquisiciones. Los sujetos obligados que contratan con cargo a recursos públicos deben publicar en su página web y en el SECOP el Plan Anual de Adquisiciones, de acuerdo con lo previsto en el artículo 74 de la Ley 1474 de 2011, el literal e) del artículo 9° de la Ley 1712 de 2014 y el Decreto 1510 de 2013, o el que lo modifique, sustituya o adicione. </w:t>
      </w:r>
    </w:p>
    <w:p w14:paraId="717C1C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5FFB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sujetos obligados que no contratan con cargo a recursos públicos no están obligados a publicar su Plan Anual de Adquisiciones. </w:t>
      </w:r>
    </w:p>
    <w:p w14:paraId="1A3B8D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BEE22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sujetos obligados que contratan con cargo a recursos públicos y recursos privados, deben publicar en su página web y en el SECOP el Plan Anual de Adquisiciones para los recursos de carácter público que ejecutarán en el año. </w:t>
      </w:r>
    </w:p>
    <w:p w14:paraId="2AF7D8B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B48A8A6" w14:textId="2CA6D442"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Se entenderá como definición de Plan Anual de Adquisiciones respecto a todos los sujetos obligados que contratan con recursos públicos, la prevista en el artículo 3° del Decreto 1510 de 2013, o el que lo modifique, sustituya o adicione. </w:t>
      </w:r>
    </w:p>
    <w:p w14:paraId="6D29D531" w14:textId="77777777" w:rsidR="00C41AC0" w:rsidRPr="00562064" w:rsidRDefault="00C41AC0" w:rsidP="00C41AC0">
      <w:pPr>
        <w:spacing w:after="0" w:line="240" w:lineRule="auto"/>
        <w:jc w:val="both"/>
        <w:rPr>
          <w:rFonts w:ascii="Arial" w:eastAsia="Calibri" w:hAnsi="Arial" w:cs="Arial"/>
          <w:sz w:val="20"/>
          <w:szCs w:val="20"/>
          <w:lang w:val="es-ES"/>
        </w:rPr>
      </w:pPr>
    </w:p>
    <w:p w14:paraId="74BFA9B8" w14:textId="2C72A934" w:rsidR="00C41AC0" w:rsidRPr="00562064" w:rsidRDefault="00C41AC0" w:rsidP="07BFCC3C">
      <w:pPr>
        <w:spacing w:after="0" w:line="240" w:lineRule="auto"/>
        <w:jc w:val="both"/>
        <w:rPr>
          <w:rFonts w:ascii="Arial" w:eastAsia="Arial" w:hAnsi="Arial" w:cs="Arial"/>
          <w:sz w:val="20"/>
          <w:szCs w:val="20"/>
          <w:lang w:val="es-ES"/>
        </w:rPr>
      </w:pPr>
      <w:bookmarkStart w:id="30" w:name="ver_30052294"/>
      <w:bookmarkEnd w:id="30"/>
      <w:r w:rsidRPr="07BFCC3C">
        <w:rPr>
          <w:rFonts w:ascii="Arial" w:eastAsia="Calibri" w:hAnsi="Arial" w:cs="Arial"/>
          <w:sz w:val="20"/>
          <w:szCs w:val="20"/>
          <w:lang w:val="es-ES"/>
        </w:rPr>
        <w:t xml:space="preserve">(Ver conceptos: </w:t>
      </w:r>
      <w:hyperlink r:id="rId79">
        <w:r w:rsidRPr="07BFCC3C">
          <w:rPr>
            <w:rStyle w:val="Hipervnculo"/>
            <w:rFonts w:ascii="Arial" w:eastAsia="Calibri" w:hAnsi="Arial" w:cs="Arial"/>
            <w:sz w:val="20"/>
            <w:szCs w:val="20"/>
            <w:lang w:val="es-ES"/>
          </w:rPr>
          <w:t>C−232 del 24/06/2020</w:t>
        </w:r>
      </w:hyperlink>
      <w:r w:rsidRPr="07BFCC3C">
        <w:rPr>
          <w:rFonts w:ascii="Arial" w:eastAsia="Calibri" w:hAnsi="Arial" w:cs="Arial"/>
          <w:sz w:val="20"/>
          <w:szCs w:val="20"/>
          <w:lang w:val="es-ES"/>
        </w:rPr>
        <w:t xml:space="preserve">, </w:t>
      </w:r>
      <w:hyperlink r:id="rId80">
        <w:r w:rsidRPr="07BFCC3C">
          <w:rPr>
            <w:rStyle w:val="Hipervnculo"/>
            <w:rFonts w:ascii="Arial" w:eastAsia="Calibri" w:hAnsi="Arial" w:cs="Arial"/>
            <w:sz w:val="20"/>
            <w:szCs w:val="20"/>
            <w:lang w:val="es-ES"/>
          </w:rPr>
          <w:t>C</w:t>
        </w:r>
        <w:r w:rsidRPr="07BFCC3C">
          <w:rPr>
            <w:rStyle w:val="Hipervnculo"/>
            <w:rFonts w:ascii="Arial" w:eastAsia="Arial" w:hAnsi="Arial" w:cs="Arial"/>
            <w:sz w:val="20"/>
            <w:szCs w:val="20"/>
            <w:lang w:val="es-ES"/>
          </w:rPr>
          <w:t>−</w:t>
        </w:r>
        <w:r w:rsidRPr="07BFCC3C">
          <w:rPr>
            <w:rStyle w:val="Hipervnculo"/>
            <w:rFonts w:ascii="Arial" w:eastAsia="Calibri" w:hAnsi="Arial" w:cs="Arial"/>
            <w:sz w:val="20"/>
            <w:szCs w:val="20"/>
            <w:lang w:val="es-ES"/>
          </w:rPr>
          <w:t>331 del 25/06/2020</w:t>
        </w:r>
      </w:hyperlink>
      <w:r w:rsidRPr="07BFCC3C">
        <w:rPr>
          <w:rFonts w:ascii="Arial" w:eastAsia="Calibri" w:hAnsi="Arial" w:cs="Arial"/>
          <w:sz w:val="20"/>
          <w:szCs w:val="20"/>
          <w:lang w:val="es-ES"/>
        </w:rPr>
        <w:t xml:space="preserve">, </w:t>
      </w:r>
      <w:hyperlink r:id="rId81">
        <w:r w:rsidRPr="07BFCC3C">
          <w:rPr>
            <w:rStyle w:val="Hipervnculo"/>
            <w:rFonts w:ascii="Arial" w:eastAsia="Calibri" w:hAnsi="Arial" w:cs="Arial"/>
            <w:sz w:val="20"/>
            <w:szCs w:val="20"/>
            <w:lang w:val="es-ES"/>
          </w:rPr>
          <w:t>CU</w:t>
        </w:r>
        <w:r w:rsidRPr="07BFCC3C">
          <w:rPr>
            <w:rStyle w:val="Hipervnculo"/>
            <w:rFonts w:ascii="Arial" w:eastAsia="Arial" w:hAnsi="Arial" w:cs="Arial"/>
            <w:sz w:val="20"/>
            <w:szCs w:val="20"/>
            <w:lang w:val="es-ES"/>
          </w:rPr>
          <w:t>−</w:t>
        </w:r>
        <w:r w:rsidRPr="07BFCC3C">
          <w:rPr>
            <w:rStyle w:val="Hipervnculo"/>
            <w:rFonts w:ascii="Arial" w:eastAsia="Calibri" w:hAnsi="Arial" w:cs="Arial"/>
            <w:sz w:val="20"/>
            <w:szCs w:val="20"/>
            <w:lang w:val="es-ES"/>
          </w:rPr>
          <w:t>348 del 03/07/2020</w:t>
        </w:r>
      </w:hyperlink>
      <w:r w:rsidRPr="07BFCC3C">
        <w:rPr>
          <w:rFonts w:ascii="Arial" w:eastAsia="Calibri" w:hAnsi="Arial" w:cs="Arial"/>
          <w:sz w:val="20"/>
          <w:szCs w:val="20"/>
          <w:lang w:val="es-ES"/>
        </w:rPr>
        <w:t xml:space="preserve">, </w:t>
      </w:r>
      <w:hyperlink r:id="rId82">
        <w:r w:rsidRPr="07BFCC3C">
          <w:rPr>
            <w:rStyle w:val="Hipervnculo"/>
            <w:rFonts w:ascii="Arial" w:eastAsia="Times New Roman" w:hAnsi="Arial" w:cs="Arial"/>
            <w:sz w:val="20"/>
            <w:szCs w:val="20"/>
            <w:lang w:val="es-ES" w:eastAsia="es-CO"/>
          </w:rPr>
          <w:t>CU</w:t>
        </w:r>
        <w:r w:rsidRPr="07BFCC3C">
          <w:rPr>
            <w:rStyle w:val="Hipervnculo"/>
            <w:rFonts w:ascii="Arial" w:eastAsia="Arial" w:hAnsi="Arial" w:cs="Arial"/>
            <w:sz w:val="20"/>
            <w:szCs w:val="20"/>
            <w:lang w:val="es-ES"/>
          </w:rPr>
          <w:t>−</w:t>
        </w:r>
        <w:r w:rsidRPr="07BFCC3C">
          <w:rPr>
            <w:rStyle w:val="Hipervnculo"/>
            <w:rFonts w:ascii="Arial" w:eastAsia="Times New Roman" w:hAnsi="Arial" w:cs="Arial"/>
            <w:sz w:val="20"/>
            <w:szCs w:val="20"/>
            <w:lang w:val="es-ES" w:eastAsia="es-CO"/>
          </w:rPr>
          <w:t>367 del 23/07/2020</w:t>
        </w:r>
      </w:hyperlink>
      <w:r w:rsidRPr="07BFCC3C">
        <w:rPr>
          <w:rFonts w:ascii="Arial" w:eastAsia="Times New Roman" w:hAnsi="Arial" w:cs="Arial"/>
          <w:sz w:val="20"/>
          <w:szCs w:val="20"/>
          <w:lang w:val="es-ES" w:eastAsia="es-CO"/>
        </w:rPr>
        <w:t xml:space="preserve">, </w:t>
      </w:r>
      <w:hyperlink r:id="rId83">
        <w:r w:rsidRPr="07BFCC3C">
          <w:rPr>
            <w:rStyle w:val="Hipervnculo"/>
            <w:rFonts w:ascii="Arial" w:eastAsia="Arial" w:hAnsi="Arial" w:cs="Arial"/>
            <w:sz w:val="20"/>
            <w:szCs w:val="20"/>
            <w:lang w:val="es-ES"/>
          </w:rPr>
          <w:t>C−433 de 24/07/2020</w:t>
        </w:r>
      </w:hyperlink>
      <w:r w:rsidRPr="07BFCC3C">
        <w:rPr>
          <w:rFonts w:ascii="Arial" w:eastAsia="Arial" w:hAnsi="Arial" w:cs="Arial"/>
          <w:sz w:val="20"/>
          <w:szCs w:val="20"/>
          <w:lang w:val="es-ES"/>
        </w:rPr>
        <w:t xml:space="preserve">, </w:t>
      </w:r>
      <w:hyperlink r:id="rId84">
        <w:r w:rsidRPr="07BFCC3C">
          <w:rPr>
            <w:rStyle w:val="Hipervnculo"/>
            <w:rFonts w:ascii="Arial" w:eastAsia="Arial" w:hAnsi="Arial" w:cs="Arial"/>
            <w:sz w:val="20"/>
            <w:szCs w:val="20"/>
            <w:lang w:val="es-ES"/>
          </w:rPr>
          <w:t>C−474 de 24/07/2020</w:t>
        </w:r>
      </w:hyperlink>
      <w:r w:rsidR="1C09A81C" w:rsidRPr="07BFCC3C">
        <w:rPr>
          <w:rFonts w:ascii="Arial" w:eastAsia="Arial" w:hAnsi="Arial" w:cs="Arial"/>
          <w:sz w:val="20"/>
          <w:szCs w:val="20"/>
          <w:lang w:val="es-ES"/>
        </w:rPr>
        <w:t xml:space="preserve">, </w:t>
      </w:r>
      <w:hyperlink r:id="rId85">
        <w:r w:rsidR="1C09A81C" w:rsidRPr="07BFCC3C">
          <w:rPr>
            <w:rStyle w:val="Hipervnculo"/>
            <w:rFonts w:ascii="Arial" w:eastAsia="Arial" w:hAnsi="Arial" w:cs="Arial"/>
            <w:sz w:val="20"/>
            <w:szCs w:val="20"/>
            <w:lang w:val="es-ES"/>
          </w:rPr>
          <w:t>C-544 del 21/08/2020</w:t>
        </w:r>
      </w:hyperlink>
      <w:r w:rsidRPr="07BFCC3C">
        <w:rPr>
          <w:rFonts w:ascii="Arial" w:eastAsia="Arial" w:hAnsi="Arial" w:cs="Arial"/>
          <w:sz w:val="20"/>
          <w:szCs w:val="20"/>
          <w:lang w:val="es-ES"/>
        </w:rPr>
        <w:t>)</w:t>
      </w:r>
      <w:r w:rsidR="30D89332" w:rsidRPr="07BFCC3C">
        <w:rPr>
          <w:rFonts w:ascii="Arial" w:eastAsia="Arial" w:hAnsi="Arial" w:cs="Arial"/>
          <w:sz w:val="20"/>
          <w:szCs w:val="20"/>
          <w:lang w:val="es-ES"/>
        </w:rPr>
        <w:t xml:space="preserve"> </w:t>
      </w:r>
      <w:hyperlink r:id="rId86">
        <w:r w:rsidR="4021F312" w:rsidRPr="07BFCC3C">
          <w:rPr>
            <w:rStyle w:val="Hipervnculo"/>
            <w:rFonts w:ascii="Arial" w:eastAsia="Arial" w:hAnsi="Arial" w:cs="Arial"/>
            <w:sz w:val="20"/>
            <w:szCs w:val="20"/>
            <w:lang w:val="es-ES"/>
          </w:rPr>
          <w:t>C – 32 20/03/2021</w:t>
        </w:r>
      </w:hyperlink>
      <w:r w:rsidR="30D89332" w:rsidRPr="07BFCC3C">
        <w:rPr>
          <w:rFonts w:ascii="Arial" w:eastAsia="Arial" w:hAnsi="Arial" w:cs="Arial"/>
          <w:sz w:val="20"/>
          <w:szCs w:val="20"/>
          <w:lang w:val="es-ES"/>
        </w:rPr>
        <w:t xml:space="preserve"> </w:t>
      </w:r>
      <w:r w:rsidR="30D89332" w:rsidRPr="07BFCC3C">
        <w:rPr>
          <w:rFonts w:ascii="Arial" w:eastAsia="Arial" w:hAnsi="Arial" w:cs="Arial"/>
          <w:sz w:val="20"/>
          <w:szCs w:val="20"/>
          <w:lang w:val="es-ES"/>
        </w:rPr>
        <w:lastRenderedPageBreak/>
        <w:t>(</w:t>
      </w:r>
      <w:hyperlink r:id="rId87">
        <w:r w:rsidR="30D89332" w:rsidRPr="07BFCC3C">
          <w:rPr>
            <w:rStyle w:val="Hipervnculo"/>
            <w:rFonts w:ascii="Arial" w:eastAsia="Arial" w:hAnsi="Arial" w:cs="Arial"/>
            <w:sz w:val="20"/>
            <w:szCs w:val="20"/>
            <w:lang w:val="es-ES"/>
          </w:rPr>
          <w:t>C-135 del 6/04/2021</w:t>
        </w:r>
      </w:hyperlink>
      <w:r w:rsidR="579115D2" w:rsidRPr="07BFCC3C">
        <w:rPr>
          <w:rFonts w:ascii="Arial" w:eastAsia="Arial" w:hAnsi="Arial" w:cs="Arial"/>
          <w:sz w:val="20"/>
          <w:szCs w:val="20"/>
          <w:lang w:val="es-ES"/>
        </w:rPr>
        <w:t xml:space="preserve"> </w:t>
      </w:r>
      <w:hyperlink r:id="rId88">
        <w:r w:rsidR="579115D2" w:rsidRPr="07BFCC3C">
          <w:rPr>
            <w:rStyle w:val="Hipervnculo"/>
            <w:rFonts w:ascii="Arial" w:eastAsia="Arial" w:hAnsi="Arial" w:cs="Arial"/>
            <w:sz w:val="20"/>
            <w:szCs w:val="20"/>
            <w:lang w:val="es-ES"/>
          </w:rPr>
          <w:t>C-472 del 06/09/2021</w:t>
        </w:r>
      </w:hyperlink>
      <w:r w:rsidR="03E33B7F" w:rsidRPr="07BFCC3C">
        <w:rPr>
          <w:rFonts w:ascii="Arial" w:eastAsia="Arial" w:hAnsi="Arial" w:cs="Arial"/>
          <w:sz w:val="20"/>
          <w:szCs w:val="20"/>
          <w:lang w:val="es-ES"/>
        </w:rPr>
        <w:t xml:space="preserve"> </w:t>
      </w:r>
      <w:r w:rsidR="03E33B7F" w:rsidRPr="07BFCC3C">
        <w:rPr>
          <w:rFonts w:ascii="Arial" w:eastAsia="Arial" w:hAnsi="Arial" w:cs="Arial"/>
          <w:color w:val="000000" w:themeColor="text1"/>
          <w:sz w:val="20"/>
          <w:szCs w:val="20"/>
          <w:lang w:val="es-MX"/>
        </w:rPr>
        <w:t>(</w:t>
      </w:r>
      <w:hyperlink r:id="rId89">
        <w:r w:rsidR="03E33B7F" w:rsidRPr="07BFCC3C">
          <w:rPr>
            <w:rStyle w:val="Hipervnculo"/>
            <w:rFonts w:ascii="Arial" w:eastAsia="Arial" w:hAnsi="Arial" w:cs="Arial"/>
            <w:sz w:val="20"/>
            <w:szCs w:val="20"/>
            <w:lang w:val="es-MX"/>
          </w:rPr>
          <w:t>C-758 del 10/02/ 2021,</w:t>
        </w:r>
      </w:hyperlink>
      <w:r w:rsidR="305AA586" w:rsidRPr="07BFCC3C">
        <w:rPr>
          <w:rFonts w:ascii="Arial" w:eastAsia="Arial" w:hAnsi="Arial" w:cs="Arial"/>
          <w:sz w:val="20"/>
          <w:szCs w:val="20"/>
          <w:lang w:val="es-MX"/>
        </w:rPr>
        <w:t xml:space="preserve"> </w:t>
      </w:r>
      <w:hyperlink r:id="rId90">
        <w:r w:rsidR="305AA586" w:rsidRPr="07BFCC3C">
          <w:rPr>
            <w:rStyle w:val="Hipervnculo"/>
            <w:rFonts w:ascii="Arial" w:eastAsia="Arial" w:hAnsi="Arial" w:cs="Arial"/>
            <w:sz w:val="20"/>
            <w:szCs w:val="20"/>
          </w:rPr>
          <w:t>C- 508 del 31/07/2020,</w:t>
        </w:r>
      </w:hyperlink>
      <w:r w:rsidR="305AA586" w:rsidRPr="07BFCC3C">
        <w:rPr>
          <w:rFonts w:ascii="Arial" w:eastAsia="Arial" w:hAnsi="Arial" w:cs="Arial"/>
          <w:sz w:val="20"/>
          <w:szCs w:val="20"/>
        </w:rPr>
        <w:t xml:space="preserve"> </w:t>
      </w:r>
      <w:hyperlink r:id="rId91">
        <w:r w:rsidR="3F214C72" w:rsidRPr="07BFCC3C">
          <w:rPr>
            <w:rStyle w:val="Hipervnculo"/>
            <w:rFonts w:ascii="Arial" w:eastAsia="Arial" w:hAnsi="Arial" w:cs="Arial"/>
            <w:sz w:val="20"/>
            <w:szCs w:val="20"/>
            <w:lang w:val="es-ES"/>
          </w:rPr>
          <w:t>C-521 del 11/08/2020,</w:t>
        </w:r>
      </w:hyperlink>
      <w:r w:rsidR="305AA586" w:rsidRPr="07BFCC3C">
        <w:rPr>
          <w:rFonts w:ascii="Arial" w:eastAsia="Arial" w:hAnsi="Arial" w:cs="Arial"/>
          <w:sz w:val="20"/>
          <w:szCs w:val="20"/>
          <w:lang w:val="es-ES"/>
        </w:rPr>
        <w:t xml:space="preserve"> </w:t>
      </w:r>
      <w:hyperlink r:id="rId92">
        <w:r w:rsidR="746A9C25" w:rsidRPr="07BFCC3C">
          <w:rPr>
            <w:rStyle w:val="Hipervnculo"/>
            <w:rFonts w:ascii="Arial" w:eastAsia="Arial" w:hAnsi="Arial" w:cs="Arial"/>
            <w:sz w:val="20"/>
            <w:szCs w:val="20"/>
            <w:lang w:val="es-ES"/>
          </w:rPr>
          <w:t>C-543 del 19/08/2020,</w:t>
        </w:r>
      </w:hyperlink>
      <w:r w:rsidR="305AA586" w:rsidRPr="07BFCC3C">
        <w:rPr>
          <w:rFonts w:ascii="Arial" w:eastAsia="Arial" w:hAnsi="Arial" w:cs="Arial"/>
          <w:sz w:val="20"/>
          <w:szCs w:val="20"/>
          <w:lang w:val="es-ES"/>
        </w:rPr>
        <w:t xml:space="preserve"> </w:t>
      </w:r>
      <w:hyperlink r:id="rId93">
        <w:r w:rsidR="009E2212" w:rsidRPr="07BFCC3C">
          <w:rPr>
            <w:rStyle w:val="Hipervnculo"/>
            <w:rFonts w:ascii="Arial" w:eastAsia="Arial" w:hAnsi="Arial" w:cs="Arial"/>
            <w:sz w:val="20"/>
            <w:szCs w:val="20"/>
            <w:lang w:val="es-ES"/>
          </w:rPr>
          <w:t>C−575 del 27/08/2020</w:t>
        </w:r>
      </w:hyperlink>
      <w:r w:rsidR="305AA586" w:rsidRPr="07BFCC3C">
        <w:rPr>
          <w:rFonts w:ascii="Arial" w:eastAsia="Arial" w:hAnsi="Arial" w:cs="Arial"/>
          <w:sz w:val="20"/>
          <w:szCs w:val="20"/>
          <w:lang w:val="es-ES"/>
        </w:rPr>
        <w:t xml:space="preserve"> </w:t>
      </w:r>
      <w:hyperlink r:id="rId94">
        <w:r w:rsidR="305AA586" w:rsidRPr="07BFCC3C">
          <w:rPr>
            <w:rStyle w:val="Hipervnculo"/>
            <w:rFonts w:ascii="Arial" w:eastAsia="Arial" w:hAnsi="Arial" w:cs="Arial"/>
            <w:lang w:val="es-ES"/>
          </w:rPr>
          <w:t>(C-758 DE 2021),</w:t>
        </w:r>
      </w:hyperlink>
      <w:r w:rsidR="07BFCC3C" w:rsidRPr="07BFCC3C">
        <w:rPr>
          <w:rFonts w:ascii="Arial" w:eastAsia="Arial" w:hAnsi="Arial" w:cs="Arial"/>
          <w:lang w:val="es-ES"/>
        </w:rPr>
        <w:t xml:space="preserve"> </w:t>
      </w:r>
      <w:hyperlink r:id="rId95">
        <w:r w:rsidR="07BFCC3C" w:rsidRPr="07BFCC3C">
          <w:rPr>
            <w:rStyle w:val="Hipervnculo"/>
            <w:rFonts w:ascii="Arial" w:eastAsia="Times New Roman" w:hAnsi="Arial" w:cs="Arial"/>
            <w:sz w:val="20"/>
            <w:szCs w:val="20"/>
            <w:lang w:val="es-ES" w:eastAsia="es-CO"/>
          </w:rPr>
          <w:t>C-332 del 23/05/2022</w:t>
        </w:r>
      </w:hyperlink>
    </w:p>
    <w:p w14:paraId="0C9F3AC7" w14:textId="034A0384" w:rsidR="00C41AC0" w:rsidRPr="00562064" w:rsidRDefault="00C41AC0" w:rsidP="07BFCC3C">
      <w:pPr>
        <w:ind w:left="119"/>
        <w:jc w:val="both"/>
        <w:rPr>
          <w:rFonts w:ascii="Arial" w:eastAsia="Arial" w:hAnsi="Arial" w:cs="Arial"/>
          <w:lang w:val="es-ES"/>
        </w:rPr>
      </w:pPr>
    </w:p>
    <w:p w14:paraId="7BB2ABDD" w14:textId="3C513574" w:rsidR="00C41AC0" w:rsidRPr="00562064" w:rsidRDefault="00C41AC0" w:rsidP="305AA586">
      <w:pPr>
        <w:spacing w:after="0" w:line="240" w:lineRule="auto"/>
        <w:jc w:val="both"/>
        <w:rPr>
          <w:rFonts w:ascii="Arial" w:eastAsia="Arial" w:hAnsi="Arial" w:cs="Arial"/>
          <w:sz w:val="20"/>
          <w:szCs w:val="20"/>
          <w:lang w:val="es-ES"/>
        </w:rPr>
      </w:pPr>
    </w:p>
    <w:p w14:paraId="13C7EABE" w14:textId="77777777" w:rsidR="00C41AC0" w:rsidRPr="00562064" w:rsidRDefault="00C41AC0" w:rsidP="00143180">
      <w:pPr>
        <w:spacing w:after="0" w:line="254" w:lineRule="atLeast"/>
        <w:jc w:val="both"/>
        <w:rPr>
          <w:rFonts w:ascii="Arial" w:eastAsia="Times New Roman" w:hAnsi="Arial" w:cs="Arial"/>
          <w:color w:val="000000" w:themeColor="text1"/>
          <w:lang w:eastAsia="es-CO"/>
        </w:rPr>
      </w:pPr>
    </w:p>
    <w:p w14:paraId="41DFCA8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2.1.1.2.1.11. Publicación de Datos Abiertos. Las condiciones técnicas de que trata el literal k) del artículo 11 de la Ley 1712 de 2014 para la publicación de datos abiertos, serán elaboradas por el Ministerio de Tecnologías de la Información y las Comunicaciones y publicadas en el Portal de Datos Abiertos del Estado colombiano o la herramienta que lo sustituya. </w:t>
      </w:r>
    </w:p>
    <w:p w14:paraId="41687C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3B844F6"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31" w:name="ver_30052295"/>
      <w:bookmarkEnd w:id="31"/>
      <w:r w:rsidRPr="00562064">
        <w:rPr>
          <w:rFonts w:ascii="Arial" w:eastAsia="Times New Roman" w:hAnsi="Arial" w:cs="Arial"/>
          <w:b/>
          <w:bCs/>
          <w:color w:val="000000" w:themeColor="text1"/>
          <w:lang w:eastAsia="es-CO"/>
        </w:rPr>
        <w:t>Sección 2</w:t>
      </w:r>
    </w:p>
    <w:p w14:paraId="1F3A49CA"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Accesibilidad y otras directrices</w:t>
      </w:r>
    </w:p>
    <w:p w14:paraId="1A2D9B9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2" w:name="ver_30052296"/>
      <w:bookmarkEnd w:id="32"/>
    </w:p>
    <w:p w14:paraId="62B75F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2.1.1.2.2.1. Formato alternativo. Para efectos de lo previsto en el artículo 8° de la Ley 1712 de 2014, se entenderá por formato alternativo, la forma, tamaño o modo en la que se presenta la información pública o se permite su visualización o consulta para los grupos étnicos y culturales del país, y para las personas en situación de discapacidad, en aplicación del criterio diferencial de accesibilidad. </w:t>
      </w:r>
    </w:p>
    <w:p w14:paraId="5E0990CC" w14:textId="360BF6F9"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3" w:name="ver_30052297"/>
      <w:bookmarkEnd w:id="33"/>
    </w:p>
    <w:p w14:paraId="3004CB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2.1.1.2.2.2. Accesibilidad en medios electrónicos para población en situación de discapacidad. Todos los medios de comunicación electrónica dispuestos para divulgar la información deberán cumplir con las directrices de accesibilidad que dicte el Ministerio de Tecnologías de la Información y las Comunicaciones a través de los lineamientos que se determinen en la Estrategia de Gobierno en línea. </w:t>
      </w:r>
    </w:p>
    <w:p w14:paraId="430110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E5F81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2.1.1.2.2.3. Accesibilidad a espacios físicos para población en situación de discapacidad. Los sujetos obligados deben cumplir con los criterios y requisitos generales de accesibilidad y señalización de todos los espacios físicos destinados para la atención de solicitudes de información pública y/o divulgación de la misma, conforme a los lineamientos de la Norma Técnica Colombiana 6047, “Accesibilidad al medio físico. Espacios de servicio al ciudadano en la Administración Pública. Requisitos”, o la que la modifique o sustituya, atendiendo al principio de ajustes razonables establecido en dicha norma. </w:t>
      </w:r>
    </w:p>
    <w:p w14:paraId="0FD67F3D" w14:textId="1655167E"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4" w:name="ver_30052299"/>
      <w:bookmarkEnd w:id="34"/>
    </w:p>
    <w:p w14:paraId="32DC06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2.1.1.2.2.4. Publicación del mecanismo o procedimiento para participar en la formulación de políticas o en el ejercicio de las facultades del sujeto obligado. Los sujetos obligados, de acuerdo con el régimen legal aplicable, deben publicar los procedimientos a que deben sujetarse los ciudadanos, usuarios o interesados en participar en la formulación de políticas y en el control o evaluación de la gestión institucional, indicando: los sujetos que pueden participar, los medios presenciales y electrónicos, y las áreas responsables de la orientación y vigilancia para su cumplimiento. </w:t>
      </w:r>
    </w:p>
    <w:p w14:paraId="3DF13C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BAF8D1"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35" w:name="ver_30052300"/>
      <w:bookmarkEnd w:id="35"/>
      <w:r w:rsidRPr="00562064">
        <w:rPr>
          <w:rFonts w:ascii="Arial" w:eastAsia="Times New Roman" w:hAnsi="Arial" w:cs="Arial"/>
          <w:b/>
          <w:bCs/>
          <w:color w:val="000000" w:themeColor="text1"/>
          <w:lang w:eastAsia="es-CO"/>
        </w:rPr>
        <w:t>Capítulo 3</w:t>
      </w:r>
    </w:p>
    <w:p w14:paraId="2CE86F13"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Gestión de solicitudes de información pública – transparencia pasiva</w:t>
      </w:r>
    </w:p>
    <w:p w14:paraId="6BF9FD32"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70736A70" w14:textId="0A308D56"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Recepción y respuesta a solicitudes de información pública y otras directrices</w:t>
      </w:r>
    </w:p>
    <w:p w14:paraId="16C72D8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6" w:name="ver_30052301"/>
      <w:bookmarkEnd w:id="36"/>
    </w:p>
    <w:p w14:paraId="722A11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Artículo 2.1.1.3.1.1. Medios idóneos para recibir solicitudes de información pública. Se consideran medios idóneos para la recepción de solicitudes de información los siguientes: </w:t>
      </w:r>
    </w:p>
    <w:p w14:paraId="52E568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EB6C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Personalmente, por escrito o vía oral, en los espacios físicos destinados por el sujeto obligado para la recepción de solicitudes de información pública. </w:t>
      </w:r>
    </w:p>
    <w:p w14:paraId="73B276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06AF1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Telefónicamente, al número fijo o móvil destinado por el sujeto obligado para la recepción de solicitudes de información pública. </w:t>
      </w:r>
    </w:p>
    <w:p w14:paraId="41CF3F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6BE33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Correo físico o postal, en la dirección destinada por el sujeto obligado para la recepción de solicitudes de información pública. </w:t>
      </w:r>
    </w:p>
    <w:p w14:paraId="09B7F9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F2E1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Correo electrónico institucional destinado por el sujeto obligado para la recepción de solicitudes de información pública. </w:t>
      </w:r>
    </w:p>
    <w:p w14:paraId="0DD321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BE35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Formulario electrónico dispuesto en el sitio web oficial del sujeto obligado, en un formato que siga los lineamientos que definida el Ministerio de las Tecnologías de la Información y las Comunicaciones a través de la estrategia de Gobierno en Línea. </w:t>
      </w:r>
    </w:p>
    <w:p w14:paraId="5717F7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8C13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Los sujetos obligados deben divulgar en el sitio web oficial, en medios de comunicación física y en otros canales de comunicación habilitados por el mismo, los números telefónicos y las direcciones físicas y electrónicas oficiales destinadas para la recepción de las solicitudes de información pública. </w:t>
      </w:r>
    </w:p>
    <w:p w14:paraId="11C4B8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E84A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Las condiciones de seguridad que deben atender los medios electrónicos señalados en el presente artículo y los adicionales que defina el sujeto obligado para la recepción de solicitudes, serán establecidas por el Ministerio de las Tecnologías de la Información y las Comunicaciones a través de los lineamientos que se determinen en la Estrategia de Gobierno en línea. </w:t>
      </w:r>
    </w:p>
    <w:p w14:paraId="64808A1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6AB097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7" w:name="ver_30052302"/>
      <w:bookmarkEnd w:id="37"/>
    </w:p>
    <w:p w14:paraId="2A973C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2.1.1.3.1.2. Seguimiento a las solicitudes de información pública. En la recepción de solicitudes de información pública los sujetos obligados deben indicar al solicitante un número o código que permita hacer seguimiento al estado de su solicitud, la fecha de recepción y los medios por los cuales se puede hacer seguimiento a la misma. </w:t>
      </w:r>
    </w:p>
    <w:p w14:paraId="06F6EB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E9AB3D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8" w:name="ver_30052303"/>
      <w:bookmarkEnd w:id="38"/>
    </w:p>
    <w:p w14:paraId="5FF17D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2.1.1.3.1.3. Solicitudes de acceso a información con identificación reservada. Para el registro de la recepción y trámite de solicitudes de información pública bajo el procedimiento especial con identificación reservada, previsto en el parágrafo del artículo 4° de la Ley 1712 de 2014, el Ministerio Público dispondrá un formulario electrónico. Este mecanismo electrónico es adicional a los medios ordinarios de recepción de solicitudes de acceso a información pública dispuestos por las entidades que conforman el Ministerio Público. </w:t>
      </w:r>
    </w:p>
    <w:p w14:paraId="4E7599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CA449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9" w:name="ver_30052304"/>
      <w:bookmarkEnd w:id="39"/>
    </w:p>
    <w:p w14:paraId="0BB694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2.1.1.3.1.4. Contenido y oportunidad de las respuestas a solicitudes de acceso a información pública. Conforme a lo establecido en el artículo 26 de la Ley 1712 de 2014, en el acto de respuesta a solicitudes de acceso a información pública, los sujetos obligados deben aplicar las siguientes directrices: </w:t>
      </w:r>
    </w:p>
    <w:p w14:paraId="7669C4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AC58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(1) El acto de respuesta debe ser por escrito, por medio electrónico o físico de acuerdo con la preferencia del solicitante. Cuando la solicitud realizada no especifique el medio de respuesta de preferencia el sujeto obligado podrá responder por el mismo medio de la solicitud. </w:t>
      </w:r>
    </w:p>
    <w:p w14:paraId="38BEA8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5362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acto de respuesta debe ser objetivo, veraz, completo, motivado y actualizado y debe estar disponible en formatos accesibles para los solicitantes o interesados en la información allí contenida. </w:t>
      </w:r>
    </w:p>
    <w:p w14:paraId="6B093C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C67D9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El acto de respuesta debe ser oportuno respetando los términos de respuesta al derecho de petición de documentos y de información que señala el Código de Procedimiento Administrativo y de lo Contencioso Administrativo, o las normas que lo complementen o sustituyan. </w:t>
      </w:r>
    </w:p>
    <w:p w14:paraId="171314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1796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acto de respuesta debe informar sobre los recursos administrativos y judiciales de los que dispone el solicitante en caso de no hallarse conforme con la respuesta recibida. </w:t>
      </w:r>
    </w:p>
    <w:p w14:paraId="6DFE3F5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D13B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En los casos de respuestas a solicitudes de información clasificada o reservada, además de las directrices antes señaladas, debe tenerse en cuenta lo establecido en la sección 4, Capítulo 4, Título 1, Parte 1, del Libro 2 del presente decreto. </w:t>
      </w:r>
    </w:p>
    <w:p w14:paraId="6ED56B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21D109" w14:textId="6CEFEAEF"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Cuando las solicitudes se refieran a consulta de documentos que están disponibles en medio físico y no se solicite su reproducción, los sujetos obligados dispondrán de un sitio físico para la consulta. </w:t>
      </w:r>
    </w:p>
    <w:p w14:paraId="3F5D25C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0" w:name="ver_30052305"/>
      <w:bookmarkEnd w:id="40"/>
    </w:p>
    <w:p w14:paraId="73801A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2.1.1.3.1.5. Principio de gratuidad y costos de reproducción. En concordancia con lo establecido en los artículos 3° y 26 de la Ley 1712 de 2014, en la gestión y respuesta a las solicitudes de acceso a la información pública, los sujetos obligados deben: </w:t>
      </w:r>
    </w:p>
    <w:p w14:paraId="1472DE8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D08B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Aplicar el principio de gratuidad y, en consecuencia, no cobrar costos adicionales a los de reproducción de la información. </w:t>
      </w:r>
    </w:p>
    <w:p w14:paraId="7C8999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D185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Permitir al ciudadano, interesados o usuario: </w:t>
      </w:r>
    </w:p>
    <w:p w14:paraId="120347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C781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Elegir el medio por el cual quiere recibir la respuesta; </w:t>
      </w:r>
    </w:p>
    <w:p w14:paraId="5AB07B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7D66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Conocer el formato en el cual se encuentra la información solicitada, de acuerdo con lo establecido en el Esquema de Publicación de Información; </w:t>
      </w:r>
    </w:p>
    <w:p w14:paraId="48DEFB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5318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Conocer los costos de reproducción en el formato disponible, y/o los costos de reproducción en el evento en que el solicitante elija un formato distinto al disponible y sea necesaria la transformación de la información, de acuerdo con lo establecido por el sujeto obligado en el Acto de Motivación de los costos de reproducción de Información Pública. </w:t>
      </w:r>
    </w:p>
    <w:p w14:paraId="67D4C9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49C7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Se debe entender por costos de reproducción todos aquellos valores directos que son necesarios para obtener la información pública que el peticionario haya solicitado, excluyendo el valor del tiempo que ocupe el servidor público, empleado o contratista para realizar la reproducción. </w:t>
      </w:r>
    </w:p>
    <w:p w14:paraId="4E79D7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355AA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Cuando la información solicitada repose en un formato electrónico o digital, y el sujeto obligado tenga la dirección del correo electrónico del solicitante u otro medio electrónico </w:t>
      </w:r>
      <w:r w:rsidRPr="00562064">
        <w:rPr>
          <w:rFonts w:ascii="Arial" w:eastAsia="Times New Roman" w:hAnsi="Arial" w:cs="Arial"/>
          <w:color w:val="000000" w:themeColor="text1"/>
          <w:lang w:eastAsia="es-CO"/>
        </w:rPr>
        <w:lastRenderedPageBreak/>
        <w:t>indicado, deberá enviarlo por este medio y no se le cobrará costo alguno de reproducción de la información. </w:t>
      </w:r>
    </w:p>
    <w:p w14:paraId="1BEA671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1" w:name="ver_30052306"/>
      <w:bookmarkEnd w:id="41"/>
    </w:p>
    <w:p w14:paraId="0A81A3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2.1.1.3.1.6. Motivación de los costos de reproducción de información pública. Los sujetos obligados deben determinar, motivadamente, mediante acto administrativo o documento equivalente según el régimen legal aplicable, los costos de reproducción de la información pública, individualizando el costo unitario de los diferentes tipos de formato a través de los cuales se puede reproducir la información en posesión, control o custodia del mismo, y teniendo como referencia los precios del lugar o zona de domicilio del sujeto obligado, de tal forma que estos se encuentren dentro de parámetros del mercado. </w:t>
      </w:r>
    </w:p>
    <w:p w14:paraId="2A7B0C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8AFF3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acto mediante el cual se motiven los valores a cobrar por reproducción de información pública debe ser suscrito por funcionario o empleado del nivel directivo y debe ser divulgado por el sujeto obligado, conforme a lo establecido en el artículo 2.1.1.2.1.4 del presente decreto. </w:t>
      </w:r>
    </w:p>
    <w:p w14:paraId="686E5B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CB7C6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Para establecer los costos de reproducción de información, el sujeto obligado debe tener en cuenta que la información pública puede ser suministrada a través de los diferentes medios de acuerdo con su formato y medio de almacenamiento, entre ellos: fotocopias, medios magnéticos o electrónicos, memorias USB, Discos Compactos, DVD u otros que permitan reproducción, captura, distribución, e intercambio de información pública. </w:t>
      </w:r>
    </w:p>
    <w:p w14:paraId="614E1B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7BA4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Cuando se trate de solicitudes de información relacionadas con la prestación de un trámite a cargo del sujeto obligado, los costos de reproducción de la información solicitada estarán sujetos a las tasas o tarifas establecidas para la realización del trámite, según las normas que reglamentan el mismo. </w:t>
      </w:r>
    </w:p>
    <w:p w14:paraId="3E84823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2" w:name="ver_30052307"/>
      <w:bookmarkEnd w:id="42"/>
    </w:p>
    <w:p w14:paraId="0467124E" w14:textId="6D59DCF6"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2.1.1.3.1.7. Creación o producción de información pública. La solicitud de acceso a la información pública no implica el deber de los sujetos obligados de generar o producir información no disponible. En este caso, el sujeto obligado comunicará por escrito que la denegación de la solicitud se debe a la inexistencia de datos en su poder, y en el evento en que dicha información esté en poder o control de otro sujeto obligado, remitirá a este la solicitud de información. </w:t>
      </w:r>
      <w:bookmarkStart w:id="43" w:name="ver_30052308"/>
      <w:bookmarkEnd w:id="43"/>
    </w:p>
    <w:p w14:paraId="2B7EBCE9" w14:textId="77777777" w:rsidR="00143180" w:rsidRPr="00562064" w:rsidRDefault="00143180" w:rsidP="00143180">
      <w:pPr>
        <w:spacing w:after="0" w:line="254" w:lineRule="atLeast"/>
        <w:jc w:val="both"/>
        <w:rPr>
          <w:rFonts w:ascii="Arial" w:eastAsia="Times New Roman" w:hAnsi="Arial" w:cs="Arial"/>
          <w:color w:val="000000" w:themeColor="text1"/>
          <w:lang w:eastAsia="es-CO"/>
        </w:rPr>
      </w:pPr>
    </w:p>
    <w:p w14:paraId="0135E4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2.1.1.3.1.8. Supervigilancia al derecho de acceso a la información pública. De conformidad con lo previsto en el artículo 7° del Decreto-ley 262 de 2000 y en la Resolución 496 de 2011 expedida por el Procurador General de la Nación, o la que la modifique, sustituya o adicione, o la que la modifique, sustituya o adicione los solicitantes de acceso a información podrán acudir a la Procuraduría General de la Nación cuando consideren que es necesario realizar una solicitud de supervigilancia al derecho de acceso a información pública. </w:t>
      </w:r>
    </w:p>
    <w:p w14:paraId="0B8CA64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7E9306"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44" w:name="ver_30052309"/>
      <w:bookmarkEnd w:id="44"/>
      <w:r w:rsidRPr="00562064">
        <w:rPr>
          <w:rFonts w:ascii="Arial" w:eastAsia="Times New Roman" w:hAnsi="Arial" w:cs="Arial"/>
          <w:b/>
          <w:bCs/>
          <w:color w:val="000000" w:themeColor="text1"/>
          <w:lang w:eastAsia="es-CO"/>
        </w:rPr>
        <w:t>Capítulo 4</w:t>
      </w:r>
    </w:p>
    <w:p w14:paraId="3DDB0FE7"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Gestión de la información clasificada y reservada</w:t>
      </w:r>
    </w:p>
    <w:p w14:paraId="17FDF46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5" w:name="ver_30052310"/>
      <w:bookmarkEnd w:id="45"/>
    </w:p>
    <w:p w14:paraId="049545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2.1.1.4.1. Excepciones al Derecho fundamental de acceso a la información pública. Los sujetos obligados garantizarán la eficacia del ejercicio del derecho fundamental de acceso a la información pública, sin perjuicio de su facultad de restringirlo en los casos autorizados por la Constitución o la ley, y conforme a lo previsto en los artículos 18 y 19 la </w:t>
      </w:r>
      <w:r w:rsidRPr="00562064">
        <w:rPr>
          <w:rFonts w:ascii="Arial" w:eastAsia="Times New Roman" w:hAnsi="Arial" w:cs="Arial"/>
          <w:color w:val="000000" w:themeColor="text1"/>
          <w:lang w:eastAsia="es-CO"/>
        </w:rPr>
        <w:lastRenderedPageBreak/>
        <w:t>Ley 1712 de 2014, en consonancia con las definiciones previstas en los literales c) y d) del artículo 6°, de la misma. </w:t>
      </w:r>
    </w:p>
    <w:p w14:paraId="6D97D0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41B6E7F" w14:textId="08A972BB"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B6AF80B"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46" w:name="ver_30052312"/>
      <w:bookmarkEnd w:id="46"/>
      <w:r w:rsidRPr="00562064">
        <w:rPr>
          <w:rFonts w:ascii="Arial" w:eastAsia="Times New Roman" w:hAnsi="Arial" w:cs="Arial"/>
          <w:b/>
          <w:bCs/>
          <w:color w:val="000000" w:themeColor="text1"/>
          <w:lang w:eastAsia="es-CO"/>
        </w:rPr>
        <w:t>Sección 1</w:t>
      </w:r>
    </w:p>
    <w:p w14:paraId="31BAAC38"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Información pública clasificada</w:t>
      </w:r>
    </w:p>
    <w:p w14:paraId="616D9B3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7" w:name="ver_30052311"/>
      <w:bookmarkEnd w:id="47"/>
    </w:p>
    <w:p w14:paraId="44E94428" w14:textId="789DC1A8"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w:t>
      </w:r>
      <w:r w:rsidR="0051031E">
        <w:rPr>
          <w:rFonts w:ascii="Arial" w:eastAsia="Times New Roman" w:hAnsi="Arial" w:cs="Arial"/>
          <w:color w:val="000000" w:themeColor="text1"/>
          <w:lang w:eastAsia="es-CO"/>
        </w:rPr>
        <w:t>í</w:t>
      </w:r>
      <w:r w:rsidRPr="00562064">
        <w:rPr>
          <w:rFonts w:ascii="Arial" w:eastAsia="Times New Roman" w:hAnsi="Arial" w:cs="Arial"/>
          <w:color w:val="000000" w:themeColor="text1"/>
          <w:lang w:eastAsia="es-CO"/>
        </w:rPr>
        <w:softHyphen/>
        <w:t>culo 2.1.1.4.1.1. Acceso general a datos semiprivados, privados o sensibles. La información pública que contiene datos semiprivados o privados, definidos en los literales g) y h) del artículo 3° de la Ley 1266 de 2008, o datos personales o sensibles, según lo previsto en los artí</w:t>
      </w:r>
      <w:r w:rsidRPr="00562064">
        <w:rPr>
          <w:rFonts w:ascii="Arial" w:eastAsia="Times New Roman" w:hAnsi="Arial" w:cs="Arial"/>
          <w:color w:val="000000" w:themeColor="text1"/>
          <w:lang w:eastAsia="es-CO"/>
        </w:rPr>
        <w:softHyphen/>
        <w:t>culos 3° y 5° de la Ley 1581 de 2012 y en el numeral 3 del artí</w:t>
      </w:r>
      <w:r w:rsidRPr="00562064">
        <w:rPr>
          <w:rFonts w:ascii="Arial" w:eastAsia="Times New Roman" w:hAnsi="Arial" w:cs="Arial"/>
          <w:color w:val="000000" w:themeColor="text1"/>
          <w:lang w:eastAsia="es-CO"/>
        </w:rPr>
        <w:softHyphen/>
        <w:t>culo 3° del Decreto 1377 de 2013, solo podrá divulgarse según las reglas establecidas en dichas normas. </w:t>
      </w:r>
    </w:p>
    <w:p w14:paraId="64B6C4AC" w14:textId="67A31CF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8" w:name="ver_30052313"/>
      <w:bookmarkEnd w:id="48"/>
    </w:p>
    <w:p w14:paraId="52A3E6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2.1.1.4.1.2. Acceso a datos personales en posesión de los sujetos obligados. Los sujetos obligados no podrán permitir el acceso a datos personales sin autorización del titular de la información, salvo que concurra alguna de las excepciones consagradas en los artículos 6° y 10 de la Ley 1581 de 2012. </w:t>
      </w:r>
    </w:p>
    <w:p w14:paraId="74C167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9AFB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Tampoco podrá permitirse el acceso a los datos personales de niños, niñas y adolescentes, salvo aquellos que sean de naturaleza pública, de acuerdo con lo previsto en el artículo 7° de la Ley 1581 de 2012. </w:t>
      </w:r>
    </w:p>
    <w:p w14:paraId="669CC98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ED25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Permitir el acceso de un dato semiprivado, privado o sensible no le quita el carácter de información clasificada, ni puede implicar su desprotección. </w:t>
      </w:r>
    </w:p>
    <w:p w14:paraId="4FB717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0C29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Salvo que medie autorización del titular, a los datos semiprivados, privados y sensibles contenidos en documentos públicos solo podrá accederse por decisión de autoridad jurisdiccional o de autoridad pública o administrativa competente en ejercicio de sus funciones. </w:t>
      </w:r>
    </w:p>
    <w:p w14:paraId="7399D0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6C22A7"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49" w:name="ver_30052314"/>
      <w:bookmarkEnd w:id="49"/>
      <w:r w:rsidRPr="00562064">
        <w:rPr>
          <w:rFonts w:ascii="Arial" w:eastAsia="Times New Roman" w:hAnsi="Arial" w:cs="Arial"/>
          <w:b/>
          <w:bCs/>
          <w:color w:val="000000" w:themeColor="text1"/>
          <w:lang w:eastAsia="es-CO"/>
        </w:rPr>
        <w:t>Sección 2</w:t>
      </w:r>
    </w:p>
    <w:p w14:paraId="677A5614"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Información pública reservada</w:t>
      </w:r>
    </w:p>
    <w:p w14:paraId="5B452F6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0" w:name="ver_30052315"/>
      <w:bookmarkEnd w:id="50"/>
    </w:p>
    <w:p w14:paraId="4C789C4C" w14:textId="1F5DFC8F"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2.1.1.4.2.1. Responsable de la calificación de Reserva de la información pública por razones de defensa y seguridad nacional, seguridad pública o relaciones internacionales. La calificación de reservada de la información prevista en los literales a), b) y c) del artículo 19 de la Ley 1712 de 2014, corresponderá exclusivamente al jefe de la dependencia o área responsable de la generación, posesión, control o custodia de la información, o funcionario o empleado del nivel directivo que, por su completo e integral conocimiento de la información pública, pueda garantizar que la calificación sea razonable y proporcionada.   </w:t>
      </w:r>
    </w:p>
    <w:p w14:paraId="4A10DAB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1" w:name="ver_30052316"/>
      <w:bookmarkEnd w:id="51"/>
    </w:p>
    <w:p w14:paraId="03A26BE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2.1.1.4.2.2. Reserva de la información pública por razones de estabilidad macroeconómica y financiera. La excepción prevista en el literal h) del artículo 19 de la Ley 1712 de 2014 podrá amparar la calificación de información pública reservada entre otras circunstancias cuando: </w:t>
      </w:r>
    </w:p>
    <w:p w14:paraId="091342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F2EA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(1) Pueda afectar la estabilidad de la economía o los mercados, la eficacia de la política macroeconómica y financiera o el cumplimiento de las funciones de las entidades que tienen a su cargo el diseño y la implementación de estas políticas; o, </w:t>
      </w:r>
    </w:p>
    <w:p w14:paraId="7C2A6EE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ED0B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Esté relacionada con las labores de supervisión necesarias para garantizar la estabilidad del sistema financiero y la confianza del público en el mismo. </w:t>
      </w:r>
    </w:p>
    <w:p w14:paraId="0C6B4879" w14:textId="73AEC925"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2" w:name="ver_30052317"/>
      <w:bookmarkEnd w:id="52"/>
    </w:p>
    <w:p w14:paraId="0AC808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2.1.1.4.2.3. Temporalidad de la reserva. Sin perjuicio de lo señalado en el artículo 19 de la Ley 1712 de 2014 y del período máximo de reserva de la información a que hace referencia el artículo 22 de la Ley 1712 de 2014, la información respectiva debe divulgarse si desaparecen las condiciones que justificaban su reserva. </w:t>
      </w:r>
    </w:p>
    <w:p w14:paraId="370189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0887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término máximo de quince (15) años a que se refiere el artículo 22 de la Ley 1712 de 2014 empezará a contarse a partir de la fecha en que la información se genera. </w:t>
      </w:r>
    </w:p>
    <w:p w14:paraId="4F47E5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FC4CBC"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53" w:name="ver_30052318"/>
      <w:bookmarkEnd w:id="53"/>
      <w:r w:rsidRPr="00562064">
        <w:rPr>
          <w:rFonts w:ascii="Arial" w:eastAsia="Times New Roman" w:hAnsi="Arial" w:cs="Arial"/>
          <w:b/>
          <w:bCs/>
          <w:color w:val="000000" w:themeColor="text1"/>
          <w:lang w:eastAsia="es-CO"/>
        </w:rPr>
        <w:t>Sección 3</w:t>
      </w:r>
    </w:p>
    <w:p w14:paraId="74188F40"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Directrices para la calificación de información pública como clasificada o reservada</w:t>
      </w:r>
    </w:p>
    <w:p w14:paraId="6D3C8AF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4" w:name="ver_30052319"/>
      <w:bookmarkEnd w:id="54"/>
    </w:p>
    <w:p w14:paraId="46AC75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2.1.1.4.3.1. Identificación de la norma que dispone que la información sea clasificada o reservada. Para asignar el carácter de clasificada o reservada a la información pública que se encuentra bajo su posesión, control o custodia, los sujetos obligados deben identificar las disposiciones constitucionales o legales que expresamente así lo dispongan. </w:t>
      </w:r>
    </w:p>
    <w:p w14:paraId="363AF148" w14:textId="071C3C01"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5" w:name="ver_30052320"/>
      <w:bookmarkEnd w:id="55"/>
    </w:p>
    <w:p w14:paraId="0E4725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2.1.1.4.3.2. Existencia y divulgación integral o parcial de la información. Si un mismo acto o documento contiene información que puede ser divulgada e información clasificada o reservada, el sujeto obligado debe revelar los datos no protegidos y presentar los fundamentos constitucionales y legales por los que retiene los datos que no puede divulgar. </w:t>
      </w:r>
    </w:p>
    <w:p w14:paraId="5A7D6B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89ED2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sujetos obligados podrán tachar los apartes clasificados o reservados del documento, anonimizar, transliterar o editar el documento para suprimir la información que no puede difundirse; abrir un nuevo expediente con la información pública que puede ser divulgada; o acudir a las acciones que sean adecuadas para cumplir con su deber de permitir el acceso a toda aquella información que no esté clasificada o reservada, teniendo en cuenta el formato y medio de conservación de la información. </w:t>
      </w:r>
    </w:p>
    <w:p w14:paraId="35401E35" w14:textId="0A4E0638"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6" w:name="ver_30052321"/>
      <w:bookmarkEnd w:id="56"/>
    </w:p>
    <w:p w14:paraId="77D3A9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2.1.1.4.3.3. Coordinación interinstitucional. Si un sujeto obligado remite o entrega información pública calificada como clasificada o reservada a otro sujeto obligado, deberá advertir tal circunstancia e incluir la motivación de la calificación, para que este último excepcione también su divulgación. </w:t>
      </w:r>
    </w:p>
    <w:p w14:paraId="0E26E3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8AED45"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57" w:name="ver_30052322"/>
      <w:bookmarkEnd w:id="57"/>
      <w:r w:rsidRPr="00562064">
        <w:rPr>
          <w:rFonts w:ascii="Arial" w:eastAsia="Times New Roman" w:hAnsi="Arial" w:cs="Arial"/>
          <w:b/>
          <w:bCs/>
          <w:color w:val="000000" w:themeColor="text1"/>
          <w:lang w:eastAsia="es-CO"/>
        </w:rPr>
        <w:t>Sección 4</w:t>
      </w:r>
    </w:p>
    <w:p w14:paraId="7ABD5A63"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Denegación o rechazo del derecho de acceso a la información pública por clasificación o reserva</w:t>
      </w:r>
    </w:p>
    <w:p w14:paraId="4D417E8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8" w:name="ver_30052323"/>
      <w:bookmarkEnd w:id="58"/>
    </w:p>
    <w:p w14:paraId="649EDC2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2.1.1.4.4.1. Contenido del acto de respuesta de rechazo o denegación del derecho de acceso a información pública por clasificación o reserva. El acto de respuesta del sujeto obligado que deniegue o rechace una solicitud de acceso a información pública por razón de clasificación o reserva, además de seguir las directrices señaladas en el presente </w:t>
      </w:r>
      <w:r w:rsidRPr="00562064">
        <w:rPr>
          <w:rFonts w:ascii="Arial" w:eastAsia="Times New Roman" w:hAnsi="Arial" w:cs="Arial"/>
          <w:color w:val="000000" w:themeColor="text1"/>
          <w:lang w:eastAsia="es-CO"/>
        </w:rPr>
        <w:lastRenderedPageBreak/>
        <w:t>decreto, y en especial lo previsto en el índice de Información Clasificada y Reservada, deberá contener: </w:t>
      </w:r>
    </w:p>
    <w:p w14:paraId="3D6F997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D5FE61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El fundamento constitucional o legal que establece el objetivo legítimo de la clasificación o la reserva, señalando expresamente la norma, artículo, inciso o párrafo que la calificación, </w:t>
      </w:r>
    </w:p>
    <w:p w14:paraId="6309E0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FA90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La identificación de la excepción que, dentro de las previstas en los artículos 18 y 19 de la Ley 1712 de 2014, cobija la calificación de información reservada o clasificada; </w:t>
      </w:r>
    </w:p>
    <w:p w14:paraId="038AF6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18FB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El tiempo por el que se extiende la clasificación o reserva, contado a partir de la fecha de generación de la información; y, </w:t>
      </w:r>
    </w:p>
    <w:p w14:paraId="2A683D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081B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La determinación del daño presente, probable y específico que causaría la divulgación de la información pública y la relación de las razones y las pruebas, en caso de que existan, que acrediten la amenaza del daño. </w:t>
      </w:r>
    </w:p>
    <w:p w14:paraId="5E24B4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327A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ningún caso procederá el rechazo de una solicitud por razones tales como encubrir violaciones a la ley, ineficiencias o errores de los sujetos obligados, ni para proteger el prestigio de personas, organizaciones o autoridades. </w:t>
      </w:r>
    </w:p>
    <w:p w14:paraId="489DDD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B35CF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solicitudes de información sobre contratación con recursos públicos no podrán ser negadas, excepto que haya sido calificada como clasificada o reservada de acuerdo con las directrices señaladas la ley y en el presente decreto. </w:t>
      </w:r>
    </w:p>
    <w:p w14:paraId="49A6CD7E" w14:textId="2D21D805"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F26493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9" w:name="ver_30052324"/>
      <w:bookmarkEnd w:id="59"/>
    </w:p>
    <w:p w14:paraId="1AD3B9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2.1.1.4.4.2. Definición de daño presente, probable y específico. Se entenderá que el daño es presente siempre que no sea remoto ni eventual; probable cuando existan las circunstancias que harían posible su materialización; y específico solo si puede individualizarse y no se trate de una afectación genérica. </w:t>
      </w:r>
    </w:p>
    <w:p w14:paraId="477285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97C859"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60" w:name="ver_30052325"/>
      <w:bookmarkEnd w:id="60"/>
      <w:r w:rsidRPr="00562064">
        <w:rPr>
          <w:rFonts w:ascii="Arial" w:eastAsia="Times New Roman" w:hAnsi="Arial" w:cs="Arial"/>
          <w:b/>
          <w:bCs/>
          <w:color w:val="000000" w:themeColor="text1"/>
          <w:lang w:eastAsia="es-CO"/>
        </w:rPr>
        <w:t>Capítulo 5</w:t>
      </w:r>
    </w:p>
    <w:p w14:paraId="27EDD5A0"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Instrumentos de la gestión de información pública</w:t>
      </w:r>
    </w:p>
    <w:p w14:paraId="6A29260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1" w:name="ver_30052326"/>
      <w:bookmarkEnd w:id="61"/>
    </w:p>
    <w:p w14:paraId="47A5B32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2.1.1.5.1. Instrumentos de gestión de la información pública. Los instrumentos para la gestión de la información pública, conforme con lo establecido en la Ley 1712 de 2014, son: </w:t>
      </w:r>
    </w:p>
    <w:p w14:paraId="3AD62D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9EE4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Registro de Activos de Información. </w:t>
      </w:r>
    </w:p>
    <w:p w14:paraId="7BA082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7CB5F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Índice de Información Clasificada y Reservada. </w:t>
      </w:r>
    </w:p>
    <w:p w14:paraId="301385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FD32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Esquema de Publicación de Información. </w:t>
      </w:r>
    </w:p>
    <w:p w14:paraId="479443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FD36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Programa de Gestión Documental. </w:t>
      </w:r>
    </w:p>
    <w:p w14:paraId="163200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3D16B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sujetos obligados deben articular dichos instrumentos mediante el uso eficiente de las tecnologías de la información y las comunicaciones, y garantizar su actualización y divulgación. </w:t>
      </w:r>
    </w:p>
    <w:p w14:paraId="55B95628" w14:textId="066909DE"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2" w:name="ver_30052327"/>
      <w:bookmarkEnd w:id="62"/>
    </w:p>
    <w:p w14:paraId="422B204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Artículo 2.1.1.5.2. Mecanismo de adopción y actualización de los Instrumentos de Gestión de la Información Pública. El Registro de Activos de Información, el Índice de Información Clasificada y Reservada, el Esquema de Publicación de Información y el Programa de Gestión Documental, deben ser adoptados y actualizados por medio de acto administrativo o documento equivalente de acuerdo con el régimen legal al sujeto obligado. </w:t>
      </w:r>
    </w:p>
    <w:p w14:paraId="0B817B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253E38"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63" w:name="ver_30052328"/>
      <w:bookmarkEnd w:id="63"/>
      <w:r w:rsidRPr="00562064">
        <w:rPr>
          <w:rFonts w:ascii="Arial" w:eastAsia="Times New Roman" w:hAnsi="Arial" w:cs="Arial"/>
          <w:b/>
          <w:bCs/>
          <w:color w:val="000000" w:themeColor="text1"/>
          <w:lang w:eastAsia="es-CO"/>
        </w:rPr>
        <w:t>Sección 1</w:t>
      </w:r>
    </w:p>
    <w:p w14:paraId="49D0D7F7"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Registro de Activos de Información</w:t>
      </w:r>
    </w:p>
    <w:p w14:paraId="6BF9FA1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4" w:name="ver_30052329"/>
      <w:bookmarkEnd w:id="64"/>
    </w:p>
    <w:p w14:paraId="6FFB48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2.1.1.5.1.1. Concepto del Registro de Activos de Información. El Registro de Activos de Información es el inventario de la información pública que el sujeto obligado genere, obtenga, adquiera, transforme o controle en su calidad de tal. </w:t>
      </w:r>
    </w:p>
    <w:p w14:paraId="46CB82ED" w14:textId="06AC3928"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5" w:name="ver_30052330"/>
      <w:bookmarkEnd w:id="65"/>
    </w:p>
    <w:p w14:paraId="086A90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2.1.1.5.1.1. Componentes del Registro de Activos de Información. El Registro de Activos de Información debe contener, como mínimo, los siguientes componentes: </w:t>
      </w:r>
    </w:p>
    <w:p w14:paraId="7B39F0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CD7F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Todas las categorías de información del sujeto obligado. </w:t>
      </w:r>
    </w:p>
    <w:p w14:paraId="7E8EFF7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EC57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Todo registro publicado. </w:t>
      </w:r>
    </w:p>
    <w:p w14:paraId="5BE28B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02E9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Todo registro disponible para ser solicitado por el público. </w:t>
      </w:r>
    </w:p>
    <w:p w14:paraId="13C513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7A44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cada uno de los componentes del Registro de Activos de Información debe detallarse los siguientes datos: </w:t>
      </w:r>
    </w:p>
    <w:p w14:paraId="0FA898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F709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Nombre o título de la categoría de información: Término con que se da a conocer el nombre o asunto de la información. </w:t>
      </w:r>
    </w:p>
    <w:p w14:paraId="0D3A4A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553D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Descripción del contenido la categoría de información: Define brevemente de qué se trata la información. </w:t>
      </w:r>
    </w:p>
    <w:p w14:paraId="3124F7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378C1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Idioma: Establece el Idioma, lengua o dialecto en que se encuentra la información. </w:t>
      </w:r>
    </w:p>
    <w:p w14:paraId="580731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064D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Medio de conservación y/o soporte: Establece el soporte en el que se encuentra la información: documento físico, medio electrónico o por algún otro tipo de formato audiovisual entre otros (físico, análogo o digital- electrónico). </w:t>
      </w:r>
    </w:p>
    <w:p w14:paraId="37E4FE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70D2C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Formato: Identifica la forma, tamaño o modo en la que se presenta la información o se permite su visualización o consulta, tales como: hoja de cálculo, imagen, audio, video, documento de texto, etc. </w:t>
      </w:r>
    </w:p>
    <w:p w14:paraId="7F7762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1271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Información publicada o disponible. Indica si la información está publicada o disponible para ser solicitada, señalando dónde está publicada y/o dónde se puede consultar o solicitar. </w:t>
      </w:r>
    </w:p>
    <w:p w14:paraId="38907B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9D315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Registro de Activos de Información debe elaborarse en formato de hoja de cálculo y publicarse en el sitio web oficial del sujeto obligado, así como en el Portal de Datos Abiertos del Estado colombiano o en la herramienta que lo modifique o lo sustituya. </w:t>
      </w:r>
    </w:p>
    <w:p w14:paraId="51DFCA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16BF6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Parágrafo 1°. Entiéndase por Categorías de información, toda información de contenido o estructura homogénea, sea física o electrónica, emanada de un mismo sujeto obligado como resultado del ejercicio de sus funciones y que pueda agruparse a partir de categorías, tipos o clases según sus características internas (contenido) o externas (formato o estructura). </w:t>
      </w:r>
    </w:p>
    <w:p w14:paraId="75EF5C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CD6E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El sujeto obligado debe actualizar el Registro de Activos de Información de acuerdo con los procedimientos y lineamientos definidos en su Programa de Gestión Documental. </w:t>
      </w:r>
    </w:p>
    <w:p w14:paraId="360B92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4F664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El Ministerio Público podrá establecer estándares adicionales para el Registro de Activos de Información de los sujetos obligados. </w:t>
      </w:r>
    </w:p>
    <w:p w14:paraId="2B7E99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E015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857E8E"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66" w:name="ver_30052331"/>
      <w:bookmarkEnd w:id="66"/>
      <w:r w:rsidRPr="00562064">
        <w:rPr>
          <w:rFonts w:ascii="Arial" w:eastAsia="Times New Roman" w:hAnsi="Arial" w:cs="Arial"/>
          <w:b/>
          <w:bCs/>
          <w:color w:val="000000" w:themeColor="text1"/>
          <w:lang w:eastAsia="es-CO"/>
        </w:rPr>
        <w:t>Sección 2</w:t>
      </w:r>
    </w:p>
    <w:p w14:paraId="575505C5"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Índice de Información Clasificada y Reservada</w:t>
      </w:r>
    </w:p>
    <w:p w14:paraId="73CB3DE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7" w:name="ver_30052332"/>
      <w:bookmarkEnd w:id="67"/>
    </w:p>
    <w:p w14:paraId="6E5C91DE" w14:textId="343D7F44"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2.1.1.5.2.1. Concepto del índice de Información Clasificada y Reservada. El Índice de Información Clasificada y Reservada es el inventario de la información pública generada, obtenida, adquirida o controlada por el sujeto obligado, en calidad de tal, que ha sido calificada como clasificada o reservada. </w:t>
      </w:r>
    </w:p>
    <w:p w14:paraId="7054EDF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8" w:name="ver_30052333"/>
      <w:bookmarkEnd w:id="68"/>
    </w:p>
    <w:p w14:paraId="053990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2.1.1.5.2.2. Contenido del Índice de Información Clasificada y Reservada. El Índice de Información Clasificada y Reservada indicará, para cada información calificada como reservada o clasificada, lo siguiente: </w:t>
      </w:r>
    </w:p>
    <w:p w14:paraId="0C6FC0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3F44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Nombre o título de la categoría de información: Término con que se da a conocer el nombre o asunto de la información. </w:t>
      </w:r>
    </w:p>
    <w:p w14:paraId="342372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EF844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Nombre o título de la información: Palabra o frase con que se da a conocer el nombre o asunto de la información. </w:t>
      </w:r>
    </w:p>
    <w:p w14:paraId="55B1D8C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D62D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Idioma: Establece el Idioma, lengua o dialecto en que se encuentra la información. </w:t>
      </w:r>
    </w:p>
    <w:p w14:paraId="0D968E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D6E6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Medio de conservación y/o soporte: Establece el soporte en el que se encuentra la información: documento físico, medio electrónico o por algún otro tipo de formato audiovisual entre otros (físico – análogo o digital – electrónico). </w:t>
      </w:r>
    </w:p>
    <w:p w14:paraId="464709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38F6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Fecha de generación de la información: Identifica el momento de la creación de la información. </w:t>
      </w:r>
    </w:p>
    <w:p w14:paraId="5A6285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BA82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Nombre del responsable de la producción de la información: Corresponde al nombre del área, dependencia o unidad interna, o al nombre de la entidad externa que creó la información. </w:t>
      </w:r>
    </w:p>
    <w:p w14:paraId="5E2FB7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7A896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Nombre del responsable de la información: Corresponde al nombre del área, dependencia o unidad encargada de la custodia o control de la información para efectos de permitir su acceso. </w:t>
      </w:r>
    </w:p>
    <w:p w14:paraId="49B367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A026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(8) Objetivo legítimo de la excepción: La identificación de la excepción que, dentro de las previstas en los artículos 18 y 19 de la Ley 1712 de 2014, cobija la calificación de información reservada o clasificada. </w:t>
      </w:r>
    </w:p>
    <w:p w14:paraId="54F344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38FA1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Fundamento constitucional o legal: El fundamento constitucional o legal que justifican la clasificación o la reserva, señalando expresamente la norma, artículo, inciso o párrafo que la ampara. </w:t>
      </w:r>
    </w:p>
    <w:p w14:paraId="08395B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B6BF9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Fundamento jurídico de la excepción: Mención de la norma jurídica que sirve como fundamento jurídico para la clasificación o reserva de la información. </w:t>
      </w:r>
    </w:p>
    <w:p w14:paraId="185F1F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441E8D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Excepción total o parcial: Según sea integral o parcial la calificación, las partes o secciones clasificadas o reservadas. </w:t>
      </w:r>
    </w:p>
    <w:p w14:paraId="3F8EDF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71CE4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Fecha de la calificación: La fecha de la calificación de la información como reservada o clasificada. </w:t>
      </w:r>
    </w:p>
    <w:p w14:paraId="5A6D85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9A06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Plazo de la clasificación o reserva: El tiempo que cobija la clasificación o reserva. </w:t>
      </w:r>
    </w:p>
    <w:p w14:paraId="4DF66F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1E6A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índice de Información Clasificada y Reservada debe actualizarse cada vez que una información sea calificada como clasificada o reservada y cuando dicha calificación se levante, conforme a lo establecido en el mismo índice y en el Programa de Gestión Documental. </w:t>
      </w:r>
    </w:p>
    <w:p w14:paraId="63E543F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6D444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índice de Información Clasificada y Reservada será de carácter público, deberá elaborarse en formato de hoja de cálculo y publicarse en el sitio web oficial del sujeto obligado, así como en el Portal de Datos Abiertos del Estado colombiano o en la herramienta que lo modifique o lo sustituya. </w:t>
      </w:r>
    </w:p>
    <w:p w14:paraId="6C85F2EA" w14:textId="24AC4FA3"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C4F956"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69" w:name="ver_30052334"/>
      <w:bookmarkEnd w:id="69"/>
      <w:r w:rsidRPr="00562064">
        <w:rPr>
          <w:rFonts w:ascii="Arial" w:eastAsia="Times New Roman" w:hAnsi="Arial" w:cs="Arial"/>
          <w:b/>
          <w:bCs/>
          <w:color w:val="000000" w:themeColor="text1"/>
          <w:lang w:eastAsia="es-CO"/>
        </w:rPr>
        <w:t>Sección 3</w:t>
      </w:r>
    </w:p>
    <w:p w14:paraId="449E3BAC"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Esquema de publicación de información</w:t>
      </w:r>
    </w:p>
    <w:p w14:paraId="056410C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70" w:name="ver_30052335"/>
      <w:bookmarkEnd w:id="70"/>
    </w:p>
    <w:p w14:paraId="6AE352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2.1.1.5.3.1. Concepto. El Esquema de Publicación de Información es el instrumento del que disponen los sujetos obligados para informar, de forma ordenada, a la ciudadanía, interesados y usuarios, sobre la información publicada y que publicará, conforme al principio de divulgación proactiva de la información previsto en el artículo 3° de la Ley 1712 de 2014, y sobre los medios a través de los cuales se puede acceder a la misma. </w:t>
      </w:r>
    </w:p>
    <w:p w14:paraId="22FF3279" w14:textId="0177F32A"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71" w:name="ver_30052336"/>
      <w:bookmarkEnd w:id="71"/>
    </w:p>
    <w:p w14:paraId="334010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2.1.1.5.3.2. Componentes del Esquema de Publicación de Información. En concordancia con lo establecido en el artículo 12 de la Ley 1712 de 2014, el Esquema de Publicación de Información debe incluir, como mínimo, lo siguiente: </w:t>
      </w:r>
    </w:p>
    <w:p w14:paraId="3BB53A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89E1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La lista de información mínima publicada en el sitio web oficial del sujeto obligado o en los sistemas de información del Estado, conforme a lo previsto en los artículos 9°, 10 y 11 de la Ley 1712 de 2014. </w:t>
      </w:r>
    </w:p>
    <w:p w14:paraId="6EA67D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34453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La lista de la información publicada en el sitio web oficial del sujeto obligado, adicional a la mencionada en el numeral anterior, y conforme a lo ordenado por otras normas distintas a la Ley de Transparencia y del Derecho al Acceso a la Información Pública Nacional. </w:t>
      </w:r>
    </w:p>
    <w:p w14:paraId="6450F8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149AC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(3) Información publicada por el sujeto obligado, originada en la solicitud de información divulgada con anterioridad, de que trata el artículo 14 de la Ley 1712 de 2014. </w:t>
      </w:r>
    </w:p>
    <w:p w14:paraId="5261C1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42A8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Información de interés para la ciudadanía, interesados o usuarios, publicada de manera proactiva por el sujeto obligado, relacionada con la actividad misional del sujeto obligado y sus objetivos estratégicos. </w:t>
      </w:r>
    </w:p>
    <w:p w14:paraId="17491EC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B2EDE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cada una de los anteriores componentes de Esquema de Publicación de Información se debe indicar: </w:t>
      </w:r>
    </w:p>
    <w:p w14:paraId="001FCF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7AB60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Nombre o título de la información: Palabra o frase con que se da a conocer el nombre o asunto de la información. </w:t>
      </w:r>
    </w:p>
    <w:p w14:paraId="01A565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26B6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Idioma: Establece el Idioma, lengua o dialecto en que se encuentra la información. </w:t>
      </w:r>
    </w:p>
    <w:p w14:paraId="053345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AF799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Medio de conservación y/o soporte: Establece el soporte en el que se encuentra la información: documento físico, medio electrónico o por algún otro tipo de formato audiovisual entre otros (físico – análogo o digital – electrónico). </w:t>
      </w:r>
    </w:p>
    <w:p w14:paraId="27B988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3BF6BA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Formato: Identifica la forma, tamaño o modo en la que se presenta la información o se permite su visualización o consulta, tales como: hoja de cálculo, imagen, audio, video, documento de texto, etc. </w:t>
      </w:r>
    </w:p>
    <w:p w14:paraId="31922A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7B36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Fecha de generación de la información: Identifica el momento de la creación de la información. </w:t>
      </w:r>
    </w:p>
    <w:p w14:paraId="44F8639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8118B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Frecuencia de actualización: Identifica la periodicidad o el segmento de tiempo en el que se debe actualizar la información, de acuerdo a su naturaleza y a la normativa aplicable. </w:t>
      </w:r>
    </w:p>
    <w:p w14:paraId="2411FF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8374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(g) Lugar de consulta: Indica el lugar donde se encuentra publicado o puede ser consultado el documento, tales como lugar en el sitio web y otro medio en donde se puede descargar y/o acceder a la información cuyo contenido se describe. </w:t>
      </w:r>
    </w:p>
    <w:p w14:paraId="0B1BB8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8DF1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(h) Nombre del responsable de la producción de la información: Corresponde al nombre del área, dependencia o unidad interna, o al nombre de la entidad externa que creó la información. </w:t>
      </w:r>
    </w:p>
    <w:p w14:paraId="7D6788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7DC36F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 Nombre del responsable de la información: Corresponde al nombre del área, dependencia o unidad encargada de la custodia o control de la información para efectos de permitir su acceso. </w:t>
      </w:r>
    </w:p>
    <w:p w14:paraId="26366B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D7C2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facilitar el acceso a la información, los sujetos obligados publicarán el Cuadro de Clasificación Documental. </w:t>
      </w:r>
    </w:p>
    <w:p w14:paraId="405A4D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65BFE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 acuerdo con lo estipulado en el literal c) del artículo 12 de la Ley 1712 de 2014, el Ministerio Público podrá hacer recomendaciones generales o particulares a los sujetos obligados sobre el Esquema de Publicación de Información. </w:t>
      </w:r>
    </w:p>
    <w:p w14:paraId="4254A900" w14:textId="71B848A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72" w:name="ver_30052337"/>
      <w:bookmarkEnd w:id="72"/>
    </w:p>
    <w:p w14:paraId="44E44F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2.1.1.5.3.3. Procedimiento participativo para la adopción y actualización del Esquema de Publicación. Los sujetos obligados, de acuerdo con el régimen legal aplicable, implementarán mecanismos de consulta a ciudadanos, interesados o usuarios en los </w:t>
      </w:r>
      <w:r w:rsidRPr="00562064">
        <w:rPr>
          <w:rFonts w:ascii="Arial" w:eastAsia="Times New Roman" w:hAnsi="Arial" w:cs="Arial"/>
          <w:color w:val="000000" w:themeColor="text1"/>
          <w:lang w:eastAsia="es-CO"/>
        </w:rPr>
        <w:lastRenderedPageBreak/>
        <w:t>procesos de adopción y actualización del Esquema de Publicación de Información, con el fin de identificar información que pueda publicarse de manera proactiva y de establecer los formatos alternativos que faciliten la accesibilidad a poblaciones específicas. </w:t>
      </w:r>
    </w:p>
    <w:p w14:paraId="05D252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01EB6C"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73" w:name="ver_30052338"/>
      <w:bookmarkEnd w:id="73"/>
      <w:r w:rsidRPr="00562064">
        <w:rPr>
          <w:rFonts w:ascii="Arial" w:eastAsia="Times New Roman" w:hAnsi="Arial" w:cs="Arial"/>
          <w:b/>
          <w:bCs/>
          <w:color w:val="000000" w:themeColor="text1"/>
          <w:lang w:eastAsia="es-CO"/>
        </w:rPr>
        <w:t>Sección 4</w:t>
      </w:r>
    </w:p>
    <w:p w14:paraId="75B16752"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Programa de gestión documental</w:t>
      </w:r>
    </w:p>
    <w:p w14:paraId="31D5B3D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74" w:name="ver_30052339"/>
      <w:bookmarkEnd w:id="74"/>
    </w:p>
    <w:p w14:paraId="6E6227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2.1.1.5.4.1. Concepto del Programa de Gestión Documental. En desarrollo de la Ley 1712 de 2014 se entenderá por Programa de Gestión Documental el plan elaborado por cada sujeto obligado para facilitar la identificación, gestión, clasificación, organización, conservación y disposición de la información pública, desde su creación hasta su disposición final, con fines de conservación permanente o eliminación. </w:t>
      </w:r>
    </w:p>
    <w:p w14:paraId="56F86545" w14:textId="45C829ED"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75" w:name="ver_30052340"/>
      <w:bookmarkEnd w:id="75"/>
    </w:p>
    <w:p w14:paraId="1251F4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2.1.1.5.4.2. Articulación y/o integración del Programa de Gestión Documental con los instrumentos de gestión de información. La información incluida en el Registro de Activos de Información, en el Índice de Información Clasificada y Reservada, y en el Esquema de Publicación de Información, definidos en el presente decreto, debe ser identificada, gestionada, clasificada, organizada y conservada de acuerdo con los procedimientos, lineamientos, valoración y tiempos definidos en el Programa de Gestión Documental del sujeto obligado. </w:t>
      </w:r>
    </w:p>
    <w:p w14:paraId="6D17732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7A8F5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sujeto obligado debe contar con políticas de eliminación segura y permanente de la información, una vez cumplido el tiempo de conservación establecido en las tablas de retención documental o tablas de valoración documental, el Programa de Gestión Documental y demás normas expedidas por el Archivo General de la Nación. </w:t>
      </w:r>
    </w:p>
    <w:p w14:paraId="694B2DA9" w14:textId="2AFD46D6"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76" w:name="ver_30052341"/>
      <w:bookmarkEnd w:id="76"/>
    </w:p>
    <w:p w14:paraId="04238E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2.1.1.5.4.3. Aplicación de lineamientos generales sobre el Programa de Gestión Documental. Los sujetos obligados aplicarán en la elaboración del Programa de Gestión Documental los lineamientos contenidos en Decreto 2609 de 2012 o las normas que lo sustituyan o modifiquen. </w:t>
      </w:r>
    </w:p>
    <w:p w14:paraId="630F4F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7EA00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77" w:name="ver_30052342"/>
      <w:bookmarkEnd w:id="77"/>
    </w:p>
    <w:p w14:paraId="09CF5F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2.1.1.5.4.4. Lineamientos sobre el Programa de Gestión Documental para los sujetos obligados de naturaleza privada. Los sujetos obligados de naturaleza privada que no están cobijados por el Decreto 2609 de 2012, o el que lo complemente o sustituya, deben cumplir, en la elaboración del Programa de Gestión Documental, como mínimo, con las siguientes directrices: </w:t>
      </w:r>
    </w:p>
    <w:p w14:paraId="738CBB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0AB4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Contar con una política de gestión documental aprobada por el sujeto obligado. </w:t>
      </w:r>
    </w:p>
    <w:p w14:paraId="2AB4A1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A0D0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Elaborar, aprobar y publicar sus Tablas de Retención Documental. </w:t>
      </w:r>
    </w:p>
    <w:p w14:paraId="2A7511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82ED9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Contar con un archivo institucional. </w:t>
      </w:r>
    </w:p>
    <w:p w14:paraId="685C47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71D54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Diseñar políticas para la gestión de sus documentos electrónicos, incluyendo políticas de preservación y custodia digital. </w:t>
      </w:r>
    </w:p>
    <w:p w14:paraId="7B2D2F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80C9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Integrarse al Sistema Nacional de Archivos. </w:t>
      </w:r>
    </w:p>
    <w:p w14:paraId="5AADE5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45E93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78" w:name="ver_30052343"/>
      <w:bookmarkEnd w:id="78"/>
    </w:p>
    <w:p w14:paraId="62100A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Artículo 2.1.1.5.4.5. Conservación de la información publicada con anterioridad. Para efectos de lo previsto en el artículo 14 de la Ley 1712 de 2014, los sujetos obligados deben garantizar la conservación de los documentos divulgados en su sitio web o en sistemas de información que contengan o produzcan información pública, para lo cual seguirán los procedimientos de valoración documental y delimitarán los medios, formatos y plazos para la conservación de la información publicada con anterioridad, con el fin de permitir su fácil acceso luego de retirada la publicación. </w:t>
      </w:r>
    </w:p>
    <w:p w14:paraId="1C7229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85894E" w14:textId="701B0AD9"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sujetos obligados deben definir un procedimiento para retirar la información que haya sido publicada y garantizar la recuperación de información retrospectiva que haya sido desfijada o retirada. Los lineamientos y plazos para cumplir a cabalidad con esta obligación, deben estar incluidos en el Programa de Gestión Documental del sujeto obligado. </w:t>
      </w:r>
    </w:p>
    <w:p w14:paraId="4BF138F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79" w:name="ver_30052344"/>
      <w:bookmarkEnd w:id="79"/>
    </w:p>
    <w:p w14:paraId="0024694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2.1.1.5.4.6. Gestión de información en los casos de liquidaciones, supresiones, fusiones o escisiones de sujetos obligados. En los casos de liquidaciones, supresiones, fusiones o escisiones de sujetos obligados, estos deben asegurar que los instrumentos de gestión de información se mantengan, sin que se obstaculice el acceso a la información pública. La entrega de la información al sujeto obligado que asuma las responsabilidades del cesante se garantizará mediante inventarios debidamente ordenados, y de conformidad con las normas que se expidan al respecto. </w:t>
      </w:r>
    </w:p>
    <w:p w14:paraId="41581695" w14:textId="587C0C95"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80" w:name="ver_30052345"/>
      <w:bookmarkEnd w:id="80"/>
    </w:p>
    <w:p w14:paraId="6B6720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2.1.1.5.4.7. Documentos y archivos de derechos humanos. Los archivos de derechos humanos corresponden a documentos que, en sentido amplio, se refieren a violaciones a los derechos humanos e infracciones al Derecho Internacional Humanitario. Los archivos de derechos humanos deben ser objeto de las medidas de preservación, protección y acceso definidas en el marco internacional de los derechos humanos, la jurisprudencia, la legislación interna, y en particular, el inciso final del artículo 21 de la Ley 1712 de 2014. </w:t>
      </w:r>
    </w:p>
    <w:p w14:paraId="6E59AE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854B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la identificación de los documentos de derechos humanos, se tendrán en cuenta, entre otros: </w:t>
      </w:r>
    </w:p>
    <w:p w14:paraId="71A8F8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4FCF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Documentos producidos por entidades del Estado con funciones legales en torno a los Derechos Humanos y el Derecho Internacional Humanitario de acuerdo con las instrucciones que imparta el Archivo General de la Nación. </w:t>
      </w:r>
    </w:p>
    <w:p w14:paraId="62E125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6E67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Documentos producidos por las víctimas y sus organizaciones relativos a violaciones a los Derechos Humanos y el Derecho Internacional Humanitario. </w:t>
      </w:r>
    </w:p>
    <w:p w14:paraId="107594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9D4A6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Documentos e informes académicos y de investigación relativos a violaciones a los Derechos Humanos y el Derecho Internacional Humanitario. </w:t>
      </w:r>
    </w:p>
    <w:p w14:paraId="3E085D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EF45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Documentos de entidades internacionales relativos a violaciones a los Derechos Humanos y el Derecho Internacional Humanitario. </w:t>
      </w:r>
    </w:p>
    <w:p w14:paraId="3358C7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F679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Documentos de entidades privadas o entidades privadas con funciones públicas relativos a violaciones a los Derechos Humanos y el Derecho Internacional Humanitario. </w:t>
      </w:r>
    </w:p>
    <w:p w14:paraId="5D930A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E273A9"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81" w:name="ver_30052346"/>
      <w:bookmarkEnd w:id="81"/>
      <w:r w:rsidRPr="00562064">
        <w:rPr>
          <w:rFonts w:ascii="Arial" w:eastAsia="Times New Roman" w:hAnsi="Arial" w:cs="Arial"/>
          <w:b/>
          <w:bCs/>
          <w:color w:val="000000" w:themeColor="text1"/>
          <w:lang w:eastAsia="es-CO"/>
        </w:rPr>
        <w:t>Capítulo 6</w:t>
      </w:r>
    </w:p>
    <w:p w14:paraId="7D7BE073"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Seguimiento a la gestión de la información</w:t>
      </w:r>
    </w:p>
    <w:p w14:paraId="145E959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82" w:name="ver_30052347"/>
      <w:bookmarkEnd w:id="82"/>
    </w:p>
    <w:p w14:paraId="0B9E69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2.1.1.6.1. Seguimiento a la gestión de la información pública. Los sujetos obligados deben adelantar las acciones pertinentes para hacer seguimiento a la gestión de la información pública. El Ministerio Público y las entidades líderes de la política de transparencia y de acceso a la información pública definidas en el artículo 32 de la Ley 1712 de 2014, de acuerdo con su ámbito de competencia, adelantarán acciones que permitan medir el avance en la implementación de la ley de transparencia por parte de los sujetos obligados, quienes deben colaborar armónicamente en el suministro de la información que se requiera. </w:t>
      </w:r>
    </w:p>
    <w:p w14:paraId="2A64C1A9" w14:textId="29FBA3BF"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83" w:name="ver_30052348"/>
      <w:bookmarkEnd w:id="83"/>
    </w:p>
    <w:p w14:paraId="7666281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2.1.1.6.2. Informes de solicitudes de acceso a información. De conformidad con lo establecido en el literal h) del artículo 11 de la Ley 1712 de 2014, los sujetos obligados deberán publicar los informes de todas las solicitudes, denuncias y los tiempos de respuesta. Respecto de las solicitudes de acceso a información pública, el informe debe discriminar la siguiente información mínima: </w:t>
      </w:r>
    </w:p>
    <w:p w14:paraId="481BEC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4A83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 El número de solicitudes recibidas. </w:t>
      </w:r>
    </w:p>
    <w:p w14:paraId="2FB672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4241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número de solicitudes que fueron trasladadas a otra institución. </w:t>
      </w:r>
    </w:p>
    <w:p w14:paraId="59D1F1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2544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El tiempo de respuesta a cada solicitud. </w:t>
      </w:r>
    </w:p>
    <w:p w14:paraId="3EB5E9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CFEF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número de solicitudes en las que se negó el acceso a la información. </w:t>
      </w:r>
    </w:p>
    <w:p w14:paraId="3B1FDA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1B728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informe sobre solicitudes de acceso a información estará a disposición del público en los términos establecidos en el artículo 4° del presente decreto. </w:t>
      </w:r>
    </w:p>
    <w:p w14:paraId="48065C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709D7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Los sujetos obligados de la Ley 1712 de 2014, que también son sujetos de la Ley 190 de 1995, podrán incluir los informes de solicitudes de acceso a la información a que se refiere el presente artículo, en los informes de que trata el artículo 54 de la Ley 190 de 1995. </w:t>
      </w:r>
    </w:p>
    <w:p w14:paraId="0FAB7D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F86C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El primer informe de solicitudes de acceso a la información deberá publicarse seis meses después de la expedición del presente decreto, para el caso de los sujetos obligados del orden nacional; los entes territoriales deberán hacerlo 6 meses después de la entrada en vigencia de la Ley 1712 de 2014. </w:t>
      </w:r>
    </w:p>
    <w:p w14:paraId="157223D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3A946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84" w:name="ver_30052349"/>
      <w:bookmarkEnd w:id="84"/>
    </w:p>
    <w:p w14:paraId="6F5D05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2.1.1.6.1. Vigencia. Las disposiciones contenidas en este título empezaron a regir en la fecha publicación del Decreto 103 de 2015, sin perjuicio de lo previsto en el artículo 33 de la Ley 1712 de 2014, respecto de la entrada en vigencia para los entes territoriales. </w:t>
      </w:r>
    </w:p>
    <w:p w14:paraId="5EB701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01BD86F"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85" w:name="ver_30137100"/>
      <w:bookmarkEnd w:id="85"/>
      <w:r w:rsidRPr="00562064">
        <w:rPr>
          <w:rFonts w:ascii="Arial" w:eastAsia="Times New Roman" w:hAnsi="Arial" w:cs="Arial"/>
          <w:b/>
          <w:bCs/>
          <w:color w:val="000000" w:themeColor="text1"/>
          <w:lang w:eastAsia="es-CO"/>
        </w:rPr>
        <w:t>CAPÍTULO 7</w:t>
      </w:r>
    </w:p>
    <w:p w14:paraId="674ACC00"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3B810640"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Generales</w:t>
      </w:r>
    </w:p>
    <w:p w14:paraId="5FD98E7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86" w:name="ver_30137101"/>
      <w:bookmarkEnd w:id="86"/>
    </w:p>
    <w:p w14:paraId="383AE3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2.1.1.7.1.1. Creación del sistema. Créase el Sistema Integrado de Información para el Posconflicto (SIIPO), el cual contribuirá a la transparencia, seguimiento, veeduría, control ciudadano y verificación de la implementación de las acciones para el posconflicto.  </w:t>
      </w:r>
    </w:p>
    <w:p w14:paraId="46E6AD8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87" w:name="ver_30137102"/>
      <w:bookmarkEnd w:id="87"/>
    </w:p>
    <w:p w14:paraId="1A9D1C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Artículo 2.1.1.7.1.2. Principios y definiciones. La interpretación de las disposiciones previstas en el presente Decreto se regirá por los principios de razonabilidad, proporcionalidad y buena fe, así como por los demás establecidos en el artículo 3° de la Ley 1712 de 2014, y por las definiciones señaladas en el artículo 6° de la misma normativa.  </w:t>
      </w:r>
    </w:p>
    <w:p w14:paraId="184A9F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CA5E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Transversalización de enfoques. El Sistema Integrado de Información para el Posconflicto atenderá en lo posible la incorporación y seguimiento de variables específicas y diferenciales que den cuenta de los recursos, acciones y cumplimiento de metas e indicadores, bajo enfoques diferenciales territorial, étnico y de género.  </w:t>
      </w:r>
    </w:p>
    <w:p w14:paraId="4B92F2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7859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A188A8A"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88" w:name="ver_30137103"/>
      <w:bookmarkEnd w:id="88"/>
      <w:r w:rsidRPr="00562064">
        <w:rPr>
          <w:rFonts w:ascii="Arial" w:eastAsia="Times New Roman" w:hAnsi="Arial" w:cs="Arial"/>
          <w:b/>
          <w:bCs/>
          <w:color w:val="000000" w:themeColor="text1"/>
          <w:lang w:eastAsia="es-CO"/>
        </w:rPr>
        <w:t>Sección 2</w:t>
      </w:r>
    </w:p>
    <w:p w14:paraId="0A87A242"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Sistema Integrado de Información para el Posconflicto (SIIPO)</w:t>
      </w:r>
    </w:p>
    <w:p w14:paraId="1068747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89" w:name="ver_30137104"/>
      <w:bookmarkEnd w:id="89"/>
    </w:p>
    <w:p w14:paraId="12483B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2.1.1.7.2.1. Objeto del SIIPO. El objeto del Sistema Integrado de Información para el Posconflicto es contribuir a la transparencia, facilitar el seguimiento y verificación del Plan Marco para la Implementación del Acuerdo Final, así como las iniciativas adicionales del Gobierno nacional tales como políticas, planes, programas, proyectos y recursos para el posconflicto, previniendo cualquier forma de corrupción y dando garantías a la ciudadanía para facilitar el control social y la veeduría ciudadana. En particular, el SIIPO servirá como fuente de información para la Comisión de Seguimiento, Impulso y Verificación a la Implementación del Acuerdo Final (CSIVI).  </w:t>
      </w:r>
    </w:p>
    <w:p w14:paraId="7824D0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CE0412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90" w:name="ver_30137105"/>
      <w:bookmarkEnd w:id="90"/>
    </w:p>
    <w:p w14:paraId="2230A1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2.1.1.7.2.2. Administrador del SIIPO. Corresponde a la Alta Consejería Presidencial para el Posconflicto del Departamento Administrativo de la Presidencia de la República, o quien haga sus veces, en coordinación con las demás entidades del Gobierno nacional la administración, operación, implementación y actualización del SIIPO. El Sistema se alimentará de información del Gobierno nacional, y de aquellas otras fuentes que posean o procesen información confiable relativa a la implementación del Acuerdo Final y de las acciones para el posconflicto, para que sean fuente de información y de estadísticas, en lo que resulte pertinente. </w:t>
      </w:r>
    </w:p>
    <w:p w14:paraId="2B4BE64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91" w:name="ver_30137106"/>
      <w:bookmarkEnd w:id="91"/>
    </w:p>
    <w:p w14:paraId="19CE8D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2.1.1.7.2.3. Seguimiento. El SIIPO tendrá un componente de seguimiento, frente al estado efectivo del proceso de implementación del Acuerdo Final y de las demás acciones para el posconflicto reportadas en el sistema, así como de los indicadores, las metas, las políticas, planes, programas, proyectos, recursos y demás medidas que contribuyan a la implementación. De igual manera permitirá hacer seguimiento a la suscripción de convenios y contratos para la implementación del Acuerdo Final y el desarrollo de otras acciones para el posconflicto.  </w:t>
      </w:r>
    </w:p>
    <w:p w14:paraId="4F1EA4F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92" w:name="ver_30137107"/>
      <w:bookmarkEnd w:id="92"/>
    </w:p>
    <w:p w14:paraId="65AB17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2.1.1.7.2.4. Ventana de visibilización. El SIIPO tendrá una ventana de visibilización que se denominará Portal para la Paz, la cual permitirá el acceso a la información pública relacionada con la implementación del Acuerdo Final y otras acciones para el posconflicto, en lo relacionado con políticas, planes, programas, proyectos, recursos y las estrategias establecidas. El portal se constituirá en un medio de diálogo, divulgación y comunicación que facilite la participación ciudadana, control social y la lucha contra la corrupción.  </w:t>
      </w:r>
    </w:p>
    <w:p w14:paraId="267C0E9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p>
    <w:p w14:paraId="00485F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2.1.1.7.2.5. Modificaciones. La Alta Consejería Presidencial para el Posconflicto, o quien haga sus veces, definirá las funciones, fases de diseño, desarrollo e implementación </w:t>
      </w:r>
      <w:r w:rsidRPr="00562064">
        <w:rPr>
          <w:rFonts w:ascii="Arial" w:eastAsia="Times New Roman" w:hAnsi="Arial" w:cs="Arial"/>
          <w:color w:val="000000" w:themeColor="text1"/>
          <w:lang w:eastAsia="es-CO"/>
        </w:rPr>
        <w:lastRenderedPageBreak/>
        <w:t>del SIIPO. El sistema estará sujetos a las modificaciones y actualizaciones que, dentro de sus funciones, determine la Alta Consejería Presidencial para el Posconflicto del Departamento Administrativo de la Presidencia de la República, o quien haga sus veces. </w:t>
      </w:r>
    </w:p>
    <w:p w14:paraId="7374E3F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1C01C74F"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93" w:name="ver_30137109"/>
      <w:bookmarkEnd w:id="93"/>
      <w:r w:rsidRPr="00562064">
        <w:rPr>
          <w:rFonts w:ascii="Arial" w:eastAsia="Times New Roman" w:hAnsi="Arial" w:cs="Arial"/>
          <w:b/>
          <w:bCs/>
          <w:color w:val="000000" w:themeColor="text1"/>
          <w:lang w:eastAsia="es-CO"/>
        </w:rPr>
        <w:t>Sección 3</w:t>
      </w:r>
    </w:p>
    <w:p w14:paraId="0B47E6C9"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Seguimiento</w:t>
      </w:r>
    </w:p>
    <w:p w14:paraId="606D72A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94" w:name="ver_30137110"/>
      <w:bookmarkEnd w:id="94"/>
    </w:p>
    <w:p w14:paraId="61D35A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2.1.1.7.3.1. Planificación y gestión. El SIIPO contendrá la base de información recolectada y procesada dirigida a la ejecución y gestión de las políticas, planes, programas, proyectos y recursos para la implementación del Acuerdo Final y las otras acciones para el Posconflicto. Así mismo, facilitará el registro, articulación y gestión de las organizaciones cooperantes, donantes, operadores, contratistas y otros actores para el cumplimiento de su objeto.  </w:t>
      </w:r>
    </w:p>
    <w:p w14:paraId="56DEC6A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95" w:name="ver_30137111"/>
      <w:bookmarkEnd w:id="95"/>
    </w:p>
    <w:p w14:paraId="3B78CD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2.1.1.7.3.2. Objetivos, indicadores y metas. El SIIPO hará seguimiento del estado efectivo de los objetivos, indicadores y metas del Plan Marco de Implementación que permitan además del monitoreo, seguimiento, el ejercicio del control ciudadano sobre la ejecución de las políticas, planes, programas, proyectos y recursos destinados a la implementación del acuerdo final y el desarrollo de las acciones para el posconflicto.  </w:t>
      </w:r>
    </w:p>
    <w:p w14:paraId="5137D75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96" w:name="ver_30137112"/>
      <w:bookmarkEnd w:id="96"/>
    </w:p>
    <w:p w14:paraId="664E25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2.1.1.7.3.3. Reportes. El SIIPO proveerá información pública al Gobierno nacional y a la Comisión de Seguimiento, Impulso y Verificación a la Implementación del Acuerdo Final (CSIVI) para la consolidación y elaboración de informes relacionados con el avance en el cumplimiento del Acuerdo Final.  </w:t>
      </w:r>
    </w:p>
    <w:p w14:paraId="523BF2E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97" w:name="ver_30137113"/>
      <w:bookmarkEnd w:id="97"/>
    </w:p>
    <w:p w14:paraId="60E368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2.1.1.7.3.4. Integración y articulación. El SIIPO se integrará y articulará con las bases de datos y demás sistemas de información, plataformas y portales de las entidades de orden nacional y territorial que manejen información relacionada con la implementación del Acuerdo Final y otras acciones para el posconflicto, así como de la información pública estructurada, accesible y de calidad asociada al cumplimiento del Punto 6.1.5 del Acuerdo Final. </w:t>
      </w:r>
    </w:p>
    <w:p w14:paraId="0F3F3A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4174CB6"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98" w:name="ver_30137114"/>
      <w:bookmarkEnd w:id="98"/>
      <w:r w:rsidRPr="00562064">
        <w:rPr>
          <w:rFonts w:ascii="Arial" w:eastAsia="Times New Roman" w:hAnsi="Arial" w:cs="Arial"/>
          <w:b/>
          <w:bCs/>
          <w:color w:val="000000" w:themeColor="text1"/>
          <w:lang w:eastAsia="es-CO"/>
        </w:rPr>
        <w:t>Sección 4</w:t>
      </w:r>
    </w:p>
    <w:p w14:paraId="0CE69B5E"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Ventana de visibilización: Portal para la Paz</w:t>
      </w:r>
    </w:p>
    <w:p w14:paraId="05E30FF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99" w:name="ver_30137115"/>
      <w:bookmarkEnd w:id="99"/>
    </w:p>
    <w:p w14:paraId="72E712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2.1.1.7.4.1. Objeto del Portal para la Paz. Créase el Portal para la Paz, como un portal público electrónico de captura, gestión y georreferenciación de datos e información que permita la visualización y convergencia de la información pública asociada al proceso de implementación del Acuerdo Final y de otras acciones para el posconflicto, de conformidad con los lineamientos que la Alta Consejería Presidencial para el Posconflicto del Departamento Administrativo de la Presidencia de la República, o quien haga sus veces, establezca y las disposiciones contenidas en las Leyes 1712 de 2014 y 1581 de 2012 que resulten pertinentes. </w:t>
      </w:r>
    </w:p>
    <w:p w14:paraId="25C907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0C5126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00" w:name="ver_30137116"/>
      <w:bookmarkEnd w:id="100"/>
    </w:p>
    <w:p w14:paraId="135F59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2.1.1.7.4.2. Contenidos. El Portal para la Paz contendrá información pública sobre el Acuerdo Final y las acciones para el posconflicto, en particular la relacionada con las políticas, planes, programas, proyectos, contratación, y recursos. </w:t>
      </w:r>
    </w:p>
    <w:p w14:paraId="6C92636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01" w:name="ver_30137117"/>
      <w:bookmarkEnd w:id="101"/>
    </w:p>
    <w:p w14:paraId="46FC73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Artículo 2.1.1.7.4.3. Información sobre el posconflicto. El Portal para la Paz contendrá, dentro de la información pública sobre el proceso de implementación del Acuerdo Final y de otras acciones para el posconflicto como mínimo, la siguiente información:  </w:t>
      </w:r>
    </w:p>
    <w:p w14:paraId="5DF39C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Toda la información pública relacionada con las políticas, planes, programas, proyectos, contratación y recursos, determinados en el Plan Marco de implementación del Acuerdo Final, así como de las otras acciones para el posconflicto;  </w:t>
      </w:r>
    </w:p>
    <w:p w14:paraId="65D12F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Toda la información pública de las políticas, planes, programas, proyectos, contratación y recursos, discriminada para cada uno de los puntos establecidos en el Acuerdo Final;  </w:t>
      </w:r>
    </w:p>
    <w:p w14:paraId="251202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Información georreferenciada con énfasis en los territorios priorizados para la implementación del Acuerdo Final y las acciones para el posconflicto;  </w:t>
      </w:r>
    </w:p>
    <w:p w14:paraId="3EEE70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Objeto, costos, estado de avances y localización geográfica de los proyectos, discriminados para cada uno de los puntos concertados en el Acuerdo de Paz y otras acciones para el posconflicto que sean financiados con recursos públicos;  </w:t>
      </w:r>
    </w:p>
    <w:p w14:paraId="5C6491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Mapas y matrices de riesgos de corrupción, estrategias de mitigación y herramientas para la prevención de la corrupción asociadas a la implementación del Acuerdo Final;  </w:t>
      </w:r>
    </w:p>
    <w:p w14:paraId="191F9B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Información pública asociada al Sistema Integral de Verdad, Justicia, Reparación y garantías de no Repetición;  </w:t>
      </w:r>
    </w:p>
    <w:p w14:paraId="6CAB4C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h) Información sobre la oferta de los canales y/o instancias de atención a la ciudadanía y mecanismos de denuncia ciudadana;  </w:t>
      </w:r>
    </w:p>
    <w:p w14:paraId="02921F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 Información sobre el Sistema de Rendición de Cuentas sobre el Acuerdo Final, el plan de apoyo a las veedurías y los observatorios de transparencia;  </w:t>
      </w:r>
    </w:p>
    <w:p w14:paraId="3AD951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j) Información de canales electrónicos y físicos para la consulta de los procesos de restitución de tierras;  </w:t>
      </w:r>
    </w:p>
    <w:p w14:paraId="3E234C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k) Información del portal de la Comisión de Seguimiento, Impulso y Verificación a la Implementación del Acuerdo Final (CSIVI), así como sus informes y reportes que sean de carácter público;  </w:t>
      </w:r>
    </w:p>
    <w:p w14:paraId="6B3EDD2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 Información sobre los datos estadísticos de los beneficiarios de los proyectos ejecutados en el Plan Marco de Implementación del Acuerdo Final y otras acciones para el posconflicto, velando por la mayor desagregación posible y atendiendo los enfoques diferenciales;  </w:t>
      </w:r>
    </w:p>
    <w:p w14:paraId="65B805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m) Información disponible y seguimiento que aporte el sector privado que apoye los procesos y acciones para el posconflicto;  </w:t>
      </w:r>
    </w:p>
    <w:p w14:paraId="5FC181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n) Productos comunicacionales públicos que tengan la función de facilitar el entendimiento del Acuerdo Final y sus instancias, sin perjuicio de las demás disposiciones contenidas en el Acuerdo Final para la terminación del conflicto;  </w:t>
      </w:r>
    </w:p>
    <w:p w14:paraId="1D8186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o) Información que dé cuenta del avance, desarrollo e implementación de las medidas para la transparencia establecidas en el numeral 6.1.5 del Acuerdo Final;  </w:t>
      </w:r>
    </w:p>
    <w:p w14:paraId="0D016E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 Información del Consejo Nacional de Reincorporación (CNR), así como sus informes y reportes que sean de carácter público.  </w:t>
      </w:r>
    </w:p>
    <w:p w14:paraId="0AF453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7A3943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02" w:name="ver_30137118"/>
      <w:bookmarkEnd w:id="102"/>
    </w:p>
    <w:p w14:paraId="4979D8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2.1.1.7.4.4. Integración y articulación. El Portal para la Paz se integrará y articulará con las bases de datos y demás sistemas de información, plataformas y portales de las entidades de orden nacional y territorial que manejen información relacionada con la implementación del Acuerdo Final y de otras acciones para el posconflicto.  </w:t>
      </w:r>
    </w:p>
    <w:p w14:paraId="020CAF0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03" w:name="ver_30137119"/>
      <w:bookmarkEnd w:id="103"/>
    </w:p>
    <w:p w14:paraId="3BA24B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2.1.1.7.4.5. Propiedad de la información y licencia de uso. Los datos y la información publicados en el Portal para la Paz son públicos, por esta razón, conforme a las disposiciones de la Ley 1712 de 2014, se podrá hacer uso, aprovechamiento y/o transformación de forma libre y sin restricciones, para hacer aplicaciones por parte de terceros y contenidos de su propia creación.  </w:t>
      </w:r>
    </w:p>
    <w:p w14:paraId="5C28BF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59B0E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Para efectos de las presentes condiciones, se entiende por uso, aprovechamiento y/o transformación autorizada de los datos, las actividades tales como: redistribución, compilación, extracción, copia, difusión, modificación y adaptación de los datos.  </w:t>
      </w:r>
    </w:p>
    <w:p w14:paraId="65E3D0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D013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usuario que haga uso, aprovechamiento y/o transformación, de los datos y/o de la información publicada en este sitio web deberá hacer la cita textual: “Fuente: Portal para la Paz”, y mencionar la fecha de la última actualización de los datos objeto del uso y/o transformación, cuando esta se encuentre incluida en el dato original.  </w:t>
      </w:r>
    </w:p>
    <w:p w14:paraId="1C8D2E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39DA1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cualquier caso, está prohibido desnaturalizar el sentido de los datos y/o de la información publicada en este portal, por lo tanto, no deben alterarse ni suprimirse los metadatos sobre la fecha de actualización y las condiciones de uso y/o transformaciones aplicables.  </w:t>
      </w:r>
    </w:p>
    <w:p w14:paraId="197098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A288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información que se publique en Portal para la Paz deberá indicar la fuente que la produce. </w:t>
      </w:r>
    </w:p>
    <w:p w14:paraId="694B23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ED4BBE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04" w:name="ver_30137120"/>
      <w:bookmarkEnd w:id="104"/>
    </w:p>
    <w:p w14:paraId="7239F7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2.1.1.7.4.6. Responsabilidad de los usuarios. La Alta Consejería Presidencial para el Posconflicto del Departamento Administrativo de la Presidencia de la República, o quien haga sus veces, como administradora del Portal, no será responsable del uso de la información que hagan los usuarios.  </w:t>
      </w:r>
    </w:p>
    <w:p w14:paraId="05B8FDEB" w14:textId="77777777" w:rsidR="00143180" w:rsidRPr="00562064" w:rsidRDefault="00143180" w:rsidP="00143180">
      <w:pPr>
        <w:spacing w:after="0" w:line="293" w:lineRule="atLeast"/>
        <w:jc w:val="both"/>
        <w:rPr>
          <w:rFonts w:ascii="Arial" w:eastAsia="Times New Roman" w:hAnsi="Arial" w:cs="Arial"/>
          <w:color w:val="000000" w:themeColor="text1"/>
          <w:spacing w:val="45"/>
          <w:lang w:eastAsia="es-CO"/>
        </w:rPr>
      </w:pPr>
      <w:bookmarkStart w:id="105" w:name="ver_30137121"/>
      <w:bookmarkEnd w:id="105"/>
    </w:p>
    <w:p w14:paraId="630C323F" w14:textId="6814EC45"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5</w:t>
      </w:r>
    </w:p>
    <w:p w14:paraId="65F09398"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Complementarias</w:t>
      </w:r>
    </w:p>
    <w:p w14:paraId="595B1FF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06" w:name="ver_30137122"/>
      <w:bookmarkEnd w:id="106"/>
    </w:p>
    <w:p w14:paraId="27B50C94" w14:textId="6C75BC35"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2.1.1.7.5.1. Reporte de la información. La Alta Consejería Presidencial para el Posconflicto del Departamento Administrativo la Presidencia de la República, o quien haga sus veces determinará las entidades y condiciones del reporte obligatorio de la información que permita el análisis, seguimiento, monitoreo y visibilidad del proceso de implementación del Acuerdo Final y otras de las acciones para el posconflicto. La veracidad, exactitud y entrega de los datos que se suministren será responsabilidad exclusiva de la entidad competente y se regirá bajo los principios establecidos en la Ley 1712 de 2014.  </w:t>
      </w:r>
    </w:p>
    <w:p w14:paraId="67B04AB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07" w:name="ver_30137123"/>
      <w:bookmarkEnd w:id="107"/>
    </w:p>
    <w:p w14:paraId="712FAD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2.1.1.7.5.2. Publicidad de datos abiertos. La información generada y producida por el Portal para la Paz deberá ser publicada, entre otros, en formato de dato abierto y observar los requisitos establecidos en el literal j) del artículo 11 de la Ley 1712 de 2014. La información pública generada por el SIIPO y el Portal para la Paz permitirá la integración y/o disposición de la misma en el Portal de Datos del Estado colombiano.  </w:t>
      </w:r>
    </w:p>
    <w:p w14:paraId="6FB48E9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08" w:name="ver_30137124"/>
      <w:bookmarkEnd w:id="108"/>
    </w:p>
    <w:p w14:paraId="7CCFA4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2.1.1.7.5.3. Articulación con la Secretaría de Transparencia de la Presidencia de la República.  </w:t>
      </w:r>
    </w:p>
    <w:p w14:paraId="44E4CF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Secretaría de Transparencia de la Presidencia de la República podrá solicitar al administrador del SIIPO la vinculación e inclusión de información relevante en el SIIPO relacionada con la gestión de los recursos públicos y la implementación de las acciones para el posconflicto.  </w:t>
      </w:r>
    </w:p>
    <w:p w14:paraId="18F4A2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4E64BC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09" w:name="ver_30137125"/>
      <w:bookmarkEnd w:id="109"/>
    </w:p>
    <w:p w14:paraId="41F5AC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2.1.1.7.5.4. Articulación con el Sistema de Rendición de Cuentas para la implementación del Acuerdo de Paz. La información dispuesta en el Portal para la Paz, hará parte de los procesos de información y diálogo para la rendición de cuentas que se </w:t>
      </w:r>
      <w:r w:rsidRPr="00562064">
        <w:rPr>
          <w:rFonts w:ascii="Arial" w:eastAsia="Times New Roman" w:hAnsi="Arial" w:cs="Arial"/>
          <w:color w:val="000000" w:themeColor="text1"/>
          <w:lang w:eastAsia="es-CO"/>
        </w:rPr>
        <w:lastRenderedPageBreak/>
        <w:t>integrarán en el Sistema de Rendición de Cuentas para la implementación del Acuerdo de Paz, cuyos lineamientos serán expedidos por el Departamento Administrativo de la Función Pública y serán atendidos por las entidades y organismos que conforman la administración pública y por aquellas instancias o cuerpos colegiados que contribuyan en la implementación del Acuerdo Final.  </w:t>
      </w:r>
    </w:p>
    <w:p w14:paraId="618DC4D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10" w:name="ver_30137126"/>
      <w:bookmarkEnd w:id="110"/>
    </w:p>
    <w:p w14:paraId="16C5FF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2.1.1.7.5.5. Requisitos del Sistema Integrado de Información para el Posconflicto SIIPO. Para garantizar la consulta y acceso a los documentos electrónicos y la información contenida, el SIIPO deberá cumplir con los requisitos mínimos obligatorios de autenticidad, integridad, inalterabilidad, fiabilidad, disponibilidad y preservación definidos por la normativa que rige la administración de archivos y la gestión documental.  </w:t>
      </w:r>
    </w:p>
    <w:p w14:paraId="44E3868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7ABE1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Se garantizará el intercambio de información entre los diferentes sectores, mediante esquemas de interoperabilidad que estandaricen y faciliten la gestión de la información contenida en los Sistemas de Información, bajo los lineamientos de la estrategia de Gobierno en Línea del Ministerio de Tecnologías de la Información y las Comunicaciones. Para tales efectos se atenderán las directrices del Decreto número 2280 de 2010.  </w:t>
      </w:r>
    </w:p>
    <w:p w14:paraId="4280477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11" w:name="ver_30137127"/>
      <w:bookmarkEnd w:id="111"/>
    </w:p>
    <w:p w14:paraId="4E433B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2.1.1.7.5.6. Directrices técnicas y operativas. La Alta Consejería Presidencial para el Posconflicto, del Departamento Administrativo de la Presidencia de la República generará las directrices técnicas y operativas necesarias para la consolidación del SIIPO.  </w:t>
      </w:r>
    </w:p>
    <w:p w14:paraId="044168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tal fin, podrán indicar a las diferentes entidades reportantes, los tipos de datos que se deben recoger y aquellos que son necesarios para el cumplimiento de los objetivos.  </w:t>
      </w:r>
    </w:p>
    <w:p w14:paraId="5C639F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80F334B"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12" w:name="ver_30106707"/>
      <w:bookmarkEnd w:id="112"/>
      <w:r w:rsidRPr="00562064">
        <w:rPr>
          <w:rFonts w:ascii="Arial" w:eastAsia="Times New Roman" w:hAnsi="Arial" w:cs="Arial"/>
          <w:b/>
          <w:bCs/>
          <w:color w:val="000000" w:themeColor="text1"/>
          <w:lang w:eastAsia="es-CO"/>
        </w:rPr>
        <w:t>TÍTULO 2</w:t>
      </w:r>
    </w:p>
    <w:p w14:paraId="7A2FB190"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DIRECTRICES GENERALES DE TÉCNICA NORMATIVA</w:t>
      </w:r>
    </w:p>
    <w:p w14:paraId="12BBE21E"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1</w:t>
      </w:r>
    </w:p>
    <w:p w14:paraId="08894084" w14:textId="3463D273" w:rsidR="00E475BF" w:rsidRPr="00562064" w:rsidRDefault="00E475BF" w:rsidP="00FC77D5">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Aspectos Generales</w:t>
      </w:r>
    </w:p>
    <w:p w14:paraId="147CAEB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13" w:name="ver_30106708"/>
      <w:bookmarkEnd w:id="113"/>
    </w:p>
    <w:p w14:paraId="0E4692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2.1.2.1.1. Objeto. El presente título establece directrices generales de técnica normativa para la elaboración de proyectos de decretos y resoluciones para la firma del Presidente de la República.  </w:t>
      </w:r>
    </w:p>
    <w:p w14:paraId="2D55D3B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14" w:name="ver_30106709"/>
      <w:bookmarkEnd w:id="114"/>
    </w:p>
    <w:p w14:paraId="50A91B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2.1.2.1.2. Finalidad. Las directrices generales de técnica normativa previstas en el presente título tienen como finalidad racionalizar la expedición de decretos y resoluciones, dotar de seguridad jurídica a los destinatarios de la norma, evitar la dispersión y proliferación normativa, así como optimizar los recursos físicos y humanos utilizados en esta actividad, con el propósito de construir un ordenamiento jurídico eficaz, coherente y estructurado a partir de preceptos normativos correctamente formulados.  </w:t>
      </w:r>
    </w:p>
    <w:p w14:paraId="0C93609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15" w:name="ver_30106710"/>
      <w:bookmarkEnd w:id="115"/>
    </w:p>
    <w:p w14:paraId="0CEC90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2.1.2.1.3. Ámbito de aplicación. El presente título se aplica a los ministerios y departamentos administrativos que en razón a sus funciones deben preparar proyectos de decretos y resoluciones para la firma del Presidente de la República.  </w:t>
      </w:r>
    </w:p>
    <w:p w14:paraId="6A802C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3C41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las demás entidades de la Rama Ejecutiva del Poder Público en el orden nacional y a las entidades territoriales en relación con los decretos y resoluciones de carácter general de los Alcaldes y Gobernadores, el presente título les será aplicable en los términos del artículo 2.1.2.1.21. del presente Decreto.  </w:t>
      </w:r>
    </w:p>
    <w:p w14:paraId="6C995F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14414D" w14:textId="653E08F0"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Parágrafo. La coordinación y verificación del cumplimiento de las directrices de técnica normativa estará a cargo de la secretaría jurídica o, en su defecto, de la oficina jurídica de cada organismo o entidad.  </w:t>
      </w:r>
      <w:bookmarkStart w:id="116" w:name="ver_30106711"/>
      <w:bookmarkEnd w:id="116"/>
    </w:p>
    <w:p w14:paraId="17E9DB7F" w14:textId="77777777" w:rsidR="00143180" w:rsidRPr="00562064" w:rsidRDefault="00143180" w:rsidP="00143180">
      <w:pPr>
        <w:spacing w:after="0" w:line="254" w:lineRule="atLeast"/>
        <w:jc w:val="both"/>
        <w:rPr>
          <w:rFonts w:ascii="Arial" w:eastAsia="Times New Roman" w:hAnsi="Arial" w:cs="Arial"/>
          <w:color w:val="000000" w:themeColor="text1"/>
          <w:lang w:eastAsia="es-CO"/>
        </w:rPr>
      </w:pPr>
    </w:p>
    <w:p w14:paraId="4F19DF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2.1.2.1.4. Supremacía constitucional, reserva legal y jerarquía normativa. En la elaboración de decretos y resoluciones de carácter general que sean sometidos a consideración del Presidente de la República se deberá observar la Constitución y la ley, así como los principios que rigen la función administrativa.  </w:t>
      </w:r>
    </w:p>
    <w:p w14:paraId="2EB016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4492A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dependencias encargadas de elaborar los respectivos proyectos deberán verificar la competencia para expedir el decreto o resolución y tener en cuenta que a través de dichos actos no podrán regular materias reservadas a la ley, ni infringir normas de rango superior al que se va a expedir.  </w:t>
      </w:r>
    </w:p>
    <w:p w14:paraId="670AB9A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17" w:name="ver_30106712"/>
      <w:bookmarkEnd w:id="117"/>
    </w:p>
    <w:p w14:paraId="218098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2.1.2.1.5. Prohibición de crear faltas, sanciones, multas, tasas o contribuciones. En desarrollo del principio de legalidad, ningún decreto o resolución podrá crear faltas administrativas o disciplinarias, ni establecer sanciones, multas, tasas o contribuciones de cualquier naturaleza.  </w:t>
      </w:r>
    </w:p>
    <w:p w14:paraId="6F856E73" w14:textId="019657BB"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18" w:name="ver_30106766"/>
      <w:bookmarkStart w:id="119" w:name="ver_30106713"/>
      <w:bookmarkEnd w:id="118"/>
    </w:p>
    <w:p w14:paraId="6CEB2F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2.1.2.1.6. Memoria justificativa. Los proyectos de decreto y resolución proyectados para la firma del Presidente de la República deberán remitirse con la firma del Ministro o Director del Departamento Administrativo correspondientes a la Secretaría Jurídica de la Presidencia de la República, acompañados de una memoria justificativa que contenga: </w:t>
      </w:r>
    </w:p>
    <w:p w14:paraId="157C00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3942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Los antecedentes y las razones de oportunidad y conveniencia que justifican su expedición. </w:t>
      </w:r>
    </w:p>
    <w:p w14:paraId="1CA7AF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806DB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ámbito de aplicación del respectivo acto y los sujetos a quienes va dirigido. </w:t>
      </w:r>
    </w:p>
    <w:p w14:paraId="6A26C7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CC06E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La viabilidad jurídica, que deberá contar con el visto bueno de la oficina jurídica de la entidad o la dependencia que haga sus veces. </w:t>
      </w:r>
    </w:p>
    <w:p w14:paraId="2D4F13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BE4C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impacto económico, si es el caso, el cual deberá señalar el costo o ahorro de implementación del respectivo acto. </w:t>
      </w:r>
    </w:p>
    <w:p w14:paraId="1877FCE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2D87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La disponibilidad presupuestal, si fuere el caso. </w:t>
      </w:r>
    </w:p>
    <w:p w14:paraId="43C091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8993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De ser necesario, el impacto medioambiental o sobre el patrimonio cultural de la Nación. </w:t>
      </w:r>
    </w:p>
    <w:p w14:paraId="31DAAF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78F1C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El cumplimiento de los requisitos de consulta y publicidad previstos en los artículos 2.1.2.1.13 y 2.1.2.1.14 del presente Decreto, cuando haya lugar a ello.  </w:t>
      </w:r>
    </w:p>
    <w:p w14:paraId="13DFA0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caso de que la entidad no haya publicado el proyecto específico de regulación por el término previsto en el primer inciso del artículo 2.1.2.1.14, en la memoria justificativa deberá explicar las razones que le impidieron hacerlo </w:t>
      </w:r>
    </w:p>
    <w:p w14:paraId="051786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981B8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Cualquier otro aspecto que la entidad remitente considere relevante o de importancia para la adopción de la decisión. </w:t>
      </w:r>
    </w:p>
    <w:p w14:paraId="50641B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8C40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Cuando el proyecto no requiera alguno de los aspectos antes señalados, deberá explicarse tal circunstancia en la respectiva memoria. Si por disposición de la Constitución o la ley </w:t>
      </w:r>
      <w:r w:rsidRPr="00562064">
        <w:rPr>
          <w:rFonts w:ascii="Arial" w:eastAsia="Times New Roman" w:hAnsi="Arial" w:cs="Arial"/>
          <w:color w:val="000000" w:themeColor="text1"/>
          <w:lang w:eastAsia="es-CO"/>
        </w:rPr>
        <w:lastRenderedPageBreak/>
        <w:t>existieren documentos sometidos a reserva, esta deberá mantenerse en los términos de las leyes estatutarias u ordinarias que regulen la materia. </w:t>
      </w:r>
    </w:p>
    <w:p w14:paraId="3E85CB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CE2B8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Una matriz con el resumen de las observaciones y comentarios de los ciudadanos y grupos de interés al proyecto específico de regulación. </w:t>
      </w:r>
    </w:p>
    <w:p w14:paraId="59685D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Un Informe Global con la evaluación, por categorías, de las observaciones y co</w:t>
      </w:r>
      <w:r w:rsidRPr="00562064">
        <w:rPr>
          <w:rFonts w:ascii="Arial" w:eastAsia="Times New Roman" w:hAnsi="Arial" w:cs="Arial"/>
          <w:color w:val="000000" w:themeColor="text1"/>
          <w:lang w:eastAsia="es-CO"/>
        </w:rPr>
        <w:softHyphen/>
        <w:t>mentarios de los ciudadanos y grupos de interés. </w:t>
      </w:r>
    </w:p>
    <w:p w14:paraId="13CBEC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Informe Global deberá publicarse, después del vencimiento del término de parti</w:t>
      </w:r>
      <w:r w:rsidRPr="00562064">
        <w:rPr>
          <w:rFonts w:ascii="Arial" w:eastAsia="Times New Roman" w:hAnsi="Arial" w:cs="Arial"/>
          <w:color w:val="000000" w:themeColor="text1"/>
          <w:lang w:eastAsia="es-CO"/>
        </w:rPr>
        <w:softHyphen/>
        <w:t>cipación ciudadana, en la sección de Transparencia y Acceso a la Información Pública del sitio web de la entidad, y deberá permanecer allí como antecedente normativo, junto con el proyecto de regulación correspondiente. </w:t>
      </w:r>
    </w:p>
    <w:p w14:paraId="643124EA" w14:textId="47DA4988"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En virtud de lo dispuesto en el artículo 2.1.2.1.11 de este decreto, cuando el pro</w:t>
      </w:r>
      <w:r w:rsidRPr="00562064">
        <w:rPr>
          <w:rFonts w:ascii="Arial" w:eastAsia="Times New Roman" w:hAnsi="Arial" w:cs="Arial"/>
          <w:color w:val="000000" w:themeColor="text1"/>
          <w:lang w:eastAsia="es-CO"/>
        </w:rPr>
        <w:softHyphen/>
        <w:t>yecto específico de regulación cree o modifique un trámite, deberá adjuntarse el concepto del Departamento Administrativo de la Función Pública. </w:t>
      </w:r>
    </w:p>
    <w:p w14:paraId="4C62017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20" w:name="ver_30106714"/>
      <w:bookmarkEnd w:id="119"/>
      <w:bookmarkEnd w:id="120"/>
    </w:p>
    <w:p w14:paraId="66DF37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2.1.2.1.7. Contenido de la memoria justificativa en lo relativo a la viabilidad jurídica. El estudio de viabilidad jurídica deberá incluir los siguientes aspectos:  </w:t>
      </w:r>
    </w:p>
    <w:p w14:paraId="1C7354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7AB4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Análisis expreso y detallado de las normas que otorgan la competencia para la expedición del correspondiente acto.  </w:t>
      </w:r>
    </w:p>
    <w:p w14:paraId="717C1E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B565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La vigencia de la ley o norma reglamentada o desarrollada.  </w:t>
      </w:r>
    </w:p>
    <w:p w14:paraId="670880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46906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Las disposiciones derogadas, subrogadas, modificadas, adicionadas o sustituidas, si alguno de estos efectos se produce con la expedición del respectivo acto.  </w:t>
      </w:r>
    </w:p>
    <w:p w14:paraId="4A1DF7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B4E1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Revisión y análisis de las decisiones judiciales de los órganos de cierre de cada jurisdicción que pudieran tener impacto o ser relevantes para la expedición del acto.  </w:t>
      </w:r>
    </w:p>
    <w:p w14:paraId="083ACF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3454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Advertencia de cualquier otra circunstancia jurídica que pueda ser relevante para la expedición del acto.  </w:t>
      </w:r>
    </w:p>
    <w:p w14:paraId="715A9EFA" w14:textId="6EC87BD5"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21" w:name="ver_30106715"/>
      <w:bookmarkEnd w:id="121"/>
    </w:p>
    <w:p w14:paraId="3C91C5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2.1.2.1.8. Deber de coordinación. Cuando el respectivo proyecto tenga impacto o comprenda materias propias de ministerios o departamentos administrativos diferentes al que ha tomado la iniciativa de elaboración, este deberá ponerlo en conocimiento de aquellos y coordinar lo pertinente para que el texto remitido a la firma del Presidente de la República se encuentre debidamente conciliado y refleje una visión integral y coherente del asunto.  </w:t>
      </w:r>
    </w:p>
    <w:p w14:paraId="3F5DE9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C12A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 el proyecto no logra ser conciliado entre las respectivas entidades y organismos, se informará así a la Secretaría Jurídica del Departamento Administrativo de la Presidencia de la República, para que bajo su coordinación y arbitraje se defina el correspondiente contenido.  </w:t>
      </w:r>
    </w:p>
    <w:p w14:paraId="730A10EE" w14:textId="651E7F73"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22" w:name="ver_30106716"/>
      <w:bookmarkEnd w:id="122"/>
    </w:p>
    <w:p w14:paraId="643862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2.1.2.1.9. Abogacía de la competencia. De conformidad con lo previsto en el artículo 7° de la Ley 1340 de 2009, el ministerio o departamento administrativo responsable deberá informar a la Superintendencia de Industria y Comercio de todos aquellos proyectos normativos que puedan tener incidencia en la libre competencia en los mercados, como por ejemplo, aquellos que tengan por objeto o puedan tener como efecto limitar el número o variedad de competidores en uno o varios mercados relevantes, la capacidad de las empresas para competir o la libre elección o información disponible para los consumidores </w:t>
      </w:r>
      <w:r w:rsidRPr="00562064">
        <w:rPr>
          <w:rFonts w:ascii="Arial" w:eastAsia="Times New Roman" w:hAnsi="Arial" w:cs="Arial"/>
          <w:color w:val="000000" w:themeColor="text1"/>
          <w:lang w:eastAsia="es-CO"/>
        </w:rPr>
        <w:lastRenderedPageBreak/>
        <w:t>en un mercado relevante determinado. En caso de que la Superintendencia de Industria y Comercio haya proferido concepto y se considere necesario apartarse del mismo, se dejará constancia de esa circunstancia en la memoria justificativa.  </w:t>
      </w:r>
    </w:p>
    <w:p w14:paraId="039E7AC8" w14:textId="1C4383A8"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23" w:name="ver_30106717"/>
      <w:bookmarkEnd w:id="123"/>
    </w:p>
    <w:p w14:paraId="71D8FD3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2.1.2.1.10. Reglamentos técnicos y de procedimientos de evaluación de la conformidad. Todos los proyectos de reglamentos técnicos y de procedimientos de evaluación de la conformidad deberán ser notificados a través del punto de contacto de Colombia a los países miembros de la Organización Mundial del Comercio, de la Comunidad Andina de Naciones y a los países con los cuales Colombia tenga acuerdos comerciales vigentes que contemplen la obligación de notificación internacional. Para tal efecto, cada entidad reguladora deberá enviar a la Dirección de Regulación del Ministerio de Comercio, Industria y Turismo el proyecto de reglamento técnico o del procedimiento de evaluación de la conformidad para su correspondiente notificación. </w:t>
      </w:r>
    </w:p>
    <w:p w14:paraId="2C77B1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E439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Una vez surtida la expedición del reglamento técnico, la entidad reguladora deberá enviar al punto de contacto de Colombia el correspondiente acto administrativo para su notificación internacional. </w:t>
      </w:r>
    </w:p>
    <w:p w14:paraId="7C6CBF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FE31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Conforme con lo establecido en el artículo 72 de la Ley 1480 de 2011, no se podrá publicar en el Diario Oficial y, por lo tanto, no podrá entrar a regir ningún reglamento técnico que no cuente con la certificación expedida por el punto de contacto de Colombia, salvo las excepciones previstas para la adopción de reglamentos técnicos de emergencia. </w:t>
      </w:r>
    </w:p>
    <w:p w14:paraId="1CC9B0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75066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24" w:name="ver_30106718"/>
      <w:bookmarkEnd w:id="124"/>
    </w:p>
    <w:p w14:paraId="248338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2.1.2.1.11. Impacto normativo en los proyectos que establezcan trámites autorizados por la ley. Al tenor de lo dispuesto en el artículo 1 de la Ley 962 de 2005, modificado por el artículo 39 del Decreto Ley 019 de 2012, cuando un proyecto normativo establezca un nuevo trámite, la entidad que ha tomado la iniciativa de su estructuración deberá someterlo a consideración previa del Departamento Administrativo de la Función Pública. En la memoria justificativa del proyecto y en la parte motiva del respectivo decreto o resolución se dejará constancia de cumplimiento de ese trámite.  </w:t>
      </w:r>
    </w:p>
    <w:p w14:paraId="5922BC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AB92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ello, acreditará su justificación, eficacia, eficiencia y los costos de implementación para los obligados a cumplirlo; asimismo, deberá demostrar la existencia de recursos presupuestales y administrativos necesarios para su aplicación. En caso de encontrarlo razonable y adecuado con la política de simplificación, racionalización y estandarización de trámites, el Departamento Administrativo de la Función Pública autorizará su adopción e implementación. </w:t>
      </w:r>
    </w:p>
    <w:p w14:paraId="65147C6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25" w:name="ver_30106719"/>
      <w:bookmarkEnd w:id="125"/>
    </w:p>
    <w:p w14:paraId="5DF587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2.1.2.1.12. Racionalización, regulación integral y seguridad jurídica. En la preparación de proyectos de decretos o resoluciones o de cualquier otro acto administrativo de carácter general, las autoridades evitarán la dispersión y proliferación normativa. Por tanto, el Ministerio o Departamento Administrativo responsable de elaborar el respectivo proyecto verificará que se incluyan todos los aspectos necesarios para evitar modificaciones o correcciones posteriores que hubieran podido preverse.  </w:t>
      </w:r>
    </w:p>
    <w:p w14:paraId="2F65FF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0702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caso de que dentro del año inmediatamente anterior a la fecha probable de expedición del acto regulatorio ya se hubiese reglamentado la misma materia, la memoria justificativa deberá contener, además de lo señalado en los artículos 2.1.2.1.6. y 2.1.2.1.7. del presente Decreto, la explicación de las razones por las cuales se justifica la expedición del nuevo decreto o resolución y el impacto que ello tendrá en la seguridad jurídica.  </w:t>
      </w:r>
    </w:p>
    <w:p w14:paraId="7A86B7B9" w14:textId="5E0C3A30"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  </w:t>
      </w:r>
      <w:bookmarkStart w:id="126" w:name="ver_30106720"/>
      <w:bookmarkEnd w:id="126"/>
    </w:p>
    <w:p w14:paraId="288941E0" w14:textId="1621345B"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2.1.2.1.13. Deber de consultar. Cuando la Constitución y la ley así lo ordenen, deberán realizarse las consultas en ellas señaladas, caso en el cual a la memoria justificativa deberá anexarse la constancia que acredite que se ha cumplido dicho trámite.  </w:t>
      </w:r>
      <w:bookmarkStart w:id="127" w:name="ver_30106761"/>
      <w:bookmarkStart w:id="128" w:name="ver_30106721"/>
      <w:bookmarkEnd w:id="127"/>
    </w:p>
    <w:p w14:paraId="34B103C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EB5F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2.1.2.1.14. Publicidad de los proyectos específicos de regulación expedidos con firma del Presidente de la República. Con el fin de que los ciudadanos o grupos de interés participen en el proceso de producción normativa, a través de opiniones, sugerencias o propuestas alternativas, los proyectos específicos de regulación elaborados para la firma del Presidente de la República deberán publicarse en la sección de Transparencia y Acceso a la Información Pública del sitio web del Ministerio o departamento administrativo que los lidere, por lo menos durante quince (15) días calendario, antes de ser remitidos a la Secretaría Jurídica de la Presidencia de la República.  </w:t>
      </w:r>
    </w:p>
    <w:p w14:paraId="31B333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CBE0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“Excepcionalmente, la publicación podrá hacerse por un plazo inferior, siempre que el Ministerio o el Departamento Administrativo lo justifique de manera adecuada. En cualquier caso, el plazo deberá ser razonable y ajustado a la necesidad de la regulación.  </w:t>
      </w:r>
    </w:p>
    <w:p w14:paraId="227881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Para los efectos de este título, entiéndase como “proyecto específico de regulación” todo proyecto de acto administrativo de contenido general y abstracto que pretenda ser expedido por la autoridad competente.  </w:t>
      </w:r>
    </w:p>
    <w:p w14:paraId="0419887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publicación de cada proyecto específico de regulación se hará junto con la de un Soporte Técnico.  </w:t>
      </w:r>
    </w:p>
    <w:p w14:paraId="62943C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Dicho Soporte deberá contener, como mínimo, la siguiente información: los anteceden</w:t>
      </w:r>
      <w:r w:rsidRPr="00562064">
        <w:rPr>
          <w:rFonts w:ascii="Arial" w:eastAsia="Times New Roman" w:hAnsi="Arial" w:cs="Arial"/>
          <w:color w:val="000000" w:themeColor="text1"/>
          <w:lang w:eastAsia="es-CO"/>
        </w:rPr>
        <w:softHyphen/>
        <w:t>tes y las razones de oportunidad y conveniencia que justifican la expedición de la norma; su ámbito de aplicación y los sujetos a quienes va dirigida; un estudio preliminar sobre la viabilidad jurídica de la disposición; un estudio preliminar sobre su posible impacto económico y un estudio preliminar sobre el posible impacto medioambiental o sobre el patrimonio cultural de la Nación, si fuere el caso.  </w:t>
      </w:r>
    </w:p>
    <w:p w14:paraId="6BE1F8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70560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Los proyectos específicos de regulación que establezcan o regulen un trámite deberán publicarse junto con la Manifestación de Impacto Regulatorio a que se refiere el artículo 39 del Decreto-ley número 019 de 2012”.  </w:t>
      </w:r>
    </w:p>
    <w:p w14:paraId="5201067A" w14:textId="33CEB2EC"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6261B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29" w:name="ver_30106722"/>
      <w:bookmarkEnd w:id="128"/>
      <w:bookmarkEnd w:id="129"/>
    </w:p>
    <w:p w14:paraId="354AA84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2.1.2.1.15. Deber de calidad formal. La redacción del proyecto deberá caracterizarse por su claridad, precisión, sencillez y coherencia, en forma tal que el texto no presente ambigüedad ni contradicciones.  </w:t>
      </w:r>
    </w:p>
    <w:p w14:paraId="4B7D1B8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30" w:name="ver_30106723"/>
      <w:bookmarkEnd w:id="130"/>
    </w:p>
    <w:p w14:paraId="19956F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2.1.2.1.16. Estructura del proyecto. Los proyectos de decreto o resolución deberán tener la siguiente estructura formal:  </w:t>
      </w:r>
    </w:p>
    <w:p w14:paraId="14D2D0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9177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Encabezado: contendrá la denominación del acto utilizando las palabras en mayúsculas: “DECRETO” o “RESOLUCIÓN”, expresión que constituye el nombre oficial del mismo y que permitirá su rápida identificación.  </w:t>
      </w:r>
    </w:p>
    <w:p w14:paraId="45ACD2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23B8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Seguidamente se dejará un espacio suficiente para el número y la fecha de expedición.  </w:t>
      </w:r>
    </w:p>
    <w:p w14:paraId="7F5751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F022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Epígrafe del decreto o resolución: Constituye el título del decreto o resolución. Sirve para indicar brevemente una idea del contenido o tema.  </w:t>
      </w:r>
    </w:p>
    <w:p w14:paraId="3E64DA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100D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4. Competencia: Identificará expresamente la atribución constitucional y la facultad legal que otorga la competencia para expedir el acto.  </w:t>
      </w:r>
    </w:p>
    <w:p w14:paraId="08F53D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4B50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Parte considerativa o motiva: Se identificará con la palabra en mayúsculas “CONSIDERANDO”, y continúa con párrafos formados por una o por varias frases completas. Se formula de modo no imperativo ya que no debe confundirse con la parte dispositiva. Contendrá una breve explicación de los antecedentes y necesidades que justifican la expedición del acto.  </w:t>
      </w:r>
    </w:p>
    <w:p w14:paraId="3B54F7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AEE0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Parte dispositiva: Es la parte normativa del acto. Comenzará con las palabras en mayúsculas “DECRETA” o “RESUELVE”, según se trate de decretos o resoluciones. La parte dispositiva se expresa en prescripciones que deben ir directamente al objetivo, esto es, la producción de efectos jurídicos, o a su creación, modificación o extinción.  </w:t>
      </w:r>
    </w:p>
    <w:p w14:paraId="60EC0A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6563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Derogatorias: Indicará expresamente las disposiciones derogadas, subrogadas, modificadas, adicionadas o sustituidas. En consecuencia, deberán evitarse aquellas fórmulas de derogatoria tácita.  </w:t>
      </w:r>
    </w:p>
    <w:p w14:paraId="7EA834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603E7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Vigencia: Señalará a partir de qué momento entrará en vigencia el acto.  </w:t>
      </w:r>
    </w:p>
    <w:p w14:paraId="2EE467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6575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Antefirma del Ministro o Director de Departamento Administrativo y firma.  </w:t>
      </w:r>
    </w:p>
    <w:p w14:paraId="4E67CA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5B36F2" w14:textId="1BB2C3E8"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31" w:name="ver_30106724"/>
      <w:bookmarkEnd w:id="131"/>
    </w:p>
    <w:p w14:paraId="5257CA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2.1.2.1.17. Devolución de proyecto. Salvo casos de urgencia o necesidad debidamente justificados, o en los eventos de estados de excepción, el proyecto que no cumpla las directrices de técnica normativa previstas en este título será devuelto por la Secretaría Jurídica del Departamento Administrativo de la Presidencia de la República a la dependencia que lo elaboró, para que se hagan los ajustes o adicione la información requerida.  </w:t>
      </w:r>
    </w:p>
    <w:p w14:paraId="2D9072CB" w14:textId="3412494A"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32" w:name="ver_30106725"/>
      <w:bookmarkEnd w:id="132"/>
    </w:p>
    <w:p w14:paraId="199093B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2.1.2.1.18. Archivo. De acuerdo con lo dispuesto en el artículo 4 de la Ley 594 de 2000 y demás normas que la modifiquen o sustituyan, los antecedentes y memorias utilizados en la elaboración de los proyectos de decreto o resolución deberán ser archivados en la entidad que los proyectó, con el fin de disponer de documentación organizada que permita la recuperación de la información institucional, su uso en el servicio al ciudadano y como fuente de la historia normativa de las decisiones adoptadas.  </w:t>
      </w:r>
    </w:p>
    <w:p w14:paraId="5A7F8F4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200CE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33" w:name="ver_30106726"/>
      <w:bookmarkEnd w:id="133"/>
    </w:p>
    <w:p w14:paraId="029B71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2.1.2.1.19. Parámetros documentales. Los proyectos de decreto y resolución deberán seguir la numeración, tipología, formatos y demás parámetros documentales que se establecen en el Anexo número 1 - Manual para la elaboración de textos normativos.  </w:t>
      </w:r>
    </w:p>
    <w:p w14:paraId="6457EBF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34" w:name="ver_30106774"/>
      <w:bookmarkStart w:id="135" w:name="ver_30106727"/>
      <w:bookmarkEnd w:id="134"/>
    </w:p>
    <w:p w14:paraId="1C0478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2.1.2.1.20. Agenda Regulatoria. Las autoridades a las que se refiere el inciso primero del artículo 2.1.2.1.3 de este Decreto publicarán en la sección de Trans</w:t>
      </w:r>
      <w:r w:rsidRPr="00562064">
        <w:rPr>
          <w:rFonts w:ascii="Arial" w:eastAsia="Times New Roman" w:hAnsi="Arial" w:cs="Arial"/>
          <w:color w:val="000000" w:themeColor="text1"/>
          <w:lang w:eastAsia="es-CO"/>
        </w:rPr>
        <w:softHyphen/>
        <w:t>parencia y Acceso a la Información Pública de su sitio web, y en cualquier otro medio de que dispongan para el efecto, a más tardar el 31 de octubre de cada año, un proyecto de Agenda Regulatoria con la lista de las regulaciones específicas de carácter general que previsiblemente deban expedirse en el año siguiente. El proyecto de Agenda Regulatoria se presentará en el formato suministrado previamente por la Secretaría Jurídica de la Presidencia de la República.  </w:t>
      </w:r>
    </w:p>
    <w:p w14:paraId="728A57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“La entidad valorará los comentarios que durante el mes siguiente reciba de los ciudada</w:t>
      </w:r>
      <w:r w:rsidRPr="00562064">
        <w:rPr>
          <w:rFonts w:ascii="Arial" w:eastAsia="Times New Roman" w:hAnsi="Arial" w:cs="Arial"/>
          <w:color w:val="000000" w:themeColor="text1"/>
          <w:lang w:eastAsia="es-CO"/>
        </w:rPr>
        <w:softHyphen/>
        <w:t>nos y grupos de interés y publicará la Agenda Regulatoria, a más tardar el 31 de diciembre, para luego remitirla a la Secretaría Jurídica de la Presidencia de la República, dentro de los primeros cinco (5) días de cada año.  </w:t>
      </w:r>
    </w:p>
    <w:p w14:paraId="404BFA4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dicha remisión, la entidad informará a la Secretaría Jurídica de la Presidencia el cargo y funcionario responsable de administrar la Agenda Regulatoria, así como la depen</w:t>
      </w:r>
      <w:r w:rsidRPr="00562064">
        <w:rPr>
          <w:rFonts w:ascii="Arial" w:eastAsia="Times New Roman" w:hAnsi="Arial" w:cs="Arial"/>
          <w:color w:val="000000" w:themeColor="text1"/>
          <w:lang w:eastAsia="es-CO"/>
        </w:rPr>
        <w:softHyphen/>
        <w:t>dencia encargada de cada proyecto específico de regulación.  </w:t>
      </w:r>
    </w:p>
    <w:p w14:paraId="3DCC7C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entidades públicas podrán introducir modificaciones a la Agenda Regulatoria, justificándolas ante la Secretaría Jurídica de la Presidencia de la República. La Agenda, junto con las modificaciones, deberá permanecer visible durante todo el año en el sitio web de la entidad.  </w:t>
      </w:r>
    </w:p>
    <w:p w14:paraId="68CAB83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transitorio. Las autoridades a que se refiere este artículo tendrán plazo hasta el 1° de mayo de 2017 para enviar a la Secretaría Jurídica de la Presidencia de la República su primera Agenda Regulatoria, plazo dentro del cual deberán garantizar la participación ciudadana a que se refiere el inciso segundo de este artículo.  </w:t>
      </w:r>
    </w:p>
    <w:p w14:paraId="168CA1D2" w14:textId="3933769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C28BB8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36" w:name="ver_30106728"/>
      <w:bookmarkEnd w:id="135"/>
      <w:bookmarkEnd w:id="136"/>
    </w:p>
    <w:p w14:paraId="31ADD8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2.1.2.1.21. Aplicación del presente título para la expedición de resoluciones que no requieren firma del Presidente de la República y por las demás entidades de la rama ejecutiva del orden nacional. La expedición de resoluciones que no requieran firma del Presidente de la República deberán sujetarse a lo previsto en este título, en relación con:  </w:t>
      </w:r>
    </w:p>
    <w:p w14:paraId="75592B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E3FA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La estricta sujeción a la Constitución y a los principios de legalidad, reserva legal y jerarquía normativa.  </w:t>
      </w:r>
    </w:p>
    <w:p w14:paraId="5CFF45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0B38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La elaboración, archivo y conservación de la memoria justificativa de la expedición del acto.  </w:t>
      </w:r>
    </w:p>
    <w:p w14:paraId="71921D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886A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La observancia de los aspectos que debe contemplar el estudio de viabilidad jurídica previsto en el artículo 2.1.2.1.7. de este Decreto.  </w:t>
      </w:r>
    </w:p>
    <w:p w14:paraId="456CB0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5AF08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La verificación del cumplimiento de los deberes de publicidad y consulta cuando haya lugar a ello.  </w:t>
      </w:r>
    </w:p>
    <w:p w14:paraId="56DDA7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7DD7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El deber de información y coordinación con las demás dependencias de la Administración interrelacionadas con la materia regulada.  </w:t>
      </w:r>
    </w:p>
    <w:p w14:paraId="46B87A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3824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La aplicación de los principios de claridad, precisión, sencillez y coherencia en la redacción de los textos.  </w:t>
      </w:r>
    </w:p>
    <w:p w14:paraId="3AEC78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D1E4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La estructura del acto, exigencia de citar las normas de rango superior que otorgan la competencia para su expedición y de señalar expresamente aquellas disposiciones que quedan derogadas, subrogadas, modificadas, adicionadas o sustituidas.  </w:t>
      </w:r>
    </w:p>
    <w:p w14:paraId="3B3D60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AC61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1621ED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37" w:name="ver_30106729"/>
      <w:bookmarkEnd w:id="137"/>
    </w:p>
    <w:p w14:paraId="4C45E6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2.1.2.1.22. Proyectos que puedan afectar la organización, competencia o funcionamiento del Consejo de Estado. De conformidad con lo dispuesto en el numeral 1 del artículo 113 de la Ley 1437 de 2011, en la elaboración de proyectos de decreto o resolución que puedan afectar la organización, competencia o funcionamiento del Consejo de Estado, deberá escucharse previamente a la Sala de Consulta y Servicio Civil de esa </w:t>
      </w:r>
      <w:r w:rsidRPr="00562064">
        <w:rPr>
          <w:rFonts w:ascii="Arial" w:eastAsia="Times New Roman" w:hAnsi="Arial" w:cs="Arial"/>
          <w:color w:val="000000" w:themeColor="text1"/>
          <w:lang w:eastAsia="es-CO"/>
        </w:rPr>
        <w:lastRenderedPageBreak/>
        <w:t>corporación. Del cumplimiento de este trámite se dejará constancia en la memoria justificativa, así como en el epígrafe del correspondiente acto.  </w:t>
      </w:r>
    </w:p>
    <w:p w14:paraId="240FE34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38" w:name="ver_30106770"/>
      <w:bookmarkEnd w:id="138"/>
    </w:p>
    <w:p w14:paraId="4E4362CD" w14:textId="77777777" w:rsidR="0051031E"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2.1.2.1.23. Plazo para la publicación de los proyectos de regulación que no lleven la firma del Presidente de la República. Los proyectos específicos de regulación que no sean suscritos por el Presidente de la República serán publicados en los plazos que señalen las respectivas autoridades en sus reglamentos, plazos que se determinarán de manera razonable y proporcionada, atendiendo, entre otros criterios, al interés general, al número de artículos, a la naturaleza de los grupos interesados y a la complejidad de la materia regulada.</w:t>
      </w:r>
    </w:p>
    <w:p w14:paraId="108EB6D2" w14:textId="571B52C6"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0852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Las autoridades públicas del orden nacional competentes para proferir actos administrativos de contenido general y abstracto que no sean suscritos por el Presidente de la República reglamentarán estos plazos en un término no superior a los dos (2) meses, contados a partir del 15 de febrero de 2016”.  </w:t>
      </w:r>
    </w:p>
    <w:p w14:paraId="305A36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1CA1CCB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39" w:name="ver_30106773"/>
      <w:bookmarkEnd w:id="139"/>
    </w:p>
    <w:p w14:paraId="0637B7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2.1.2.1.24. Excepciones al deber de publicar proyectos de regulación. De conformidad con lo previsto en el artículo 2° de la Ley 1437 de 2011, la publicación a que se refieren los artículos 2.1.2.1.14 y 2.1.2.1.23 de este Decreto no aplica en los siguientes casos:  </w:t>
      </w:r>
    </w:p>
    <w:p w14:paraId="228242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Cuando se trate de procedimientos militares o de policía que por su naturaleza requieran decisiones de aplicación inmediata, para evitar o remediar perturbaciones de orden público en los aspectos de defensa nacional, seguridad, tranquilidad, salubridad, y circulación de personas y cosas.  </w:t>
      </w:r>
    </w:p>
    <w:p w14:paraId="7A44C3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En los casos de reserva o clasificación de la información señalados por la Constitución y la Ley, incluidos los previstos en las Leyes 1712 de 2014 y 1755 de 2015.  </w:t>
      </w:r>
    </w:p>
    <w:p w14:paraId="3AFFCD5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En los demás casos expresamente señalados en la ley”.  </w:t>
      </w:r>
    </w:p>
    <w:p w14:paraId="02756D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9E9F1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40" w:name="ver_30106764"/>
      <w:bookmarkEnd w:id="140"/>
    </w:p>
    <w:p w14:paraId="3C48EE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2.1.2.1.25. Promoción de la participación ciudadana. Con el fin de que los ciudadanos y grupos de interés participen en la elaboración de los proyectos específicos de regulación de carácter general, la entidad que lidere la elaboración realizará, entre otras, las siguientes acciones:  </w:t>
      </w:r>
    </w:p>
    <w:p w14:paraId="54E6D5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Informará de manera proactiva sobre los proyectos específicos de regulación, para lo cual, además de publicar el proyecto de regulación en los términos del artículo 2.1.2.1.14, definirán e indicarán los medios electrónicos a través de los cuales los ciudadanos y grupos de interés podrán inscribirse para recibir información automática respecto de los proyectos específicos de regulación que pretendan expedirse.  </w:t>
      </w:r>
    </w:p>
    <w:p w14:paraId="369F00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Promoverá la participación ciudadana, para lo cual definirá y adaptará los medios físicos y electrónicos a través de los cuales los ciudadanos y grupos de interés podrán hacer observaciones a los proyectos específicos de regulación. Las entidades informarán como mínimo, tanto a los inscritos para recibir información automática, como a la ciudadanía en general, por diferentes canales de comunicación, el objetivo de la propuesta de regulación, el plazo máximo para presentar observaciones y los medios y mecanismos para recibirlas.  </w:t>
      </w:r>
    </w:p>
    <w:p w14:paraId="0CF039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entidades conservarán los documentos asociados al proceso de divulgación y participación ciudadana, incluidos los cronogramas, actas, comentarios, grabaciones e informes que evidencien la publicidad del proyecto y la participación de los ciudadanos y grupos de interés, todo ello en concordancia con las políticas de gestión documental y de archivo de la entidad.  </w:t>
      </w:r>
    </w:p>
    <w:p w14:paraId="76DAFE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“Parágrafo. El Departamento Administrativo de la Función Pública señalará los linea</w:t>
      </w:r>
      <w:r w:rsidRPr="00562064">
        <w:rPr>
          <w:rFonts w:ascii="Arial" w:eastAsia="Times New Roman" w:hAnsi="Arial" w:cs="Arial"/>
          <w:color w:val="000000" w:themeColor="text1"/>
          <w:lang w:eastAsia="es-CO"/>
        </w:rPr>
        <w:softHyphen/>
        <w:t>mientos para orientar a las entidades sobre las estrategias y acciones que deban adelantarse con el fin de promover la participación de los ciudadanos y grupos de interés en la elabo</w:t>
      </w:r>
      <w:r w:rsidRPr="00562064">
        <w:rPr>
          <w:rFonts w:ascii="Arial" w:eastAsia="Times New Roman" w:hAnsi="Arial" w:cs="Arial"/>
          <w:color w:val="000000" w:themeColor="text1"/>
          <w:lang w:eastAsia="es-CO"/>
        </w:rPr>
        <w:softHyphen/>
        <w:t>ración de los proyectos de regulación de carácter general”.  </w:t>
      </w:r>
    </w:p>
    <w:p w14:paraId="4A5AB4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4BE10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A76B28A"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41" w:name="ver_30106730"/>
      <w:bookmarkEnd w:id="141"/>
      <w:r w:rsidRPr="00562064">
        <w:rPr>
          <w:rFonts w:ascii="Arial" w:eastAsia="Times New Roman" w:hAnsi="Arial" w:cs="Arial"/>
          <w:b/>
          <w:bCs/>
          <w:color w:val="000000" w:themeColor="text1"/>
          <w:lang w:eastAsia="es-CO"/>
        </w:rPr>
        <w:t>CAPÍTULO 2</w:t>
      </w:r>
    </w:p>
    <w:p w14:paraId="06AC0AA3"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Reglas específicas para la elaboración de normas modificatorias de los decretos únicos reglamentarios</w:t>
      </w:r>
    </w:p>
    <w:p w14:paraId="1120D30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42" w:name="ver_30106731"/>
      <w:bookmarkEnd w:id="142"/>
    </w:p>
    <w:p w14:paraId="334C75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2.1.2.2.1. Facultades reglamentarias. Toda decreto reglamentario que se expida a partir de la fecha deberá incorporarse al decreto único reglamentario del sector al cual corresponda.  </w:t>
      </w:r>
    </w:p>
    <w:p w14:paraId="174F43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6CA9D4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Adicionalmente, todo decreto deberá expresar la circunstancia de ser expedido en ejercicio de la facultad del Presidente de la República consignada en el numeral 11 del artículo 189 de la Constitución, y señalar la ley o leyes que reglamenta, así como los artículos en concreto.  </w:t>
      </w:r>
    </w:p>
    <w:p w14:paraId="35FFDE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40D28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A8E062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43" w:name="ver_30106732"/>
      <w:bookmarkEnd w:id="143"/>
    </w:p>
    <w:p w14:paraId="358F3D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2.1.2.2.2. Adición de disposiciones a los decretos únicos reglamentarios. En aquellos casos en que las disposiciones del decreto reglamentario pretendan incorporarse como normativa novedosa, esto es, adicionar un decreto único reglamentario, aquel deberá indicar el lugar exacto en donde debe insertarse.  </w:t>
      </w:r>
    </w:p>
    <w:p w14:paraId="53435C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42A7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este sentido, todo decreto deberá señalar el libro, la parte, el título, el capítulo, la sección o el (los) artículo(s) del decreto único reglamentario que se desea agregar.  </w:t>
      </w:r>
    </w:p>
    <w:p w14:paraId="4A1DD3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B48CC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44" w:name="ver_30106733"/>
      <w:bookmarkEnd w:id="144"/>
    </w:p>
    <w:p w14:paraId="3C8A7F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2.1.2.2.3. Modificación de disposiciones de los decretos únicos reglamentarios. En caso de que el decreto reglamentario pretenda modificar normas específicas de un decreto único reglamentario, deberá indicarse con exactitud la norma que se modifica.  </w:t>
      </w:r>
    </w:p>
    <w:p w14:paraId="284347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8161E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este sentido, el nuevo decreto debe precisar de manera inequívoca el (los) artículo(s) que desea modificar.  </w:t>
      </w:r>
    </w:p>
    <w:p w14:paraId="41EF311F" w14:textId="416AAFC7" w:rsidR="00E475BF" w:rsidRPr="00562064" w:rsidRDefault="00E475BF" w:rsidP="0051031E">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45" w:name="ver_30106734"/>
      <w:bookmarkEnd w:id="145"/>
    </w:p>
    <w:p w14:paraId="103C3F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2.1.2.2.4. Derogatoria de disposiciones de los decretos únicos reglamentarios. En caso de que el decreto reglamentario pretenda suprimir normas específicas de un decreto único reglamentario, deberá indicarse con exactitud la(s) norma(s) que se deroga(n).  </w:t>
      </w:r>
    </w:p>
    <w:p w14:paraId="725D68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8C01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este sentido, el nuevo decreto debe precisar de manera inequívoca el artículo que desea derogar.  </w:t>
      </w:r>
    </w:p>
    <w:p w14:paraId="0A2866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AE26F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EBBCD0A"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46" w:name="ver_30106735"/>
      <w:bookmarkEnd w:id="146"/>
      <w:r w:rsidRPr="00562064">
        <w:rPr>
          <w:rFonts w:ascii="Arial" w:eastAsia="Times New Roman" w:hAnsi="Arial" w:cs="Arial"/>
          <w:b/>
          <w:bCs/>
          <w:color w:val="000000" w:themeColor="text1"/>
          <w:lang w:eastAsia="es-CO"/>
        </w:rPr>
        <w:t>CAPÍTULO 3</w:t>
      </w:r>
    </w:p>
    <w:p w14:paraId="45B5CDFA"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Publicación en sitio web</w:t>
      </w:r>
    </w:p>
    <w:p w14:paraId="6AABC56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47" w:name="ver_30106736"/>
      <w:bookmarkEnd w:id="147"/>
    </w:p>
    <w:p w14:paraId="5AC051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Artículo 2.1.2.3.1. Publicación en sitios web. Dentro de los treinta (30) días siguientes a la publicación del presente Decreto, las entidades señaladas en el artículo 2.1.2.1.3. deberán efectuar ajustes en sus sitios web de conformidad con las siguientes reglas:  </w:t>
      </w:r>
    </w:p>
    <w:p w14:paraId="1F0113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761585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Al ingresar a la sección de normativa, el decreto único reglamentario sectorial, que compila todas las normas reglamentarias del sector vigentes, debe aparecer como el documento principal. Por medio de este, se debe generar el acceso a las normas compiladas a través de hipervínculos.  </w:t>
      </w:r>
    </w:p>
    <w:p w14:paraId="3C86FC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196DC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decreto único reglamentario sectorial debe ser publicado en un formato que facilite la búsqueda de texto dentro del documento, así como su continua actualización. En consecuencia, deben evitarse los formatos que reflejen una imagen fija del texto impreso.  </w:t>
      </w:r>
    </w:p>
    <w:p w14:paraId="33A140F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455E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En el documento del decreto único sectorial, todas y cada una de las referencias a leyes, decretos u otras normas del sector deben contar con hipervínculos que direccionen a estas normas específicas.  </w:t>
      </w:r>
    </w:p>
    <w:p w14:paraId="1C4D05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CE9D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Con el fin de evitar la desactualización del decreto único reglamentario sectorial, por efecto de modificaciones a las normas compiladas, la entidad respectiva deberá agregar, a través de hipervínculos, la referencia a todos los actos que adicionen, modifiquen o deroguen cualquiera de sus disposiciones. Dichas modificaciones deberán reflejarse en el sitio web de la entidad dentro de los quince (15) días siguientes a la expedición de la norma modificatoria.  </w:t>
      </w:r>
    </w:p>
    <w:p w14:paraId="7E6D9A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D898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Las decisiones judiciales que declaren la nulidad o la suspensión de apartes del decreto único reglamentario deberán ser incorporadas en ejercicio de la actualización, a través de hipervínculos. Estas referencias, así como los respectivos documentos, deberán reflejarse en el sitio web de la entidad dentro de los quince (15) días siguientes a la publicación de la decisión.  </w:t>
      </w:r>
    </w:p>
    <w:p w14:paraId="09669F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06E1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Todos los decretos deben ser publicados en formato que permita su edición. En consecuencia, deben evitarse los formatos que reflejen una imagen del texto impreso.  </w:t>
      </w:r>
    </w:p>
    <w:p w14:paraId="4011F2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85A8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Los decretos no compilados en el decreto único reglamentario, como los de estructura, salarios, decretos que desarrollan leyes marco, entre otros, deberán aparecer de manera diferenciada en el sitio web de la entidad respectiva.  </w:t>
      </w:r>
    </w:p>
    <w:p w14:paraId="21A120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6D50A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48" w:name="ver_30106737"/>
      <w:bookmarkEnd w:id="148"/>
    </w:p>
    <w:p w14:paraId="2CBC96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2.1.2.3.2. Parámetros documentales. Los parámetros documentales señalados en el Anexo 1 de este decreto servirán como complemento para la elaboración de decretos y resoluciones”.  </w:t>
      </w:r>
    </w:p>
    <w:p w14:paraId="59F3DD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4F26A2B"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49" w:name="ver_30052369"/>
      <w:bookmarkEnd w:id="149"/>
      <w:r w:rsidRPr="00562064">
        <w:rPr>
          <w:rFonts w:ascii="Arial" w:eastAsia="Times New Roman" w:hAnsi="Arial" w:cs="Arial"/>
          <w:b/>
          <w:bCs/>
          <w:color w:val="000000" w:themeColor="text1"/>
          <w:lang w:eastAsia="es-CO"/>
        </w:rPr>
        <w:t>Título 3</w:t>
      </w:r>
    </w:p>
    <w:p w14:paraId="42DFEE47"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Funcionamiento del Consejo de Ministros</w:t>
      </w:r>
    </w:p>
    <w:p w14:paraId="23C500E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50" w:name="ver_30052370"/>
      <w:bookmarkEnd w:id="150"/>
    </w:p>
    <w:p w14:paraId="57C028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2.1.3.1. Actas. Las actas que se levanten en cada una de las sesiones del Consejo de Ministros serán aprobadas por el Presidente de la República y el Director del Departamento Administrativo de la Presidencia de la República. </w:t>
      </w:r>
    </w:p>
    <w:p w14:paraId="01E3A7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9A4C46"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51" w:name="ver_30052371"/>
      <w:bookmarkEnd w:id="151"/>
      <w:r w:rsidRPr="00562064">
        <w:rPr>
          <w:rFonts w:ascii="Arial" w:eastAsia="Times New Roman" w:hAnsi="Arial" w:cs="Arial"/>
          <w:b/>
          <w:bCs/>
          <w:color w:val="000000" w:themeColor="text1"/>
          <w:lang w:eastAsia="es-CO"/>
        </w:rPr>
        <w:t>Título 4</w:t>
      </w:r>
    </w:p>
    <w:p w14:paraId="666CD36C"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lastRenderedPageBreak/>
        <w:t>Plan Anticorrupción y de Atención al Ciudadano</w:t>
      </w:r>
    </w:p>
    <w:p w14:paraId="778EB38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52" w:name="ver_30105695"/>
      <w:bookmarkStart w:id="153" w:name="ver_30105678"/>
      <w:bookmarkEnd w:id="152"/>
    </w:p>
    <w:p w14:paraId="3889BD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2.1.4.1. Estrategias de lucha contra la corrupción y de Atención al Ciudadano. Señálense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Anticorrupción y de Atención al Ciudadano – Versión 2”.  </w:t>
      </w:r>
    </w:p>
    <w:p w14:paraId="4836521C" w14:textId="28D84270"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F8E24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54" w:name="ver_30105697"/>
      <w:bookmarkStart w:id="155" w:name="ver_30105680"/>
      <w:bookmarkEnd w:id="153"/>
      <w:bookmarkEnd w:id="154"/>
    </w:p>
    <w:p w14:paraId="750E6D8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2.1.4.2. Mapa de Riesgos de Corrupción. Señálense como metodología para diseñar y hacer seguimiento al Mapa de Riesgo de Corrupción de que trata el artículo 73 de la Ley 1474 de 2011, la establecida en el documento “Guía para la Gestión del Riesgo de Corrupción”.  </w:t>
      </w:r>
    </w:p>
    <w:p w14:paraId="77B790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828C81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56" w:name="ver_30105698"/>
      <w:bookmarkStart w:id="157" w:name="ver_30105682"/>
      <w:bookmarkEnd w:id="155"/>
      <w:bookmarkEnd w:id="156"/>
    </w:p>
    <w:p w14:paraId="2F9047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2.1.4.3 Estándares para las entidades públicas. Señálense como estándares que las entidades públicas deben seguir para dar cumplimiento a lo establecido en el artículo 76 de la Ley 1474 de 2011, los contenidos en el documento de “Estrategias para la Construcción del Plan Anticorrupción y de Atención al Ciudadano – Versión 2”.  </w:t>
      </w:r>
    </w:p>
    <w:p w14:paraId="6D8496E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58" w:name="ver_30105699"/>
      <w:bookmarkStart w:id="159" w:name="ver_30105684"/>
      <w:bookmarkEnd w:id="157"/>
      <w:bookmarkEnd w:id="158"/>
    </w:p>
    <w:p w14:paraId="129EFD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2.1.4.4. Anexo. Los documentos “Estrategias para la Construcción del Plan Anticorrupción y de Atención al Ciudadano – Versión 2” y “Guía para la Gestión del Riesgo de Corrupción,” hacen parte integral del presente decreto.  </w:t>
      </w:r>
    </w:p>
    <w:p w14:paraId="259B87F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60" w:name="ver_30105700"/>
      <w:bookmarkStart w:id="161" w:name="ver_30105686"/>
      <w:bookmarkEnd w:id="159"/>
      <w:bookmarkEnd w:id="160"/>
    </w:p>
    <w:p w14:paraId="38E65B23" w14:textId="0B798DEB"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2.1.4.5. Verificación del cumplimiento. La máxima autoridad de la entidad u organismo velará de forma directa por que se implementen debidamente las disposiciones contenidas en los documentos de “Estrategias para la Construcción del Plan Anticorrupción y de Atención al Ciudadano – Versión 2” y “Guía para la Gestión del Riesgo de Corrupción”: La consolidación del Plan Anticorrupción y de Atención al Ciudadano y del Mapa de Riesgos de Corrupción, estará a cargo de la Oficina de Planeación de las entidades o quien haga sus veces, quienes además servirán de facilitadores para todo el proceso de elaboración del mismo.  </w:t>
      </w:r>
    </w:p>
    <w:p w14:paraId="78431AD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62" w:name="ver_30105701"/>
      <w:bookmarkStart w:id="163" w:name="ver_30105688"/>
      <w:bookmarkEnd w:id="161"/>
      <w:bookmarkEnd w:id="162"/>
    </w:p>
    <w:p w14:paraId="41689A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2.1.4.6. Mecanismos de seguimiento al cumplimiento y monitoreo. El mecanismo de seguimiento al cumplimiento de las orientaciones y obligaciones derivadas de los mencionados documentos, estará a cargo de las oficinas de control interno, para lo cual se publicarán en la página web de la respectiva entidad, las actividades realizadas, de acuerdo con los parámetros establecidos.  </w:t>
      </w:r>
    </w:p>
    <w:p w14:paraId="64F21F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E53DB3F" w14:textId="0CF67532"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Por su parte, el monitoreo estará a cargo del Jefe de Planeación o quien haga sus veces y del responsable de cada uno de los componentes del Plan Anticorrupción y de Atención al Ciudadano.  </w:t>
      </w:r>
      <w:bookmarkStart w:id="164" w:name="ver_30105702"/>
      <w:bookmarkStart w:id="165" w:name="ver_30105689"/>
      <w:bookmarkEnd w:id="163"/>
      <w:bookmarkEnd w:id="164"/>
    </w:p>
    <w:p w14:paraId="65FAAAB2" w14:textId="77777777" w:rsidR="00143180" w:rsidRPr="00562064" w:rsidRDefault="00143180" w:rsidP="00143180">
      <w:pPr>
        <w:spacing w:after="0" w:line="254" w:lineRule="atLeast"/>
        <w:jc w:val="both"/>
        <w:rPr>
          <w:rFonts w:ascii="Arial" w:eastAsia="Times New Roman" w:hAnsi="Arial" w:cs="Arial"/>
          <w:color w:val="000000" w:themeColor="text1"/>
          <w:lang w:eastAsia="es-CO"/>
        </w:rPr>
      </w:pPr>
    </w:p>
    <w:p w14:paraId="720EEBE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2.1.4.7. Publicación de los anexos. Los documentos de “Estrategias para la Construcción del Plan Anticorrupción y de Atención al Ciudadano – Versión 2” y de “Guía para la Gestión del Riesgo de Corrupción” serán publicados para su consulta en las páginas web del Departamento Administrativo de la Presidencia de la República, del Departamento Nacional de Planeación y del Departamento Administrativo de la Función Pública”.  </w:t>
      </w:r>
    </w:p>
    <w:p w14:paraId="21EF2E2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66" w:name="ver_30105692"/>
      <w:bookmarkEnd w:id="165"/>
      <w:bookmarkEnd w:id="166"/>
    </w:p>
    <w:p w14:paraId="6FC957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Artículo 2.1.4.8. Publicación del Plan Anticorrupción y de Atención al Ciudadano y Mapa de riesgos de corrupción. Las entidades del orden nacional, departamental y municipal deberán elaborar y publicar el Plan Anticorrupción y de Atención al Ciudadano y el Mapa de Riesgos en el enlace de “Transparencia y acceso a la información” del sitio web de cada entidad a más tardar el 31 de enero de cada año.  </w:t>
      </w:r>
    </w:p>
    <w:p w14:paraId="1A22DD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68FA4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Transitorio. Para el año 2016, las entidades tendrán hasta el 31 de marzo para elaborar y publicar el Plan Anticorrupción y de Atención al Ciudadano y el Mapa de Riesgos de Corrupción según los lineamientos contenidos en los documentos “Estrategias para la Construcción del Plan Anticorrupción y de Atención al Ciudadano – Versión 2” y en la “Guía para la Gestión del Riesgo de Corrupción”.  </w:t>
      </w:r>
    </w:p>
    <w:p w14:paraId="0FAB01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5B51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entidades de la Rama Ejecutiva del orden nacional deberán integrar el Plan Anticorrupción y de Atención al Ciudadano y el Mapa de Riesgos de Corrupción actualizados al Plan de Acción Anual de que trata el Modelo Integrado de Planeación y Gestión.  </w:t>
      </w:r>
    </w:p>
    <w:p w14:paraId="2962B2C7" w14:textId="4DBC1CAA"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67" w:name="ver_30105693"/>
      <w:bookmarkEnd w:id="167"/>
    </w:p>
    <w:p w14:paraId="4A7143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2.1.4.9. Actualización. La Secretaría de Transparencia del Departamento Administrativo de la Presidencia de República actualizará las metodologías y estándares de que tratan los artículos 73 y 76 de la Ley 1474 de 2011, cuando a ello hubiere lugar”.  </w:t>
      </w:r>
    </w:p>
    <w:p w14:paraId="762808D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5FCE6D7"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68" w:name="ver_30105706"/>
      <w:bookmarkEnd w:id="168"/>
      <w:r w:rsidRPr="00562064">
        <w:rPr>
          <w:rFonts w:ascii="Arial" w:eastAsia="Times New Roman" w:hAnsi="Arial" w:cs="Arial"/>
          <w:b/>
          <w:bCs/>
          <w:color w:val="000000" w:themeColor="text1"/>
          <w:lang w:eastAsia="es-CO"/>
        </w:rPr>
        <w:t>CAPÍTULO I</w:t>
      </w:r>
    </w:p>
    <w:p w14:paraId="72307EAC" w14:textId="77777777" w:rsidR="00E475BF" w:rsidRPr="00562064" w:rsidRDefault="00E475BF" w:rsidP="00143180">
      <w:pPr>
        <w:spacing w:after="0" w:line="293"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Conformación y remisión de las ternas de los comisionados ciudadanos aspirantes a integrar la Comisión Nacional Ciudadana para la Lucha contra la Corrupción</w:t>
      </w:r>
    </w:p>
    <w:p w14:paraId="49789202" w14:textId="77777777" w:rsidR="00E475BF" w:rsidRPr="00562064" w:rsidRDefault="00E475BF" w:rsidP="00143180">
      <w:pPr>
        <w:spacing w:line="293"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(Adicionado por Art. 1 Decreto 958 de 2016)</w:t>
      </w:r>
    </w:p>
    <w:p w14:paraId="3186249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69" w:name="ver_30105707"/>
      <w:bookmarkEnd w:id="169"/>
    </w:p>
    <w:p w14:paraId="023611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2.1.4.1.1.Difusión del proceso de designación de los comisionados ciudadanos aspirantes a integrar la Comisión Nacional Ciudadana para la Lucha contra la Corrupción. El Ministerio del Interior y la Secretaría de Transparencia de la Presidencia de la República apoyarán a los organismos, asociaciones y agremiaciones a que se refiere el artículo 2.1.4.1.2, de este decreto en la difusión del proceso de convocatoria para la conformación de las ternas de los aspirantes a comisionados de la Comisión Nacional Ciudadana para la Lucha contra la Corrupción.  </w:t>
      </w:r>
    </w:p>
    <w:p w14:paraId="6F388D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78E55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Dicho apoyo propenderá a garantizar la transparencia, democratización y efectiva participación de todos los integrantes de los sectores a que se refiere el artículo 66 de la Ley 1474 de 2011. </w:t>
      </w:r>
    </w:p>
    <w:p w14:paraId="1077E40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70" w:name="ver_30105709"/>
      <w:bookmarkEnd w:id="170"/>
    </w:p>
    <w:p w14:paraId="627353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2.1.4.1.2.Convocatoria y conformación de la terna para la designación de los comisionados ciudadanos. En cada uno de los sectores mencionados en el artículo 66 de la Ley 1474 de 2011, habrá una convocatoria para la conformación de la terna de los aspirantes a comisionados de la Comisión Nacional Ciudadana para la Lucha contra la Corrupción.  </w:t>
      </w:r>
    </w:p>
    <w:p w14:paraId="7D4625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71DD6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cada convocatoria se aplicarán criterios, procedimientos, protocolos y esquemas que garanticen la transparencia, democratización y participación ciudadana.  </w:t>
      </w:r>
    </w:p>
    <w:p w14:paraId="1EBE68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9AA84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cada sector, la convocatoria y conformación de las ternas será responsabilidad de los siguientes sujetos:  </w:t>
      </w:r>
    </w:p>
    <w:p w14:paraId="6DADE5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  </w:t>
      </w:r>
    </w:p>
    <w:p w14:paraId="434B67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La convocatoria y la conformación de la terna de los Gremios Económicos será responsabilidad de la Mesa Directiva del Consejo Gremial Nacional. Dicha convocatoria deberá fomentar y permitir la postulación de candidatos de otros gremios y asociaciones empresariales.  </w:t>
      </w:r>
    </w:p>
    <w:p w14:paraId="3EC3E73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8A56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La convocatoria y la conformación de la terna de las Organizaciones No Gubernamentales dedicadas a la lucha contra la corrupción será responsabilidad del Consejo Directivo de la Confederación Colombiana de ONG (CCONG).  </w:t>
      </w:r>
    </w:p>
    <w:p w14:paraId="622B93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BCA9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Dicha convocatoria deberá fomentar y permitir la postulación de candidatos de Organizaciones No Gubernamentales dedicadas a la lucha contra la corrupción, afiliadas y no afiliadas a la CCONG.  </w:t>
      </w:r>
    </w:p>
    <w:p w14:paraId="2CBECC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B6E9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convocatoria se dirigirá a quienes se encuentren inscritos en el Registro Único Empresarial (RUE), en atención a lo dispuesto en el artículo 166 del Decreto 019 de 2012.  </w:t>
      </w:r>
    </w:p>
    <w:p w14:paraId="3A398DE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06B2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La convocatoria y conformación de la terna de las universidades será responsabilidad del Consejo Directivo de la Asociación Colombiana de Universidades (ASCUN).  </w:t>
      </w:r>
    </w:p>
    <w:p w14:paraId="150C56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5EF2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Dicha convocatoria deberá fomentar y permitir la postulación de candidatos de universidades afiliadas y no afiliadas a la Asociación.  </w:t>
      </w:r>
    </w:p>
    <w:p w14:paraId="7686DA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6ABC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La convocatoria y conformación de la terna de los medios de comunicación será responsabilidad de la Junta Directiva de la Asociación Nacional de Medios de Comunicación (Asomedios).  </w:t>
      </w:r>
    </w:p>
    <w:p w14:paraId="4FD3B04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71E5F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Dicha convocatoria deberá fomentar y permitir la postulación de candidatos de medios afiliados y no afiliados a la Asociación.  </w:t>
      </w:r>
    </w:p>
    <w:p w14:paraId="333BAA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FE39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La Dirección para la Democracia, Participación Ciudadana y Acción Comunal del Ministerio del Interior, será responsable de la convocatoria en el sector de veedurías ciudadanas. Para ello, se establecerá, mediante Resolución, las condiciones y trámite de la convocatoria, así como el procedimiento que deba agotarse para la conformación de la terna por parte del respectivo sector.  </w:t>
      </w:r>
    </w:p>
    <w:p w14:paraId="3E0219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874E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convocatoria se dirigirá a las veedurías ciudadanas que se encuentren inscritas en el Registro Único Empresarial (RUE), y en las personerías municipales y distritales, tal como lo exigen la Ley 850 de 2003 y el Decreto 019 de 2012.  </w:t>
      </w:r>
    </w:p>
    <w:p w14:paraId="6EDA80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8DFF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La convocatoria y conformación de la terna del Consejo Nacional de Planeación será responsabilidad de la Mesa Directiva del Consejo.  </w:t>
      </w:r>
    </w:p>
    <w:p w14:paraId="159505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FA3D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g) La convocatoria y conformación de la terna de las Organizaciones Sindicales será responsabilidad de la Central Unitaria de Trabajadores (CUT), la Confederación General del Trabajo (CGT), y la Confederación de Trabajadores de Colombia (CTC), quienes postularán, cada una, un candidato.  </w:t>
      </w:r>
    </w:p>
    <w:p w14:paraId="6B1D38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FCC7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Dicha convocatoria deberá fomentar y permitir la postulación de candidatos agremiados y no agremiados a dichas organizaciones.  </w:t>
      </w:r>
    </w:p>
    <w:p w14:paraId="2E8540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060D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h) La convocatoria y conformación de la terna de la Confederación Colombiana de Libertad Religiosa de Conciencia y de Culto (Conferilec), será responsabilidad de la misma Confederación.  </w:t>
      </w:r>
    </w:p>
    <w:p w14:paraId="08507B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AB92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proceso de convocatoria y conformación de las ternas deberá iniciarse con una antelación superior a tres (3) meses, contados a partir de la fecha del vencimiento de cada uno de los periodos de los representantes.  </w:t>
      </w:r>
    </w:p>
    <w:p w14:paraId="5B2285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66DAA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convocatoria deberá estar abierta durante, por lo menos, quince (15) días calendario, tiempo dentro del cual deberá permanecer publicada en los portales web de los sujetos a que se refiere el artículo 2.1.4.1.2, de este decreto.  </w:t>
      </w:r>
    </w:p>
    <w:p w14:paraId="483522D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98570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difusión de la convocatoria se hará, además de la publicación a que hace referencia el inciso anterior, en un medio de amplia circulación nacional.  </w:t>
      </w:r>
    </w:p>
    <w:p w14:paraId="4F4785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5DA7C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71" w:name="ver_30105710"/>
      <w:bookmarkEnd w:id="171"/>
    </w:p>
    <w:p w14:paraId="73F9D0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2.1.4.1.3.Término para remitir la terna al Presidente de la República  </w:t>
      </w:r>
    </w:p>
    <w:p w14:paraId="51C2ED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162D1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ternas a que se refiere el artículo anterior deberán ser remitidas a la Secretaría de Transparencia de la Presidencia de la República, con una antelación no mayor a un (1) mes, contado a partir de la fecha del vencimiento de cada uno de los periodos de los respectivos representantes.  </w:t>
      </w:r>
    </w:p>
    <w:p w14:paraId="73CC92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2A00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transitorio. Las ternas de los Gremios Económicos, Organizaciones No Gubernamentales dedicadas a la lucha contra la corrupción, Medios de Comunicación, Veedurías Ciudadanas, Consejo Nacional de Planeación y Organizaciones Sindicales, deberán ser enviadas a la Secretaría de Transparencia de la Presidencia de la República, por una primera vez, a más tardar, dentro de los sesenta (60) días calendario, contados a partir del día siguiente a la vigencia de este decreto. </w:t>
      </w:r>
    </w:p>
    <w:p w14:paraId="0676970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72" w:name="ver_30105712"/>
      <w:bookmarkEnd w:id="172"/>
    </w:p>
    <w:p w14:paraId="0E8BE4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2.1.4.1.4.Publicidad de las ternas. Las hojas de vida de los integrantes de las ternas de cada sector se publicarán en la página web de la Presidencia de la República por un lapso de diez (10) días calendario, contados a partir del día siguiente a la recepción de la terna, con el fin de que cualquier ciudadano presente sus observaciones sobre los candidatos.  </w:t>
      </w:r>
    </w:p>
    <w:p w14:paraId="27C6BB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E19ED4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Secretaría de Transparencia evaluará las observaciones que se envíen sobre dichas hojas de vida.  </w:t>
      </w:r>
    </w:p>
    <w:p w14:paraId="13AFAC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57BAA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E92035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73" w:name="ver_30105713"/>
      <w:bookmarkEnd w:id="173"/>
    </w:p>
    <w:p w14:paraId="32964A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2.1.4.1.5.Provisión de vacantes. Las disposiciones de este decreto aplicarán, en lo pertinente, para suplir la vacante de cualquiera de las curules de la Comisión Nacional Ciudadana para la Lucha contra la Corrupción, que en adelante se presenten.  </w:t>
      </w:r>
    </w:p>
    <w:p w14:paraId="4AA9E94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667B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caso de presentarse una vacante por causa distinta a la terminación del periodo respectivo, los organismos, asociaciones y agremiaciones a que se refiere el artículo 2.1.4.1.2, enviarán a la Secretaría de Transparencia de la Presidencia de la República la terna correspondiente, en un término no mayor a sesenta (60) días calendario, contados a partir del día siguiente a aquel en que se configure la vacancia. </w:t>
      </w:r>
    </w:p>
    <w:p w14:paraId="3D9E52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1302D499"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74" w:name="ver_30106690"/>
      <w:bookmarkEnd w:id="174"/>
      <w:r w:rsidRPr="00562064">
        <w:rPr>
          <w:rFonts w:ascii="Arial" w:eastAsia="Times New Roman" w:hAnsi="Arial" w:cs="Arial"/>
          <w:b/>
          <w:bCs/>
          <w:color w:val="000000" w:themeColor="text1"/>
          <w:lang w:eastAsia="es-CO"/>
        </w:rPr>
        <w:lastRenderedPageBreak/>
        <w:t>CAPÍTULO 2</w:t>
      </w:r>
    </w:p>
    <w:p w14:paraId="6EA2B23E"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Del régimen de las Personas Expuestas Políticamente (PEP), a que se refiere el artículo 52 de la Convención de las Naciones Unidas contra la Corrupción, aprobada por la Ley 970 de 2005</w:t>
      </w:r>
    </w:p>
    <w:p w14:paraId="08FE059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75" w:name="ver_30106691"/>
      <w:bookmarkEnd w:id="175"/>
    </w:p>
    <w:p w14:paraId="1428106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2.1.4.2.1.Objeto. El presente capítulo tiene por objeto definir quiénes son las Personas Expuestas Políticamente (PEP) y en qué consiste su obligación con el sistema financiero en razón de dicha condición.  </w:t>
      </w:r>
    </w:p>
    <w:p w14:paraId="6009DD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36E70D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76" w:name="ver_30106692"/>
      <w:bookmarkEnd w:id="176"/>
    </w:p>
    <w:p w14:paraId="3EEB98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2.1.4.2.2. Ámbito de aplicación. Este capítulo se aplicará a las Personas Expuestas Políticamente (PEP), en todos los procesos de vinculación, debida diligencia, actualización anual y conocimiento del cliente efectuado por los sujetos obligados al cumplimiento de la regulación vigente sobre el riesgo de lavado de activos y financiación del terrorismo y los sujetos de reporte de la Unidad de Información y Análisis Financiero (UIAF).  </w:t>
      </w:r>
    </w:p>
    <w:p w14:paraId="4904E4A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77" w:name="ver_30106693"/>
      <w:bookmarkEnd w:id="177"/>
    </w:p>
    <w:p w14:paraId="5BC521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2.1.4.2.3.Personas Expuestas Políticamente. Para efecto del cumplimiento de las obligaciones derivadas de este capítulo, durante el periodo en que ocupen sus cargos y durante los dos (2) años siguientes a su dejación, renuncia, despido o declaración de insubsistencia del nombramiento, o de cualquier otra forma de desvinculación, se considerarán como Personas Expuestas Políticamente (PEP) las siguientes: </w:t>
      </w:r>
    </w:p>
    <w:p w14:paraId="34B553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6293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Presidente de la República, Vicepresidente de la República, altos consejeros, director del Departamento Administrativo de la Presidencia de la República, ministros y viceministros. </w:t>
      </w:r>
    </w:p>
    <w:p w14:paraId="7FB60A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B918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Secretarios Generales, Tesoreros, Directores Financieros de los Ministerios, los Departamentos Administrativos y las Superintendencias. </w:t>
      </w:r>
    </w:p>
    <w:p w14:paraId="28FE5FA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A8EA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Presidentes, Directores, Gerentes, Secretarios Generales, Tesoreros, Directores Financieros de (i) los Establecimientos Públicos, (ii) las Unidades Administrativas Especiales, (iii) las Empresas Públicas de Servicios Públicos Domiciliarios, (iv) las Empresas Sociales del Estado, (v) las Empresas Industriales y Comerciales del Estado y (vi) las Sociedades de Economía Mixta. </w:t>
      </w:r>
    </w:p>
    <w:p w14:paraId="083CFA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6B70D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Superintendentes y Superintendentes Delegados. </w:t>
      </w:r>
    </w:p>
    <w:p w14:paraId="02D39A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E3B0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Generales de las Fuerzas Militares y de la Policía Nacional, e Inspectores de la Policía Nacional. </w:t>
      </w:r>
    </w:p>
    <w:p w14:paraId="5BE8C4A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CDCD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Gobernadores, Alcaldes, Diputados, Concejales, Tesoreros, Directores Financieros y Secretarios Generales de i) gobernaciones, ii) alcaldías, iii) concejos municipales y distritales y iv) asambleas departamentales. </w:t>
      </w:r>
    </w:p>
    <w:p w14:paraId="714E75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0699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Senadores, Representantes a la Cámara, Secretarios Generales, secretarios de las comisiones constitucionales permanentes del Congreso de la República y Directores Administrativos del Senado y de la Cámara de Representantes. </w:t>
      </w:r>
    </w:p>
    <w:p w14:paraId="1A4B74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BD0CC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Gerente y Codirectores del Banco de la República. </w:t>
      </w:r>
    </w:p>
    <w:p w14:paraId="743DBF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DD853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Directores de las Corporaciones Autónomas Regionales. </w:t>
      </w:r>
    </w:p>
    <w:p w14:paraId="704D2A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  </w:t>
      </w:r>
    </w:p>
    <w:p w14:paraId="5B56446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Comisionados Nacionales del Servicio Civil, Comisionados de la Autoridad Nacional de Televisión, de la Comisión de Regulación de Energía y Gas, de la Comisión de Regulación de Agua Potable y Saneamiento Básico y de la Comisión de Regulación de Comunicaciones. </w:t>
      </w:r>
    </w:p>
    <w:p w14:paraId="1789F1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06EC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Magistrados, Magistrados Auxiliares y Consejeros de Tribunales y Altas Cortes, jueces de la república, Fiscal General de la Nación, Vicefiscal General de la Nación, Director de Fiscalías Nacionales, Director Nacional de Seccionales y Seguridad Ciudadana. </w:t>
      </w:r>
    </w:p>
    <w:p w14:paraId="7EAF9E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56A9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Contralor General de la República, Vicecontralor, Contralores Delegados, Contralores territoriales, Contador, Procurador General de la Nación, Viceprocurador General de la Nación, Procuradores Delegados, Defensor del Pueblo, Vicedefensor del Pueblo, Defensores Delegados y Auditor General de la República. </w:t>
      </w:r>
    </w:p>
    <w:p w14:paraId="41B58D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0355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Consejeros del Consejo Nacional Electoral, Registrador Nacional del Estado Civil y Registradores Delegados. </w:t>
      </w:r>
    </w:p>
    <w:p w14:paraId="33EC3B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8C580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Representantes legales, presidentes, directores y tesoreros de partidos y movimientos políticos, y de otras formas de asociación política reconocidas por la ley. </w:t>
      </w:r>
    </w:p>
    <w:p w14:paraId="1BE234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1685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Los directores y tesoreros de patrimonios autónomos o fideicomisos que administren recursos públicos. </w:t>
      </w:r>
    </w:p>
    <w:p w14:paraId="1C3F4C05" w14:textId="6C277F4B"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78" w:name="ver_30106694"/>
      <w:bookmarkEnd w:id="178"/>
    </w:p>
    <w:p w14:paraId="435413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2.1.4.2.4.Obligación de las Personas Expuestas Políticamente y de las entidades. Las personas consideradas como Personas Expuestas Políticamente (PEP) informarán su cargo, fecha de vinculación y fecha de desvinculación cuando sea solicitado en los procesos de vinculación, debida diligencia, actualización anual y conocimiento del cliente, efectuado por los sujetos obligados al cumplimiento de la regulación vigente sobre el riesgo de lavado de activos y financiación del terrorismo y los sujetos de reporte de la Unidad de Información y Análisis Financiero (UIAF).  </w:t>
      </w:r>
    </w:p>
    <w:p w14:paraId="0B8DB9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E108CA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79" w:name="ver_30106695"/>
      <w:bookmarkEnd w:id="179"/>
    </w:p>
    <w:p w14:paraId="1BF020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2.1.4.2.5.Escrutinio y colaboración sobre productos y servicios financieros de PEP. Los sujetos obligados al cumplimiento de la regulación vigente sobre el riesgo de lavado de activos y financiación del terrorismo y los sujetos de reporte de la Unidad de Información y Análisis Financiero (UIAF) brindarán toda la colaboración y asistencia necesaria para facilitar la obtención de información, evidencias y el escrutinio de productos y servicios financieros de PEP, por parte de los entes de vigilancia y control, la Fiscalía General de la Nación, la Dirección Nacional de Inteligencia y la Unidad de Información y Análisis Financiero, de conformidad con las estrictas competencias atribuidas por la ley y con respeto del debido proceso.  </w:t>
      </w:r>
    </w:p>
    <w:p w14:paraId="26D974CB" w14:textId="0F22EA16" w:rsidR="00E475BF" w:rsidRPr="00562064" w:rsidRDefault="00E475BF" w:rsidP="00143180">
      <w:pPr>
        <w:spacing w:after="0" w:line="240" w:lineRule="auto"/>
        <w:jc w:val="both"/>
        <w:rPr>
          <w:rFonts w:ascii="Arial" w:eastAsia="Times New Roman" w:hAnsi="Arial" w:cs="Arial"/>
          <w:color w:val="000000" w:themeColor="text1"/>
          <w:spacing w:val="45"/>
          <w:lang w:eastAsia="es-CO"/>
        </w:rPr>
      </w:pPr>
      <w:bookmarkStart w:id="180" w:name="ver_30106696"/>
      <w:bookmarkEnd w:id="180"/>
    </w:p>
    <w:p w14:paraId="497B170C" w14:textId="77777777" w:rsidR="00143180" w:rsidRPr="00562064" w:rsidRDefault="00143180" w:rsidP="00143180">
      <w:pPr>
        <w:spacing w:after="0" w:line="240" w:lineRule="auto"/>
        <w:jc w:val="both"/>
        <w:rPr>
          <w:rFonts w:ascii="Arial" w:eastAsia="Times New Roman" w:hAnsi="Arial" w:cs="Arial"/>
          <w:color w:val="000000" w:themeColor="text1"/>
          <w:lang w:eastAsia="es-CO"/>
        </w:rPr>
      </w:pPr>
    </w:p>
    <w:p w14:paraId="7F6252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2.1.4.2.6.Cooperación y asistencia internacional. De conformidad con lo establecido en los acuerdos y tratados de cooperación y asistencia en materia de lucha contra el lavado de activos, financiación del terrorismo, enriquecimiento ilícito, contrabando y lucha contra la corrupción, suscritos y ratificados por Colombia, las autoridades colombianas competentes podrán compartir la información a la que se refiere el artículo 2.1.4.2.5. de este decreto con las agencias de investigación penal, fiscal o administrativa </w:t>
      </w:r>
      <w:r w:rsidRPr="00562064">
        <w:rPr>
          <w:rFonts w:ascii="Arial" w:eastAsia="Times New Roman" w:hAnsi="Arial" w:cs="Arial"/>
          <w:color w:val="000000" w:themeColor="text1"/>
          <w:lang w:eastAsia="es-CO"/>
        </w:rPr>
        <w:lastRenderedPageBreak/>
        <w:t>de otros países, con estricta sujeción a los procedimientos previstos en las normas internacionales y de acuerdo a lo señalado en el ordenamiento jurídico interno.  </w:t>
      </w:r>
    </w:p>
    <w:p w14:paraId="79F2D9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89E1BF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81" w:name="ver_30106697"/>
      <w:bookmarkEnd w:id="181"/>
    </w:p>
    <w:p w14:paraId="24A292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2.1.4.2.7. Respeto de las garantías del hábeas data. Ninguna de las disposiciones de este decreto podrá interpretarse en contra de las garantías consagradas en las leyes de protección de hábeas data.  </w:t>
      </w:r>
    </w:p>
    <w:p w14:paraId="0BD116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54B2E6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82" w:name="ver_30106698"/>
      <w:bookmarkEnd w:id="182"/>
    </w:p>
    <w:p w14:paraId="6040F9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2.1.4.2.8.Instrucciones de las entidades de supervisión. Las disposiciones de este Capítulo se aplicarán sin perjuicio de las instrucciones especiales impartidas por las entidades de supervisión sobre el riesgo de lavado de activos y financiación del terrorismo.  </w:t>
      </w:r>
    </w:p>
    <w:p w14:paraId="37B128C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82B9705"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83" w:name="ver_30134962"/>
      <w:bookmarkEnd w:id="183"/>
      <w:r w:rsidRPr="00562064">
        <w:rPr>
          <w:rFonts w:ascii="Arial" w:eastAsia="Times New Roman" w:hAnsi="Arial" w:cs="Arial"/>
          <w:b/>
          <w:bCs/>
          <w:color w:val="000000" w:themeColor="text1"/>
          <w:lang w:eastAsia="es-CO"/>
        </w:rPr>
        <w:t>CAPÍTULO 3.</w:t>
      </w:r>
    </w:p>
    <w:p w14:paraId="2B4D763B"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COMISIONES REGIONALES DE MORALIZACIÓN</w:t>
      </w:r>
    </w:p>
    <w:p w14:paraId="55BD7FF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84" w:name="ver_30134963"/>
      <w:bookmarkEnd w:id="184"/>
    </w:p>
    <w:p w14:paraId="61E3DC7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2.1.4.3.1. Objeto. Definir y reglamentar la organización y el funcionamiento de las Comisiones Regionales de Moralización.  </w:t>
      </w:r>
    </w:p>
    <w:p w14:paraId="7D8E572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84FD19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85" w:name="ver_30134964"/>
      <w:bookmarkEnd w:id="185"/>
    </w:p>
    <w:p w14:paraId="6927AF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2.1.4.3.2 Composición de la Comisión Regional de Moralización. La Comisión Regional de Moralización estará conformada por los representantes departamentales de las siguientes entidades, quienes intervienen como miembros permanentes: </w:t>
      </w:r>
    </w:p>
    <w:p w14:paraId="3293C6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35BB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La Procuraduría General de la Nación. </w:t>
      </w:r>
    </w:p>
    <w:p w14:paraId="2A73D0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819E8D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La Contraloría General de la República. </w:t>
      </w:r>
    </w:p>
    <w:p w14:paraId="550793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EAA8D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La Fiscalía General de la Nación. </w:t>
      </w:r>
    </w:p>
    <w:p w14:paraId="100CA8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AE3D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Consejo Seccional de la Judicatura que corresponda. </w:t>
      </w:r>
    </w:p>
    <w:p w14:paraId="47725C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94FEC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La Contraloría departamental, municipal y distrital. </w:t>
      </w:r>
    </w:p>
    <w:p w14:paraId="5A3B76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4A18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Comisión designará un presidente y un secretario técnico por un periodo de dos (2) años, seleccionados del grupo de miembros permanentes de la Comisión. </w:t>
      </w:r>
    </w:p>
    <w:p w14:paraId="53A17C2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5243C0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Comisión podrá convocar para ser parte de la Comisión Regional de Moralización, con voz y voto, cuando considere necesario, a las siguientes autoridades: la Defensoría del Pueblo, las personerías municipales, los cuerpos especializados de policía técnica, el Gobernador y el Presidente de la Asamblea Departamental. </w:t>
      </w:r>
    </w:p>
    <w:p w14:paraId="0A1EE4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E3B8E3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La Comisión podrá invitar, con derecho a voz y sin voto, según la naturaleza del asunto, las siguientes autoridades: las Procuradurías Provinciales, Gerente Seccional de la Auditoría General de la República, los Alcaldes y los Presidentes de los Concejos de los Municipios del departamento respectivo, sin perjuicio de que sean invitadas otras personas y/o entidades. </w:t>
      </w:r>
    </w:p>
    <w:p w14:paraId="2DCBD1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982326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86" w:name="ver_30134965"/>
      <w:bookmarkEnd w:id="186"/>
    </w:p>
    <w:p w14:paraId="22D3C1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Artículo 2.1.4.3.3. Funciones de la Comisión. La Comisión Regional de Moralización, cumplirá las siguientes funciones: </w:t>
      </w:r>
    </w:p>
    <w:p w14:paraId="30BFAE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4A548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Coordinar en su respectivo territorio las acciones de los órganos de prevención, investigación y sanción de la corrupción. </w:t>
      </w:r>
    </w:p>
    <w:p w14:paraId="13DF2B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9DCB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Elaborar y adoptar el Plan de Acción Bianual para dar cumplimiento a los lineamientos dados por la Comisión Nacional de Moralización y hacer seguimiento a su implementación. </w:t>
      </w:r>
    </w:p>
    <w:p w14:paraId="07A03E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9907C1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Promover acciones que permitan identificar riesgos en el manejo y en la ejecución de los recursos públicos para prevenir casos de corrupción. </w:t>
      </w:r>
    </w:p>
    <w:p w14:paraId="26F535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1823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Promover estrategias de formación y conocimiento de la normativa relacionada con la lucha contra la corrupción. </w:t>
      </w:r>
    </w:p>
    <w:p w14:paraId="411506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EA897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Promover, en coordinación con las Redes Departamentales de Apoyo a las Veedurías Ciudadanas, ejercicios de control social, participación ciudadana y formación y conformación de las veedurías ciudadanas. </w:t>
      </w:r>
    </w:p>
    <w:p w14:paraId="04B9986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18D7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Priorizar casos y temas de corrupción de impacto regional para ser abordados de manera coordinada con las autoridades competentes, por medio del intercambio de información y el estudio conjunto de los mismos. </w:t>
      </w:r>
    </w:p>
    <w:p w14:paraId="570D3D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0D71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g) Adelantar reuniones, por lo menos una vez cada trimestre, para atender las peticiones, quejas y denuncias que presente la ciudadanía organizada. </w:t>
      </w:r>
    </w:p>
    <w:p w14:paraId="48D99B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1EDDE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h) Revisar las decisiones de priorización proferidas por el correspondiente Comité Seccional de Situaciones y Casos de la Fiscalía General de la Nación, para determinar los casos a priorizar desde la Comisión. </w:t>
      </w:r>
    </w:p>
    <w:p w14:paraId="3E34A5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BE79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 Garantizar, el debido proceso, en el intercambio de información, buscando promover desde cada una de las entidades y acorde con sus competencias, las sanciones, penales, disciplinarias y fiscales en correspondencia con los casos de corrupción abordados de manera conjunta dando cumplimiento a los principios de eficiencia, eficacia y celeridad en las actuaciones administrativas, por medio de la puesta en conocimiento de las irregularidades identificadas ante las autoridades competentes y la gestión sobre los casos priorizados. </w:t>
      </w:r>
    </w:p>
    <w:p w14:paraId="1A40F3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C60A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j) Elaborar un informe de su gestión semestral, que contenga las acciones adelantadas en dicho período y remitirlo antes del 30 de junio y el 31 de diciembre de cada año, a la Secretaría de Transparencia de la Presidencia de la República, en el formato establecido para el efecto. </w:t>
      </w:r>
    </w:p>
    <w:p w14:paraId="708B2C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3BC9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k) Elaborar informes públicos sobre las acciones de los órganos de prevención, investigación y sanción de la corrupción, así como sobre los avances en el ejercicio de la participación ciudadana y del control social sobre la gestión pública de las autoridades locales, municipales y departamentales del respectivo ente territorial. </w:t>
      </w:r>
    </w:p>
    <w:p w14:paraId="5EC012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99EF9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 Adoptar el reglamento interno de funcionamiento de la Comisión. </w:t>
      </w:r>
    </w:p>
    <w:p w14:paraId="32D39D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B3E7B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Parágrafo 1°. La Comisión Regional de Moralización deberá publicar el Plan de Acción, a más tardar el 31 de enero del primer año, en las páginas web del Observatorio de Transparencia y Anticorrupción de la Secretaría de Transparencia de la Presidencia de la República. </w:t>
      </w:r>
    </w:p>
    <w:p w14:paraId="2702CF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E03DF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Los informes públicos deberán ser presentados ante el Consejo Nacional de Participación Ciudadana y enviados a la Comisión Nacional de Moralización, dentro de los dos (2) primeros meses del año y entre agosto y septiembre de cada año, de conformidad con lo dispuesto por el artículo 84 de la Ley 1757 de 2015. </w:t>
      </w:r>
    </w:p>
    <w:p w14:paraId="02B70B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4E3D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Departamento Administrativo de la Función Pública deberá establecer el formato de los informes previstos en este parágrafo, dentro de los tres (3) meses siguientes a la expedición del presente. </w:t>
      </w:r>
    </w:p>
    <w:p w14:paraId="2BA3D8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ABF6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Si de las reuniones con la ciudadanía se identifican riesgos en el manejo y en la ejecución de los recursos públicos, estos deberán comunicarse a la Secretaría de Transparencia del Departamento Administrativo de la Presidencia de la República durante el mes siguiente a la reunión e incluirse en los casos atendidos por la Comisión para su respectivo seguimiento. </w:t>
      </w:r>
    </w:p>
    <w:p w14:paraId="0AF3D559" w14:textId="23EBB628"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74C72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2.1.4.3.4. Funciones de la Secretaría Técnica. La Secretaría Técnica tendrá las siguientes funciones: </w:t>
      </w:r>
    </w:p>
    <w:p w14:paraId="5AD54B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BB41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Convocar las sesiones ordinarias, que se llevarán a cabo mensualmente. </w:t>
      </w:r>
    </w:p>
    <w:p w14:paraId="01BA9E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6849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Convocar las reuniones extraordinarias, cuando así lo determine el Presidente de la Comisión. </w:t>
      </w:r>
    </w:p>
    <w:p w14:paraId="0EC808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0ACD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Velar por la asistencia y participación de todos los miembros de la Comisión. </w:t>
      </w:r>
    </w:p>
    <w:p w14:paraId="587E69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A459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Preparar la agenda de cada sesión. </w:t>
      </w:r>
    </w:p>
    <w:p w14:paraId="3019F3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A4DD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Elaborar y custodiar las actas de cada sesión de la Comisión. </w:t>
      </w:r>
    </w:p>
    <w:p w14:paraId="45C038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4264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Elaborar y presentar una propuesta de reglamento interno. </w:t>
      </w:r>
    </w:p>
    <w:p w14:paraId="601B27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CAA1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g) Preparar los Informes de Gestión de la Comisión mencionados en el artículo 3° y remitirlos a la Secretaría de Transparencia en las fechas establecidas. </w:t>
      </w:r>
    </w:p>
    <w:p w14:paraId="5496F7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923E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h) Someter a consideración de la Comisión la información que esta requiera para la coordinación de políticas de prevención y lucha contra la corrupción. </w:t>
      </w:r>
    </w:p>
    <w:p w14:paraId="5FAA646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87" w:name="ver_30134967"/>
      <w:bookmarkEnd w:id="187"/>
    </w:p>
    <w:p w14:paraId="26DACD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2.1.4.3.5. Reuniones. Las Comisiones Regionales de Moralización se reunirán mensualmente. La asistencia será de carácter obligatorio tanto para los representantes regionales de las entidades que las conforman como para los representantes regionales de las entidades convocadas. </w:t>
      </w:r>
    </w:p>
    <w:p w14:paraId="5E15001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88" w:name="ver_30137038"/>
      <w:bookmarkEnd w:id="188"/>
    </w:p>
    <w:p w14:paraId="66B05A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2.1.4.3.6. Promoción de la participación ciudadana y el ejercicio de control social a la gestión pública.  </w:t>
      </w:r>
    </w:p>
    <w:p w14:paraId="168BCD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Con el fin de promover la participación ciudadana y apoyar a las veedurías ciudadanas en su ejercicio de control social a la gestión pública, las Comisiones Regionales de </w:t>
      </w:r>
      <w:r w:rsidRPr="00562064">
        <w:rPr>
          <w:rFonts w:ascii="Arial" w:eastAsia="Times New Roman" w:hAnsi="Arial" w:cs="Arial"/>
          <w:color w:val="000000" w:themeColor="text1"/>
          <w:lang w:eastAsia="es-CO"/>
        </w:rPr>
        <w:lastRenderedPageBreak/>
        <w:t>Moralización se articularán con la Red Institucional de Apoyo a las Veedurías Ciudadanas en cada Departamento, mediante la formulación concertada de actividades y metas en sus respectivos planes de acción.  </w:t>
      </w:r>
    </w:p>
    <w:p w14:paraId="46C91731" w14:textId="24B7D973"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89" w:name="ver_30137039"/>
      <w:bookmarkEnd w:id="189"/>
    </w:p>
    <w:p w14:paraId="2B8B86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2.1.4.3.7. Seguimiento. La Secretaría de Transparencia de la Presidencia de la República, en ejercicio de sus funciones, deberá:  </w:t>
      </w:r>
    </w:p>
    <w:p w14:paraId="22BC2B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DC60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Brindar orientación a las Comisiones Regionales de Moralización para adelantar y apoyar el cumplimiento de las funciones, objetivos y lineamientos establecidos por la Comisión Nacional de Moralización a través de la expedición de una cartilla de lineamientos para su operación.  </w:t>
      </w:r>
    </w:p>
    <w:p w14:paraId="4C665A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B5A6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Diseñar los instrumentos y herramientas para hacer seguimiento a las acciones adelantadas por las Comisiones Regionales de Moralización en cumplimiento de su Plan de Acción.  </w:t>
      </w:r>
    </w:p>
    <w:p w14:paraId="0CBEF3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485B81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Solicitar información a las Comisiones Regionales de Moralización sobre los avances en su gestión.  </w:t>
      </w:r>
    </w:p>
    <w:p w14:paraId="68F2F5E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BD1AD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Convocar a las Comisiones Regionales de Moralización de forma extraordinaria.  </w:t>
      </w:r>
    </w:p>
    <w:p w14:paraId="45FB47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E72E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Apoyar la facilitación de espacios de coordinación interinstitucional, solicitados por la Comisión o la Secretaría de Transparencia, para el seguimiento de casos de corrupción identificados en las Comisiones y/o priorizados por la Secretaría de Transparencia. Estos espacios serán convocados de manera extraordinaria sin interrumpir las reuniones mensuales obligatorias.  </w:t>
      </w:r>
    </w:p>
    <w:p w14:paraId="66F43A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87E2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Visibilizar a través de un indicador las acciones y actuaciones de las Comisiones Regionales de Moralización en el Observatorio de Transparencia y Anticorrupción y los canales y/o plataformas que se establezcan para tal fin.  </w:t>
      </w:r>
    </w:p>
    <w:p w14:paraId="721142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B1FAF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g) Coordinar la articulación de Comisiones Regionales con la Comisión Nacional de Moralización.  </w:t>
      </w:r>
    </w:p>
    <w:p w14:paraId="29A49B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AF15B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h) Realizar los traslados a los entes de control de los resultados del seguimiento efectuado a la gestión de las Comisiones Regionales. </w:t>
      </w:r>
    </w:p>
    <w:p w14:paraId="20E48098" w14:textId="3C1DDE1B" w:rsidR="00E475BF" w:rsidRPr="00562064" w:rsidRDefault="00E475BF" w:rsidP="00143180">
      <w:pPr>
        <w:spacing w:after="0" w:line="240" w:lineRule="auto"/>
        <w:jc w:val="both"/>
        <w:rPr>
          <w:rFonts w:ascii="Arial" w:eastAsia="Times New Roman" w:hAnsi="Arial" w:cs="Arial"/>
          <w:color w:val="000000" w:themeColor="text1"/>
          <w:spacing w:val="45"/>
          <w:lang w:eastAsia="es-CO"/>
        </w:rPr>
      </w:pPr>
      <w:bookmarkStart w:id="190" w:name="ver_30137040"/>
      <w:bookmarkEnd w:id="190"/>
    </w:p>
    <w:p w14:paraId="60DE76AB" w14:textId="77777777" w:rsidR="00143180" w:rsidRPr="00562064" w:rsidRDefault="00143180" w:rsidP="00143180">
      <w:pPr>
        <w:spacing w:after="0" w:line="240" w:lineRule="auto"/>
        <w:jc w:val="both"/>
        <w:rPr>
          <w:rFonts w:ascii="Arial" w:eastAsia="Times New Roman" w:hAnsi="Arial" w:cs="Arial"/>
          <w:color w:val="000000" w:themeColor="text1"/>
          <w:lang w:eastAsia="es-CO"/>
        </w:rPr>
      </w:pPr>
    </w:p>
    <w:p w14:paraId="7926030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2.1.4.3.8. Priorización de casos. Para la priorización de los casos que serán analizados por las Comisiones Regionales de Moralización, se tendrán en cuenta los parámetros establecidos por la Fiscalía en la Directiva 001 de 4 de octubre de 2012 y 002 del 9 de diciembre de 2015, o las que la sustituya o modifique:  </w:t>
      </w:r>
    </w:p>
    <w:p w14:paraId="424E61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11B6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La gravedad de los hechos denunciados o de los cuales se tenga conocimiento; de acuerdo con el análisis realizado por cada una de las entidades competentes.  </w:t>
      </w:r>
    </w:p>
    <w:p w14:paraId="4695D7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D7763D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La importancia para la comunidad de adelantar la judicialización de los hechos.  </w:t>
      </w:r>
    </w:p>
    <w:p w14:paraId="683F16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7534C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La naturaleza del acto de corrupción: Si se trata de faltas disciplinarias, fiscales o delitos. Siendo la conducta penal más reprochable en todas sus manifestaciones.  </w:t>
      </w:r>
    </w:p>
    <w:p w14:paraId="31A2A9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3ED5D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d) La cuantía del posible daño patrimonial al Estado con ocasión del acto de corrupción;  </w:t>
      </w:r>
    </w:p>
    <w:p w14:paraId="2D9F63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6C0401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La afectación social causada por el acto de corrupción investigado; entendida como el impacto a la calidad de vida.  </w:t>
      </w:r>
    </w:p>
    <w:p w14:paraId="286679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E5325D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La riqueza probatoria y viabilidad del caso.  </w:t>
      </w:r>
    </w:p>
    <w:p w14:paraId="56DE90D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367D1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g) El examen de organismos internacionales del acto de corrupción.  </w:t>
      </w:r>
    </w:p>
    <w:p w14:paraId="30DA92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259B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h) La probabilidad de reiteración del acto de corrupción. </w:t>
      </w:r>
    </w:p>
    <w:p w14:paraId="59BF63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6E03ED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91" w:name="ver_30137041"/>
      <w:bookmarkEnd w:id="191"/>
    </w:p>
    <w:p w14:paraId="53D71E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2.1.4.3.9. Tratamiento de casos conjuntos. La Comisión Nacional de Moralización deberá establecer los instrumentos que permitan a las instituciones que integran las Comisiones, acceder a la información y efectuar intercambio de material probatorio. Lo anterior con el propósito de que dichas instituciones y entidades, en desarrollo de sus competencias, cooperen armónicamente en la realización de acciones tendientes a prevenir, investigar y sancionar las conductas que afecten los intereses de Estado en el nivel territorial.  </w:t>
      </w:r>
    </w:p>
    <w:p w14:paraId="7EC201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43B5B54"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192" w:name="ver_30052379"/>
      <w:bookmarkEnd w:id="192"/>
      <w:r w:rsidRPr="00562064">
        <w:rPr>
          <w:rFonts w:ascii="Arial" w:eastAsia="Times New Roman" w:hAnsi="Arial" w:cs="Arial"/>
          <w:b/>
          <w:bCs/>
          <w:color w:val="000000" w:themeColor="text1"/>
          <w:lang w:eastAsia="es-CO"/>
        </w:rPr>
        <w:t>Título 5</w:t>
      </w:r>
    </w:p>
    <w:p w14:paraId="142B662F"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Política Pública Nacional de Equidad de Género</w:t>
      </w:r>
    </w:p>
    <w:p w14:paraId="5FFBC32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93" w:name="ver_30052380"/>
      <w:bookmarkEnd w:id="193"/>
    </w:p>
    <w:p w14:paraId="587BBF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2.1.5.1. De la Política Pública Nacional de Equidad de Género. Adóptese la Política Pública Nacional de Equidad de Género, la cual estará compuesta por el conjunto de políticas, lineamientos, procesos, planes indicativos, instituciones, instancias y el Plan integral para garantizar una vida libre de violencias contenidas en el documento CONPES Social 161 de 2013 y las normas que los modifiquen o adicionen. </w:t>
      </w:r>
    </w:p>
    <w:p w14:paraId="1E5D8C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DA39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Política Pública Nacional de Equidad de Género adoptada mediante el presente Título, es de carácter indicativo e incluye todas las actualizaciones al documento CONPES Social 161 de 2013. </w:t>
      </w:r>
    </w:p>
    <w:p w14:paraId="1FC9DF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E97343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Política Pública Nacional de Equidad de Género adoptada mediante el presente Título, deberá implementarse de conformidad con lo establecido en el artículo 177 de la Ley 1450 de 2011 y otras normas relacionadas con la importancia del enfoque diferencial desde la perspectiva de género, teniendo en cuenta las particularidades que afectan a los grupos de población urbana y rural, afrocolombiana, indígena, campesina y Rom, y el desarrollo de planes específicos que garanticen los derechos de las mujeres en situación de desplazamiento y el derecho de las mujeres a una vida libre de violencias. </w:t>
      </w:r>
    </w:p>
    <w:p w14:paraId="0AA62C60" w14:textId="517B5530"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94" w:name="ver_30052381"/>
      <w:bookmarkEnd w:id="194"/>
    </w:p>
    <w:p w14:paraId="240116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2.1.5.2. Comisión intersectorial de coordinación para la implementación de la política pública nacional de equidad de género. Créase la Comisión Intersectorial de la Política Pública Nacional de Equidad de Género, que en adelante se denominará “la Comisión”. </w:t>
      </w:r>
    </w:p>
    <w:p w14:paraId="58B991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9E91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4090A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95" w:name="ver_30052382"/>
      <w:bookmarkEnd w:id="195"/>
    </w:p>
    <w:p w14:paraId="72F91B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2.1.5.3. Objeto. La Comisión tendrá por objeto coordinar, armonizar e impulsar la ejecución del Plan Indicativo por parte de las entidades involucradas, acorde a sus </w:t>
      </w:r>
      <w:r w:rsidRPr="00562064">
        <w:rPr>
          <w:rFonts w:ascii="Arial" w:eastAsia="Times New Roman" w:hAnsi="Arial" w:cs="Arial"/>
          <w:color w:val="000000" w:themeColor="text1"/>
          <w:lang w:eastAsia="es-CO"/>
        </w:rPr>
        <w:lastRenderedPageBreak/>
        <w:t>competencias en la Política Pública Nacional de Equidad de Género siendo esta la instancia de concertación entre los diferentes sectores involucrados. </w:t>
      </w:r>
    </w:p>
    <w:p w14:paraId="03A500C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96" w:name="ver_30052383"/>
      <w:bookmarkEnd w:id="196"/>
    </w:p>
    <w:p w14:paraId="6C1C14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2.1.5.4. Integración. La Comisión estará integrada por: </w:t>
      </w:r>
    </w:p>
    <w:p w14:paraId="0C42F24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54C1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El Ministro del Interior o su delegado. </w:t>
      </w:r>
    </w:p>
    <w:p w14:paraId="7193A2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BEE7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Ministro de Justicia y del Derecho o su delegado. </w:t>
      </w:r>
    </w:p>
    <w:p w14:paraId="01C450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4781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El Ministro de Agricultura y Desarrollo Rural o su delegado. </w:t>
      </w:r>
    </w:p>
    <w:p w14:paraId="494FBF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37686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Ministro de Salud y Protección Social o su delegado. </w:t>
      </w:r>
    </w:p>
    <w:p w14:paraId="451BA3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5F30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El Ministro de Trabajo o su delegado. </w:t>
      </w:r>
    </w:p>
    <w:p w14:paraId="6EE669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86ADB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El Ministro de Educación Nacional o su delegado. </w:t>
      </w:r>
    </w:p>
    <w:p w14:paraId="567287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D08A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El Ministro de Tecnologías de la Información y las Comunicaciones o su delegado. </w:t>
      </w:r>
    </w:p>
    <w:p w14:paraId="156F97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510C9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El Director General del Departamento Nacional de Planeación o su delegado. </w:t>
      </w:r>
    </w:p>
    <w:p w14:paraId="200E237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7448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El Director del Instituto Colombiano de Bienestar Familiar (ICBF), o su delegado. </w:t>
      </w:r>
    </w:p>
    <w:p w14:paraId="5CFD0C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C881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El Director del Departamento Administrativo de la Presidencia de la República quien podrá delegar en la Consejera Presidencial para la Equidad de la Mujer. </w:t>
      </w:r>
    </w:p>
    <w:p w14:paraId="11132D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C532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El Director del Departamento Administrativo de la Función Pública, o su delegado; </w:t>
      </w:r>
    </w:p>
    <w:p w14:paraId="5326E9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6D871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El Consejero Presidencial para los Derechos Humanos en su calidad de coordinador del Sistema de Derechos Humanos, o su delegado. </w:t>
      </w:r>
    </w:p>
    <w:p w14:paraId="08945AF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7273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El Director del Departamento Administrativo para la Prosperidad Social, o su delegado. </w:t>
      </w:r>
    </w:p>
    <w:p w14:paraId="47D8D54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7BD8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Comisión será presidida por el Director del Departamento Administrativo de la Presidencia de la República o su delegado. </w:t>
      </w:r>
    </w:p>
    <w:p w14:paraId="7E36CE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A9AB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Las personas delegadas para participar en la Comisión deberán ser del nivel directivo y tener capacidad de decisión. </w:t>
      </w:r>
    </w:p>
    <w:p w14:paraId="6315E9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B254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La Comisión podrá invitar a las sesiones a los funcionarios y representantes de las entidades públicas o privadas, expertos y otras personas naturales o jurídicas, cuyo aporte se estime de utilidad para los fines encomendados a la misma, quienes actuarán con voz pero sin voto. </w:t>
      </w:r>
    </w:p>
    <w:p w14:paraId="06BE0763" w14:textId="037FEED4"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97" w:name="ver_30052384"/>
      <w:bookmarkEnd w:id="197"/>
    </w:p>
    <w:p w14:paraId="432E14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2.1.5.5. Funciones de la Comisión. La Comisión tendrá las siguientes funciones: </w:t>
      </w:r>
    </w:p>
    <w:p w14:paraId="59D304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6906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Coordinar la implementación y seguimiento técnico y operativo de la Política Pública Nacional de Equidad de Género. </w:t>
      </w:r>
    </w:p>
    <w:p w14:paraId="4B2EE9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CC75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2. Dar lineamientos sobre los mecanismos a través de los cuales se garantiza la implementación del Plan de Acción indicativo de la Política Pública Nacional de Equidad de Género en los niveles nacional y territorial. </w:t>
      </w:r>
    </w:p>
    <w:p w14:paraId="7BD5DD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6A3D7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Orientar el diseño e implementación de un sistema de control que permita hacer seguimiento al cumplimiento de las metas señaladas y los resultados propuestos por la Comisión, en el Plan de Acción Indicativo, con indicadores verificables. </w:t>
      </w:r>
    </w:p>
    <w:p w14:paraId="6686B9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90D7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Dar lineamientos para la priorización de la inversión, la gestión de esquemas de cofinanciación y ejecución, que permitan la adecuada implementación de la Política Pública Nacional de Equidad de Género. </w:t>
      </w:r>
    </w:p>
    <w:p w14:paraId="24A2D1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5540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Elaborar informes anuales de seguimiento de la Política Pública Nacional de Equidad de Género. </w:t>
      </w:r>
    </w:p>
    <w:p w14:paraId="0293F2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B9BF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Dar lineamientos para establecer la oferta regionalizada de servicios y proyectos de inversión de las entidades del orden nacional relacionados con los temas tratados en la Política Pública Nacional de Equidad de Género. </w:t>
      </w:r>
    </w:p>
    <w:p w14:paraId="70F954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2557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Expedir su propio reglamento. </w:t>
      </w:r>
    </w:p>
    <w:p w14:paraId="3BA273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4055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Las demás funciones que sean propias, de acuerdo a su naturaleza, la coordinación y orientación de su actividad. </w:t>
      </w:r>
    </w:p>
    <w:p w14:paraId="591E44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58ACC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198" w:name="ver_30052385"/>
      <w:bookmarkEnd w:id="198"/>
    </w:p>
    <w:p w14:paraId="54E927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2.1.5.6. Sesiones. La Comisión Intersectorial se reunirá por derecho propio cada tres (3) meses, previa convocatoria realizada por la Secretaría Técnica y extraordinariamente a solicitud de cualquiera de los miembros de la misma. </w:t>
      </w:r>
    </w:p>
    <w:p w14:paraId="0F95DE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396D8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sesiones serán presenciales, sin perjuicio de la posibilidad realizar sesiones virtuales cuando las circunstancias así lo ameriten. </w:t>
      </w:r>
    </w:p>
    <w:p w14:paraId="4D0E10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8FCB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 cada una de las sesiones se levantará un acta, la cual será firmada por la Secretaría Técnica. </w:t>
      </w:r>
    </w:p>
    <w:p w14:paraId="7EEAE133" w14:textId="5DF9ED11"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199" w:name="ver_30052386"/>
      <w:bookmarkEnd w:id="199"/>
    </w:p>
    <w:p w14:paraId="13CE61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2.1.5.7. Quórum. La Comisión podrá deliberar con la mitad más uno de los miembros que la integran. El quórum decisorio corresponderá al voto favorable de los asistentes a la sesión de la Comisión. </w:t>
      </w:r>
    </w:p>
    <w:p w14:paraId="6F8DD4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1B0B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decisiones serán comunicadas por la Secretaría Técnica para que cada entidad en el marco de sus competencias, disponga lo necesario para el cumplimiento de las mismas. </w:t>
      </w:r>
    </w:p>
    <w:p w14:paraId="42B9204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00" w:name="ver_30052387"/>
      <w:bookmarkEnd w:id="200"/>
    </w:p>
    <w:p w14:paraId="531946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2.1.5.8. Secretaría técnica. La Secretaría Técnica será ejercida por la Consejería Presidencial para la Equidad de la Mujer. </w:t>
      </w:r>
    </w:p>
    <w:p w14:paraId="24B9902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01" w:name="ver_30052388"/>
      <w:bookmarkEnd w:id="201"/>
    </w:p>
    <w:p w14:paraId="7DDC8E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2.1.5.9. Funciones de la Secretaría Técnica. La Secretaría Técnica de la Comisión tendrá las siguientes funciones: </w:t>
      </w:r>
    </w:p>
    <w:p w14:paraId="114AE64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71ED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Presentar el plan de trabajo acorde con el objeto y las funciones de la Comisión. </w:t>
      </w:r>
    </w:p>
    <w:p w14:paraId="0AC110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B476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Preparar el reglamento interno de la Comisión. </w:t>
      </w:r>
    </w:p>
    <w:p w14:paraId="454135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  </w:t>
      </w:r>
    </w:p>
    <w:p w14:paraId="71B2E6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Coordinar la elaboración y presentar informes trimestrales a la Comisión sobre los avances en el Plan de Acción Indicativo. </w:t>
      </w:r>
    </w:p>
    <w:p w14:paraId="774079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8924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Realizar el enlace y brindar el apoyo técnico, administrativo y operativo para la coordinación entre las entidades que integren la Comisión. </w:t>
      </w:r>
    </w:p>
    <w:p w14:paraId="4B4D6B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426D0E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Proponer a la Comisión los mecanismos y la operación necesaria para la implementación y monitoreo del Plan de Acción Indicativo de la Política Pública Nacional de Equidad de Género. </w:t>
      </w:r>
    </w:p>
    <w:p w14:paraId="102A4B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A5E03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Comunicar y coordinar la Convocatoria de la Comisión a sesiones ordinarias o extraordinarias y remitir las propuestas, documentos de trabajo, informes y demás materiales de apoyo, que sirvan de soporte a las decisiones de la misma. </w:t>
      </w:r>
    </w:p>
    <w:p w14:paraId="1397C34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2B22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Recibir y dar trámite a las propuestas que sean presentadas por los integrantes de la Comisión, y articular las iniciativas, acciones técnicas y políticas que surjan de la Comisión. </w:t>
      </w:r>
    </w:p>
    <w:p w14:paraId="51E032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1041EE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Fomentar la formulación e implementación de políticas y planes en las entidades territoriales armonizadas a la Política Pública Nacional de Equidad de Género; </w:t>
      </w:r>
    </w:p>
    <w:p w14:paraId="3621CB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9149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Consolidar y entregar, a los órganos de control, los informes que le sean requeridos a la Comisión en virtud de la implementación y seguimiento de la Política Pública Nacional de Equidad de Género. </w:t>
      </w:r>
    </w:p>
    <w:p w14:paraId="65B237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0005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Citar y asistir a las reuniones de la Comisión, elaborar y suscribir las actas correspondientes, y hacer seguimiento al cumplimiento de las decisiones, acuerdos y compromisos adquiridos. </w:t>
      </w:r>
    </w:p>
    <w:p w14:paraId="78D43D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57D8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Las demás funciones que sean propias de su carácter de apoyo y soporte técnico, o que le sean asignadas por la Comisión. </w:t>
      </w:r>
    </w:p>
    <w:p w14:paraId="58961004" w14:textId="5AEBF7E1"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202" w:name="ver_30052389"/>
      <w:bookmarkEnd w:id="202"/>
    </w:p>
    <w:p w14:paraId="0FF15D7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2.1.6.10. Comité Técnico. La Comisión contará con un Comité Técnico cuya convocatoria estará a cargo de la Secretaría Técnica de la Comisión. </w:t>
      </w:r>
    </w:p>
    <w:p w14:paraId="399A98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E41D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Comité Técnico estará integrado por profesionales de las entidades que hacen parte de la Comisión, los cuales serán designados por los representantes que la conforman. Podrán ser miembros regulares de las sesiones técnicas otras entidades que la Comisión considere necesarias. Estas sesiones tienen por objeto gestionar las decisiones de la Comisión y adelantar las labores técnicas que permitan ejecutar e implementar los lineamientos y políticas establecidas por la Comisión y llevar las propuestas a la misma. </w:t>
      </w:r>
    </w:p>
    <w:p w14:paraId="1C507A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886BA8"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203" w:name="ver_30052390"/>
      <w:bookmarkEnd w:id="203"/>
      <w:r w:rsidRPr="00562064">
        <w:rPr>
          <w:rFonts w:ascii="Arial" w:eastAsia="Times New Roman" w:hAnsi="Arial" w:cs="Arial"/>
          <w:b/>
          <w:bCs/>
          <w:color w:val="000000" w:themeColor="text1"/>
          <w:lang w:eastAsia="es-CO"/>
        </w:rPr>
        <w:t>Título 6</w:t>
      </w:r>
    </w:p>
    <w:p w14:paraId="3496EA5E"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Medidas para facilitar el diálogo y la suscripción de acuerdos con grupos armados organizados al margen de la ley para su desmovilización, reconciliación entre los colombianos y la convivencia pacífica</w:t>
      </w:r>
    </w:p>
    <w:p w14:paraId="1CA9E5E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04" w:name="ver_30052391"/>
      <w:bookmarkEnd w:id="204"/>
    </w:p>
    <w:p w14:paraId="3CE67D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2.1.6.1. Suspensión de órdenes de captura como medida provisional para facilitar los diálogos. De acuerdo con la Ley 1421 de 2010, una vez iniciado un proceso de diálogo, </w:t>
      </w:r>
      <w:r w:rsidRPr="00562064">
        <w:rPr>
          <w:rFonts w:ascii="Arial" w:eastAsia="Times New Roman" w:hAnsi="Arial" w:cs="Arial"/>
          <w:color w:val="000000" w:themeColor="text1"/>
          <w:lang w:eastAsia="es-CO"/>
        </w:rPr>
        <w:lastRenderedPageBreak/>
        <w:t>negociación o firma de acuerdos, y con el fin de facilitar el desarrollo de los mismos, la autoridad correspondiente suspenderá las órdenes de captura que se hayan dictado o se dicten en contra de los miembros representantes de las organizaciones armadas al margen de la ley con los cuales se adelanten diálogos, negociaciones o acuerdos de paz. </w:t>
      </w:r>
    </w:p>
    <w:p w14:paraId="7165BD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6836E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05" w:name="ver_30052392"/>
      <w:bookmarkEnd w:id="205"/>
    </w:p>
    <w:p w14:paraId="630F94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2.1.6.2. Notificación del inicio, terminación o suspensión de los diálogos. El Gobierno nacional notificará a las autoridades judiciales correspondientes el inicio, terminación o suspensión de diálogos, suspensión o firma de acuerdos y certificará la participación de las personas que actúan como voceros o miembros representantes de dicho grupos armados organizados al margen de la ley. </w:t>
      </w:r>
    </w:p>
    <w:p w14:paraId="67B3CA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7EA9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También se suspenderán las órdenes de captura que se emitan con posterioridad al inicio de los diálogos, mientras duren los mismos. </w:t>
      </w:r>
    </w:p>
    <w:p w14:paraId="4C0F58A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06" w:name="ver_30052393"/>
      <w:bookmarkEnd w:id="206"/>
    </w:p>
    <w:p w14:paraId="03C876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2.1.6.3. Facultades del Fiscal General de la Nación. El Fiscal General de la Nación, actuando como autoridad competente, suspenderá de plano las órdenes de captura que se hayan dictado o que se dicten en contra de los miembros representantes de las organizaciones armadas al margen de la ley con los cuales se adelanten diálogos, negociaciones o acuerdos de paz, por el estricto término solicitado por el Gobierno nacional. </w:t>
      </w:r>
    </w:p>
    <w:p w14:paraId="3C7CAD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13DD5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07" w:name="ver_30052394"/>
      <w:bookmarkEnd w:id="207"/>
    </w:p>
    <w:p w14:paraId="371EA6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2.1.6.4. Comunicaciones y registros. El Fiscal General de la Nación o el Fiscal Delegado que asigne para el efecto, notificará a las autoridades de policía judicial correspondientes sobre la suspensión de las órdenes de captura de que trata el artículo 2.1.6.1 del presente decreto y verificará que las órdenes de suspensión reposen en los registros correspondientes. </w:t>
      </w:r>
    </w:p>
    <w:p w14:paraId="2DF689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41E07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08" w:name="ver_30052395"/>
      <w:bookmarkEnd w:id="208"/>
    </w:p>
    <w:p w14:paraId="7F4E4A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2.1.6.5. Miembros representantes. La resolución que reconoce la calidad de miembros representantes será documento suficiente para efectos de la salida del país. </w:t>
      </w:r>
    </w:p>
    <w:p w14:paraId="7982174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184B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1232C43"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209" w:name="ver_30052396"/>
      <w:bookmarkEnd w:id="209"/>
      <w:r w:rsidRPr="00562064">
        <w:rPr>
          <w:rFonts w:ascii="Arial" w:eastAsia="Times New Roman" w:hAnsi="Arial" w:cs="Arial"/>
          <w:b/>
          <w:bCs/>
          <w:color w:val="000000" w:themeColor="text1"/>
          <w:lang w:eastAsia="es-CO"/>
        </w:rPr>
        <w:t>Título 7</w:t>
      </w:r>
    </w:p>
    <w:p w14:paraId="0D65CB34"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Sistema Nacional de Derechos Humanos y Derecho Internacional Humanitario y Comisión Intersectorial de Derechos Humanos y Derecho Internacional Humanitario</w:t>
      </w:r>
    </w:p>
    <w:p w14:paraId="15313A99"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1</w:t>
      </w:r>
    </w:p>
    <w:p w14:paraId="1CA1B59C"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Sistema Nacional de Derechos Humanos y Derecho Internacional Humanitario</w:t>
      </w:r>
    </w:p>
    <w:p w14:paraId="02C0D3B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10" w:name="ver_30052397"/>
      <w:bookmarkEnd w:id="210"/>
    </w:p>
    <w:p w14:paraId="3A8746E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2.1.7.1.1. Sistema Nacional de Derechos Humanos y Derecho Internacional Humanitario. Sistema Nacional de Derechos Humanos y Derecho Internacional Humanitario. Créase y organízase el Sistema Nacional de Derechos Humanos y Derecho Internacional Humanitario, con el fin de articular a las entidades e instancias del orden nacional y territorial, y coordinar sus acciones para promover el respeto y garantía de los Derechos Humanos y la aplicación del Derecho Internacional Humanitario, mediante el diseño, implementación, seguimiento y evaluación de la Política Integral de Derechos Humanos y Derecho Internacional Humanitario, y el diseño y consolidación de las políticas públicas sectoriales con enfoque de derechos y enfoque diferencial. </w:t>
      </w:r>
    </w:p>
    <w:p w14:paraId="72B919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  </w:t>
      </w:r>
    </w:p>
    <w:p w14:paraId="421F38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Sistema Nacional de Derechos Humanos y Derecho Internacional Humanitario se estructurará, a su vez, en Subsistemas. </w:t>
      </w:r>
    </w:p>
    <w:p w14:paraId="42C7190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48EA44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11" w:name="ver_30052398"/>
      <w:bookmarkEnd w:id="211"/>
    </w:p>
    <w:p w14:paraId="1F40D45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2.1.7.1.2. Definición del Sistema Nacional de Derechos Humanos y Derecho Internacional Humanitario. Es el conjunto de principios, normas, políticas, programas, instancias e instituciones públicas del orden nacional y territorial, con competencia en el diseño, implementación, seguimiento y evaluación de la Política Integral de Derechos Humanos y Derecho Internacional Humanitario y en la promoción de un enfoque de derechos y un enfoque diferencial en las políticas públicas sectoriales. </w:t>
      </w:r>
    </w:p>
    <w:p w14:paraId="151EEF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2D47C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12" w:name="ver_30052399"/>
      <w:bookmarkEnd w:id="212"/>
    </w:p>
    <w:p w14:paraId="5D2806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2.1.7.1.3. Subsistemas. Son parte de la estructura del Sistema Nacional de Derechos Humanos y Derecho Internacional Humanitario y están integrados por las entidades públicas e instancias competentes en materia de respeto y garantía de los derechos civiles, políticos, económicos, sociales, culturales, colectivos y del ambiente y la aplicación del Derecho Internacional Humanitario. </w:t>
      </w:r>
    </w:p>
    <w:p w14:paraId="17ED6F9E" w14:textId="0ADFCA35" w:rsidR="00143180"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62F1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2.1.7.1.4. Principios. El funcionamiento del Sistema Nacional de Derechos Humanos y Derecho Internacional Humanitario se orientará por los principios y criterios contenidos en la Constitución Política y en los Tratados Internacionales en materia de Derechos Humanos y Derecho Internacional Humanitario, entre ellos, como mínimo: </w:t>
      </w:r>
    </w:p>
    <w:p w14:paraId="24DBA9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A09B1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Principio Pro Persona. La aplicación de las normas se hará de conformidad con la interpretación más amplia, extensiva y garantista a favor del ser humano; mientras que cuando se trate de establecer restricciones, limitaciones o suspensiones al ejercicio de los derechos se acudirá a la interpretación más restringida. </w:t>
      </w:r>
    </w:p>
    <w:p w14:paraId="00F449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AAC8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Igualdad y no discriminación. Se garantizará que todas las personas reciban la misma protección y trato de las autoridades y gocen de los mismos derechos, libertades y oportunidades, sin ninguna discriminación por motivos de sexo, raza, identidad de género, orientación sexual, etnia, cultura, edad, origen nacional o familiar, lengua, religión, discapacidad, opinión política o filosófica, por condición social o económica, entre otras. De igual manera, se reconocerán las particularidades poblacionales, principalmente de los sujetos de especial protección constitucional, es decir, que por su condición económica, social, física o mental, se encuentren en circunstancias de debilidad manifiesta y que requieren una atención y protección especial y la aplicación de acciones afirmativas acordes con su situación. Además se buscará eliminar las estructuras, procedimientos o acciones institucionales, en el ámbito público o privado, que resulten en cualquier tipo de discriminación. </w:t>
      </w:r>
    </w:p>
    <w:p w14:paraId="50D910C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65E3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Progresividad y no Regresividad. El Estado ejercerá controles y promoverá acciones con el objeto de asegurar que las personas cuenten con la garantía de un mayor nivel en el goce efectivo de los Derechos Humanos, especialmente en materia de derechos económicos, sociales y culturales, e impedir la adopción de medidas que menoscaben el nivel de ejercicio de los derechos alcanzados, en el marco de la Constitución Política y la ley. </w:t>
      </w:r>
    </w:p>
    <w:p w14:paraId="09E802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BF6A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4. Coordinación. Las entidades del orden nacional y territorial, de acuerdo con sus funciones y competencias, deberán garantizar que exista la debida armonía y coherencia entre los </w:t>
      </w:r>
      <w:r w:rsidRPr="00562064">
        <w:rPr>
          <w:rFonts w:ascii="Arial" w:eastAsia="Times New Roman" w:hAnsi="Arial" w:cs="Arial"/>
          <w:color w:val="000000" w:themeColor="text1"/>
          <w:lang w:eastAsia="es-CO"/>
        </w:rPr>
        <w:lastRenderedPageBreak/>
        <w:t>planes, programas y proyectos que realicen a su interior y en relación con las demás entidades e instancias del Sistema Nacional de Derechos Humanos y Derecho Internacional Humanitario. </w:t>
      </w:r>
    </w:p>
    <w:p w14:paraId="5E5371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2E59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Concurrencia. Cuando se requiera la actuación de dos o más autoridades para desarrollar actividades en conjunto hacia un propósito común, teniendo facultades de distintos niveles, su actuación deberá ser oportuna, eficiente y eficaz, dirigida a garantizar la mayor efectividad y bajo las reglas del respeto mutuo de los fueros de competencia de cada una de ellas. </w:t>
      </w:r>
    </w:p>
    <w:p w14:paraId="073B14D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9A1D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Subsidiariedad. Las autoridades del nivel nacional deben colaborar entre sí y con las entidades territoriales cuando estas no puedan cumplir con sus funciones y competencias en el diseño, implementación, seguimiento y evaluación de la Política Integral de Derechos Humanos y Derecho Internacional Humanitario, sin perjuicio de la autonomía de las entidades territoriales. </w:t>
      </w:r>
    </w:p>
    <w:p w14:paraId="337011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60A9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Complementariedad. Las entidades y autoridades actuarán en colaboración mutua, dentro de su órbita funcional, con el fin de garantizar la adecuada implementación de la Política Integral de Derechos Humanos y Derecho Internacional Humanitario. </w:t>
      </w:r>
    </w:p>
    <w:p w14:paraId="305737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0099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Corresponsabilidad. Las acciones en materia de respeto y garantía de los Derechos Humanos y aplicación del Derecho Internacional Humanitario son de responsabilidad de todas las entidades públicas, de los órdenes nacional y territorial, y de los particulares que ejercen funciones públicas o prestan servicios públicos. Este principio es complementario a la correlación de deberes y derechos de toda persona. </w:t>
      </w:r>
    </w:p>
    <w:p w14:paraId="3513CC02" w14:textId="465D0382"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213" w:name="ver_30106642"/>
      <w:bookmarkStart w:id="214" w:name="ver_30106641"/>
      <w:bookmarkEnd w:id="213"/>
    </w:p>
    <w:p w14:paraId="538626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2.1.7.1.5.Objetivos. Son objetivos del Sistema Nacional de Derechos Humanos y Derecho Internacional Humanitario: </w:t>
      </w:r>
    </w:p>
    <w:p w14:paraId="5C70377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0DAF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Fortalecer la capacidad institucional, con el objeto de mejorar las condiciones sociales y del ejercicio de los derechos de las y los colombianos, y el respeto del Derecho Internacional Humanitario. </w:t>
      </w:r>
    </w:p>
    <w:p w14:paraId="2009C3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994D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Organizar la institucionalidad pública para garantizar los Derechos Humanos y el Derecho Internacional Humanitario que permita la acción y gestión integral, oportuna, efectiva e idónea del Estado, en los órdenes nacional y territorial. </w:t>
      </w:r>
    </w:p>
    <w:p w14:paraId="614CC0C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8D1D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Estructurar y contribuir a la implementación de la Política Integral de Derechos Humanos y Derecho Internacional Humanitario “Estrategia Nacional para la Garantía de los Derechos Humanos 2014-2034”, en materia de respeto y garantía de los derechos civiles y políticos; los derechos económicos, sociales, culturales, colectivos y del ambiente; justicia; igualdad, no discriminación y respeto por las identidades; ciudadanía, cultura y educación en Derechos Humanos y Paz; construcción de paz; y la aplicación del Derecho Internacional Humanitario a través de los subsistemas establecidos para cada componente de la Política. </w:t>
      </w:r>
    </w:p>
    <w:p w14:paraId="38B9B3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28DE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Promover la incorporación del enfoque de derechos y enfoque diferencial en las políticas públicas sectoriales. </w:t>
      </w:r>
    </w:p>
    <w:p w14:paraId="05EA68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C41C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Impulsar el cumplimiento y seguimiento de los compromisos y obligaciones internacionales en materia de Derechos Humanos y Derecho Internacional Humanitario. </w:t>
      </w:r>
    </w:p>
    <w:p w14:paraId="5A9870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6DEB56" w14:textId="69881B66"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6. Contar con un Sistema de Información que permita monitorear, hacer seguimiento y evaluar la situación de Derechos Humanos y Derecho Internacional Humanitario”. </w:t>
      </w:r>
    </w:p>
    <w:p w14:paraId="258FFCAF" w14:textId="77777777" w:rsidR="00143180" w:rsidRPr="00562064" w:rsidRDefault="00143180" w:rsidP="00143180">
      <w:pPr>
        <w:spacing w:after="0" w:line="254" w:lineRule="atLeast"/>
        <w:jc w:val="both"/>
        <w:rPr>
          <w:rFonts w:ascii="Arial" w:eastAsia="Times New Roman" w:hAnsi="Arial" w:cs="Arial"/>
          <w:color w:val="000000" w:themeColor="text1"/>
          <w:lang w:eastAsia="es-CO"/>
        </w:rPr>
      </w:pPr>
    </w:p>
    <w:p w14:paraId="67EA2C3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15" w:name="ver_30106644"/>
      <w:bookmarkStart w:id="216" w:name="ver_30106643"/>
      <w:bookmarkEnd w:id="214"/>
      <w:bookmarkEnd w:id="215"/>
    </w:p>
    <w:p w14:paraId="1DAE27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2.1.7.1.6.Integración del Sistema Nacional de Derechos Humanos y Derecho Internacional Humanitario. Forman parte del Sistema Nacional de Derechos Humanos y Derecho Internacional Humanitario: </w:t>
      </w:r>
    </w:p>
    <w:p w14:paraId="3D2E08D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A168B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La Comisión Intersectorial de Derechos Humanos y Derecho Internacional Humanitario. </w:t>
      </w:r>
    </w:p>
    <w:p w14:paraId="3DF68F2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DF91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La Secretaría Técnica. </w:t>
      </w:r>
    </w:p>
    <w:p w14:paraId="39D7378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7930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Los Subsistemas. </w:t>
      </w:r>
    </w:p>
    <w:p w14:paraId="144A24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B5A3D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Las Instancias Territoriales”. </w:t>
      </w:r>
    </w:p>
    <w:p w14:paraId="0F8369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1166142" w14:textId="77777777" w:rsidR="0051031E" w:rsidRDefault="0051031E" w:rsidP="00143180">
      <w:pPr>
        <w:spacing w:after="0" w:line="293" w:lineRule="atLeast"/>
        <w:jc w:val="center"/>
        <w:rPr>
          <w:rFonts w:ascii="Arial" w:eastAsia="Times New Roman" w:hAnsi="Arial" w:cs="Arial"/>
          <w:b/>
          <w:bCs/>
          <w:color w:val="000000" w:themeColor="text1"/>
          <w:lang w:eastAsia="es-CO"/>
        </w:rPr>
      </w:pPr>
      <w:bookmarkStart w:id="217" w:name="ver_30052403"/>
      <w:bookmarkEnd w:id="216"/>
      <w:bookmarkEnd w:id="217"/>
    </w:p>
    <w:p w14:paraId="0D2589B8" w14:textId="77777777" w:rsidR="0051031E" w:rsidRDefault="0051031E" w:rsidP="00143180">
      <w:pPr>
        <w:spacing w:after="0" w:line="293" w:lineRule="atLeast"/>
        <w:jc w:val="center"/>
        <w:rPr>
          <w:rFonts w:ascii="Arial" w:eastAsia="Times New Roman" w:hAnsi="Arial" w:cs="Arial"/>
          <w:b/>
          <w:bCs/>
          <w:color w:val="000000" w:themeColor="text1"/>
          <w:lang w:eastAsia="es-CO"/>
        </w:rPr>
      </w:pPr>
    </w:p>
    <w:p w14:paraId="360EF42E" w14:textId="77777777" w:rsidR="0051031E" w:rsidRDefault="0051031E" w:rsidP="00143180">
      <w:pPr>
        <w:spacing w:after="0" w:line="293" w:lineRule="atLeast"/>
        <w:jc w:val="center"/>
        <w:rPr>
          <w:rFonts w:ascii="Arial" w:eastAsia="Times New Roman" w:hAnsi="Arial" w:cs="Arial"/>
          <w:b/>
          <w:bCs/>
          <w:color w:val="000000" w:themeColor="text1"/>
          <w:lang w:eastAsia="es-CO"/>
        </w:rPr>
      </w:pPr>
    </w:p>
    <w:p w14:paraId="3F614A19" w14:textId="7421217F"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2</w:t>
      </w:r>
    </w:p>
    <w:p w14:paraId="12647408"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Comisión Intersectorial de Derechos Humanos y Derecho Internacional Humanitario</w:t>
      </w:r>
    </w:p>
    <w:p w14:paraId="32C40D4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18" w:name="ver_30052404"/>
      <w:bookmarkEnd w:id="218"/>
    </w:p>
    <w:p w14:paraId="263F3E3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2.1.7.2.1. Objeto de la Comisión Intersectorial de Derechos Humanos y Derecho Internacional Humanitario. La Comisión Intersectorial de Derechos Humanos y Derecho Internacional Humanitario estará encargada de coordinar y orientar el Sistema Nacional de Derechos Humanos y Derecho Internacional Humanitario y será la instancia de definición, promoción, orientación, articulación, seguimiento y evaluación de la Política Integral de Derechos Humanos y Derecho Internacional Humanitario, y de respuesta e impulso al cumplimiento de los compromisos internacionales en esas materias. </w:t>
      </w:r>
    </w:p>
    <w:p w14:paraId="63432F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A9BB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bookmarkStart w:id="219" w:name="ver_30106645"/>
      <w:bookmarkStart w:id="220" w:name="ver_30106646"/>
      <w:bookmarkStart w:id="221" w:name="ver_30137099"/>
      <w:r w:rsidRPr="00562064">
        <w:rPr>
          <w:rFonts w:ascii="Arial" w:eastAsia="Times New Roman" w:hAnsi="Arial" w:cs="Arial"/>
          <w:color w:val="000000" w:themeColor="text1"/>
          <w:lang w:eastAsia="es-CO"/>
        </w:rPr>
        <w:t>Artículo 2.1.7.2.2. Composición. La Comisión Intersectorial estará integrada por los siguientes miembros:  </w:t>
      </w:r>
    </w:p>
    <w:p w14:paraId="267AF1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El Consejero Presidencial para Derechos Humanos y Asuntos Internacionales, quien la presidirá.  </w:t>
      </w:r>
    </w:p>
    <w:p w14:paraId="559C9D7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Ministro del Interior.  </w:t>
      </w:r>
    </w:p>
    <w:p w14:paraId="7450FE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El Consejero Presidencial para la estabilización y consolidación.  </w:t>
      </w:r>
    </w:p>
    <w:p w14:paraId="6233BD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Ministro de Relaciones Exteriores.  </w:t>
      </w:r>
    </w:p>
    <w:p w14:paraId="75E9225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El Ministro de Justicia y del Derecho  </w:t>
      </w:r>
    </w:p>
    <w:p w14:paraId="0BD77CC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El Ministro de Defensa Nacional.  </w:t>
      </w:r>
    </w:p>
    <w:p w14:paraId="64DA02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El Ministro de Agricultura y Desarrollo Rural.  </w:t>
      </w:r>
    </w:p>
    <w:p w14:paraId="1AAA7A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El Ministro de Salud y Protección Social.  </w:t>
      </w:r>
    </w:p>
    <w:p w14:paraId="193D3A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El Ministro del Trabajo.  </w:t>
      </w:r>
    </w:p>
    <w:p w14:paraId="5CED39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El Ministro de Educación Nacional.  </w:t>
      </w:r>
    </w:p>
    <w:p w14:paraId="13C6677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El Ministro de Tecnologías de la Información y Comunicaciones.  </w:t>
      </w:r>
    </w:p>
    <w:p w14:paraId="3D7CEA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El Ministro de Cultura.  </w:t>
      </w:r>
    </w:p>
    <w:p w14:paraId="7C4C2DC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El Director del Departamento Nacional de Planeación.  </w:t>
      </w:r>
    </w:p>
    <w:p w14:paraId="11851C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El Director del Departamento Administrativo para la Prosperidad Social.  </w:t>
      </w:r>
    </w:p>
    <w:p w14:paraId="3A9AF31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El Director del Departamento Administrativo de la Función Pública.  </w:t>
      </w:r>
    </w:p>
    <w:p w14:paraId="656B7E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16. El Director de la Agencia Presidencial de Cooperación Internacional de Colom</w:t>
      </w:r>
      <w:r w:rsidRPr="00562064">
        <w:rPr>
          <w:rFonts w:ascii="Arial" w:eastAsia="Times New Roman" w:hAnsi="Arial" w:cs="Arial"/>
          <w:color w:val="000000" w:themeColor="text1"/>
          <w:lang w:eastAsia="es-CO"/>
        </w:rPr>
        <w:softHyphen/>
        <w:t>bia (APC).  </w:t>
      </w:r>
    </w:p>
    <w:p w14:paraId="67EBB3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17. El Alto Comisionado para la Paz.  </w:t>
      </w:r>
    </w:p>
    <w:p w14:paraId="586222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18. El Director de la Agencia de Renovación del Territorio (ART).  </w:t>
      </w:r>
    </w:p>
    <w:p w14:paraId="47D16F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19. El Director General del Archivo General de la Nación.  </w:t>
      </w:r>
    </w:p>
    <w:p w14:paraId="48B218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20. El Director de la Unidad para la Atención y Reparación Integral a Víctimas.  </w:t>
      </w:r>
    </w:p>
    <w:p w14:paraId="735AD0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 El Director del Instituto Colombiano de Bienestar Familiar.  </w:t>
      </w:r>
    </w:p>
    <w:p w14:paraId="7DFB0E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En el caso de los ministros, la representación en las sesiones de la Comisión Intersectorial solo podrá ser delegada en los viceministros, y en el caso de los directores de Departamento Administrativo y demás entidades, en los subdirectores.  </w:t>
      </w:r>
    </w:p>
    <w:p w14:paraId="2361D5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Fiscalía General de la Nación, la Procuraduría General de la Nación, la Defensoría del Pueblo, la Contraloría General de la República, el Consejo Superior de la Judicatura y el Congreso de la República tendrán el carácter de invitados permanentes.  </w:t>
      </w:r>
    </w:p>
    <w:p w14:paraId="7B3C1A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A las sesiones de la Comisión Intersectorial podrán asistir, previa invitación de su presidente, otros ministros o directores de Departamento Administrativo, funcionarios del Estado, delegados de organizaciones étnicas, de derechos humanos, sociales, gremiales, académicas y fundaciones y demás que la Comisión Intersectorial considere pertinente para el desarrollo de sus funciones y tareas, al igual que representantes de organismos internacionales de Derechos Humanos.  </w:t>
      </w:r>
    </w:p>
    <w:p w14:paraId="16A75D5F" w14:textId="20FC5F03"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ministros y directores que sean invitados solo podrán delegar su asistencia en los viceministros o subdirectores, respectivamente”. </w:t>
      </w:r>
    </w:p>
    <w:p w14:paraId="2DB5CDE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22" w:name="ver_30106649"/>
      <w:bookmarkStart w:id="223" w:name="ver_30106647"/>
      <w:bookmarkEnd w:id="219"/>
      <w:bookmarkEnd w:id="220"/>
      <w:bookmarkEnd w:id="221"/>
      <w:bookmarkEnd w:id="222"/>
    </w:p>
    <w:p w14:paraId="32A88F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2.1.7.2.3.Funciones. La Comisión Intersectorial tendrá a su cargo las siguientes funciones:  </w:t>
      </w:r>
    </w:p>
    <w:p w14:paraId="0795FC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FF1E9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Coordinar el Sistema Nacional de Derechos Humanos y Derecho Internacional Humanitario.  </w:t>
      </w:r>
    </w:p>
    <w:p w14:paraId="1E88D8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DAEE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Orientar el diseño, implementación, seguimiento y evaluación de la Política Integral en Derechos Humanos y Derecho Internacional Humanitario “Estrategia Nacional para la Garantía de los Derechos Humanos 2014-2034” y la incorporación del enfoque de derechos y el enfoque diferencial en las políticas sectoriales.  </w:t>
      </w:r>
    </w:p>
    <w:p w14:paraId="23EE14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83E2B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Definir los Subsistemas en materia de respeto y garantía de los derechos civiles, políticos, económicos, sociales, culturales, colectivos y del ambiente, y la aplicación del Derecho Internacional Humanitario, así como su integración, coordinarlos acorde con los roles de las entidades y dependencias correspondientes.  </w:t>
      </w:r>
    </w:p>
    <w:p w14:paraId="019D1C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34D31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Promover acciones e impulsar iniciativas para que el ordenamiento jurídico interno incorpore los estándares internacionales de Derechos Humanos y Derecho Internacional Humanitario.  </w:t>
      </w:r>
    </w:p>
    <w:p w14:paraId="43662E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178A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Impulsar el cumplimiento y seguimiento de los compromisos y obligaciones internacionales en materia de Derechos Humanos y Derecho Internacional Humanitario.  </w:t>
      </w:r>
    </w:p>
    <w:p w14:paraId="1C18D3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6CD1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Orientar las acciones de coordinación y articulación con el Sistema Nacional de Atención y Reparación a Víctimas.  </w:t>
      </w:r>
    </w:p>
    <w:p w14:paraId="0CA596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818F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Orientar el diseño e implementación de estrategias de promoción y divulgación en materia de Derechos Humanos y Derecho Internacional Humanitario.  </w:t>
      </w:r>
    </w:p>
    <w:p w14:paraId="50647C4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01A0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8. Definir los lineamientos generales para la conformación y operación de un Sistema de información, que permita monitorear, hacer seguimiento y evaluar la situación de Derechos Humanos y Derecho Internacional Humanitario, y el impacto de la Política Integral en Derechos Humanos y Derecho Internacional Humanitario “Estrategia Nacional para la Garantía de los Derechos Humanos 2014-2034”.  </w:t>
      </w:r>
    </w:p>
    <w:p w14:paraId="6B7D7B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0797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Definir estrategias de gestión de recursos presupuestales para la adecuada implementación de la Política Integral de Derechos Humanos y Derecho Internacional Humanitario “Estrategia Nacional para la Garantía de los Derechos Humanos 2014-2034” y, en general, para el funcionamiento del Sistema Nacional de Derechos Humanos y Derecho Internacional Humanitario.  </w:t>
      </w:r>
    </w:p>
    <w:p w14:paraId="665B2E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24ABF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Adoptar su reglamento interno y el plan estratégico del Sistema Nacional de Derechos Humanos y Derecho Internacional Humanitario.  </w:t>
      </w:r>
    </w:p>
    <w:p w14:paraId="40E609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05A8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Hacer recomendaciones al Mecanismo de Coordinación Nación-Territorio, para que el diseño institucional en los órdenes nacional y territorial se encuentre debidamente articulado y definir las directrices para su implementación.  </w:t>
      </w:r>
    </w:p>
    <w:p w14:paraId="781CCA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3991D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Coordinar y determinar cuáles entidades son las responsables de la implementación de las medidas de reparación ordenadas y/o concertadas en decisiones de órganos internacionales de Derechos Humanos en casos individuales, siempre que la medida de reparación no haya sido asumida con anterioridad por otra entidad y no se trate del pago de indemnizaciones de que trata la Ley 288 de 1996. Igualmente, designar la entidad responsable del trámite de pago de indemnizaciones ordenadas en sentencias de la Corte Interamericana de Derechos Humanos.  </w:t>
      </w:r>
    </w:p>
    <w:p w14:paraId="2406F3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9B2F4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designación de la entidad responsable del trámite de pago de indemnizaciones ordenadas en sentencias de la Corte Interamericana de Derechos Humanos la realizará la Comisión Intersectorial con base en los siguientes criterios:  </w:t>
      </w:r>
    </w:p>
    <w:p w14:paraId="214A6D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4722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Cuando exista un fallo penal o disciplinario en contra de un agente del Estado por los hechos objeto de la sentencia de la Corte Interamericana de Derechos Humanos, se encargará a la entidad a la que aquel haya estado vinculado.  </w:t>
      </w:r>
    </w:p>
    <w:p w14:paraId="26F631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D4B9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Cuando exista un fallo judicial nacional mediante el cual se declare la responsabilidad de una entidad estatal por los mismos hechos a que se refiere la sentencia de la Corte Interamericana de Derechos Humanos, se encargará a la entidad condenada.  </w:t>
      </w:r>
    </w:p>
    <w:p w14:paraId="74E645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0FAD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Cuando exista un auto aprobatorio de una conciliación por los hechos a que se refiere la sentencia de la Corte Interamericana de Derechos Humanos, se encargará a la entidad que haya suscrito el acuerdo conciliatorio.  </w:t>
      </w:r>
    </w:p>
    <w:p w14:paraId="116D8E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8A348E" w14:textId="67EDD62C" w:rsidR="00143180"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Cuando ninguno de los criterios anteriormente establecidos pueda aplicarse directamente, la Comisión Intersectorial tendrá en cuenta el hecho eficiente principal que originó la reclamación o litigio internacional para la designación de la entidad que debe asumir el pago de las indemnizaciones.  </w:t>
      </w:r>
      <w:bookmarkStart w:id="224" w:name="ver_30205795"/>
      <w:bookmarkStart w:id="225" w:name="ver_30052407"/>
      <w:bookmarkEnd w:id="223"/>
      <w:bookmarkEnd w:id="224"/>
    </w:p>
    <w:p w14:paraId="095268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2.1.7.2.4. Sesiones y decisiones. La Comisión Intersectorial sesionará de forma ordinaria por lo menos una vez cada seis meses, y de forma extraordinaria, cuando las circunstancias lo ameriten, por solicitud de alguno de sus miembros.  </w:t>
      </w:r>
    </w:p>
    <w:p w14:paraId="397724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Para las deliberaciones se requerirá la presencia de la mitad más uno de los miembros y, las decisiones requerirán el voto de la mitad más uno de los miembros asistentes a la sesión.  </w:t>
      </w:r>
    </w:p>
    <w:p w14:paraId="2AAF63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Presidente de la Comisión, por intermedio de la Secretaría Técnica, podrá convocar a sesiones de trabajo a los directores de las diferentes dependencias u oficinas de Derechos Humanos de los Ministerios, Departamentos Administrativos y de las entidades, programas y dependencias públicas con responsabilidad en el diseño o implementación de la Política Integral de Derechos Humanos y Derecho Internacional Humanitario”. </w:t>
      </w:r>
    </w:p>
    <w:p w14:paraId="258784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B114D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11E62FD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26" w:name="ver_30052408"/>
      <w:bookmarkEnd w:id="225"/>
      <w:bookmarkEnd w:id="226"/>
    </w:p>
    <w:p w14:paraId="46C7443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2.1.7.2.5. Actas. Las decisiones adoptadas por la Comisión Intersectorial se harán constar en actas, que llevarán la firma del Presidente y del Secretario Técnico de la Comisión. </w:t>
      </w:r>
    </w:p>
    <w:p w14:paraId="6590F9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5482DBC"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227" w:name="ver_30052409"/>
      <w:bookmarkEnd w:id="227"/>
      <w:r w:rsidRPr="00562064">
        <w:rPr>
          <w:rFonts w:ascii="Arial" w:eastAsia="Times New Roman" w:hAnsi="Arial" w:cs="Arial"/>
          <w:b/>
          <w:bCs/>
          <w:color w:val="000000" w:themeColor="text1"/>
          <w:lang w:eastAsia="es-CO"/>
        </w:rPr>
        <w:t>Capítulo 3</w:t>
      </w:r>
    </w:p>
    <w:p w14:paraId="2D0F5300" w14:textId="77777777" w:rsidR="00E475BF" w:rsidRPr="00562064" w:rsidRDefault="00E475BF" w:rsidP="00143180">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Secretaría Técnica</w:t>
      </w:r>
    </w:p>
    <w:p w14:paraId="3FEFE85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28" w:name="ver_30106652"/>
      <w:bookmarkStart w:id="229" w:name="ver_30106651"/>
      <w:bookmarkEnd w:id="228"/>
    </w:p>
    <w:p w14:paraId="5A39FD6C" w14:textId="2A3E55E3"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2.1.7.3.1.Secretaría Técnica. Será la instancia asesora encargada de brindar el acompañamiento y soporte técnico, logístico y operativo a la Comisión Intersectorial de Derechos Humanos y Derecho Internacional Humanitario e impulsar el ejercicio de articulación institucional. La Secretaría Técnica estará a cargo y bajo la responsabilidad de la Consejería Presidencial para los Derechos Humanos”.  </w:t>
      </w:r>
    </w:p>
    <w:p w14:paraId="7DBBFB2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30" w:name="ver_30106654"/>
      <w:bookmarkStart w:id="231" w:name="ver_30106653"/>
      <w:bookmarkEnd w:id="229"/>
      <w:bookmarkEnd w:id="230"/>
    </w:p>
    <w:p w14:paraId="2F9E64E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2.1.7.3.2Funciones de la Secretaría Técnica. Son funciones de la Secretaría Técnica:  </w:t>
      </w:r>
    </w:p>
    <w:p w14:paraId="6A92B1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8B596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Asesorar técnicamente a la Comisión Intersectorial de Derechos Humanos y Derecho Internacional Humanitario, y a cada uno de los subsistemas, en el diseño y gestión de la Política Integral de Derechos Humanos y Derecho Internacional Humanitario “Estrategia Nacional para la Garantía de los Derechos Humanos 2014-2034”.  </w:t>
      </w:r>
    </w:p>
    <w:p w14:paraId="0956CA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ACF4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Servir de enlace permanente entre las instancias del Sistema Nacional, en los órdenes nacional y territorial.  </w:t>
      </w:r>
    </w:p>
    <w:p w14:paraId="432BC6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5DE4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Coordinar el seguimiento y la evaluación a la implementación del Mecanismo de Coordinación Nación-Territorio.  </w:t>
      </w:r>
    </w:p>
    <w:p w14:paraId="0A1668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8A322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Recopilar, analizar y consolidar los insumos de trabajo de cada uno de los Subsistemas, para efectos de acompañar la implementación, el seguimiento y la evaluación de la Política Integral de Derechos Humanos y Derecho Internacional Humanitario “Estrategia Nacional para la Garantía de los Derechos Humanos 2014-2034”.  </w:t>
      </w:r>
    </w:p>
    <w:p w14:paraId="456BA0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FFC1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Diseñar y desarrollar el Sistema Nacional de Información que permita monitorear, hacer seguimiento y evaluar la situación de Derechos Humanos y Derecho Internacional Humanitario, y el impacto de la Política Integral.  </w:t>
      </w:r>
    </w:p>
    <w:p w14:paraId="0AA030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6EBC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Apoyar el diseño y la puesta en marcha de una estrategia de comunicaciones en materia de Derechos Humanos y Derecho Internacional Humanitario.  </w:t>
      </w:r>
    </w:p>
    <w:p w14:paraId="3953EA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 </w:t>
      </w:r>
    </w:p>
    <w:p w14:paraId="635464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Recomendar la adopción de estrategias para posibilitar la interlocución y participación de la sociedad civil en el diseño y evaluación de la Política Integral de Derechos Humanos y Derecho Internacional Humanitario “Estrategia Nacional para la Garantía de los Derechos Humanos 2014-2034”.  </w:t>
      </w:r>
    </w:p>
    <w:p w14:paraId="37A948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45600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Apoyar el desarrollo de las sesiones de la Comisión Intersectorial de Derechos Humanos y Derecho Internacional Humanitario y de los Subsistemas.  </w:t>
      </w:r>
    </w:p>
    <w:p w14:paraId="225EC8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94B57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Brindar asesoría a los Subsistemas para la incorporación del enfoque de derechos y enfoque diferencial en las políticas sectoriales.  </w:t>
      </w:r>
    </w:p>
    <w:p w14:paraId="4A56F5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0D36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Preparar los asuntos e insumos que serán sometidos a consideración y estudio de la Comisión Intersectorial de Derechos Humanos y Derecho Internacional Humanitario.  </w:t>
      </w:r>
    </w:p>
    <w:p w14:paraId="66E561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8E0FC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Convocar, llevar las actas y hacer seguimiento a las decisiones adoptadas por la Comisión Intersectorial de Derechos Humanos y Derecho Internacional Humanitario.  </w:t>
      </w:r>
    </w:p>
    <w:p w14:paraId="3A37D5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0805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Elaborar las actas de las sesiones de los Subsistemas y hacer seguimiento de sus actividades y decisiones.  </w:t>
      </w:r>
    </w:p>
    <w:p w14:paraId="4DB479C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FB0007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Elaborar el proyecto de reglamento Interno de la Comisión Intersectorial de Derechos Humanos y Derecho Internacional Humanitario, para su aprobación.  </w:t>
      </w:r>
    </w:p>
    <w:p w14:paraId="3E0F7C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2054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Apoyar el diseño y gestión del plan estratégico del Sistema Nacional de Derechos Humanos y Derecho Internacional Humanitario.  </w:t>
      </w:r>
    </w:p>
    <w:p w14:paraId="3A693E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90D2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Efectuar recomendaciones y proponer estrategias a la Comisión Intersectorial de Derechos Humanos que permitan avanzar en el cumplimiento de las obligaciones y compromisos internacionales asumidos por el Estado colombiano en la materia.  </w:t>
      </w:r>
    </w:p>
    <w:p w14:paraId="38E1C2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DF19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16. Proponer a la Comisión cuáles entidades son las responsables de la implementación de las medidas de reparación ordenadas y/o concertadas en decisiones de órganos internacionales de derechos humanos en casos individuales, siempre que la medida de reparación no haya sido asumida con anterioridad por otra entidad y no se trate del pago de indemnizaciones de que trata la Ley 288 de 1996. Igualmente, proponer a la Comisión la entidad responsable del trámite de pago de indemnizaciones ordenadas en sentencias de la Corte Interamericana de Derechos Humanos.  </w:t>
      </w:r>
    </w:p>
    <w:p w14:paraId="54E467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6F10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17. Las demás que le asigne la Comisión Intersectorial, en el marco de sus funciones.  </w:t>
      </w:r>
    </w:p>
    <w:p w14:paraId="14C757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70E9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coordinación del diseño, seguimiento y la evaluación a la implementación del Mecanismo de Coordinación Nación-Territorio, se realizará conjuntamente con el Ministerio del Interior”.  </w:t>
      </w:r>
    </w:p>
    <w:p w14:paraId="224E6B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58583BF"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bookmarkStart w:id="232" w:name="ver_30106655"/>
      <w:bookmarkEnd w:id="231"/>
      <w:bookmarkEnd w:id="232"/>
      <w:r w:rsidRPr="00562064">
        <w:rPr>
          <w:rFonts w:ascii="Arial" w:eastAsia="Times New Roman" w:hAnsi="Arial" w:cs="Arial"/>
          <w:b/>
          <w:bCs/>
          <w:color w:val="000000" w:themeColor="text1"/>
          <w:lang w:eastAsia="es-CO"/>
        </w:rPr>
        <w:t>Capítulo 4</w:t>
      </w:r>
    </w:p>
    <w:p w14:paraId="5E1BFD31" w14:textId="77777777" w:rsidR="00E475BF" w:rsidRPr="00562064" w:rsidRDefault="00E475BF" w:rsidP="00143180">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Subsistemas</w:t>
      </w:r>
    </w:p>
    <w:p w14:paraId="6B7D494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33" w:name="ver_30106657"/>
      <w:bookmarkStart w:id="234" w:name="ver_30106656"/>
      <w:bookmarkEnd w:id="233"/>
    </w:p>
    <w:p w14:paraId="407214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2.1.7.4.1Subsistemas. Cada Subsistema, coordinará a partir de las orientaciones de la Comisión Intersectorial de Derechos Humanos y Derecho Internacional Humanitario, </w:t>
      </w:r>
      <w:r w:rsidRPr="00562064">
        <w:rPr>
          <w:rFonts w:ascii="Arial" w:eastAsia="Times New Roman" w:hAnsi="Arial" w:cs="Arial"/>
          <w:color w:val="000000" w:themeColor="text1"/>
          <w:lang w:eastAsia="es-CO"/>
        </w:rPr>
        <w:lastRenderedPageBreak/>
        <w:t>el diseño, implementación, seguimiento y evaluación de cada eje temático de la Política Integral de Derechos Humanos y Derecho Internacional Humanitario “Estrategia Nacional para la Garantía de los Derechos Humanos 2014-2034”, de acuerdo con las competencias de las instituciones que los conforman”.  </w:t>
      </w:r>
    </w:p>
    <w:p w14:paraId="18648B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44112E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35" w:name="ver_30106659"/>
      <w:bookmarkStart w:id="236" w:name="ver_30106658"/>
      <w:bookmarkEnd w:id="234"/>
      <w:bookmarkEnd w:id="235"/>
    </w:p>
    <w:p w14:paraId="2F7F84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2.1.7.4.2.Composición. Los subsistemas estarán conformados por las direcciones, oficinas, dependencias y funcionarios que tengan asignadas funciones relacionadas con los derechos humanos de los Ministerios, Departamentos Administrativos y de las diferentes entidades u organismos y programas del Estado, de conformidad con las competencias y funciones asignadas en materia de respeto y garantía de los derechos civiles, políticos, económicos, sociales, culturales, colectivos y del ambiente, y aplicación del Derecho Internacional Humanitario.  </w:t>
      </w:r>
    </w:p>
    <w:p w14:paraId="49FFBFF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754B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Fiscalía General de la Nación, la Procuraduría General de la Nación, la Defensoría del Pueblo, la Contraloría General de la República, el Consejo Superior de la Judicatura y el Congreso de la República tendrán el carácter de invitados permanentes en las sesiones de los Subsistemas.  </w:t>
      </w:r>
    </w:p>
    <w:p w14:paraId="75EB45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D279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Cada una de las direcciones y oficinas de derechos humanos de los Ministerios, Departamentos Administrativos y de las diferentes entidades u organismos, programas y dependencias del Estado que conforman cada uno de los subsistemas deberán informar a la Secretaría Técnica de manera formal el servidor público responsable y enlace desde la entidad para los temas correspondientes de los subsistemas.  </w:t>
      </w:r>
    </w:p>
    <w:p w14:paraId="6E8EF1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D9EA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Los subsistemas, de manera concertada entre las entidades parte podrán invitar a representantes de organismos internacionales de Derechos Humanos y miembros de Organizaciones No Gubernamentales, así como representantes de las organizaciones sociales, gremiales, académicas y fundaciones que se ocupen de la promoción y defensa de estos derechos.  </w:t>
      </w:r>
    </w:p>
    <w:p w14:paraId="698BE6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7055D0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37" w:name="ver_30106661"/>
      <w:bookmarkStart w:id="238" w:name="ver_30106660"/>
      <w:bookmarkEnd w:id="236"/>
      <w:bookmarkEnd w:id="237"/>
    </w:p>
    <w:p w14:paraId="63CEF3B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2.1.7.4.3.Sesiones de trabajo. Los Subsistemas se reunirán con la periodicidad que establezcan sus integrantes de conformidad a la agenda y plan de acción que desarrollen.  </w:t>
      </w:r>
    </w:p>
    <w:p w14:paraId="15689E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8ED7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contenido de las sesiones de los Subsistemas se hará constar en actas, que llevarán la firma del responsable de la dependencia coordinadora del respectivo Subsistema y de la Secretaría Técnica”.  </w:t>
      </w:r>
    </w:p>
    <w:p w14:paraId="1CDBD85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39" w:name="ver_30106665"/>
      <w:bookmarkStart w:id="240" w:name="ver_30106663"/>
      <w:bookmarkEnd w:id="238"/>
      <w:bookmarkEnd w:id="239"/>
    </w:p>
    <w:p w14:paraId="390668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2.1.7.4.4.Funciones. Son funciones de los Subsistemas:  </w:t>
      </w:r>
    </w:p>
    <w:p w14:paraId="45EA99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0055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Coordinar a las entidades que los conforman en la implementación de la Política Integral de Derechos Humanos y Derecho Internacional Humanitario “Estrategia Nacional para la Garantía de los Derechos Humanos 2014-2034”, y definir los mecanismos de gestión, articulación, seguimiento y evaluación, de acuerdo con sus competencias. Hacer seguimiento y evaluar la Política Integral de Derechos Humanos y Derecho Internacional Humanitario, en las materias a cargo de cada Subsistema.  </w:t>
      </w:r>
    </w:p>
    <w:p w14:paraId="2BE203D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8BB11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2. Asesorar, asistir y recomendar a la Comisión Intersectorial las acciones para articular e implementar los diferentes planes, programas, proyectos, iniciativas y recursos </w:t>
      </w:r>
      <w:r w:rsidRPr="00562064">
        <w:rPr>
          <w:rFonts w:ascii="Arial" w:eastAsia="Times New Roman" w:hAnsi="Arial" w:cs="Arial"/>
          <w:color w:val="000000" w:themeColor="text1"/>
          <w:lang w:eastAsia="es-CO"/>
        </w:rPr>
        <w:lastRenderedPageBreak/>
        <w:t>presupuestales de la Política Integral de Derechos Humanos y Derecho Internacional Humanitario “Estrategia Nacional para la Garantía de los Derechos Humanos 2014-2034”.  </w:t>
      </w:r>
    </w:p>
    <w:p w14:paraId="5B908C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71A1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Desarrollar acciones, en cada uno de los Subsistemas según corresponda, para incorporar el enfoque de derechos y el enfoque diferencial en las políticas sectoriales.  </w:t>
      </w:r>
    </w:p>
    <w:p w14:paraId="495E4C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B916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Preparar insumos o elaborar propuestas, en el Subsistema correspondiente, que permitan la incorporación de estándares internacionales de Derechos Humanos y Derecho Internacional Humanitario en el ordenamiento jurídico interno.  </w:t>
      </w:r>
    </w:p>
    <w:p w14:paraId="7493C70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4686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Implementar las directrices de la Comisión Intersectorial para cumplir y hacer seguimiento a los compromisos y obligaciones internacionales a cargo del Estado colombiano.  </w:t>
      </w:r>
    </w:p>
    <w:p w14:paraId="00AA34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BE49C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Remitir a la Secretaría Técnica la información del respectivo Subsistema para el monitoreo, seguimiento y evaluación de la situación de Derechos Humanos y Derecho Internacional Humanitario, y el impacto de la Política Integral de Derechos Humanos y Derecho Internacional Humanitario “Estrategia Nacional para la Garantía de los Derechos Humanos 2014-2034”.  </w:t>
      </w:r>
    </w:p>
    <w:p w14:paraId="4B207E8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8A1F6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Contribuir en la implementación del Mecanismo de Coordinación Nación-Territorio, a partir de las competencias y responsabilidades de las entidades y del desarrollo de acciones para el fortalecimiento de su capacidad y gestión institucional.  </w:t>
      </w:r>
    </w:p>
    <w:p w14:paraId="38875B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C7EC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Las demás que les asigne la Comisión Intersectorial.  </w:t>
      </w:r>
    </w:p>
    <w:p w14:paraId="51C35391" w14:textId="59C0B533"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69B6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5A73888"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241" w:name="ver_30052417"/>
      <w:bookmarkEnd w:id="240"/>
      <w:bookmarkEnd w:id="241"/>
      <w:r w:rsidRPr="00562064">
        <w:rPr>
          <w:rFonts w:ascii="Arial" w:eastAsia="Times New Roman" w:hAnsi="Arial" w:cs="Arial"/>
          <w:b/>
          <w:bCs/>
          <w:color w:val="000000" w:themeColor="text1"/>
          <w:lang w:eastAsia="es-CO"/>
        </w:rPr>
        <w:t>Capítulo 5</w:t>
      </w:r>
    </w:p>
    <w:p w14:paraId="0B3093C6"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Estructura Territorial</w:t>
      </w:r>
    </w:p>
    <w:p w14:paraId="61A1C8A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42" w:name="ver_30106668"/>
      <w:bookmarkStart w:id="243" w:name="ver_30106667"/>
      <w:bookmarkEnd w:id="242"/>
    </w:p>
    <w:p w14:paraId="169B91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2.1.7.5.1.Instancias Territoriales. El Sistema Nacional de Derechos Humanos y Derecho Internacional Humanitario contará con una instancia en cada una de las entidades territoriales, en el ámbito de sus competencias y autonomía y, en todo caso, a partir de las orientaciones contenidas en las normas vigentes, especialmente en el Capítulo IV del título I, Parte 2, Libro 2 del Decreto 1066 de 2015, por el cual se expidió el Decreto Único Reglamentario del Sector Administrativo del Interior.  </w:t>
      </w:r>
    </w:p>
    <w:p w14:paraId="692C85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C00C1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Esta instancia será la responsable de diseñar, implementar, hacer seguimiento y evaluar, en aquello que corresponda, la Política Integral de Derechos Humanos y Derecho Internacional Humanitario “Estrategia Nacional para la Garantía de los Derechos Humanos 2014-2034” así como aquellas políticas públicas, estrategias y directrices formuladas por el Ministerio del Interior en el marco de sus competencias conforme al Decreto 1066 de 2015, en el nivel territorial, a través de su incorporación en el Plan de Desarrollo y en su respectivo Plan Plurianual de Inversiones. Los gobernadores y alcaldes adelantarán las acciones que estimen necesarias para organizar y poner en funcionamiento esta instancia en sus territorios, de acuerdo con los lineamientos y parámetros definidos en el Mecanismo de Coordinación Nación-Territorio, teniendo en cuenta sus competencias y el principio de autonomía de las entidades territoriales.  </w:t>
      </w:r>
    </w:p>
    <w:p w14:paraId="74145E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80DA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Parágrafo 1°. El Gobierno nacional, bajo la coordinación del Ministerio del Interior y la Secretaría Técnica del Sistema Nacional de DD. HH., impulsará, asesorará y apoyará el </w:t>
      </w:r>
      <w:r w:rsidRPr="00562064">
        <w:rPr>
          <w:rFonts w:ascii="Arial" w:eastAsia="Times New Roman" w:hAnsi="Arial" w:cs="Arial"/>
          <w:color w:val="000000" w:themeColor="text1"/>
          <w:lang w:eastAsia="es-CO"/>
        </w:rPr>
        <w:lastRenderedPageBreak/>
        <w:t>diseño y organización de las instancias territoriales del Sistema Nacional de Derechos Humanos y Derecho Internacional Humanitario”.  </w:t>
      </w:r>
    </w:p>
    <w:p w14:paraId="0AF1C2F7" w14:textId="50F4589E"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244" w:name="ver_30106674"/>
      <w:bookmarkStart w:id="245" w:name="ver_30106670"/>
      <w:bookmarkEnd w:id="243"/>
      <w:bookmarkEnd w:id="244"/>
    </w:p>
    <w:p w14:paraId="77D130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2.1.7.5.2Mecanismo de Coordinación Nación-Territorio. El Sistema Nacional de Derechos Humanos contará con un Mecanismo de Coordinación Nación-Territorio, aprobado por la Comisión Intersectorial de Derechos Humanos y Derecho Internacional Humanitario bajo la coordinación del Ministerio del Interior y la Secretaría Técnica del Sistema Nacional de DD. HH.  </w:t>
      </w:r>
    </w:p>
    <w:p w14:paraId="2F4290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C001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subsistemas contribuirán en el diseño e implementación del Mecanismo de Coordinación Nación-Territorio, a partir de las competencias y responsabilidades de las entidades que los conforman y del desarrollo de acciones para el fortalecimiento de su capacidad y gestión institucional”. </w:t>
      </w:r>
    </w:p>
    <w:p w14:paraId="0C06D7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86093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C17B02F"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246" w:name="ver_30052420"/>
      <w:bookmarkEnd w:id="245"/>
      <w:bookmarkEnd w:id="246"/>
      <w:r w:rsidRPr="00562064">
        <w:rPr>
          <w:rFonts w:ascii="Arial" w:eastAsia="Times New Roman" w:hAnsi="Arial" w:cs="Arial"/>
          <w:b/>
          <w:bCs/>
          <w:color w:val="000000" w:themeColor="text1"/>
          <w:lang w:eastAsia="es-CO"/>
        </w:rPr>
        <w:t>Capítulo 6</w:t>
      </w:r>
    </w:p>
    <w:p w14:paraId="03CEC0B0"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Derogatoria</w:t>
      </w:r>
    </w:p>
    <w:p w14:paraId="2DC2C99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47" w:name="ver_30052421"/>
      <w:bookmarkEnd w:id="247"/>
    </w:p>
    <w:p w14:paraId="24BCCC2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2.1.7.6.1. Derogatoria. El Decreto 4100 de 2011 derogó el Decreto 321 de 2000 y las disposiciones que le fueran contrarias. </w:t>
      </w:r>
    </w:p>
    <w:p w14:paraId="79EF9D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6458FA"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248" w:name="ver_30201243"/>
      <w:bookmarkEnd w:id="248"/>
      <w:r w:rsidRPr="00562064">
        <w:rPr>
          <w:rFonts w:ascii="Arial" w:eastAsia="Times New Roman" w:hAnsi="Arial" w:cs="Arial"/>
          <w:b/>
          <w:bCs/>
          <w:color w:val="000000" w:themeColor="text1"/>
          <w:lang w:eastAsia="es-CO"/>
        </w:rPr>
        <w:t>TÍTULO 8</w:t>
      </w:r>
    </w:p>
    <w:p w14:paraId="5DB62956"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SISTEMA NACIONAL DE COMPETITIVIDAD E INNOVACIÓN</w:t>
      </w:r>
    </w:p>
    <w:p w14:paraId="71B67844"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249" w:name="ver_30201254"/>
      <w:bookmarkEnd w:id="249"/>
      <w:r w:rsidRPr="00562064">
        <w:rPr>
          <w:rFonts w:ascii="Arial" w:eastAsia="Times New Roman" w:hAnsi="Arial" w:cs="Arial"/>
          <w:b/>
          <w:bCs/>
          <w:color w:val="000000" w:themeColor="text1"/>
          <w:lang w:eastAsia="es-CO"/>
        </w:rPr>
        <w:t>CAPÍTULO 1</w:t>
      </w:r>
    </w:p>
    <w:p w14:paraId="0030BA26"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Alcance y organización del Sistema Nacional de Competitividad e Innovación (SNCI)</w:t>
      </w:r>
    </w:p>
    <w:p w14:paraId="6861F79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50" w:name="ver_30201250"/>
      <w:bookmarkEnd w:id="250"/>
    </w:p>
    <w:p w14:paraId="1163D6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2.1.8.1.1. Alcance del SNCI. El Sistema Nacional de Competitividad e Innovación de que trata el artículo 172 de la Ley 1955 de 2019, se encargará de coordinar y orientar las actividades que realizan las instancias públicas, privadas y académicas relacionadas con la formulación, implementación y seguimiento de las políticas que promuevan la competitividad e innovación del país bajo una visión de mediano y largo plazo, con el fin de promover el desarrollo económico, la productividad y mejorar el bienestar de la población.  </w:t>
      </w:r>
    </w:p>
    <w:p w14:paraId="3E2192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Sistema Nacional de Competitividad e Innovación por medio de la Comisión Nacional de Competitividad e Innovación articulará los distintos sistemas, subsistemas e instancias que desarrollan actividades en materia de competitividad e innovación. </w:t>
      </w:r>
    </w:p>
    <w:p w14:paraId="28F877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76BF53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51" w:name="ver_30201251"/>
      <w:bookmarkEnd w:id="251"/>
    </w:p>
    <w:p w14:paraId="33AB35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2.1.8.1.2. Componentes. El Sistema Nacional de Competitividad e Innovación estará integrado por:  </w:t>
      </w:r>
    </w:p>
    <w:p w14:paraId="4A3990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El conjunto de leyes, políticas, estrategias, metodologías, técnicas y mecanismos, que implica la gestión de recursos humanos, materiales y financieros de las entidades de la administración pública en coordinación con los del sector privado y la academia, en los temas relacionados con la política de competitividad, productividad e innovación.  </w:t>
      </w:r>
    </w:p>
    <w:p w14:paraId="1D57BD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Las entidades e instancias del orden nacional y territorial responsables de la política y de la acción en las áreas de competitividad e innovación.  </w:t>
      </w:r>
    </w:p>
    <w:p w14:paraId="4A0FB5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Los actores del sector privado y las organizaciones privadas o mixtas que promuevan la competitividad e innovación.  </w:t>
      </w:r>
    </w:p>
    <w:p w14:paraId="57C4CC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Las fuentes y recursos económicos para el manejo del Sistema Nacional de Competitividad e Innovación.  </w:t>
      </w:r>
    </w:p>
    <w:p w14:paraId="1C44C0F4" w14:textId="21B65FCC"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5. Los mecanismos para la alineación, gestión, promoción y financiación de los instrumentos de política pública relacionados con la competitividad e innovación. </w:t>
      </w:r>
    </w:p>
    <w:p w14:paraId="14AB0E7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52" w:name="ver_30201252"/>
      <w:bookmarkEnd w:id="252"/>
    </w:p>
    <w:p w14:paraId="015672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2.1.8.1.3. Organización del SNCI. El SNCI se encuentra organizado por las siguientes instancias e instrumentos de planeación, con el objetivo de fortalecer la competitividad en el país.  </w:t>
      </w:r>
    </w:p>
    <w:p w14:paraId="6C7C03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Instancias del SNCI  </w:t>
      </w:r>
    </w:p>
    <w:p w14:paraId="6C98FC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En el nivel nacional:  </w:t>
      </w:r>
    </w:p>
    <w:p w14:paraId="440EE1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 Comisión Nacional de Competitividad e Innovación. La Comisión Nacional de Competitividad e Innovación es la instancia encargada de asesorar al Gobierno nacional y articular los distintos sistemas, subsistemas e instancias que desarrollan actividades en materia de competitividad e innovación, tales como el Sistema Nacional de Ciencia, Tecnología e Innovación, el Sistema Nacional de Innovación Agropecuaria, el Sistema Administrativo Nacional de Propiedad Intelectual, el Consejo de la Economía Naranja, el Sistema Nacional Ambiental, el Sistema Nacional de Cualificaciones, así como con cualquier otro sistema, subsistema o instancia con actividades en materia de competitividad e innovación.  </w:t>
      </w:r>
    </w:p>
    <w:p w14:paraId="09F38A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ii) Comité Ejecutivo. El Comité Ejecutivo del Sistema Nacional de Competitividad e Innovación es la instancia encargada de coordinar las actividades de las entidades del Gobierno nacional y el sector privado para la definición, concertación, implementación y seguimiento de las acciones de la Agenda Nacional de Competitividad e Innovación.  </w:t>
      </w:r>
    </w:p>
    <w:p w14:paraId="5F02F7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iii) Comités Técnicos. Los Comités Técnicos son instancias técnicas creadas por el Comité Ejecutivo, los cuales se encargan de desarrollar un plan de acción detallado para mejorar la competitividad e innovación del país, teniendo como prioridad la implementación y cumplimiento de la Agenda Nacional de Competitividad e Innovación.  </w:t>
      </w:r>
    </w:p>
    <w:p w14:paraId="0FDEA66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iv) Comité de Regionalización. El Comité de Regionalización es la instancia encargada de la interlocución entre las Comisiones Regionales de Competitividad e Innovación con el Comité Ejecutivo del Sistema Nacional de Competitividad e Innovación, con el objetivo de apoyar el diseño, implementación y seguimiento de las Agendas Departamentales de Competitividad e Innovación, así como su articulación con la Agenda Nacional de Competitividad e Innovación.  </w:t>
      </w:r>
    </w:p>
    <w:p w14:paraId="6BA16A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En el nivel regional:  </w:t>
      </w:r>
    </w:p>
    <w:p w14:paraId="2A7C77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 Comisiones Regionales de Competitividad e Innovación (CRCI). Las Comisiones Regionales de Competitividad e Innovación de que trata el artículo 33 de la Ley 1450 de 2011, en adelante “CRCI”, son las instancias encargadas de la coordinación y articulación de las distintas instancias a nivel departamental y subregional que desarrollen actividades dirigidas a fortalecer la competitividad e innovación en los departamentos en el marco del SNCI. Así mismo, las CRCI son un espacio para la cooperación público-privada y académica a nivel departamental, orientada a la implementación de las Agendas Departamentales de Competitividad e Innovación. No tendrán personería jurídica, ni se reconocerá más de una CRCI por Departamento, como parte del Sistema Nacional de Competitividad e Innovación.  </w:t>
      </w:r>
    </w:p>
    <w:p w14:paraId="04104AC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ii) Comité Ejecutivo de las CRCI. El Comité Ejecutivo de las CRCI es la instancia de decisión y coordinación de las instancias del sector público, privado y la academia para la formulación, concertación, implementación y seguimiento de la Agenda Departamental de Competitividad e Innovación. Para dicho propósito, el Comité Ejecutivo podrá crear Comités Técnicos de trabajo.  </w:t>
      </w:r>
    </w:p>
    <w:p w14:paraId="0010C1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iii) Secretaría Técnica de las CRCI. Es la unidad de apoyo a la CRCI y será ejercida por la Cámara de Comercio con jurisdicción en el municipio o distrito capital del respectivo Departamento. Tendrá funciones de carácter táctico (orientadas a la gestión e </w:t>
      </w:r>
      <w:r w:rsidRPr="00562064">
        <w:rPr>
          <w:rFonts w:ascii="Arial" w:eastAsia="Times New Roman" w:hAnsi="Arial" w:cs="Arial"/>
          <w:color w:val="000000" w:themeColor="text1"/>
          <w:lang w:eastAsia="es-CO"/>
        </w:rPr>
        <w:lastRenderedPageBreak/>
        <w:t>implementación de las Agendas Departamentales de Competitividad e Innovación) y de apoyo administrativo (para garantizar el funcionamiento operativo de la CRCI).  </w:t>
      </w:r>
    </w:p>
    <w:p w14:paraId="1DE200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iv) Comités Técnicos de las CRCI. Son instancias creadas por el Comité Ejecutivo de las CRCI, con el fin de coordinar la formulación, gestión e implementación de los programas, proyectos e iniciativas de la Agenda Departamental de Competitividad e Innovación. Estos comités técnicos estarán integrados por los delegados de las entidades que conforman la CRCI o de otras instancias que están relacionadas con los temas de competitividad e innovación en el Departamento, tales como los Consejos Departamentales de Ciencia, Tecnología e Innovación (Codecti), las Mesas de Ciencia, Tecnología e Innovación Agropecuaria, Comités Universidad-Estado-Empresa (CUEE), Consejos Seccionales de Desarrollo Agropecuario (Consea), Redes Regionales de Emprendimiento (RRE) /Consejos Regionales Mipymes, entre otras, así como representantes del sector privado y la academia.  </w:t>
      </w:r>
    </w:p>
    <w:p w14:paraId="024B6F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Instrumentos de Planeación  </w:t>
      </w:r>
    </w:p>
    <w:p w14:paraId="2312A6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 Agenda Nacional de Competitividad e Innovación. La Agenda Nacional de Competitividad e Innovación (ANCI) es el instrumento de planeación del Gobierno nacional para desarrollar de manera coordinada las políticas, programas y/o acciones prioritarias con el propósito de mejorar la competitividad e innovación del país, la cual contiene indicadores medibles asociados a competitividad y productividad. La formulación, implementación y seguimiento de la ANCI se realizará en coordinación con el sector privado y la academia, teniendo como insumo los documentos Conpes, el Plan Nacional de Desarrollo, las Agendas Departamentales de Competitividad e Innovación, así como los demás documentos relacionados con competitividad, productividad e innovación. La Agenda Nacional de Competitividad e Innovación tendrá una temporalidad de 4 años.  </w:t>
      </w:r>
    </w:p>
    <w:p w14:paraId="1D8C50E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ii) Agendas Departamentales de Competitividad e Innovación. Las Agendas Departamentales de Competitividad e Innovación (ADCI) son la principal herramienta a través de la cual se definen y priorizan iniciativas, programas o proyectos estratégicos de corto y mediano plazo para impulsar la competitividad y la innovación de los departamentos en el marco del SNCI y contribuir al cumplimiento de la visión del Plan Regional de Competitividad. Las Agendas Departamentales de Competitividad e Innovación (ADCI) corresponderán a las Agendas Integradas Departamentales de Competitividad, Ciencia y Tecnología (AIDCCTI) a las que hace referencia el Conpes 3866 de 2016, o a los instrumentos de política que hagan sus veces.  </w:t>
      </w:r>
    </w:p>
    <w:p w14:paraId="2B09A5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iii) Plan Regional de Competitividad. El Plan Regional de Competitividad es el instrumento de planeación de largo plazo que establece la visión compartida y unificada de los actores del desarrollo del Departamento, orientada a canalizar esfuerzos hacia un escenario futuro deseable en materia de competitividad. </w:t>
      </w:r>
    </w:p>
    <w:p w14:paraId="2C2EA1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7BDE8C2"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253" w:name="ver_30201253"/>
      <w:bookmarkEnd w:id="253"/>
      <w:r w:rsidRPr="00562064">
        <w:rPr>
          <w:rFonts w:ascii="Arial" w:eastAsia="Times New Roman" w:hAnsi="Arial" w:cs="Arial"/>
          <w:b/>
          <w:bCs/>
          <w:color w:val="000000" w:themeColor="text1"/>
          <w:lang w:eastAsia="es-CO"/>
        </w:rPr>
        <w:t>CAPÍTULO 2</w:t>
      </w:r>
    </w:p>
    <w:p w14:paraId="1B971047"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Composición y funcionamiento de las instancias del Sistema Nacional de Competitividad e Innovación</w:t>
      </w:r>
    </w:p>
    <w:p w14:paraId="0D58374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54" w:name="ver_30201255"/>
      <w:bookmarkEnd w:id="254"/>
    </w:p>
    <w:p w14:paraId="0C4E78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2.1.8.2.1. Composición de la Comisión Nacional de Competitividad e Innovación. La Comisión Nacional estará integrada por los siguientes miembros:  </w:t>
      </w:r>
    </w:p>
    <w:p w14:paraId="3960D7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El Presidente de la República, quien la presidirá.  </w:t>
      </w:r>
    </w:p>
    <w:p w14:paraId="533DF3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Vicepresidente de la República.  </w:t>
      </w:r>
    </w:p>
    <w:p w14:paraId="0AAD2A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El Consejero Presidencial para la Competitividad y la Gestión Público-Privada, quien lidera el Sistema Nacional de Competitividad e Innovación.  </w:t>
      </w:r>
    </w:p>
    <w:p w14:paraId="3030E9D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Consejero Presidencial para la Gestión y el Cumplimiento, o quien haga sus veces.  </w:t>
      </w:r>
    </w:p>
    <w:p w14:paraId="5F888F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5. El Ministro de Ciencia, Tecnología e Innovación, quien lidera el Sistema Nacional de Ciencia, Tecnología e Innovación.  </w:t>
      </w:r>
    </w:p>
    <w:p w14:paraId="14E43E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El Ministro de Agricultura y Desarrollo Rural, quien lidera el Sistema Nacional de Innovación Agropecuaria.  </w:t>
      </w:r>
    </w:p>
    <w:p w14:paraId="1342C7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El Ministro de Comercio, Industria y Turismo, quien lidera el Sistema Nacional de Propiedad Intelectual.  </w:t>
      </w:r>
    </w:p>
    <w:p w14:paraId="03EE67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El Ministro de Cultura, quien lidera el Consejo de Economía Naranja.  </w:t>
      </w:r>
    </w:p>
    <w:p w14:paraId="6BF64C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El Ministro de Ambiente y Desarrollo Sostenible, quien lidera el Sistema Nacional Ambiental.  </w:t>
      </w:r>
    </w:p>
    <w:p w14:paraId="62DFC93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El Ministro de Interior.  </w:t>
      </w:r>
    </w:p>
    <w:p w14:paraId="3E3743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El Ministro de Relaciones Exteriores.  </w:t>
      </w:r>
    </w:p>
    <w:p w14:paraId="6924B3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El Ministro de Hacienda y Crédito Público.  </w:t>
      </w:r>
    </w:p>
    <w:p w14:paraId="3FFCA7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El Ministerio de Justicia y del Derecho.  </w:t>
      </w:r>
    </w:p>
    <w:p w14:paraId="5AAC845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El Ministro de Defensa Nacional.  </w:t>
      </w:r>
    </w:p>
    <w:p w14:paraId="275D6E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El Ministro de Salud y Protección Social.  </w:t>
      </w:r>
    </w:p>
    <w:p w14:paraId="4666B7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16. El Ministro de Trabajo.  </w:t>
      </w:r>
    </w:p>
    <w:p w14:paraId="6D8CC8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17. El Ministro de Minas y Energía.  </w:t>
      </w:r>
    </w:p>
    <w:p w14:paraId="4CF2E4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18. El Ministro de Educación Nacional.  </w:t>
      </w:r>
    </w:p>
    <w:p w14:paraId="1D46442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19. El Ministro de Vivienda, Ciudad y Territorio.  </w:t>
      </w:r>
    </w:p>
    <w:p w14:paraId="2BB23C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20. El Ministro de Tecnologías de la Información y las Comunicaciones.  </w:t>
      </w:r>
    </w:p>
    <w:p w14:paraId="6FC8DA2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 El Ministro de Transporte.  </w:t>
      </w:r>
    </w:p>
    <w:p w14:paraId="07655B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 El Director del Departamento Nacional de Planeación.  </w:t>
      </w:r>
    </w:p>
    <w:p w14:paraId="5670BE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23. El Director del Departamento Administrativo de la Función Pública.  </w:t>
      </w:r>
    </w:p>
    <w:p w14:paraId="3E3BFD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24. El Director del Servicio Nacional de Aprendizaje (SENA).  </w:t>
      </w:r>
    </w:p>
    <w:p w14:paraId="1E831E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25. El Director General de la Dirección de Impuestos y Aduanas Nacionales (DIAN).  </w:t>
      </w:r>
    </w:p>
    <w:p w14:paraId="272298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26. El Superintendente de Industria y Comercio.  </w:t>
      </w:r>
    </w:p>
    <w:p w14:paraId="754710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27. Los seis (6) Gobernadores que presiden las Comisiones Regionales de Competitividad e Innovación, que hacen parte del Comité de Regionalización.  </w:t>
      </w:r>
    </w:p>
    <w:p w14:paraId="424D92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28. El Presidente del Consejo Privado de Competitividad.  </w:t>
      </w:r>
    </w:p>
    <w:p w14:paraId="350818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29. El Presidente Ejecutivo de la Confederación Colombiana de Cámaras de Comercio (Confecámaras).  </w:t>
      </w:r>
    </w:p>
    <w:p w14:paraId="12B02F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30. Dos (2) representantes de los gremios económicos designados por el Consejo Gremial Nacional.  </w:t>
      </w:r>
    </w:p>
    <w:p w14:paraId="0C2D96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31. Dos (2) representantes del sector laboral designado por las centrales obreras.  </w:t>
      </w:r>
    </w:p>
    <w:p w14:paraId="4BFD83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32. El Presidente de la Asociación Colombiana de Universidades (Ascun).  </w:t>
      </w:r>
    </w:p>
    <w:p w14:paraId="57B8AA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33. El Presidente de la Asociación Colombiana de Instituciones de Educación Superior con Formación Técnica Profesional y/o Tecnológica (Aciet).  </w:t>
      </w:r>
    </w:p>
    <w:p w14:paraId="6284E0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34. Tres (3) miembros del Consejo Asesor de Ciencia, Tecnología e Innovación (Cacti).  </w:t>
      </w:r>
    </w:p>
    <w:p w14:paraId="1E996C5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35. El Director Ejecutivo de la Federación Nacional de Departamentos.  </w:t>
      </w:r>
    </w:p>
    <w:p w14:paraId="7EDD92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36. El Director Ejecutivo de la Federación Colombiana de Municipios.  </w:t>
      </w:r>
    </w:p>
    <w:p w14:paraId="154FFD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37. El Director Ejecutivo de la Asociación Colombiana de Ciudades Capitales.  </w:t>
      </w:r>
    </w:p>
    <w:p w14:paraId="38AD2E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Consejería Presidencial para la Competitividad y la Gestión Público- Privada ejercerá la Secretaría Técnica de la Comisión Nacional.  </w:t>
      </w:r>
    </w:p>
    <w:p w14:paraId="66ED1B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participación de los Ministros y Directores de entidades del orden nacional será indelegable. Podrán ser invitados a las reuniones de esta Comisión otras entidades públicas o privadas, cuando se vayan a tratar temas de su competencia. </w:t>
      </w:r>
    </w:p>
    <w:p w14:paraId="314C7C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89D2F8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55" w:name="ver_30201256"/>
      <w:bookmarkEnd w:id="255"/>
    </w:p>
    <w:p w14:paraId="2134F8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2.1.8.2.2. Sesiones. La Comisión sesionará de manera ordinaria dos (2) veces al año y de manera extraordinaria cuando sea citada por la Secretaría Técnica. </w:t>
      </w:r>
    </w:p>
    <w:p w14:paraId="0820CD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5C201D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56" w:name="ver_30201257"/>
      <w:bookmarkEnd w:id="256"/>
    </w:p>
    <w:p w14:paraId="3ECDE63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2.1.8.2.3. Funciones de la Comisión. Las funciones de la Comisión Nacional de Competitividad e Innovación son las siguientes:  </w:t>
      </w:r>
    </w:p>
    <w:p w14:paraId="7C063D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Asesorar y presentar propuestas al Gobierno nacional para la adopción de políticas y programas tendientes a lograr un mejoramiento en materia de competitividad e innovación en el país.  </w:t>
      </w:r>
    </w:p>
    <w:p w14:paraId="1679D4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Coordinar y realizar seguimiento a los avances de los sistemas administrativos, subsistemas o instancias del Gobierno nacional que tengan a su cargo la implementación de la Agenda Nacional de Competitividad e Innovación.  </w:t>
      </w:r>
    </w:p>
    <w:p w14:paraId="5AE639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Realizar seguimiento al desempeño del país en las metas e indicadores nacionales e internacionales en materia de competitividad e innovación, y proponer acciones para su mejora.  </w:t>
      </w:r>
    </w:p>
    <w:p w14:paraId="4D2D73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Solicitar los informes a las instancias encargadas de la implementación de la Agenda Nacional de Competitividad e Innovación.  </w:t>
      </w:r>
    </w:p>
    <w:p w14:paraId="71232A34" w14:textId="1EF9705D"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Las demás funciones que sean necesarias para dar cumplimiento a los objetivos del SNCI. </w:t>
      </w:r>
    </w:p>
    <w:p w14:paraId="6D170BA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57" w:name="ver_30201258"/>
      <w:bookmarkEnd w:id="257"/>
    </w:p>
    <w:p w14:paraId="282785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2.1.8.2.4. Informes al Presidente de la República. Las entidades que lideran cada sistema, subsistema e instancia que hacen parte o se articulan con el Sistema Nacional de Competitividad e Innovación deberán reportar sus avances en la implementación de la Agenda Nacional de Competitividad e Innovación ante el Presidente de la República, en el marco de cada sesión de la Comisión Nacional de Competitividad e Innovación, así como del desempeño del país en los indicadores de competitividad e innovación.  </w:t>
      </w:r>
    </w:p>
    <w:p w14:paraId="0F46B0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 igual forma, el Consejero Presidencial para la Competitividad y la Gestión Público- Privada comunicará periódicamente al Consejo de Ministros los avances en la Agenda Nacional de Competitividad e Innovación, cuando sea invitado para estos fines. </w:t>
      </w:r>
    </w:p>
    <w:p w14:paraId="72119C6A" w14:textId="77777777" w:rsidR="00187561" w:rsidRPr="00562064" w:rsidRDefault="00187561" w:rsidP="00143180">
      <w:pPr>
        <w:spacing w:after="0" w:line="240" w:lineRule="auto"/>
        <w:jc w:val="both"/>
        <w:rPr>
          <w:rFonts w:ascii="Arial" w:eastAsia="Times New Roman" w:hAnsi="Arial" w:cs="Arial"/>
          <w:color w:val="000000" w:themeColor="text1"/>
          <w:lang w:eastAsia="es-CO"/>
        </w:rPr>
      </w:pPr>
      <w:bookmarkStart w:id="258" w:name="ver_30201259"/>
      <w:bookmarkEnd w:id="258"/>
    </w:p>
    <w:p w14:paraId="5F4564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2.1.8.2.5. Composición del Comité Ejecutivo del SNCI. El Comité Ejecutivo estará integrado por:  </w:t>
      </w:r>
    </w:p>
    <w:p w14:paraId="041B15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El Consejero Presidencial para la Competitividad y la Gestión Público- Privada, quien lo presidirá.  </w:t>
      </w:r>
    </w:p>
    <w:p w14:paraId="1E20D26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Ministro de Comercio, Industria y Turismo.  </w:t>
      </w:r>
    </w:p>
    <w:p w14:paraId="6C33E3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El Ministro de Ciencia, Tecnología e Innovación.  </w:t>
      </w:r>
    </w:p>
    <w:p w14:paraId="1D9F0C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Ministro de Trabajo.  </w:t>
      </w:r>
    </w:p>
    <w:p w14:paraId="79B1DA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El Ministro de Educación Nacional.  </w:t>
      </w:r>
    </w:p>
    <w:p w14:paraId="371D6F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El Ministro de Agricultura y Desarrollo Rural.  </w:t>
      </w:r>
    </w:p>
    <w:p w14:paraId="7F4710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El Ministro de las Tecnologías de la Información y las Comunicaciones.  </w:t>
      </w:r>
    </w:p>
    <w:p w14:paraId="645452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El Director del Departamento Nacional de Planeación.  </w:t>
      </w:r>
    </w:p>
    <w:p w14:paraId="11F5F2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El Presidente Ejecutivo de la Confederación Colombiana de Cámaras de Comercio (Confecámaras).  </w:t>
      </w:r>
    </w:p>
    <w:p w14:paraId="236A9E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El Presidente del Consejo Privado de Competitividad.  </w:t>
      </w:r>
    </w:p>
    <w:p w14:paraId="4C561A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Un (1) representante de las Comisiones Regionales de Competitividad e Innovación, el cual será delegado por parte de los seis (6) representantes de las Comisiones Regionales de Competitividad e Innovación integrantes del Comité de Regionalización, de acuerdo con las condiciones previstas en el reglamento del Comité Ejecutivo.  </w:t>
      </w:r>
    </w:p>
    <w:p w14:paraId="1E458C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A las sesiones del Comité Ejecutivo serán invitados permanentes, el Vicepresidente de la República, el Consejero Presidencial para la Gestión y el Cumplimiento y el Consejero Presidencial para la Innovación y Transformación Digital.  </w:t>
      </w:r>
    </w:p>
    <w:p w14:paraId="6D3B798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Consejería Presidencial para la Competitividad y la Gestión Público- Privada ejercerá la Secretaría Técnica del Comité Ejecutivo.  </w:t>
      </w:r>
    </w:p>
    <w:p w14:paraId="1DB1C9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Parágrafo 3°. La participación de los ministros y directores será indelegable. Podrán ser invitados otras entidades públicas y privadas a las sesiones del Comité Ejecutivo, cuando se vayan a tratar temas de su competencia. </w:t>
      </w:r>
    </w:p>
    <w:p w14:paraId="489E033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1EEB93D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59" w:name="ver_30201260"/>
      <w:bookmarkEnd w:id="259"/>
    </w:p>
    <w:p w14:paraId="57964B44" w14:textId="2F602E40"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2.1.8.2.6. Sesiones del Comité Ejecutivo del SNCI. El Comité Ejecutivo sesionará de manera ordinaria una vez al mes y de manera extraordinaria cuando sea citado por la Secretaría Técnica. Dicho Comité establecerá su propio reglamento para su funcionamiento. </w:t>
      </w:r>
    </w:p>
    <w:p w14:paraId="3BD25C0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60" w:name="ver_30201261"/>
      <w:bookmarkEnd w:id="260"/>
    </w:p>
    <w:p w14:paraId="10222B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2.1.8.2.7. Funciones del Comité Ejecutivo del SNCI. Las funciones del Comité Ejecutivo son las siguientes:  </w:t>
      </w:r>
    </w:p>
    <w:p w14:paraId="09E1150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Adoptar la Agenda Nacional de Competitividad e Innovación y liderar la coordinación, concertación, implementación y seguimiento de las estrategias y acciones previstas en la Agenda Nacional de Competitividad e Innovación.  </w:t>
      </w:r>
    </w:p>
    <w:p w14:paraId="1AEFA5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Orientar y definir los lineamientos generales para la formulación, implementación, seguimiento y evaluación de la Agenda Nacional de Competitividad e Innovación.  </w:t>
      </w:r>
    </w:p>
    <w:p w14:paraId="76A912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Definir los lineamientos necesarios para solucionar los distintos inconvenientes y barreras institucionales que surjan para la implementación de la Agenda Nacional de Competitividad e Innovación, cuando no hayan podido resolverse en el marco de los Comités Técnicos.  </w:t>
      </w:r>
    </w:p>
    <w:p w14:paraId="4F30AC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Aprobar la creación, modificación y supresión de los Comités Técnicos que hacen parte o se articulan en el SNCI, y adoptar el reglamento marco para su funcionamiento.  </w:t>
      </w:r>
    </w:p>
    <w:p w14:paraId="19598D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Adoptar un modelo de gestión que permita hacer seguimiento, análisis y rendición de cuentas sobre el desempeño del país en los indicadores internacionales de competitividad e innovación y en la Agenda Nacional de Competitividad e Innovación.  </w:t>
      </w:r>
    </w:p>
    <w:p w14:paraId="1B84D2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Impartir lineamientos para la optimización y articulación de la oferta institucional de las entidades del Gobierno nacional e instancias territoriales en materia de competitividad e innovación, en coordinación con el sector privado, teniendo en consideración los diferentes instrumentos priorizados en la Agenda Nacional de Competitividad e Innovación y en las Agendas Departamentales de Competitividad e Innovación.  </w:t>
      </w:r>
    </w:p>
    <w:p w14:paraId="51936E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Adoptar las acciones para implementar las recomendaciones y solicitudes de la Comisión Nacional de Competitividad e Innovación. </w:t>
      </w:r>
    </w:p>
    <w:p w14:paraId="200E5F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28F8DB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61" w:name="ver_30201262"/>
      <w:bookmarkEnd w:id="261"/>
    </w:p>
    <w:p w14:paraId="583C65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2.1.8.2.8. Comités Técnicos del SNCI. Las instancias que se articularán bajo el SNCI en calidad de comités técnicos serán definidas por el Comité Ejecutivo del SNCI, a través de acta. Estas instancias liderarán, entre otros, los siguientes temas:  </w:t>
      </w:r>
    </w:p>
    <w:p w14:paraId="201BEA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Desarrollo Productivo.  </w:t>
      </w:r>
    </w:p>
    <w:p w14:paraId="69FD82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Gestión del Recurso Humano.  </w:t>
      </w:r>
    </w:p>
    <w:p w14:paraId="3D81BB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Mejora Normativa.  </w:t>
      </w:r>
    </w:p>
    <w:p w14:paraId="350531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Logística Comercio Exterior.  </w:t>
      </w:r>
    </w:p>
    <w:p w14:paraId="234D5D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Facilitación de Inversiones.  </w:t>
      </w:r>
    </w:p>
    <w:p w14:paraId="6A1B29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Ciencia, Tecnología e Innovación.  </w:t>
      </w:r>
    </w:p>
    <w:p w14:paraId="2F017F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Formalización Empresarial y Laboral.  </w:t>
      </w:r>
    </w:p>
    <w:p w14:paraId="678743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Los demás que decida crear y acoger el Comité Ejecutivo.  </w:t>
      </w:r>
    </w:p>
    <w:p w14:paraId="4B27FD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Los Comités Técnicos deberán ajustar sus reglamentos internos de conformidad con las disposiciones generales establecidas en el Reglamento Marco expedido por el Comité Ejecutivo del SNCI. </w:t>
      </w:r>
    </w:p>
    <w:p w14:paraId="1DBCB96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62" w:name="ver_30201263"/>
      <w:bookmarkEnd w:id="262"/>
    </w:p>
    <w:p w14:paraId="6C21E88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Artículo 2.1.8.2.9. Creación de los Comités Técnicos del SNCI. Los Comités Técnicos podrán ser creados, modificados o suprimidos por parte del Comité Ejecutivo del SNCI, de </w:t>
      </w:r>
      <w:r w:rsidRPr="00562064">
        <w:rPr>
          <w:rFonts w:ascii="Arial" w:eastAsia="Times New Roman" w:hAnsi="Arial" w:cs="Arial"/>
          <w:color w:val="000000" w:themeColor="text1"/>
          <w:lang w:eastAsia="es-CO"/>
        </w:rPr>
        <w:lastRenderedPageBreak/>
        <w:t>conformidad con las necesidades definidas en la Agenda Nacional de Competitividad e Innovación, siempre y cuando no tengan disposición normativa específica sobre su organización y funcionamiento.  </w:t>
      </w:r>
    </w:p>
    <w:p w14:paraId="6BE1844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Cada uno de los comités técnicos tendrá una secretaría técnica, la cual será definida en su acto de creación.  </w:t>
      </w:r>
    </w:p>
    <w:p w14:paraId="459BF1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Comisión Intersectorial de la Calidad, creada mediante el Decreto 3257 de 2008, que coordina la actuación de las entidades gubernamentales y privadas del Subsistema Nacional de la Calidad hace parte del Sistema Nacional de Competitividad e Innovación.  </w:t>
      </w:r>
    </w:p>
    <w:p w14:paraId="0A9282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Los Comités Técnicos podrán invitar a sus sesiones a los representantes del sector privado, academia y la sociedad civil, para el cumplimiento de sus funciones.  </w:t>
      </w:r>
    </w:p>
    <w:p w14:paraId="31A4C1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La Consejería Presidencial para la Competitividad y la Gestión Público- Privada participará como miembro de cada uno de los Comités Técnicos que hace parte del SNCI, con el fin de hacer seguimiento a sus planes de acción. </w:t>
      </w:r>
    </w:p>
    <w:p w14:paraId="18A753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D1A932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63" w:name="ver_30201264"/>
      <w:bookmarkEnd w:id="263"/>
    </w:p>
    <w:p w14:paraId="4F8BFC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2.1.8.2.10. Alcance de los Comités Técnicos del SNCI. Los Comités Técnicos atenderán aquellas temáticas de carácter transversal y no sectorial específica que impacten la competitividad e innovación del país. </w:t>
      </w:r>
    </w:p>
    <w:p w14:paraId="485585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1654AA9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64" w:name="ver_30201265"/>
      <w:bookmarkEnd w:id="264"/>
    </w:p>
    <w:p w14:paraId="4920A24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2.1.8.2.11. Formulación y publicación de la Agenda Nacional de Competitividad e Innovación. La Consejería Presidencial para la Competitividad y la Gestión Público-Privada liderará la formulación de la Agenda Nacional de Competitividad e Innovación en los primeros seis (6) meses de inicio de cada Gobierno en el marco del SNCI, y la presentará a consideración del Comité Ejecutivo del SNCI para su adopción. Igualmente, la Consejería realizará seguimiento detallado de la implementación de la Agenda Nacional de Competitividad e Innovación.  </w:t>
      </w:r>
    </w:p>
    <w:p w14:paraId="03FDF4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Consejería Presidencial para la Competitividad y la Gestión Público-Privada se encargará de publicar el contenido de la Agenda Nacional de Competitividad e Innovación y los informes de su respectivo seguimiento en la página web del SNCI. </w:t>
      </w:r>
    </w:p>
    <w:p w14:paraId="40A81D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63C968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65" w:name="ver_30201266"/>
      <w:bookmarkEnd w:id="265"/>
    </w:p>
    <w:p w14:paraId="0D6737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2.1.8.2.12. Composición del Comité de Regionalización. El Comité de Regionalización estará integrado por representantes de:  </w:t>
      </w:r>
    </w:p>
    <w:p w14:paraId="4BCD97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Vicepresidencia de la República.  </w:t>
      </w:r>
    </w:p>
    <w:p w14:paraId="2934CB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Consejería Presidencial para la Competitividad y la Gestión Público-Privada.  </w:t>
      </w:r>
    </w:p>
    <w:p w14:paraId="696A7CE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Consejería Presidencial para las Regiones.  </w:t>
      </w:r>
    </w:p>
    <w:p w14:paraId="3547C7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Ministerio de Comercio, Industria y Turismo.  </w:t>
      </w:r>
    </w:p>
    <w:p w14:paraId="1DCF6B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Ministerio de Agricultura y Desarrollo Rural.  </w:t>
      </w:r>
    </w:p>
    <w:p w14:paraId="395E07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Ministerio de las Tecnologías, Información y Comunicaciones.  </w:t>
      </w:r>
    </w:p>
    <w:p w14:paraId="6742FB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Ministerio de Trabajo.  </w:t>
      </w:r>
    </w:p>
    <w:p w14:paraId="0FC12B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Ministerio de Cultura.  </w:t>
      </w:r>
    </w:p>
    <w:p w14:paraId="00B747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Ministerio de Educación Nacional.  </w:t>
      </w:r>
    </w:p>
    <w:p w14:paraId="124962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Ministerio de Ciencia, Tecnología e Innovación (Colciencias).  </w:t>
      </w:r>
    </w:p>
    <w:p w14:paraId="2455A8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Departamento Nacional de Planeación.  </w:t>
      </w:r>
    </w:p>
    <w:p w14:paraId="05317C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Servicio Nacional de Aprendizaje (SENA).  </w:t>
      </w:r>
    </w:p>
    <w:p w14:paraId="567433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Confederación Colombiana de Cámaras de Comercio.  </w:t>
      </w:r>
    </w:p>
    <w:p w14:paraId="42EE63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Consejo Privado de Competitividad.  </w:t>
      </w:r>
    </w:p>
    <w:p w14:paraId="4E606F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Federación Nacional de Departamentos.  </w:t>
      </w:r>
    </w:p>
    <w:p w14:paraId="649A93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16. Federación Colombiana de Municipios.  </w:t>
      </w:r>
    </w:p>
    <w:p w14:paraId="191198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17. Seis (6) representantes de los Consejos Departamentales de Ciencia, Tecnología e Innovación (Codectis).  </w:t>
      </w:r>
    </w:p>
    <w:p w14:paraId="531596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18. Seis (6) representantes de las Comisiones Regionales de Competitividad e Innovación, elegidos por estas mismas y de conformidad con el reglamento del Comité de Regionalización.  </w:t>
      </w:r>
    </w:p>
    <w:p w14:paraId="7E28CD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El Comité de Regionalización establecerá su propio reglamento para su organización y funcionamiento, en el cual definirá su presidencia, secretaría técnica y la forma de elección y periodicidad de sus miembros.  </w:t>
      </w:r>
    </w:p>
    <w:p w14:paraId="7E6279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Los representantes de Innpulsa y del programa Colombia Productiva serán invitados permanentes al Comité de Regionalización. Además, podrán ser invitadas otras entidades públicas y privadas, cuando se vayan a tratar temas de su competencia. </w:t>
      </w:r>
    </w:p>
    <w:p w14:paraId="22E011F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44E78AF" w14:textId="37A47140" w:rsidR="00E475BF" w:rsidRPr="00562064" w:rsidRDefault="00E475BF" w:rsidP="00187561">
      <w:pPr>
        <w:spacing w:after="0" w:line="254" w:lineRule="atLeast"/>
        <w:jc w:val="both"/>
        <w:rPr>
          <w:rFonts w:ascii="Arial" w:eastAsia="Times New Roman" w:hAnsi="Arial" w:cs="Arial"/>
          <w:color w:val="000000" w:themeColor="text1"/>
          <w:lang w:eastAsia="es-CO"/>
        </w:rPr>
      </w:pPr>
    </w:p>
    <w:p w14:paraId="51787B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2.1.8.2.13. Sesiones del Comité de Regionalización. El Comité de Regionalización sesionará de manera ordinaria al menos cada dos (2) meses, y de manera extraordinaria cuando sea citado por la Secretaría Técnica. </w:t>
      </w:r>
    </w:p>
    <w:p w14:paraId="1619A6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7D7A21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66" w:name="ver_30201268"/>
      <w:bookmarkEnd w:id="266"/>
    </w:p>
    <w:p w14:paraId="16721C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2.1.8.2.14. Funciones del Comité de Regionalización. Las funciones del Comité de Regionalización son las siguientes:  </w:t>
      </w:r>
    </w:p>
    <w:p w14:paraId="32C02E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Promover la alineación y articulación de la oferta de los distintos instrumentos de política pública que desarrollan las entidades del Gobierno nacional y territoriales en el marco del SNCI.  </w:t>
      </w:r>
    </w:p>
    <w:p w14:paraId="11C082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Apoyar la coordinación y articulación de las actividades y acciones en materia de competitividad e innovación entre las entidades del nivel nacional y regional.  </w:t>
      </w:r>
    </w:p>
    <w:p w14:paraId="214CF0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Liderar la articulación de las Agendas Departamentales de Competitividad e Innovación con la Agenda Nacional de Competitividad e Innovación por medio de los Comités Técnicos del SNCI.  </w:t>
      </w:r>
    </w:p>
    <w:p w14:paraId="1FB7EC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Apoyar la coordinación y hacer seguimiento a los planes de acción de los programas, proyectos e iniciativas previstos en las Agendas Departamentales de Competitividad e Innovación.  </w:t>
      </w:r>
    </w:p>
    <w:p w14:paraId="6DF0954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Informar al Comité Ejecutivo periódicamente los avances en la implementación de las Agendas Departamentales de Competitividad e Innovación.  </w:t>
      </w:r>
    </w:p>
    <w:p w14:paraId="419B4F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Atender los lineamientos y recomendaciones del Comité Ejecutivo.  </w:t>
      </w:r>
    </w:p>
    <w:p w14:paraId="7E4047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Promover el diseño de estrategias diferenciales de intervención para los diferentes departamentos o regiones, de conformidad con los niveles de desarrollo de las mismas o análisis de brechas.  </w:t>
      </w:r>
    </w:p>
    <w:p w14:paraId="0300F3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Formular su propio reglamento de funcionamiento. </w:t>
      </w:r>
    </w:p>
    <w:p w14:paraId="568ED82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7093457"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267" w:name="ver_30201269"/>
      <w:bookmarkEnd w:id="267"/>
      <w:r w:rsidRPr="00562064">
        <w:rPr>
          <w:rFonts w:ascii="Arial" w:eastAsia="Times New Roman" w:hAnsi="Arial" w:cs="Arial"/>
          <w:b/>
          <w:bCs/>
          <w:color w:val="000000" w:themeColor="text1"/>
          <w:lang w:eastAsia="es-CO"/>
        </w:rPr>
        <w:t>CAPÍTULO 3</w:t>
      </w:r>
    </w:p>
    <w:p w14:paraId="2729BDDB"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Institucionalidad regional del Sistema Nacional de Competitividad e Innovación</w:t>
      </w:r>
    </w:p>
    <w:p w14:paraId="076542A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68" w:name="ver_30201270"/>
      <w:bookmarkEnd w:id="268"/>
    </w:p>
    <w:p w14:paraId="52BA5D6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2.1.8.3.1. Articulación de las Instancias en las Comisiones Regionales de Competitividad e Innovación (CRCI). En el marco de las CRCI se articularán las instancias regionales, departamentales y subregionales tales como, los Consejos Departamentales de Ciencia, Tecnología e Innovación (Codecti), Comités Universidad-Estado-Empresa (CUEE), Redes Regionales de Emprendimiento (RRE), Consejos Regionales de Mipyme, Consejos Ambientales Regionales, Comités de Biodiversidad, Consejos Seccionales de Desarrollo Agropecuario (Consea); así como las que se creen de acuerdo con las apuestas sectoriales o cadenas productivas priorizadas por el departamento.  </w:t>
      </w:r>
    </w:p>
    <w:p w14:paraId="529D16D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Parágrafo 1°. La Consejería Presidencial para la Competitividad y la Gestión Público- Privada, en su calidad de Secretaría Técnica de la Comisión Nacional de Competitividad e Innovación, reconocerá sólo una CRCI por departamento como parte del SNCI.  </w:t>
      </w:r>
    </w:p>
    <w:p w14:paraId="6F8351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Las CRCI articularán las instancias subregionales existentes o las nuevas que se creen para promover la competitividad, la innovación y el desarrollo productivo a nivel territorial.  </w:t>
      </w:r>
    </w:p>
    <w:p w14:paraId="68190157" w14:textId="0F11FCEF"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La CRCI, a partir de sus prioridades y capacidad institucional, podrá articular a las distintas instancias que traten temas de competitividad e innovación, mediante la conformación de Comités Técnicos, que permitan la unificación de temáticas y simplifiquen la operatividad. </w:t>
      </w:r>
    </w:p>
    <w:p w14:paraId="225550C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69" w:name="ver_30201271"/>
      <w:bookmarkEnd w:id="269"/>
    </w:p>
    <w:p w14:paraId="3E08CA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2.1.8.3.2. Composición de las Comisiones Regionales de Competitividad e Innovación (CRCI). Las Comisiones Regionales de Competitividad e Innovación (CRCI) estarán conformadas, como mínimo, por:  </w:t>
      </w:r>
    </w:p>
    <w:p w14:paraId="725C7C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El Gobernador del Departamento, quien la presidirá.  </w:t>
      </w:r>
    </w:p>
    <w:p w14:paraId="6122DA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Alcalde de la ciudad capital del departamento.  </w:t>
      </w:r>
    </w:p>
    <w:p w14:paraId="111330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Un alcalde delegado por cada una de las subregiones o provincias existentes en el departamento, cuando aplique.  </w:t>
      </w:r>
    </w:p>
    <w:p w14:paraId="28330FE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Secretario de Planeación Departamental.  </w:t>
      </w:r>
    </w:p>
    <w:p w14:paraId="49F568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El Secretario de Desarrollo Económico Departamental, o quien haga sus veces.  </w:t>
      </w:r>
    </w:p>
    <w:p w14:paraId="66C3866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El Secretario de Desarrollo Económico del municipio o distrito capital del departamento, o quien haga sus veces.  </w:t>
      </w:r>
    </w:p>
    <w:p w14:paraId="7607DA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El Director Regional del SENA.  </w:t>
      </w:r>
    </w:p>
    <w:p w14:paraId="266121C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El Presidente Ejecutivo de cada una de las Cámaras de Comercio con presencia en el departamento.  </w:t>
      </w:r>
    </w:p>
    <w:p w14:paraId="775A3B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El Director de la Agencia de Promoción e Inversión del departamento, cuando aplique.  </w:t>
      </w:r>
    </w:p>
    <w:p w14:paraId="5BA552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Mínimo tres (3) representantes de los gremios económicos o de asociaciones de productores de sectores estratégicos, designados por el Comité Intergremial o la instancia que haga sus veces, en los casos en que exista la institucionalidad.  </w:t>
      </w:r>
    </w:p>
    <w:p w14:paraId="705DDD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Mínimo dos (2) representantes de los rectores de las universidades departamentales o nacionales con sedes regionales en el departamento, en los casos en que exista la institucionalidad.  </w:t>
      </w:r>
    </w:p>
    <w:p w14:paraId="5BFF64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Un (1) representante por cada una de las instancias conformadas que están relacionadas con los temas de competitividad e innovación en el departamento, tales como Subcomisiones Regionales de Competitividad, Codecti, CUEE, Consea, RRE/Consejo Mipymes, entre otras.  </w:t>
      </w:r>
    </w:p>
    <w:p w14:paraId="6FCB15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El Gerente/Director ejecutivo de la Región Administrativa y de Planificación del respectivo territorio, cuando aplique.  </w:t>
      </w:r>
    </w:p>
    <w:p w14:paraId="5D0B0B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participación de los gobernadores, alcaldes y secretarios será indelegable.  </w:t>
      </w:r>
    </w:p>
    <w:p w14:paraId="0BB1DC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composición y modelo de gestión de las CRCI podrá ajustarse en cada departamento teniendo en cuenta sus necesidades y su capacidad institucional pública y privada, así como las instancias activas sobre temas de competitividad e innovación que existan en el mismo.  </w:t>
      </w:r>
    </w:p>
    <w:p w14:paraId="416DFB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La CRCI establecerá el reglamento interno para su funcionamiento, así como la designación de los representantes del sector público, privado y universidades. </w:t>
      </w:r>
    </w:p>
    <w:p w14:paraId="33450A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A272F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2.1.8.3.3. Sesiones de las CRCI. La CRCI sesionará de manera ordinaria dos (2) veces al año y, de manera extraordinaria, cuando sea citada por el presidente de la CRCI o la Secretaría Técnica. </w:t>
      </w:r>
    </w:p>
    <w:p w14:paraId="4C4CCD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9C94912" w14:textId="5705C99C" w:rsidR="00E475BF" w:rsidRPr="00562064" w:rsidRDefault="00E475BF" w:rsidP="00187561">
      <w:pPr>
        <w:spacing w:after="0" w:line="254" w:lineRule="atLeast"/>
        <w:jc w:val="both"/>
        <w:rPr>
          <w:rFonts w:ascii="Arial" w:eastAsia="Times New Roman" w:hAnsi="Arial" w:cs="Arial"/>
          <w:color w:val="000000" w:themeColor="text1"/>
          <w:lang w:eastAsia="es-CO"/>
        </w:rPr>
      </w:pPr>
      <w:bookmarkStart w:id="270" w:name="ver_30201273"/>
      <w:bookmarkEnd w:id="270"/>
    </w:p>
    <w:p w14:paraId="7A0511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2.1.8.3.4. Funciones de las Comisiones Regionales de Competitividad e Innovación (CRCI). Las funciones de las CRCI son:  </w:t>
      </w:r>
    </w:p>
    <w:p w14:paraId="2F7E47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Servir de escenario de diálogo y socialización de propuestas de políticas regionales y nacionales dirigidas a fomentar la competitividad e innovación.  </w:t>
      </w:r>
    </w:p>
    <w:p w14:paraId="1A8FA2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Liderar la elaboración o la actualización de las Agendas Departamentales de Competitividad e Innovación, promoviendo la incorporación de un enfoque subregional.  </w:t>
      </w:r>
    </w:p>
    <w:p w14:paraId="1365FA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Coordinar a las distintas instancias, así como a las entidades públicas y privadas del departamento, alrededor de la formulación e implementación de los programas, proyectos e iniciativas definidas en las Agendas Departamentales de Competitividad e Innovación.  </w:t>
      </w:r>
    </w:p>
    <w:p w14:paraId="4A5734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Promover la articulación de los proyectos, programas e iniciativas de las Agendas Departamentales de Competitividad e Innovación con el Plan Nacional de Desarrollo, la Agenda Nacional de Competitividad e Innovación, Planes de Desarrollo Territorial, los Planes y Acuerdos Estratégicos Departamentales en Ciencia, Tecnología e Innovación (PAED), el Plan Estratégico de Ciencia, Tecnología e Innovación del Sector Agropecuario (Pectia) y demás planes o agendas sectoriales y subregionales para la competitividad y la innovación.  </w:t>
      </w:r>
    </w:p>
    <w:p w14:paraId="0E8ACD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Definir las instancias a nivel departamental que se articulan para la formulación, implementación y seguimiento de la Agenda Departamental de Competitividad e Innovación en el marco del SNCI.  </w:t>
      </w:r>
    </w:p>
    <w:p w14:paraId="7DFF0B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Servir de escenario para el diálogo y análisis acerca del desempeño del departamento en los indicadores subnacionales en materia de competitividad e innovación; así como para la socialización de los avances de la Agenda Departamental de Competitividad e Innovación.  </w:t>
      </w:r>
    </w:p>
    <w:p w14:paraId="3C56E3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Promover la articulación de las necesidades departamentales en materia de competitividad e innovación con la oferta de instrumentos del Gobierno nacional y entidades y organizaciones territoriales para estos fines.  </w:t>
      </w:r>
    </w:p>
    <w:p w14:paraId="6C5756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Promover la concurrencia de la visión regional con las herramientas de planificación del departamento, así como su actualización cuando sea requerido.  </w:t>
      </w:r>
    </w:p>
    <w:p w14:paraId="6D91C1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Las demás que se definan en el marco del SNCI. </w:t>
      </w:r>
    </w:p>
    <w:p w14:paraId="0BC204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B1A16D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71" w:name="ver_30201274"/>
      <w:bookmarkEnd w:id="271"/>
    </w:p>
    <w:p w14:paraId="3A5465F3" w14:textId="6A285B7D"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2.1.8.3.5. Comité Ejecutivo de la CRCI. El Comité Ejecutivo es la instancia de decisión y articulación de la Comisión Regional de Competitividad e Innovación para la formulación, concertación, implementación y seguimiento de la Agenda Departamental de Competitividad e Innovación. </w:t>
      </w:r>
    </w:p>
    <w:p w14:paraId="52D8018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72" w:name="ver_30201275"/>
      <w:bookmarkEnd w:id="272"/>
    </w:p>
    <w:p w14:paraId="43C0201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2.1.8.3.6. Composición del Comité Ejecutivo de las CRCI. El Comité Ejecutivo estará conformado por:  </w:t>
      </w:r>
    </w:p>
    <w:p w14:paraId="3C9BF01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El Gobernador del Departamento, o su delegado.  </w:t>
      </w:r>
    </w:p>
    <w:p w14:paraId="455685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Alcalde del municipio o distrito capital del departamento, o su delegado.  </w:t>
      </w:r>
    </w:p>
    <w:p w14:paraId="233D6C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El Presidente Ejecutivo de la Cámara de Comercio con jurisdicción en el municipio o distrito capital del respectivo departamento.  </w:t>
      </w:r>
    </w:p>
    <w:p w14:paraId="0676332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Director Regional del SENA.  </w:t>
      </w:r>
    </w:p>
    <w:p w14:paraId="7F9400B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Mínimo (1) representante de los rectores de las universidades departamentales o nacionales con sedes regionales en el Departamento, en los casos en que exista la institucionalidad.  </w:t>
      </w:r>
    </w:p>
    <w:p w14:paraId="6BEBEE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Mínimo dos (2) representantes de los gremios económicos o de las asociaciones de productores de sectores estratégicos, designados por el Comité Intergremial o la instancia que haga sus veces, en los casos en los que exista tal institucionalidad.  </w:t>
      </w:r>
    </w:p>
    <w:p w14:paraId="5526C1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Parágrafo 1°. Por regla general, el Comité Ejecutivo de las CRCI estará presidido por el Gobernador. No obstante, cada CRCI podrá optar por un esquema colegiado de hasta tres (3) entidades para delegar entre estas quién la preside. En dicho cuerpo colegiado debe estar presente el Gobernador o su delegado.  </w:t>
      </w:r>
    </w:p>
    <w:p w14:paraId="4AD2DB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Será invitado permanente un (1) representante de las Subcomisiones Regionales de Competitividad e Innovación, en los departamentos donde aplique.  </w:t>
      </w:r>
    </w:p>
    <w:p w14:paraId="1634E1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El Gobernador y el Alcalde del municipio o distrito capital del departamento podrán delegar su participación. Para el resto de los miembros del Comité Ejecutivo, la participación será indelegable.  </w:t>
      </w:r>
    </w:p>
    <w:p w14:paraId="05A8EC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4°. A las sesiones del Comité Ejecutivo podrán ser invitadas otras entidades públicas y privadas del orden departamental y nacional, cuando se vayan a tratar temas de su competencia.  </w:t>
      </w:r>
    </w:p>
    <w:p w14:paraId="3C76B4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5°. El equipo técnico de base que integra la Secretaría Técnica participará en las sesiones del Comité Ejecutivo con voz, pero sin voto.  </w:t>
      </w:r>
    </w:p>
    <w:p w14:paraId="30FB6E4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6°. El Comité Ejecutivo establecerá el reglamento interno para su funcionamiento, así como para la designación de los representantes del sector público, privado y universidades. </w:t>
      </w:r>
    </w:p>
    <w:p w14:paraId="38C1AC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CECE99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73" w:name="ver_30201277"/>
      <w:bookmarkEnd w:id="273"/>
    </w:p>
    <w:p w14:paraId="07C9A3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2.1.8.3.7. Sesiones del Comité Ejecutivo de las CRCI. Este Comité debe reunirse trimestralmente de manera ordinaria, y de forma extraordinaria cuando así lo considere el presidente del Comité Ejecutivo. </w:t>
      </w:r>
    </w:p>
    <w:p w14:paraId="6D8F98A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74" w:name="ver_30201278"/>
      <w:bookmarkEnd w:id="274"/>
    </w:p>
    <w:p w14:paraId="38E0E7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2.1.8.3.8. Funciones del Comité Ejecutivo de las CRCI. Dentro de sus funciones están:  </w:t>
      </w:r>
    </w:p>
    <w:p w14:paraId="270B377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Coordinar el funcionamiento y gestión de la CRCI del departamento.  </w:t>
      </w:r>
    </w:p>
    <w:p w14:paraId="745C37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Direccionar la formulación y gestionar la implementación de la Agenda Departamental de Competitividad e Innovación, así como brindar soluciones a los distintos inconvenientes que surjan en dicho proceso.  </w:t>
      </w:r>
    </w:p>
    <w:p w14:paraId="10D9B16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Aprobar y hacer seguimiento a un plan anual de trabajo para la gestión e implementación de los programas, proyectos e iniciativas definidas en las Agendas Departamentales de Competitividad e Innovación.  </w:t>
      </w:r>
    </w:p>
    <w:p w14:paraId="0A7762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Aprobar un informe de gestión y resultado semestral con el avance de la Agenda Departamental de Competitividad e Innovación, el cual será presentado por la Secretaría Técnica.  </w:t>
      </w:r>
    </w:p>
    <w:p w14:paraId="20FB8D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Realizar seguimiento al desempeño del departamento en los indicadores subnacionales en materia de competitividad e innovación.  </w:t>
      </w:r>
    </w:p>
    <w:p w14:paraId="6D765CC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Articular e integrar las temáticas, programas, proyectos e iniciativas de la Agenda Departamental de Competitividad e Innovación con los instrumentos de planificación territorial, tales como planes de desarrollo municipal, distrital, departamental y subregional, entre otros, para dar cumplimiento al artículo 4° de la Ley 1253 de 2008.  </w:t>
      </w:r>
    </w:p>
    <w:p w14:paraId="70D2ADC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Orientar la articulación e interlocución de las entidades públicas y privadas territoriales en materia de competitividad e innovación con la oferta institucional de las entidades del Gobierno nacional y de las organizaciones territoriales.  </w:t>
      </w:r>
    </w:p>
    <w:p w14:paraId="5D60FF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Hacer seguimiento a la gestión de los Comités Técnicos y las distintas instancias del departamento, alrededor de la formulación e implementación de los programas, proyectos e iniciativas definidas en las Agendas Departamentales de Competitividad e Innovación.  </w:t>
      </w:r>
    </w:p>
    <w:p w14:paraId="6D40A1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Identificar y gestionar fuentes de apoyo financiero y no financiero para los programas, proyectos e iniciativas priorizados en la Agenda Departamental de Competitividad e Innovación.  </w:t>
      </w:r>
    </w:p>
    <w:p w14:paraId="6378C9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10. Definir y concertar proyectos que puedan postularse ante fondos y programas del Gobierno nacional, regional y de cooperación internacional que contribuyan a la implementación de la Agenda Departamental de Competitividad e Innovación.  </w:t>
      </w:r>
    </w:p>
    <w:p w14:paraId="2BC626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Recomendar y orientar el análisis de las propuestas de políticas regionales y nacionales dirigidas a fomentar la competitividad e innovación.  </w:t>
      </w:r>
    </w:p>
    <w:p w14:paraId="6BBB40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Establecer el plazo de actualización de los programas, proyectos e iniciativas de las Agendas Departamentales de Competitividad e Innovación.  </w:t>
      </w:r>
    </w:p>
    <w:p w14:paraId="09A9A3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Definir los recursos orientados a la sostenibilidad de la CRCI, así como el mecanismo para su administración.  </w:t>
      </w:r>
    </w:p>
    <w:p w14:paraId="4BE579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Aprobar el presupuesto definido para el funcionamiento de la CRCI.  </w:t>
      </w:r>
    </w:p>
    <w:p w14:paraId="3D608A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Las demás que se definan en el marco de la CRCI y del SNCI. </w:t>
      </w:r>
    </w:p>
    <w:p w14:paraId="3BBAFB4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4C74A8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75" w:name="ver_30201279"/>
      <w:bookmarkEnd w:id="275"/>
    </w:p>
    <w:p w14:paraId="2C8376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2.1.8.3.9. Secretaría Técnica de las CRCI. La Secretaría Técnica, como unidad de apoyo de la CRCI, será ejercida por la Cámara de Comercio con jurisdicción en el municipio o distrito capital del respectivo departamento. Para ello, dicha cámara de comercio pondrá a disposición un equipo técnico de base dedicado a las funciones tácticas y de apoyo administrativo de las CRCI. La estructura de ese equipo técnico será acordada entre el Ministerio de Comercio, Industria y Turismo, Confecámaras, y la Cámara de Comercio con jurisdicción en el municipio o distrito capital del respectivo departamento.  </w:t>
      </w:r>
    </w:p>
    <w:p w14:paraId="4A5412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Cuando el Comité Ejecutivo lo defina, la Secretaría Técnica podrá ser ejercida de manera colegiada entre el sector público y la cámara de comercio con jurisdicción en el municipio o distrito capital del respectivo departamento. Para tales efectos, el presidente de la CRCI podrá designar un delegado quien se encargará de apoyar las funciones del equipo base de la Secretaría Técnica.  </w:t>
      </w:r>
    </w:p>
    <w:p w14:paraId="164F2EC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El Comité Ejecutivo podrá hacer recomendaciones para el proceso de selección de las personas que integran el equipo de la unidad de apoyo. </w:t>
      </w:r>
    </w:p>
    <w:p w14:paraId="5D66007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76" w:name="ver_30201280"/>
      <w:bookmarkEnd w:id="276"/>
    </w:p>
    <w:p w14:paraId="2D2C8A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2.1.8.3.10. Funciones de la Secretaría Técnica de las CRCI. Las funciones de la Secretaría Técnica serán de carácter táctico (orientadas a la gestión e implementación de las Agendas Departamentales de Competitividad e Innovación) y de apoyo administrativo (para garantizar el funcionamiento operativo de la CRCI):  </w:t>
      </w:r>
    </w:p>
    <w:p w14:paraId="20C776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Funciones tácticas:  </w:t>
      </w:r>
    </w:p>
    <w:p w14:paraId="1F1807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Apoyar la coordinación de la CRCI del departamento.  </w:t>
      </w:r>
    </w:p>
    <w:p w14:paraId="77E383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Apoyar el diseño o actualización de la Agenda Departamental de Competitividad e Innovación.  </w:t>
      </w:r>
    </w:p>
    <w:p w14:paraId="6E4416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Apoyar la formulación del plan de trabajo anual de la CRCI orientado a la implementación de los programas, proyectos e iniciativas de la Agenda Departamental de Competitividad e Innovación; así como al fortalecimiento técnico de la CRCI y de su modelo de gobernanza.  </w:t>
      </w:r>
    </w:p>
    <w:p w14:paraId="453173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Velar por la coordinación en el proceso de formulación y presentación de proyectos de la Agenda Departamental de Competitividad e Innovación al interior de la CRCI o de manera articulada con las instancias que están relacionadas con los temas de competitividad e innovación en el departamento (Codecti, CUEE, Consea, RRE/Consejo Mipymes, entre otras).  </w:t>
      </w:r>
    </w:p>
    <w:p w14:paraId="152B75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Ejecutar acciones de articulación de recursos y voluntades institucionales, para impulsar la ejecución de los programas, proyectos e iniciativas de la Agenda Departamental de Competitividad e Innovación.  </w:t>
      </w:r>
    </w:p>
    <w:p w14:paraId="3F3F7C2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Apoyar las acciones de articulación e interlocución de las entidades públicas y privadas territoriales en materia de competitividad e innovación con la oferta institucional de las entidades del Gobierno nacional y organizaciones territoriales.  </w:t>
      </w:r>
    </w:p>
    <w:p w14:paraId="018A25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lastRenderedPageBreak/>
        <w:t>7. Apoyar la identificación y gestión de fuentes de apoyo financiero y no financiero para los programas, proyectos e iniciativas priorizados en la Agenda Departamental de Competitividad e Innovación.  </w:t>
      </w:r>
    </w:p>
    <w:p w14:paraId="2BDCEAE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Mantener actualizado e informar al Comité Ejecutivo el reporte de avance del departamento en los indicadores subnacionales de competitividad e innovación, y en los indicadores de gestión y de resultado de la CRCI.  </w:t>
      </w:r>
    </w:p>
    <w:p w14:paraId="552D886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Servir de interlocutora con el Sistema Nacional de Competitividad e Innovación, siguiendo los lineamientos definidos por el Comité Ejecutivo de la CRCI.  </w:t>
      </w:r>
    </w:p>
    <w:p w14:paraId="4ED691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Establecer el modelo de gestión y plan de acción que permita hacer seguimiento, análisis y rendición de cuentas sobre los avances en la Agenda Departamental de Competitividad e Innovación, y sobre el desempeño departamental en los indicadores subnacionales de competitividad e innovación.  </w:t>
      </w:r>
    </w:p>
    <w:p w14:paraId="1899A9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Funciones de apoyo administrativo:  </w:t>
      </w:r>
    </w:p>
    <w:p w14:paraId="5A03D71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Convocar a las reuniones ordinarias y extraordinarias de todas las instancias de las CRCI.  </w:t>
      </w:r>
    </w:p>
    <w:p w14:paraId="605E5F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Preparar la información requerida para el correcto funcionamiento de la CRCI y su Comité Ejecutivo.  </w:t>
      </w:r>
    </w:p>
    <w:p w14:paraId="1F7222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Diligenciar y custodiar las actas de cada sesión de las instancias de las CRCI.  </w:t>
      </w:r>
    </w:p>
    <w:p w14:paraId="78AA6C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Certificar y divulgar los actos administrativos y decisiones de las instancias de las CRCI.  </w:t>
      </w:r>
    </w:p>
    <w:p w14:paraId="3D12F4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Custodiar la memoria institucional de la CRCI.  </w:t>
      </w:r>
    </w:p>
    <w:p w14:paraId="1B4724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Apoyar la construcción de los reglamentos de la CRCI y del Comité Ejecutivo.  </w:t>
      </w:r>
    </w:p>
    <w:p w14:paraId="135ED0F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Verificar, de acuerdo con el reglamento de las CRCI, la representación de los miembros que la componen, y mantener actualizada la información de los actores e instancias que integran la CRCI.  </w:t>
      </w:r>
    </w:p>
    <w:p w14:paraId="378345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Presentar informes trimestrales de gestión al Comité Ejecutivo de la CRCI, al Ministerio de Comercio, Industria y Turismo, con copia a Confecámaras y a las instancias que se requieran.  </w:t>
      </w:r>
    </w:p>
    <w:p w14:paraId="421050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Apoyar la comunicación y actualización de información en las plataformas de comunicación de la CRCI.  </w:t>
      </w:r>
    </w:p>
    <w:p w14:paraId="06F77C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Comunicar semestralmente al Comité de Regionalización del SNCI las necesidades, oportunidades y avances en la implementación de las Agendas Departamentales de Competitividad e Innovación, y su articulación con la Agenda Nacional de Competitividad e Innovación, así como el desempeño en los indicadores subnacionales en materia de competitividad.  </w:t>
      </w:r>
    </w:p>
    <w:p w14:paraId="5F7F23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Participar en el Encuentro Nacional de las CRCI. </w:t>
      </w:r>
    </w:p>
    <w:p w14:paraId="2B7541D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840890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77" w:name="ver_30201281"/>
      <w:bookmarkEnd w:id="277"/>
    </w:p>
    <w:p w14:paraId="0ED583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2.1.8.3.11. Comités Técnicos de las CRCI. Con el fin de coordinar la formulación, gestión e implementación de los programas, proyectos e iniciativas de la Agenda Departamental de Competitividad e Innovación, el Comité Ejecutivo podrá crear Comités Técnicos de trabajo conformados por otros delegados de las entidades que conforman la CRCI o las otras instancias que están relacionadas con los temas de competitividad e innovación en el departamento, tales como Codecti, CUEE, Consea, RRE/ Consejo Mipymes, entre otras, así como representantes del sector privado y la academia.  </w:t>
      </w:r>
    </w:p>
    <w:p w14:paraId="302085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 Secretaría Técnica de la CRCI apoyará la gestión de los Comités Técnicos. </w:t>
      </w:r>
    </w:p>
    <w:p w14:paraId="3519400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78" w:name="ver_30201282"/>
      <w:bookmarkEnd w:id="278"/>
    </w:p>
    <w:p w14:paraId="24BA49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2.1.8.3.12. Sostenibilidad de la CRCI. El equipo base de la Secretaría Técnica, estará vinculado a la Cámara de Comercio con jurisdicción en el municipio o Distrito Capital del respectivo departamento.  </w:t>
      </w:r>
    </w:p>
    <w:p w14:paraId="19A652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xml:space="preserve">Como complemento, la Gobernación, las alcaldías y otras entidades de conformidad con las normas legales que rigen a la entidad, podrán aportar capital humano, recursos </w:t>
      </w:r>
      <w:r w:rsidRPr="00562064">
        <w:rPr>
          <w:rFonts w:ascii="Arial" w:eastAsia="Times New Roman" w:hAnsi="Arial" w:cs="Arial"/>
          <w:color w:val="000000" w:themeColor="text1"/>
          <w:lang w:eastAsia="es-CO"/>
        </w:rPr>
        <w:lastRenderedPageBreak/>
        <w:t>financieros, administrativos y logísticos para garantizar la sostenibilidad de las CRCI. Cada Comité Ejecutivo definirá el mecanismo para la administración de dichos recursos. </w:t>
      </w:r>
    </w:p>
    <w:p w14:paraId="1CB772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63C4B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2.1.8.3.13. Alcance de la Agenda Departamental de Competitividad e Innovación (ADCI). Las CRCI definirán los programas, proyectos e iniciativas prioritarios para mejorar las condiciones de competitividad a nivel departamental por medio de las Agendas Departamentales de Competitividad e Innovación, las cuales tendrán como insumo y estarán alineadas con el Plan Nacional de Desarrollo, la Agenda Nacional de Competitividad e Innovación, Planes de Desarrollo Territoriales, Planes y Acuerdos Estratégicos Departamentales en Ciencia, Tecnología e Innovación (PAED), Plan Estratégico de Ciencia, Tecnología e Innovación Agropecuaria (Pectia), y los demás planes estratégicos de los sistemas, subsistemas o instancias departamentales o subregionales con actividades en competitividad e innovación.  </w:t>
      </w:r>
    </w:p>
    <w:p w14:paraId="0233306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el proceso de gestión e implementación de la ADCI deben participar actores públicos, privados y academia, a través de las instancias bajo la coordinación de la CRCI.  </w:t>
      </w:r>
    </w:p>
    <w:p w14:paraId="00D50B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Los programas, proyectos e iniciativas priorizados de las ADCI podrán ser presentados a convocatorias y otras fuentes de financiación del Gobierno nacional y las entidades territoriales, como los recursos orientados al desarrollo empresarial y los fondos del Sistema General de Regalías. </w:t>
      </w:r>
    </w:p>
    <w:p w14:paraId="76A006E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79" w:name="ver_30201284"/>
      <w:bookmarkEnd w:id="279"/>
    </w:p>
    <w:p w14:paraId="7436AF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2.1.8.3.14. Coordinación nacional de las CRCI. El Ministerio de Comercio, Industria y Turismo ejercerá la coordinación y seguimiento al conjunto de las CRCI, con el apoyo de Confecámaras como representante del sector privado.  </w:t>
      </w:r>
    </w:p>
    <w:p w14:paraId="70FE6A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Ministerio de Comercio, Industria y Turismo informará periódicamente al Comité de Regionalización del Sistema Nacional de Competitividad e Innovación sobre el avance de las actividades desarrolladas por las Comisiones Regionales de Competitividad e Innovación. </w:t>
      </w:r>
    </w:p>
    <w:p w14:paraId="6B3BEA3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124B27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80" w:name="ver_30201285"/>
      <w:bookmarkEnd w:id="280"/>
    </w:p>
    <w:p w14:paraId="67E006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2.1.8.3.15. Planes de trabajo de las CRCI. Con el acompañamiento y la asistencia técnica del Ministerio de Comercio, Industria y Turismo y de Confecámaras, las CRCI formularán un plan de trabajo anual en el que se definen las principales líneas de acción para la implementación de la Agenda Departamental de Competitividad e Innovación, así como para el fortalecimiento técnico y del modelo de gobernanza de la respectiva CRCI. </w:t>
      </w:r>
    </w:p>
    <w:p w14:paraId="186A2D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35B9E8E"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281" w:name="ver_30201286"/>
      <w:bookmarkEnd w:id="281"/>
      <w:r w:rsidRPr="00562064">
        <w:rPr>
          <w:rFonts w:ascii="Arial" w:eastAsia="Times New Roman" w:hAnsi="Arial" w:cs="Arial"/>
          <w:b/>
          <w:bCs/>
          <w:color w:val="000000" w:themeColor="text1"/>
          <w:lang w:eastAsia="es-CO"/>
        </w:rPr>
        <w:t>CAPÍTULO 4</w:t>
      </w:r>
    </w:p>
    <w:p w14:paraId="1CDEAEFD"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De la articulación del sistema y otras disposiciones</w:t>
      </w:r>
    </w:p>
    <w:p w14:paraId="25EBEE1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82" w:name="ver_30201287"/>
      <w:bookmarkEnd w:id="282"/>
    </w:p>
    <w:p w14:paraId="6718A098" w14:textId="76BA6A0A" w:rsidR="00E475BF"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2.1.8.4.1. Articulación de las instancias de competitividad e innovación. Los sistemas, subsistemas y demás instancias que se articulan bajo el SNCI alinearán y articularán sus actividades y acciones, para la implementación y cumplimiento de la Agenda Nacional de Competitividad e Innovación y las Agendas Departamentales de Competitividad e Innovación bajo los lineamientos que se definan en el marco del Sistema Nacional de Competitividad e Innovación.  </w:t>
      </w:r>
    </w:p>
    <w:p w14:paraId="6882FFF6" w14:textId="77777777" w:rsidR="0051031E" w:rsidRPr="00562064" w:rsidRDefault="0051031E" w:rsidP="00143180">
      <w:pPr>
        <w:spacing w:after="0" w:line="254" w:lineRule="atLeast"/>
        <w:jc w:val="both"/>
        <w:rPr>
          <w:rFonts w:ascii="Arial" w:eastAsia="Times New Roman" w:hAnsi="Arial" w:cs="Arial"/>
          <w:color w:val="000000" w:themeColor="text1"/>
          <w:lang w:eastAsia="es-CO"/>
        </w:rPr>
      </w:pPr>
    </w:p>
    <w:p w14:paraId="36D5DD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 Consejería Presidencial para la Competitividad y la Gestión Público- Privada, en su calidad de Secretaría Técnica de la Comisión Nacional de Competitividad e Innovación, asistirá en calidad de invitado permanente a los consejos, comisiones, comités y demás instancias existentes de los sistemas o subsistemas que hacen parte o se articulan bajo el Sistema Nacional de Competitividad e Innovación. </w:t>
      </w:r>
    </w:p>
    <w:p w14:paraId="45A63C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66A665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83" w:name="ver_30201288"/>
      <w:bookmarkEnd w:id="283"/>
    </w:p>
    <w:p w14:paraId="5AE553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2.1.8.4.2. Articulación de la oferta de competitividad e innovación. Con la finalidad de optimizar la oferta institucional de los instrumentos de política en materia de competitividad e innovación, las entidades del Gobierno nacional, previo a la formulación y desarrollo de los instrumentos de política, proyectos, programas, servicios y acciones encaminados a temas de competitividad e innovación, deberán acoger los lineamientos generales, procedimientos, criterios técnicos y herramientas que se definan para estos efectos por parte del Comité Ejecutivo del SNCI. </w:t>
      </w:r>
    </w:p>
    <w:p w14:paraId="2AD08A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FF0AD4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84" w:name="ver_30201289"/>
      <w:bookmarkEnd w:id="284"/>
    </w:p>
    <w:p w14:paraId="0F33BDA2" w14:textId="04A263CD" w:rsidR="00E475BF"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2.1.8.4.3. Trazabilidad de la oferta de instrumentos de competitividad e innovación. Las entidades del Gobierno nacional que desarrollen instrumentos de política y programas en materia de competitividad e innovación, publicarán la información de dichos instrumentos y recibirán las postulaciones de los posibles beneficiarios por medio de la ventanilla única www.innovamos.gov.co, administrada por el Departamento Nacional de Planeación.  </w:t>
      </w:r>
    </w:p>
    <w:p w14:paraId="64DB645F" w14:textId="77777777" w:rsidR="0051031E" w:rsidRPr="00562064" w:rsidRDefault="0051031E" w:rsidP="00143180">
      <w:pPr>
        <w:spacing w:after="0" w:line="254" w:lineRule="atLeast"/>
        <w:jc w:val="both"/>
        <w:rPr>
          <w:rFonts w:ascii="Arial" w:eastAsia="Times New Roman" w:hAnsi="Arial" w:cs="Arial"/>
          <w:color w:val="000000" w:themeColor="text1"/>
          <w:lang w:eastAsia="es-CO"/>
        </w:rPr>
      </w:pPr>
    </w:p>
    <w:p w14:paraId="4EFE9E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el portal www.innovamos.gov.co se sistematizará y consolidará la información sobre diseño, publicación, implementación, seguimiento y monitoreo de los instrumentos de política. Lo anterior, sin desconocer que la operación de los instrumentos será realizada por cada una de las entidades responsables de las intervenciones.  </w:t>
      </w:r>
    </w:p>
    <w:p w14:paraId="191787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implementación de dicho portal será gradual y progresiva de conformidad con los términos y condiciones establecidos por parte del Departamento Nacional de Planeación, en cumplimiento de los lineamientos previstos por el Ministerio de Tecnología, Información y Comunicaciones para estos fines. </w:t>
      </w:r>
    </w:p>
    <w:p w14:paraId="36AFBEB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4D9720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85" w:name="ver_30201290"/>
      <w:bookmarkEnd w:id="285"/>
    </w:p>
    <w:p w14:paraId="04F862A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2.1.8.4.4. Articulación con otras entidades del Gobierno nacional. La Consejería Presidencial para la Competitividad y la Gestión Público-Privada y el Ministerio de Comercio, Industria y Turismo promoverán, en el marco del Comité de Regionalización, la articulación con otras entidades de la Rama Ejecutiva para la implementación de los programas, proyectos e iniciativas de las Agendas Departamentales de Competitividad e Innovación. </w:t>
      </w:r>
    </w:p>
    <w:p w14:paraId="47EDF1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B55CEFD"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286" w:name="ver_30052422"/>
      <w:bookmarkEnd w:id="286"/>
      <w:r w:rsidRPr="00562064">
        <w:rPr>
          <w:rFonts w:ascii="Arial" w:eastAsia="Times New Roman" w:hAnsi="Arial" w:cs="Arial"/>
          <w:b/>
          <w:bCs/>
          <w:color w:val="000000" w:themeColor="text1"/>
          <w:lang w:eastAsia="es-CO"/>
        </w:rPr>
        <w:t>PARTE 2</w:t>
      </w:r>
    </w:p>
    <w:p w14:paraId="55F2A2BD"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REGLAMENTARIAS ALUSIVAS AL FUNCIONAMIENTO DEL DEPARTAMENTO ADMINISTRATIVO DE LA PRESIDENCIA DE LA REPÚBLICA</w:t>
      </w:r>
    </w:p>
    <w:p w14:paraId="585A1CF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87" w:name="ver_30052423"/>
      <w:bookmarkEnd w:id="287"/>
    </w:p>
    <w:p w14:paraId="141687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 La Parte 2 del Libro 2 del presente Decreto Reglamentario Único compila las disposiciones reglamentarias expedidas por el señor Presidente de la República en ejercicio del numeral 11 de artículo 189 de la Constitución Política, que reglamentan el funcionamiento del Departamento Administrativo de la Presidencia de la República, según los temas y ámbitos de aplicación señalados en cada caso. </w:t>
      </w:r>
    </w:p>
    <w:p w14:paraId="3FA98097" w14:textId="77777777" w:rsidR="0051031E" w:rsidRDefault="0051031E" w:rsidP="00187561">
      <w:pPr>
        <w:spacing w:after="0" w:line="293" w:lineRule="atLeast"/>
        <w:jc w:val="center"/>
        <w:rPr>
          <w:rFonts w:ascii="Arial" w:eastAsia="Times New Roman" w:hAnsi="Arial" w:cs="Arial"/>
          <w:b/>
          <w:bCs/>
          <w:color w:val="000000" w:themeColor="text1"/>
          <w:lang w:eastAsia="es-CO"/>
        </w:rPr>
      </w:pPr>
      <w:bookmarkStart w:id="288" w:name="ver_30052424"/>
      <w:bookmarkEnd w:id="288"/>
    </w:p>
    <w:p w14:paraId="3F543E93" w14:textId="4FA6737E"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Título 1</w:t>
      </w:r>
    </w:p>
    <w:p w14:paraId="1DF158EF"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Régimen específico de carrera del Departamento Administrativo de la Presidencia de la República</w:t>
      </w:r>
    </w:p>
    <w:p w14:paraId="4EED7FE5"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1</w:t>
      </w:r>
    </w:p>
    <w:p w14:paraId="08506171"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lastRenderedPageBreak/>
        <w:t>Provisión de los Empleos de Carrera</w:t>
      </w:r>
    </w:p>
    <w:p w14:paraId="0EB6D91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89" w:name="ver_30052425"/>
      <w:bookmarkEnd w:id="289"/>
    </w:p>
    <w:p w14:paraId="17B2DA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2.2.1.1.1. Orden para la provisión de empleos. La provisión definitiva de los empleos de carrera del Departamento Administrativo de la Presidencia de la República, DAPRE, se efectuará teniendo en cuenta el siguiente orden: </w:t>
      </w:r>
    </w:p>
    <w:p w14:paraId="4382264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031F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Con la persona que al momento de su retiro ejercía un empleo en el DAPRE y cuyo reintegro haya sido ordenado por autoridad judicial. </w:t>
      </w:r>
    </w:p>
    <w:p w14:paraId="59E7C3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378F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Con la persona con derechos de carrera administrativa a quien se le haya suprimido el cargo de carrera que desempeñaba en el DAPRE y que hubiere optado por el derecho a ser reincorporada a empleo igual o equivalente. </w:t>
      </w:r>
    </w:p>
    <w:p w14:paraId="0D79DF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6D7E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Con la persona que al momento en que deba producirse el nombramiento ocupe el primer puesto en la lista de elegibles del Sistema Específico de Carrera del DAPRE vigente para el cargo. </w:t>
      </w:r>
    </w:p>
    <w:p w14:paraId="5EAD5D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F8C8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 agotadas las anteriores opciones no fuere posible la provisión del empleo, deberá realizarse el proceso de selección. </w:t>
      </w:r>
    </w:p>
    <w:p w14:paraId="52207A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E1DD9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90" w:name="ver_30052426"/>
      <w:bookmarkEnd w:id="290"/>
    </w:p>
    <w:p w14:paraId="63FE97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2.2.1.1.2. Provisión temporal. Mientras se realiza el proceso de selección, los cargos de carrera podrán proveerse temporalmente mediante encargo efectuado a empleados con derechos de carrera que acrediten los requisitos para su ejercicio, posean las competencias laborales requeridas, no hayan sido sancionados disciplinariamente en el año inmediatamente anterior y la última evaluación del desempeño laboral sea sobresaliente. </w:t>
      </w:r>
    </w:p>
    <w:p w14:paraId="390661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4DC92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caso de que no sea posible realizar el encargo por no existir empleado con las condiciones antes señaladas, los empleos podrán proveerse mediante nombramiento provisional hasta por un término de un (1) año, por medio de acto administrativo proferido por el nominador, sin más requisito que la certificación que al respecto expida el Jefe de Recursos Humanos o quien haga sus veces. </w:t>
      </w:r>
    </w:p>
    <w:p w14:paraId="5CDF46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9E55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nombramiento provisional deberá recaer en personas que no ostenten derechos de carrera en el Sistema Específico del DAPRE, que reúnan los requisitos de estudio y experiencia y las competencias laborales exigidos para el desempeño de los respectivos empleos y que obtengan resultado favorable en el estudio de seguridad que deberá realizar la Entidad. </w:t>
      </w:r>
    </w:p>
    <w:p w14:paraId="613BA5F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919A06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91" w:name="ver_30052427"/>
      <w:bookmarkEnd w:id="291"/>
    </w:p>
    <w:p w14:paraId="372A6A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2.2.1.1.3. Órganos encargados del proceso. Los procesos de selección serán realizados por la Comisión Nacional del Servicio Civil, a través del Instituto Colombiano para la Evaluación de la Educación (Icfes), o de las universidades públicas o privadas y demás Instituciones de Educación Superior acreditadas ante aquella, para lo cual se suscribirán los respectivos convenios o contratos. </w:t>
      </w:r>
    </w:p>
    <w:p w14:paraId="66B748F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92" w:name="ver_30052428"/>
      <w:bookmarkEnd w:id="292"/>
    </w:p>
    <w:p w14:paraId="2076FB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2.2.1.1.4. Convocatoria. La Comisión Nacional del Servicio Civil convocará a los concursos con base en las funciones, los requisitos y las competencias determinados por la Entidad de acuerdo con el correspondiente manual específico. </w:t>
      </w:r>
    </w:p>
    <w:p w14:paraId="0F9F34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BDB3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convocatoria deberá contener, como mínimo, la siguiente información: </w:t>
      </w:r>
    </w:p>
    <w:p w14:paraId="2D8ABC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6DB4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Fecha de fijación y número de la misma. </w:t>
      </w:r>
    </w:p>
    <w:p w14:paraId="11BE92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70B5E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Entidad para la cual se realiza el concurso. </w:t>
      </w:r>
    </w:p>
    <w:p w14:paraId="6A46D9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1712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Entidad que realiza el concurso. </w:t>
      </w:r>
    </w:p>
    <w:p w14:paraId="7F1F81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C0EB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Medios de divulgación. </w:t>
      </w:r>
    </w:p>
    <w:p w14:paraId="6226D8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7431F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Identificación del empleo: denominación, código, grado salarial, asignación básica, número de empleos por proveer, ubicación, funciones, requisitos de estudio y experiencia y competencias laborales. </w:t>
      </w:r>
    </w:p>
    <w:p w14:paraId="35218A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D9AB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Sobre las inscripciones: fecha, hora y lugar de recepción y fecha de resultados. </w:t>
      </w:r>
    </w:p>
    <w:p w14:paraId="538ED4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98150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Sobre las pruebas a aplicar: clase; carácter eliminatorio o clasificatorio; puntaje mínimo aprobatorio para las eliminatorias; valor de cada prueba dentro del concurso; fecha, hora y lugar de aplicación. </w:t>
      </w:r>
    </w:p>
    <w:p w14:paraId="60EAE7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B3EB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Puntaje mínimo total aprobatorio del concurso, el cual siempre será el 70%. </w:t>
      </w:r>
    </w:p>
    <w:p w14:paraId="476F25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F740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Duración del período de prueba. </w:t>
      </w:r>
    </w:p>
    <w:p w14:paraId="617A470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02D6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Indicación del organismo competente para resolver las reclamaciones que se presenten en desarrollo del proceso; y </w:t>
      </w:r>
    </w:p>
    <w:p w14:paraId="26F507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1332F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Firma autorizada de la Comisión Nacional del Servicio Civil. </w:t>
      </w:r>
    </w:p>
    <w:p w14:paraId="43C012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9FAE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Además de los términos establecidos en este decreto para cada una de las etapas de los procesos de selección, en la convocatoria deberán preverse los términos para las reclamaciones. Su trámite y decisión se efectuarán según lo señalado en el Decreto-ley 760 de 2005 o en las normas que lo modifiquen o sustituyan. </w:t>
      </w:r>
    </w:p>
    <w:p w14:paraId="1B0883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4DEAD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93" w:name="ver_30052429"/>
      <w:bookmarkEnd w:id="293"/>
    </w:p>
    <w:p w14:paraId="6F36ACF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2.2.1.1.5. Divulgación. La divulgación de la convocatoria será responsabilidad de la Comisión Nacional del Servicio Civil. Para el efecto utilizará, como mínimo, uno de los siguientes medios: </w:t>
      </w:r>
    </w:p>
    <w:p w14:paraId="1F976E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6E8A1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Prensa de amplia circulación nacional, a través de dos avisos en días diferentes. </w:t>
      </w:r>
    </w:p>
    <w:p w14:paraId="1EB538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94E08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Radio, en emisoras oficialmente autorizadas y con cubrimiento nacional al menos tres (3) veces diarias en horas hábiles durante dos (2) días. </w:t>
      </w:r>
    </w:p>
    <w:p w14:paraId="31A00A9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C346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En los avisos de prensa y de radio se dará la información básica del concurso y se informará a los aspirantes los sitios en donde se fijarán o publicarán las convocatorias y la entidad que realizará el proceso de selección. </w:t>
      </w:r>
    </w:p>
    <w:p w14:paraId="557A61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0B21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El aviso de convocatoria, en su totalidad, se publicará con una antelación no inferior a cinco (5) días a la fecha de iniciación de las inscripciones en las páginas web de la Comisión Nacional del Servicio Civil, de la entidad contratada para la realización del concurso y del DAPRE, así como en un lugar de fácil acceso al público de esta última entidad. En estos mismos medios se publicarán las modificaciones que se efectúen a la convocatoria. </w:t>
      </w:r>
    </w:p>
    <w:p w14:paraId="14BE997A" w14:textId="4B790EEA"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294" w:name="ver_30052430"/>
      <w:bookmarkEnd w:id="294"/>
    </w:p>
    <w:p w14:paraId="6F12ABF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2.2.1.1.6. Formulario único de inscripción. Las inscripciones se efectuarán ante la entidad contratada para realizar el concurso, para lo cual se utilizará el formulario único de inscripción elaborado por la Comisión Nacional del Servicio Civil y disponible en las páginas web de esta, del Departamento Administrativo de la Función Pública y del DAPRE. </w:t>
      </w:r>
    </w:p>
    <w:p w14:paraId="3A5D24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5AFF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término para las inscripciones no podrá ser inferior a cinco (5) días, durante las horas laborales señaladas en la convocatoria. </w:t>
      </w:r>
    </w:p>
    <w:p w14:paraId="1806091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9666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inscripción podrá hacerse personalmente por el aspirante o por quien fuere encargado por este, por correo electrónico u ordinario o por fax. En todo caso, la recepción del formulario y de los documentos anexos deberá efectuarse durante el plazo fijado. </w:t>
      </w:r>
    </w:p>
    <w:p w14:paraId="36D701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523B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documentos que respalden el cumplimiento de los requisitos de estudios y de experiencia se allegarán en la etapa del concurso que se determine en la convocatoria, en todo caso antes de la elaboración de la lista de elegibles. </w:t>
      </w:r>
    </w:p>
    <w:p w14:paraId="7AC578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9E8D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comprobación del incumplimiento de los requisitos será causal de no admisión o de retiro del aspirante del proceso de selección aun en el caso de que este se hubiere iniciado. </w:t>
      </w:r>
    </w:p>
    <w:p w14:paraId="7B03695E" w14:textId="460A39A9"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295" w:name="ver_30052431"/>
      <w:bookmarkEnd w:id="295"/>
    </w:p>
    <w:p w14:paraId="4CEE2C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2.2.1.1.7. Concurso sin inscritos. Cuando en los concursos no se inscriban candidatos o ninguno de los inscritos acredite los requisitos, deberá ampliarse el plazo de inscripciones por un término igual al inicialmente previsto y el correspondiente aviso deberá publicarse de acuerdo con lo establecido en el presente Decreto. Si agotado el procedimiento anterior no se inscribiere ningún aspirante, el concurso se declarará desierto por la Comisión Nacional del Servicio Civil, conforme lo señala el Artículo 2.2.1.1.16 del presente Título. </w:t>
      </w:r>
    </w:p>
    <w:p w14:paraId="682037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DD1B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69314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96" w:name="ver_30052432"/>
      <w:bookmarkEnd w:id="296"/>
    </w:p>
    <w:p w14:paraId="5193F1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2.2.1.1.8. Lista de admitidos. Con base en el formulario de inscripción y en la documentación aportada, se elaborará la lista de admitidos y no admitidos, indicando los motivos en este último caso. </w:t>
      </w:r>
    </w:p>
    <w:p w14:paraId="339D94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5DB26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lista deberá ser publicada en la página web de la entidad que realiza el concurso y en lugar visible de acceso a ella y de concurrencia pública, en la fecha prevista para el efecto en la convocatoria y permanecerá allí hasta la fecha de aplicación de la primera prueba. </w:t>
      </w:r>
    </w:p>
    <w:p w14:paraId="0A687C8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97" w:name="ver_30052433"/>
      <w:bookmarkEnd w:id="297"/>
    </w:p>
    <w:p w14:paraId="657D39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2.2.1.1.9. Reclamaciones. Las reclamaciones que formulen los aspirantes no admitidos al concurso serán resueltas por la Comisión Nacional del Servicio Civil o por la entidad delegada, según lo señale la convocatoria, en los términos previstos en el Decreto-ley 760 de 2005 o en las normas que lo modifiquen o sustituyan. </w:t>
      </w:r>
    </w:p>
    <w:p w14:paraId="10251E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C673E1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2.2.1.1.10. Objetividad e imparcialidad. En los procesos de selección se utilizarán medios técnicos que respondan a criterios de objetividad e imparcialidad con parámetros de calificación previamente determinados por la entidad contratada para la realización de los mismos. </w:t>
      </w:r>
    </w:p>
    <w:p w14:paraId="0FC6A0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0156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los concursos se aplicarán mínimo dos pruebas, una de las cuales será escrita o de ejecución, dependiendo de la naturaleza de las funciones de los empleos a proveer. </w:t>
      </w:r>
    </w:p>
    <w:p w14:paraId="184F695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989446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Las pruebas aplicadas o a aplicarse en los procesos de selección tienen carácter reservado y sólo serán de conocimiento de los responsables del concurso y de quienes deban resolver las reclamaciones que sobre ellas se formulen. </w:t>
      </w:r>
    </w:p>
    <w:p w14:paraId="621167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0E4180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98" w:name="ver_30052435"/>
      <w:bookmarkEnd w:id="298"/>
    </w:p>
    <w:p w14:paraId="697B18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2.2.1.1.11. Entrevistas. Cuando en un concurso se programe entrevista, esta tendrá carácter clasificatorio y no podrá tener un valor superior al quince por ciento (15%) respecto del puntaje máximo total del concurso. El jurado calificador, designado por la entidad que realice el concurso, será integrado por tres (3) personas, como mínimo, cuyos nombres deberán darse a conocer al menos con tres (3) días de antelación a su realización. </w:t>
      </w:r>
    </w:p>
    <w:p w14:paraId="327993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D23F6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entrevista deberá grabarse en medio magnetofónico, que se conservará en el archivo del concurso por un término no inferior a seis (6) meses, contado a partir de la fecha de expedición de la lista de elegibles. El jurado deberá dejar constancia escrita de las razones por las cuales se aprueba o desaprueba al entrevistado. </w:t>
      </w:r>
    </w:p>
    <w:p w14:paraId="67C56F3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65020A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299" w:name="ver_30052436"/>
      <w:bookmarkEnd w:id="299"/>
    </w:p>
    <w:p w14:paraId="0B021C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2.2.1.1.12. Empleos provistos en provisionalidad con anterioridad al concurso. En los concursos que se realicen para proveer los empleos que se encontraban provistos mediante nombramiento provisional a la fecha de vigencia del Decreto-ley 780 de 2005, la prueba de análisis de antecedentes será obligatoria y se valorará en igualdad de condiciones para todos los participantes, de conformidad con el instrumento que para el efecto expida la Comisión Nacional del Servicio Civil. </w:t>
      </w:r>
    </w:p>
    <w:p w14:paraId="6B0C7F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09CF4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2.2.1.1.13. Resultados de las pruebas. Los resultados de cada prueba se consignarán en informes firmados por el responsable de ejecutar el proceso de selección y por el respectivo calificador, y serán publicados en la medida en que se vayan produciendo, en las páginas web y en carteleras visibles al público del DAPRE y de la entidad que realiza el proceso de selección. </w:t>
      </w:r>
    </w:p>
    <w:p w14:paraId="46D50757" w14:textId="1152E203"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00" w:name="ver_30052438"/>
      <w:bookmarkEnd w:id="300"/>
    </w:p>
    <w:p w14:paraId="758770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2.2.1.1.14. Reclamaciones. Las reclamaciones de los participantes por inconformidad con los puntajes obtenidos en las pruebas serán tramitadas y resueltas por la Comisión Nacional del Servicio Civil o por la entidad delegada, según sea el caso, de conformidad con el Decreto-ley 760 de 2005 y de las normas que lo modifiquen o sustituyan. </w:t>
      </w:r>
    </w:p>
    <w:p w14:paraId="67E6FA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BEF885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01" w:name="ver_30052439"/>
      <w:bookmarkEnd w:id="301"/>
    </w:p>
    <w:p w14:paraId="4F4F1B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2.2.1.1.15. Informe final del proceso. La entidad que realice el proceso de selección presentará un informe final sobre su desarrollo a la Comisión Nacional del Servicio Civil en los términos que esta señale, con copia para el DAPRE. </w:t>
      </w:r>
    </w:p>
    <w:p w14:paraId="28D13F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76CF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2.2.1.1.16. Declaratoria de desierta. Los concursos deberán ser declarados desiertos por la Comisión Nacional del Servicio Civil, mediante resolución motivada, cuando no se hubiere inscrito ningún aspirante o ninguno hubiere acreditado los requisitos, cuando ningún concursante hubiere alcanzado el puntaje total aprobatorio del 70%. En estos se convocará de nuevo dentro de los dos (2) meses siguientes, de no darse ninguna de las situaciones previstas en el artículo 1° de este decreto. </w:t>
      </w:r>
    </w:p>
    <w:p w14:paraId="7507FE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66BA6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02" w:name="ver_30052441"/>
      <w:bookmarkEnd w:id="302"/>
    </w:p>
    <w:p w14:paraId="110A62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2.2.1.1.17. Lista de elegibles. Dentro de un término no superior a cinco (5) meses contado a partir de la fecha de publicación de la convocatoria, con base en los resultados del concurso y en riguroso orden de mérito, la Comisión Nacional del Servicio Civil o la entidad que adelantó el concurso de acuerdo con la respectiva delegación, elaborará la lista de elegibles. Esta deberá ser divulgada a través de las páginas web de la citada Comisión, de la entidad que realizó el concurso y del DAPRE y publicada en sitios de fácil acceso al público de las dos últimas entidades. </w:t>
      </w:r>
    </w:p>
    <w:p w14:paraId="566BFB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79B36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Quienes obtengan puntajes totales aprobatorios iguales tendrán el mismo puesto en la lista de elegibles. Si esta situación se presenta en el primer lugar, el nombramiento recaerá en la persona que se encuentre inscrita en el Registro Público de Carrera del DAPRE; de existir el empate entre dos empleados de carrera, este se dirimirá con quien se encuentre en situación de discapacidad. Cuando el empate se presente entre dos personas sin derechos de carrera, se preferirá al discapacitado. </w:t>
      </w:r>
    </w:p>
    <w:p w14:paraId="6888F1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8A4B3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 no ser posible aplicar estos criterios para efectuar el nombramiento, este recaerá en quien demuestre haber cumplido con el deber de votar en las elecciones inmediatamente anteriores, en los términos señalados en el artículo 2° numeral 3 de la Ley 403 de 1997. De persistir el empate, decidirá el nominador. </w:t>
      </w:r>
    </w:p>
    <w:p w14:paraId="24CF6C2D" w14:textId="33B549DC"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03" w:name="ver_30052442"/>
      <w:bookmarkEnd w:id="303"/>
    </w:p>
    <w:p w14:paraId="4475CE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2.2.1.1.18. Vigencia de la lista de elegibles. La lista de elegibles tendrá vigencia de dos (2) años y podrá prorrogarse hasta por un término igual por la Comisión Nacional del Servicio Civil a solicitud del DAPRE. </w:t>
      </w:r>
    </w:p>
    <w:p w14:paraId="767CB11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A1BC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Durante este término podrá ser utilizada para proveer vacantes en el mismo cargo o en otros iguales, similares o de inferior jerarquía, siempre y cuando en el concurso se hubieren evaluado las competencias laborales requeridas para el ejercicio de dichos empleos y deberá recomponerse cada vez que sea utilizada o excluido alguno de los integrantes. </w:t>
      </w:r>
    </w:p>
    <w:p w14:paraId="0C85127A" w14:textId="6CD0ADD4"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82285A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04" w:name="ver_30052450"/>
      <w:bookmarkEnd w:id="304"/>
    </w:p>
    <w:p w14:paraId="0F6DF5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2.2.1.2.5. Evaluación de competencias laborales. De conformidad con lo establecido en el Decreto 2539 de 2005, la evaluación de las competencias laborales hará parte de la valoración del desempeño laboral de los empleados de carrera y en período de prueba. Dicha valoración tendrá un valor del treinta por ciento (30%) de la calificación definitiva. </w:t>
      </w:r>
    </w:p>
    <w:p w14:paraId="085E62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EC98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calificación satisfactoria se establecerá, como mínimo, en el 70% de la escala utilizada en el instrumento de evaluación que se adopte. </w:t>
      </w:r>
    </w:p>
    <w:p w14:paraId="00BA58DD" w14:textId="1CA99FA5"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05" w:name="ver_30052443"/>
      <w:bookmarkEnd w:id="305"/>
    </w:p>
    <w:p w14:paraId="07EFC1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2.2.1.1.19. Periodo de prueba. El respectivo nombramiento en periodo de prueba deberá efectuarse dentro de los dos meses siguientes al envío de la lista por parte de la Comisión Nacional del Servicio Civil, previa la realización del estudio de seguridad al cual se refiere el numeral 11.6 del artículo 11 del Decreto-ley 780 de 2005. </w:t>
      </w:r>
    </w:p>
    <w:p w14:paraId="13D73E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773B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Dicho estudio deberá efectuarse por la autoridad o dependencia que determine el Director del DAPRE a quien ocupe el primer puesto en la lista de elegibles; de resultar desfavorable será causal para que aquel no pueda ser nombrado y sea excluido de la lista de elegibles. Estas decisiones se adoptarán a través de acto administrativo motivado previo el cumplimiento de los requisitos exigidos por el Código de Procedimiento Administrativo y de lo Contencioso Administrativo. </w:t>
      </w:r>
    </w:p>
    <w:p w14:paraId="503F59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56AD955" w14:textId="6CFF9ED5"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transitorio. Los nombramientos en período de prueba para proveer los empleos a los cuales se refiere el artículo 32 del Decreto-ley 780 de 2005 se efectuarán en un plazo no mayor a un año contado a partir de la fecha en que el DAPRE reciba las listas de elegibles, previa la realización de los estudios de seguridad respectivos.   </w:t>
      </w:r>
    </w:p>
    <w:p w14:paraId="0F20644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06" w:name="ver_30052444"/>
      <w:bookmarkEnd w:id="306"/>
    </w:p>
    <w:p w14:paraId="68B4B0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2.2.1.1.20. Competencia para resolver reclamaciones. Las decisiones en relación con las reclamaciones que se formulen por las presuntas irregularidades que se presenten en desarrollo de los procesos de selección que puedan dar lugar a dejarlos parcial o totalmente sin efectos serán de competencia de la Comisión Nacional del Servicio Civil en los términos previstos en el Decreto-ley 760 de 2005 o en las normas que lo modifiquen o sustituyan. </w:t>
      </w:r>
    </w:p>
    <w:p w14:paraId="76DD052A" w14:textId="64B6F632" w:rsidR="00E475BF"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0FD818" w14:textId="2CE1FB31" w:rsidR="0051031E" w:rsidRDefault="0051031E" w:rsidP="00143180">
      <w:pPr>
        <w:spacing w:after="0" w:line="254" w:lineRule="atLeast"/>
        <w:jc w:val="both"/>
        <w:rPr>
          <w:rFonts w:ascii="Arial" w:eastAsia="Times New Roman" w:hAnsi="Arial" w:cs="Arial"/>
          <w:color w:val="000000" w:themeColor="text1"/>
          <w:lang w:eastAsia="es-CO"/>
        </w:rPr>
      </w:pPr>
    </w:p>
    <w:p w14:paraId="746E64E8" w14:textId="4A221DE1" w:rsidR="0051031E" w:rsidRDefault="0051031E" w:rsidP="00143180">
      <w:pPr>
        <w:spacing w:after="0" w:line="254" w:lineRule="atLeast"/>
        <w:jc w:val="both"/>
        <w:rPr>
          <w:rFonts w:ascii="Arial" w:eastAsia="Times New Roman" w:hAnsi="Arial" w:cs="Arial"/>
          <w:color w:val="000000" w:themeColor="text1"/>
          <w:lang w:eastAsia="es-CO"/>
        </w:rPr>
      </w:pPr>
    </w:p>
    <w:p w14:paraId="19E1157C" w14:textId="6B01FA3B" w:rsidR="0051031E" w:rsidRDefault="0051031E" w:rsidP="00143180">
      <w:pPr>
        <w:spacing w:after="0" w:line="254" w:lineRule="atLeast"/>
        <w:jc w:val="both"/>
        <w:rPr>
          <w:rFonts w:ascii="Arial" w:eastAsia="Times New Roman" w:hAnsi="Arial" w:cs="Arial"/>
          <w:color w:val="000000" w:themeColor="text1"/>
          <w:lang w:eastAsia="es-CO"/>
        </w:rPr>
      </w:pPr>
    </w:p>
    <w:p w14:paraId="45E98E83" w14:textId="2C0D12C7" w:rsidR="0051031E" w:rsidRDefault="0051031E" w:rsidP="00143180">
      <w:pPr>
        <w:spacing w:after="0" w:line="254" w:lineRule="atLeast"/>
        <w:jc w:val="both"/>
        <w:rPr>
          <w:rFonts w:ascii="Arial" w:eastAsia="Times New Roman" w:hAnsi="Arial" w:cs="Arial"/>
          <w:color w:val="000000" w:themeColor="text1"/>
          <w:lang w:eastAsia="es-CO"/>
        </w:rPr>
      </w:pPr>
    </w:p>
    <w:p w14:paraId="0C96384F" w14:textId="77777777" w:rsidR="0051031E" w:rsidRPr="00562064" w:rsidRDefault="0051031E" w:rsidP="00143180">
      <w:pPr>
        <w:spacing w:after="0" w:line="254" w:lineRule="atLeast"/>
        <w:jc w:val="both"/>
        <w:rPr>
          <w:rFonts w:ascii="Arial" w:eastAsia="Times New Roman" w:hAnsi="Arial" w:cs="Arial"/>
          <w:color w:val="000000" w:themeColor="text1"/>
          <w:lang w:eastAsia="es-CO"/>
        </w:rPr>
      </w:pPr>
    </w:p>
    <w:p w14:paraId="07EFFE77"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307" w:name="ver_30052445"/>
      <w:bookmarkEnd w:id="307"/>
      <w:r w:rsidRPr="00562064">
        <w:rPr>
          <w:rFonts w:ascii="Arial" w:eastAsia="Times New Roman" w:hAnsi="Arial" w:cs="Arial"/>
          <w:b/>
          <w:bCs/>
          <w:color w:val="000000" w:themeColor="text1"/>
          <w:lang w:eastAsia="es-CO"/>
        </w:rPr>
        <w:t>Capítulo 2</w:t>
      </w:r>
    </w:p>
    <w:p w14:paraId="1D01CE7C"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Valoración del desempeño laboral</w:t>
      </w:r>
    </w:p>
    <w:p w14:paraId="695B27D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08" w:name="ver_30052446"/>
      <w:bookmarkEnd w:id="308"/>
    </w:p>
    <w:p w14:paraId="1E365D5D" w14:textId="4FCC633E"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2.2.1.2.1. Finalidad de la valoración. La valoración del desempeño laboral es un proceso estratégico dentro de la gestión integral del talento humano, orientado al conocimiento objetivo de los logros, aportes, competencias, potencialidades, limitaciones y debilidades de los empleados de carrera, con el objeto de realizar las acciones que fueren necesarias para favorecer la efectividad organizacional y el desarrollo personal y profesional del empleado, así como para determinar la permanencia del empleado en el servicio. </w:t>
      </w:r>
    </w:p>
    <w:p w14:paraId="26A875D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09" w:name="ver_30052447"/>
      <w:bookmarkEnd w:id="309"/>
    </w:p>
    <w:p w14:paraId="27BE077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2.2.1.2.2. Características de la valoración de desempeño. La valoración del desempeño laboral deberá ser: </w:t>
      </w:r>
    </w:p>
    <w:p w14:paraId="4030F6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6CCAD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Objetiva, imparcial y fundada en principios de equidad. </w:t>
      </w:r>
    </w:p>
    <w:p w14:paraId="35AF55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74D7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Referida a hechos concretos relacionados con los resultados obtenidos y a condiciones demostradas por el empleado durante el lapso que abarca la evaluación, apreciados dentro de las circunstancias en que desempeña sus funciones. </w:t>
      </w:r>
    </w:p>
    <w:p w14:paraId="776B1E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8032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Desarrollada mediante una estrategia que permita la interacción entre evaluador y evaluado. </w:t>
      </w:r>
    </w:p>
    <w:p w14:paraId="480D48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AA36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estos efectos el DAPRE desarrollará un marco conceptual integrado por los aspectos normativos, técnicos y organizacionales de la valoración del desempeño; un instrumento de evaluación válido y confiable; y un instructivo orientador que garantice la adecuada aplicación del proceso evaluativo. </w:t>
      </w:r>
    </w:p>
    <w:p w14:paraId="5CEFCC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B796A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10" w:name="ver_30052448"/>
      <w:bookmarkEnd w:id="310"/>
    </w:p>
    <w:p w14:paraId="321C69D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2.2.1.2.3. Componentes del proceso. La valoración del desempeño laboral y la calificación de servicios del empleado de carrera son dos aspectos de un mismo proceso. La primera implica un juicio cualitativo para identificar fortalezas y limitaciones en el desempeño del cargo, con miras a decisiones de desarrollo de personal, mientras que la segunda se concreta en la asignación de un puntaje para la toma de decisiones de carácter administrativo. </w:t>
      </w:r>
    </w:p>
    <w:p w14:paraId="0715A5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4F779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11" w:name="ver_30052449"/>
      <w:bookmarkEnd w:id="311"/>
    </w:p>
    <w:p w14:paraId="2EAC79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2.2.1.2.4. Componentes de la valoración. La valoración del desempeño laboral de los empleados de carrera del DAPRE deberá contemplar: </w:t>
      </w:r>
    </w:p>
    <w:p w14:paraId="29BA6D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090A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El acuerdo de compromisos del evaluado, determinado a partir de los planes anuales de gestión de las respectivas áreas, del plan institucional de la entidad y de sus metas estratégicas. </w:t>
      </w:r>
    </w:p>
    <w:p w14:paraId="25D329B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F3B2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seguimiento periódico del desempeño del empleado por parte del evaluador, para verificar el avance en el cumplimiento de los compromisos adquiridos, así como la calidad de los mismos. </w:t>
      </w:r>
    </w:p>
    <w:p w14:paraId="10208A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B6AFA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La evaluación del desempeño propiamente dicha para valorar el rendimiento del empleado mediante su contratación con los estándares establecidos; y </w:t>
      </w:r>
    </w:p>
    <w:p w14:paraId="62085E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10E1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La retroalimentación al empleado dentro del marco de planes de mejoramiento personal y organizacional. </w:t>
      </w:r>
    </w:p>
    <w:p w14:paraId="07E59C87" w14:textId="6F081764"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12" w:name="ver_30052451"/>
      <w:bookmarkEnd w:id="312"/>
    </w:p>
    <w:p w14:paraId="0EB2A75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2.2.1.2.6. Casos de valoración y calificación obligatorios. El desempeño laboral de los empleados de carrera deberá ser valorado y calificado en los siguientes casos: </w:t>
      </w:r>
    </w:p>
    <w:p w14:paraId="76CBAB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E8B00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Por el período anual comprendido entre el 1º de febrero y el 31 de enero del año siguiente, calificación que deberá producirse dentro de los quince (15) días siguientes al vencimiento de dicho período y será el resultado de la sumatoria de las dos evaluaciones parciales que deben realizarse: una, por el período comprendido entre el 1º de febrero y el 31 de julio; y otra, por el período comprendido entre el 1 de agosto y el 31 de enero del siguiente año. </w:t>
      </w:r>
    </w:p>
    <w:p w14:paraId="35A0E3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348F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Cuando el empleado no haya servido la totalidad del año, se calificarán los servicios correspondientes al período laboral cuando este sea superior a treinta (30) días. Los períodos inferiores a este lapso serán calificados conjuntamente con el período siguiente. </w:t>
      </w:r>
    </w:p>
    <w:p w14:paraId="1382FF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388CC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Cuando así lo ordene, por escrito, el jefe del organismo, en caso de considerar que el desempeño laboral de un empleado es deficiente. Esta calificación no podrá ordenarse antes de transcurridos dos (2) meses de efectuada la última calificación y deberá comprender todo el período no calificado hasta el momento de la orden. De esta calificación harán parte las evaluaciones parciales en caso de haberse producido. Si esta calificación resultare satisfactoria, a partir de la fecha en que se produjo y hasta el 31 de enero del siguiente año, se considerará un nuevo período de evaluación, para lo cual será necesario diligenciar nuevamente los instrumentos que estén siendo utilizados en la entidad. </w:t>
      </w:r>
    </w:p>
    <w:p w14:paraId="520990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FE2B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Esta calificación deberá producirse inmediatamente sea ordenada. </w:t>
      </w:r>
    </w:p>
    <w:p w14:paraId="58E73E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41397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2.2.1.2.7. Casos de evaluaciones parciales. De las evaluaciones parciales harán parte aquellas que durante el período correspondiente deban realizarse en los siguientes casos: </w:t>
      </w:r>
    </w:p>
    <w:p w14:paraId="654658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6C7CB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Por cambio de evaluador. </w:t>
      </w:r>
    </w:p>
    <w:p w14:paraId="49DFF3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8DF1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Por cambio definitivo de empleo como resultado de traslado. </w:t>
      </w:r>
    </w:p>
    <w:p w14:paraId="737036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EE5A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Cuando el empleado deba separarse temporalmente del ejercicio de las funciones del cargo por suspensión, por encargo, por licencias, comisiones o vacaciones, en caso de que el término de duración de estas situaciones sea superior a treinta (30) días calendario. </w:t>
      </w:r>
    </w:p>
    <w:p w14:paraId="7D1E16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5BD1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Por el lapso comprendido entre la última evaluación, si la hubiere, y el final del período semestral a evaluar. </w:t>
      </w:r>
    </w:p>
    <w:p w14:paraId="0B7BC2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5DA55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Estas evaluaciones deberán realizarse dentro de los cinco (5) días siguientes a la fecha en que se produzca la situación que las origine, con excepción de la ocasionada por cambio de evaluador que deberá realizarse antes del retiro de este. </w:t>
      </w:r>
    </w:p>
    <w:p w14:paraId="441397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A5AC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empleado no será evaluado durante el término de duración de las situaciones administrativas enunciadas, salvo cuando sea encargado en un empleo de carrera, para determinar su permanencia en dicho empleo. De resultar insatisfactoria la evaluación, se dará por terminado el encargo. La evaluación efectuada durante el encargo no hará parte de la calificación definitiva respecto del empleo del cual sea titular. </w:t>
      </w:r>
    </w:p>
    <w:p w14:paraId="2604A847" w14:textId="4F689EC8"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13" w:name="ver_30052453"/>
      <w:bookmarkEnd w:id="313"/>
    </w:p>
    <w:p w14:paraId="1BB87B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2.2.1.2.8. Evaluación en caso de ascenso. Cuando el empleado cambie de cargo como resultado de ascenso dentro de la carrera, su desempeño laboral en el empleo anterior no será evaluado. </w:t>
      </w:r>
    </w:p>
    <w:p w14:paraId="0F5EBB6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497D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2.2.1.2.9. Funcionarios competentes para la evaluación. En el marco conceptual del instrumento de valoración del desempeño laboral que se adopte para la entidad se determinará el o los empleados responsables de evaluar a los empleados de carrera y en período de prueba dentro de los cuales, en todo caso, habrá uno de libre nombramiento y remoción; igualmente se indicará a quién corresponde efectuar las comunicaciones y las notificaciones a que haya lugar. </w:t>
      </w:r>
    </w:p>
    <w:p w14:paraId="784E92F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68FF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recurso de reposición será resuelto por los evaluadores que intervinieron en la respectiva valoración. </w:t>
      </w:r>
    </w:p>
    <w:p w14:paraId="022D426A" w14:textId="7BA040CF"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59923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14" w:name="ver_30052455"/>
      <w:bookmarkEnd w:id="314"/>
    </w:p>
    <w:p w14:paraId="104BDB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2.2.1.2.10. Evaluación en caso de ausencia del evaluador inicial. Sin perjuicio de la sanción disciplinaria prevista en el Código Único Disciplinario para quienes incumplan el deber de calificar a los empleados en la oportunidad y en las condiciones previstas por la ley o el reglamento, cuando los responsables de evaluar se retiren de la Entidad sin efectuar las evaluaciones que les correspondían, estas deberán ser realizadas por su superior inmediato o por el empleado que para el efecto sea designado por el Jefe de la entidad. Cuando el evaluador cambie de empleo dentro de la entidad conserva la obligación de efectuar las evaluaciones que le correspondían en el anterior empleo. </w:t>
      </w:r>
    </w:p>
    <w:p w14:paraId="492A58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B5CB1E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15" w:name="ver_30052456"/>
      <w:bookmarkEnd w:id="315"/>
    </w:p>
    <w:p w14:paraId="2E2112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2.2.1.2.11. Evaluación al cumplimiento del periodo de prueba. Dentro de los quince (15) días siguientes al vencimiento del período de prueba o en cualquier momento, a juicio del superior inmediato, el desempeño laboral del empleado será valorado en el instrumento que rija para la entidad. Harán parte de la calificación definitiva las evaluaciones parciales que se le hayan efectuado durante este período. </w:t>
      </w:r>
    </w:p>
    <w:p w14:paraId="45CCCC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4A0D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2.2.1.2.12. Evaluaciones parciales durante el periodo de prueba. Durante el período de prueba será necesario realizar evaluaciones parcial es en los siguientes casos: </w:t>
      </w:r>
    </w:p>
    <w:p w14:paraId="4CE466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42B2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Por cambio de evaluador. </w:t>
      </w:r>
    </w:p>
    <w:p w14:paraId="26C92A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E6AE2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Por interrupción de dicho periodo en término igual o superior a veinte (20) días continuos, caso en el cual el período de prueba se prolongará por el término que dure la interrupción. </w:t>
      </w:r>
    </w:p>
    <w:p w14:paraId="358291A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1B216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Por el lapso comprendido entre la última evaluación parcial, si la hubiere, y el final del período. </w:t>
      </w:r>
    </w:p>
    <w:p w14:paraId="44DDC6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F6DD63B" w14:textId="0722D966"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Estas evaluaciones deberán producirse dentro de los cinco (5) días siguientes a la ocurrencia de los hechos que las originen, salvo la ocasionada por cambio de evaluador, la cual deberá efectuarse antes del retiro de este. </w:t>
      </w:r>
    </w:p>
    <w:p w14:paraId="53C057A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16" w:name="ver_30052458"/>
      <w:bookmarkEnd w:id="316"/>
    </w:p>
    <w:p w14:paraId="14F02A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2.2.1.2.13. Comunicación de resultados de las evaluaciones. El resultado de las evaluaciones parciales será comunicado por escrito y contra él no procede recurso alguno; el de las calificaciones definitivas será notificado conforme lo prevé el artículo 26 del Decreto-ley 780 de 2005 y contra él solo procede el recurso de reposición, el cual se interpondrá, tramitará y resolverá de acuerdo con lo dispuesto en el Código de Procedimiento Administrativo y de lo Contencioso Administrativo. </w:t>
      </w:r>
    </w:p>
    <w:p w14:paraId="610B4F9C" w14:textId="5EFAE529"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17" w:name="ver_30052459"/>
      <w:bookmarkEnd w:id="317"/>
    </w:p>
    <w:p w14:paraId="09FA0D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2.2.1.2.14. Competente para diseñar el instrumento de valoración. El instrumento de valoración del desempeño laboral será diseñado por el Área de Recursos Humanos del DAPRE o la que haga sus veces, de acuerdo con lo previsto en el Decreto-ley 780 de 2005 y en este Título. Deberá ser puesto a consideración de la Comisión Nacional del Servicio Civil, para su aprobación, por conducto del Director de la Entidad. </w:t>
      </w:r>
    </w:p>
    <w:p w14:paraId="58DC55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C6216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Harán parte del instrumento de valoración del desempeño laboral el marco conceptual, el instructivo de aplicación y los formularios para cada uno de los niveles de empleo objeto de la valoración. </w:t>
      </w:r>
    </w:p>
    <w:p w14:paraId="26FB0D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91DB9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18" w:name="ver_30052460"/>
      <w:bookmarkEnd w:id="318"/>
    </w:p>
    <w:p w14:paraId="59A2EB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2.2.1.2.15. Funciones del jefe de talento humano. Corresponde al jefe de Talento Humano en relación con el proceso de valoración del desempeño laboral de los empleados de carrera del DAPRE: </w:t>
      </w:r>
    </w:p>
    <w:p w14:paraId="5A327D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E07461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Desarrollar procesos de formación y de capacitación sobre el sistema de evaluación, las normas y los procedimientos que lo rigen. </w:t>
      </w:r>
    </w:p>
    <w:p w14:paraId="5818BF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6C79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Suministrar oportunamente el apoyo técnico, así como los formatos y demás materiales necesarios para realizar las evaluaciones. </w:t>
      </w:r>
    </w:p>
    <w:p w14:paraId="04715E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4EEC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Realizar estudios sobre el funcionamiento de la evaluación y proponer al Director del Departamento, estrategias de intervención para su mejoramiento cuando sea necesario. </w:t>
      </w:r>
    </w:p>
    <w:p w14:paraId="27EE217B" w14:textId="5A363E32"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19" w:name="ver_30052461"/>
      <w:bookmarkEnd w:id="319"/>
    </w:p>
    <w:p w14:paraId="758723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2.2.1.2.16. Otras utilidades de los resultados de evaluación. Los resultados de la evaluación del desempeño laboral de los empleados de carrera deberán ser tenidos en cuenta como insumo para el diagnóstico de las necesidades de capacitación, la asignación de incentivos y otras decisiones relacionadas con la administración del talento humano, con el fin de implementar estrategias de mejoramiento a nivel personal e institucional. </w:t>
      </w:r>
    </w:p>
    <w:p w14:paraId="5C6432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AB2A80"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320" w:name="ver_30052462"/>
      <w:bookmarkEnd w:id="320"/>
      <w:r w:rsidRPr="00562064">
        <w:rPr>
          <w:rFonts w:ascii="Arial" w:eastAsia="Times New Roman" w:hAnsi="Arial" w:cs="Arial"/>
          <w:b/>
          <w:bCs/>
          <w:color w:val="000000" w:themeColor="text1"/>
          <w:lang w:eastAsia="es-CO"/>
        </w:rPr>
        <w:t>Capítulo 3</w:t>
      </w:r>
    </w:p>
    <w:p w14:paraId="128A2E9E"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Sistema de Información y Monitoreo de la Carrera</w:t>
      </w:r>
    </w:p>
    <w:p w14:paraId="5A2B2D2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21" w:name="ver_30052463"/>
      <w:bookmarkEnd w:id="321"/>
    </w:p>
    <w:p w14:paraId="456F1A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2.2.1.3.1. Plan de previsión de recursos humanos. El Área de Recursos Humanos o la que haga sus veces diseñará anualmente un plan de previsión de recursos humanos para atender en forma oportuna las necesidades de personal de la Entidad. Para el efecto, organizará un sistema que suministre la siguiente información: </w:t>
      </w:r>
    </w:p>
    <w:p w14:paraId="525DBC4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0CBA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Empleos vacantes que deban ser provistos, con indicación de los requisitos y las competencias exigidos para su ejercicio de acuerdo con los respectivos manuales. </w:t>
      </w:r>
    </w:p>
    <w:p w14:paraId="104FF8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F041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Forma de provisión. </w:t>
      </w:r>
    </w:p>
    <w:p w14:paraId="2A1131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B7CB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Estimación de los costos de los procesos de selección que sea necesario realizar; y </w:t>
      </w:r>
    </w:p>
    <w:p w14:paraId="5617C1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85DB9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Necesidades de capacitación y forma de suplirlas. </w:t>
      </w:r>
    </w:p>
    <w:p w14:paraId="13AC6EEC" w14:textId="1303818F"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22" w:name="ver_30052464"/>
      <w:bookmarkEnd w:id="322"/>
    </w:p>
    <w:p w14:paraId="592804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2.2.1.3.2. Inventario del personal al servicio. Es función del Área de Recursos Humanos o de la que haga sus veces en el DAPRE organizar y administrar un inventario del personal al servicio de la Entidad que contenga información sobre su formación académica y capacitación específica, sus competencias laborales, los resultados de la valoración de su desempeño laboral, los estímulos e incentivos de que ha sido objeto. De igual manera, el inventario contendrá, en relación con los empleados de carrera, información acerca de los ascensos, encargos y traslados que se les haya efectuado. </w:t>
      </w:r>
    </w:p>
    <w:p w14:paraId="6F5338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2829A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23" w:name="ver_30052465"/>
      <w:bookmarkEnd w:id="323"/>
    </w:p>
    <w:p w14:paraId="4FD28E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2.2.1.1.3. Evaluación de los procesos de selección. Para dar cumplimiento a lo establecido en el artículo 28 del Decreto-ley 780 de 2005, corresponde al Área de Recursos Humanos o a la que haga sus veces en el DAPRE evaluar la efectividad de los procesos de selección realizados para la provisión de los empleos de carrera, para lo cual tomará como referencia los resultados de la valoración del desempeño laboral de los empleados nombrados en período de prueba. </w:t>
      </w:r>
    </w:p>
    <w:p w14:paraId="5BB4DC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48927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resultados de esta evaluación serán comunicados a la Comisión Nacional del Servicio Civil, a través del Director de la Entidad para la adopción de los correctivos a que haya lugar. </w:t>
      </w:r>
    </w:p>
    <w:p w14:paraId="5CC9D6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5862A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24" w:name="ver_30052466"/>
      <w:bookmarkEnd w:id="324"/>
    </w:p>
    <w:p w14:paraId="12CE46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2.2.1.3.4. Envío de información a la Comisión Nacional de Servicio Civil. El área de Recursos Humanos o la que haga sus veces en el DAPRE enviará a la Comisión Nacional del Servicio Civil, con la periodicidad y en los términos que esta señale, la información que permita organizar y actualizar el Capítulo Especial del Sistema Específico de Carrera del DAPRE en el Registro Público de Carrera Administrativa. </w:t>
      </w:r>
    </w:p>
    <w:p w14:paraId="0E74DE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C54845"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325" w:name="ver_30052467"/>
      <w:bookmarkEnd w:id="325"/>
      <w:r w:rsidRPr="00562064">
        <w:rPr>
          <w:rFonts w:ascii="Arial" w:eastAsia="Times New Roman" w:hAnsi="Arial" w:cs="Arial"/>
          <w:b/>
          <w:bCs/>
          <w:color w:val="000000" w:themeColor="text1"/>
          <w:lang w:eastAsia="es-CO"/>
        </w:rPr>
        <w:t>Capítulo 4</w:t>
      </w:r>
    </w:p>
    <w:p w14:paraId="6872729B"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Causales de Retiro del Servicio</w:t>
      </w:r>
    </w:p>
    <w:p w14:paraId="09A3819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26" w:name="ver_30052468"/>
      <w:bookmarkEnd w:id="326"/>
    </w:p>
    <w:p w14:paraId="60AF83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2.2.1.4.1. Causales de retiro. El retiro del servicio de los empleados de carrera del Departamento Administrativo de la Presidencia de la República se producirá por las causales enumeradas a continuación y conlleva el retiro de la carrera y la pérdida de los derechos de la misma: </w:t>
      </w:r>
    </w:p>
    <w:p w14:paraId="4855AD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9F4CB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Por renuncia regularmente aceptada. </w:t>
      </w:r>
    </w:p>
    <w:p w14:paraId="5F3648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8FAB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Por haber obtenido la pensión de jubilación o de vejez. </w:t>
      </w:r>
    </w:p>
    <w:p w14:paraId="62C1C1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1852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Por invalidez absoluta. </w:t>
      </w:r>
    </w:p>
    <w:p w14:paraId="463475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7A3B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Por llegar a la edad de retiro forzoso. </w:t>
      </w:r>
    </w:p>
    <w:p w14:paraId="1D3A18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D29D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Por supresión del empleo, salvo cuando se opte por la incorporación a otro igual o equivalente de la nueva planta del DAPRE. </w:t>
      </w:r>
    </w:p>
    <w:p w14:paraId="22EEA8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8C9F0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Por destitución, desvinculación o remoción, como consecuencia de investigación disciplinaria. </w:t>
      </w:r>
    </w:p>
    <w:p w14:paraId="36212D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C925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Por declaratoria de vacancia del empleo en el caso de abandono del mismo. </w:t>
      </w:r>
    </w:p>
    <w:p w14:paraId="0CB1B0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DBF6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Por revocatoria del nombramiento por no acreditar los requisitos para desempeñar el empleo. </w:t>
      </w:r>
    </w:p>
    <w:p w14:paraId="6C8DF2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9F3D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Por orden o decisión judicial. </w:t>
      </w:r>
    </w:p>
    <w:p w14:paraId="240370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F2A3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Por obtener calificación insatisfactoria en cualquier momento en el período de prueba. </w:t>
      </w:r>
    </w:p>
    <w:p w14:paraId="216E67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38F41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Por declaratoria de insubsistencia del nombramiento como consecuencia de calificación no satisfactoria en la valoración del desempeño laboral. </w:t>
      </w:r>
    </w:p>
    <w:p w14:paraId="49C596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21E2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Por declaratoria de insubsistencia del nombramiento cuando, como resultado de un estudio de seguridad de carácter reservado, se establezca que no cumple con las condiciones mínimas de seguridad que se exige al personal que labora en el DAPRE realizado por la Secretaría de Seguridad del mismo o por quien esta indique. El acto administrativo de insubsistencia del nombramiento será motivado; y </w:t>
      </w:r>
    </w:p>
    <w:p w14:paraId="7B03CC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BC400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Por las demás que determinen la Constitución Política y la ley. </w:t>
      </w:r>
    </w:p>
    <w:p w14:paraId="231411BD" w14:textId="4C017AC7"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27" w:name="ver_30052469"/>
      <w:bookmarkEnd w:id="327"/>
    </w:p>
    <w:p w14:paraId="53F9380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2.2.1.4.2. Insubsistencia por calificación no satisfactoria. El nombramiento del empleado de carrera o en período de prueba deberá declararse insubsistente por la autoridad nominadora, por acto motivado, dentro de los tres (3) días siguientes a la fecha en la que quede en firme la calificación no satisfactoria como resultado de la valoración del desempeño laboral. Contra dicho acto no procederá recurso alguno. </w:t>
      </w:r>
    </w:p>
    <w:p w14:paraId="4A37F077" w14:textId="173028BA"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28" w:name="ver_30052470"/>
      <w:bookmarkEnd w:id="328"/>
    </w:p>
    <w:p w14:paraId="5F10D2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2.2.1.4.3. Insubsistencia de empelada embarazada. La declaratoria de insubsistencia del nombramiento de una empleada de carrera en estado de embarazo, por calificación no satisfactoria en la valoración del desempeño laboral, solo podrá producirse dentro de los ocho (8) días siguientes al vencimiento de la licencia por maternidad biológica o por adopción o de la licencia correspondiente, en el caso de aborto o parto prematuro no viable. </w:t>
      </w:r>
    </w:p>
    <w:p w14:paraId="5FA4144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29" w:name="ver_30052471"/>
      <w:bookmarkEnd w:id="329"/>
    </w:p>
    <w:p w14:paraId="34AACE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2.2.1.4.4. Preferencia en caso de supresión de cargo. El empleado de carrera, titular de un cargo de carrera que sea suprimido, tiene derecho a ser incorporado al empleo igual que se cree en la nueva planta del DAPRE. De no ser posible, podrá optar por ser reincorporado a cargo igual o equivalente dentro de los seis (6) meses siguientes a la fecha en la cual se le comunique la supresión del empleo o a recibir el valor de la indemnización, en los términos y condiciones señalados en la Ley 909 de 2004 y en sus decretos reglamentarios. </w:t>
      </w:r>
    </w:p>
    <w:p w14:paraId="17B8FF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35169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Se entiende que un cargo es equivalente a otro cuando tenga asignadas funciones iguales o similares, para su desempeño se exijan requisitos de estudio, experiencia y competencias laborales iguales o similares y tenga una asignación básica salarial igual o superior, sin que en ningún caso la diferencia salarial supere los dos grados siguientes de la respectiva escala. </w:t>
      </w:r>
    </w:p>
    <w:p w14:paraId="22B086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425B2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30" w:name="ver_30052472"/>
      <w:bookmarkEnd w:id="330"/>
    </w:p>
    <w:p w14:paraId="7FB06B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2.2.1.4.5. Reclamaciones sobre el derecho de preferencia. Conforme con lo señalado en el artículo 17 del Decreto-ley 780 de 2005, corresponde a la Comisión de Personal del DAPRE conocer y decidir, en primera instancia, sobre las reclamaciones que formulen los empleados de carrera que hayan optado por el derecho preferencial a ser revinculados por supresión de los empleos y sobre aquellas que presenten por los efectos de las incorporaciones a las nuevas plantas de personal de la Entidad. La Comisión Nacional del Servicio Civil conocerá y decidirá en segunda instancia. </w:t>
      </w:r>
    </w:p>
    <w:p w14:paraId="2E0C35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574EF3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En el trámite y en la decisión de estas reclamaciones se observará el procedimiento establecido en el Decreto-ley 760 de 2005. </w:t>
      </w:r>
    </w:p>
    <w:p w14:paraId="1209EC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A2F497"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331" w:name="ver_30052473"/>
      <w:bookmarkEnd w:id="331"/>
      <w:r w:rsidRPr="00562064">
        <w:rPr>
          <w:rFonts w:ascii="Arial" w:eastAsia="Times New Roman" w:hAnsi="Arial" w:cs="Arial"/>
          <w:b/>
          <w:bCs/>
          <w:color w:val="000000" w:themeColor="text1"/>
          <w:lang w:eastAsia="es-CO"/>
        </w:rPr>
        <w:t>Capítulo 5</w:t>
      </w:r>
    </w:p>
    <w:p w14:paraId="328DF795"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Elección del Representante de los Empleados en el Consejo Administrador de la Carrera y en la Comisión de Personal</w:t>
      </w:r>
    </w:p>
    <w:p w14:paraId="0B5FE7D9"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794E25B4"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Conformación de la Comisión de Personal</w:t>
      </w:r>
    </w:p>
    <w:p w14:paraId="46095B3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32" w:name="ver_30052474"/>
      <w:bookmarkEnd w:id="332"/>
    </w:p>
    <w:p w14:paraId="6FFDD58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2.2.1.5.1.1. Conformación de la Comisión de Personal. La Comisión de Personal del Departamento Administrativo de la Presidencia de la República, DAPRE, estará conformada por un representante designado por el Director de la Entidad, quien deberá tener la calidad de empleado de libre nombramiento y remoción; por el Jefe del Área de Recursos Humanos o quien haga sus veces, quien actuará como Secretario; y por un representante de los empleados de carrera; todos con voz y voto. </w:t>
      </w:r>
    </w:p>
    <w:p w14:paraId="77F66A5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5BAAE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representante de los empleados de carrera y su suplente serán elegidos por votación directa de los empleados de carrera del DAPRE para un período de dos (2) años, conforme con el procedimiento que se establece en el presente decreto. </w:t>
      </w:r>
    </w:p>
    <w:p w14:paraId="2EB9665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C4D9E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bookmarkStart w:id="333" w:name="ver_30052475"/>
      <w:bookmarkEnd w:id="333"/>
      <w:r w:rsidRPr="00562064">
        <w:rPr>
          <w:rFonts w:ascii="Arial" w:eastAsia="Times New Roman" w:hAnsi="Arial" w:cs="Arial"/>
          <w:color w:val="000000" w:themeColor="text1"/>
          <w:lang w:eastAsia="es-CO"/>
        </w:rPr>
        <w:t>Artículo 2.2.1.5.1.2. Requisitos de los aspirantes. Quienes aspiren a ser representantes de los empleados de carrera en la Comisión de Personal deberán acreditar los siguientes requisitos: </w:t>
      </w:r>
    </w:p>
    <w:p w14:paraId="0DE7C0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ED072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Ser empleado de carrera administrativa del DAPRE, y </w:t>
      </w:r>
    </w:p>
    <w:p w14:paraId="6DBBB7D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589CF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No haber sido sancionado disciplinariamente durante el año inmediatamente anterior a la fecha de la solicitud de inscripción de la candidatura. </w:t>
      </w:r>
    </w:p>
    <w:p w14:paraId="22F624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ED060C"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334" w:name="ver_30052476"/>
      <w:bookmarkEnd w:id="334"/>
      <w:r w:rsidRPr="00562064">
        <w:rPr>
          <w:rFonts w:ascii="Arial" w:eastAsia="Times New Roman" w:hAnsi="Arial" w:cs="Arial"/>
          <w:b/>
          <w:bCs/>
          <w:color w:val="000000" w:themeColor="text1"/>
          <w:lang w:eastAsia="es-CO"/>
        </w:rPr>
        <w:t>Sección 2</w:t>
      </w:r>
    </w:p>
    <w:p w14:paraId="3E0DD745"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Procedimiento para la elección de los representantes de los empleados de carrera en la Comisión de Personal</w:t>
      </w:r>
    </w:p>
    <w:p w14:paraId="340854E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35" w:name="ver_30052477"/>
      <w:bookmarkEnd w:id="335"/>
    </w:p>
    <w:p w14:paraId="3EADC5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2.2.1.5.2.1. Elección del representante y su suplente. Para la elección del representante de los empleados de carrera y su suplente en la Comisión de Personal del DAPRE, el Director de la Entidad convocará, mediante resolución, a elecciones con una antelación no inferior a treinta (30) días calendario a la fecha de la realización de las mismas, convocatoria que contendrá, por lo menos, la siguiente información: </w:t>
      </w:r>
    </w:p>
    <w:p w14:paraId="2B7C10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A18F7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Fecha y objeto. </w:t>
      </w:r>
    </w:p>
    <w:p w14:paraId="3E0993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67F7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Funciones de la Comisión de Personal. </w:t>
      </w:r>
    </w:p>
    <w:p w14:paraId="7F9104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640E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Requisitos que deben acreditar los aspirantes. </w:t>
      </w:r>
    </w:p>
    <w:p w14:paraId="0E81F9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3CFE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Dependencia ante la cual se solicitará la inscripción, plazos y requisitos para hacerla. </w:t>
      </w:r>
    </w:p>
    <w:p w14:paraId="5DEC3D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B040B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Fecha de publicación de las listas de las fórmulas de candidatos inscritos. </w:t>
      </w:r>
    </w:p>
    <w:p w14:paraId="754741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AB71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Lugar, día y hora en que se abrirá y se cerrará la votación. </w:t>
      </w:r>
    </w:p>
    <w:p w14:paraId="5133F7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BDD3C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Procedimiento para la designación de los jurados de votación y funciones de los mismos. </w:t>
      </w:r>
    </w:p>
    <w:p w14:paraId="7A72EA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5A04B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Lugar, día y hora en que se efectuará el escrutinio general y la declaración de los elegidos. </w:t>
      </w:r>
    </w:p>
    <w:p w14:paraId="117E4B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6C1EF9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36" w:name="ver_30052478"/>
      <w:bookmarkEnd w:id="336"/>
    </w:p>
    <w:p w14:paraId="73187EE0" w14:textId="676DF36E"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2.2.1.5.2.2. Divulgación. La convocatoria a elecciones será divulgada a través del correo electrónico institucional y de las carteleras de fácil acceso a los empleados de la entidad. </w:t>
      </w:r>
    </w:p>
    <w:p w14:paraId="58A6C82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37" w:name="ver_30052479"/>
      <w:bookmarkEnd w:id="337"/>
    </w:p>
    <w:p w14:paraId="1159E54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2.2.1.5.2.3. Inscripción de aspirantes. Las inscripciones de los aspirantes se hará por fórmula que incluya los nombres y apellidos del principal y de su suplente, mediante solicitud escrita que contenga, además, la siguiente información: </w:t>
      </w:r>
    </w:p>
    <w:p w14:paraId="40BE7F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740A5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Documentos de identidad de los aspirantes. </w:t>
      </w:r>
    </w:p>
    <w:p w14:paraId="360DF6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B98B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Manifestación expresa de que reúnen los requisitos exigidos. </w:t>
      </w:r>
    </w:p>
    <w:p w14:paraId="79219BE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967D1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Firma de los candidatos. </w:t>
      </w:r>
    </w:p>
    <w:p w14:paraId="3EDFE5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78C9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(Decreto 4446 de 2006, artículo 5°)  </w:t>
      </w:r>
    </w:p>
    <w:p w14:paraId="6AE44F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C8721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38" w:name="ver_30052480"/>
      <w:bookmarkEnd w:id="338"/>
    </w:p>
    <w:p w14:paraId="4BCD1C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2.2.1.5.2.4. Presentación de solicitudes. Las solicitudes de inscripción deben presentarse personalmente ante el Jefe del Área de Recursos Humanos o ante quien haga sus veces, empleado que certificará el cumplimiento de los requisitos por parte de los candidatos y su calidad de candidatos inscritos. </w:t>
      </w:r>
    </w:p>
    <w:p w14:paraId="1B0BFA81" w14:textId="0020C2DE"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39" w:name="ver_30052481"/>
      <w:bookmarkEnd w:id="339"/>
    </w:p>
    <w:p w14:paraId="3595DA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2.2.1.5.2.5. Procedimiento para la inscripción. Las inscripciones se efectuarán dentro de los diez (10) días calendario siguientes a la fecha de publicación de la convocatoria. </w:t>
      </w:r>
    </w:p>
    <w:p w14:paraId="50E60D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9836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Con un mínimo de dos (2) fórmulas inscritas las votaciones se efectuarán en los términos de la convocatoria. </w:t>
      </w:r>
    </w:p>
    <w:p w14:paraId="7E6377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E490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 dentro del plazo fijado en la convocatoria no se inscriben, por lo menos, dos (2) fórmulas de candidatos, dicho término se prorrogará en diez (10) días calendario, caso en el cual el Director de la Entidad, por acto similar al de la convocatoria y publicado de igual manera que esta, modificará los plazos de cada una de las etapas del proceso electoral. </w:t>
      </w:r>
    </w:p>
    <w:p w14:paraId="0390FB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C11EA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 al vencimiento del nuevo plazo para las inscripciones solamente resultare inscrita una fórmula, procederá la elección y serán proclamados como representante y suplente los integrantes de esta, cualquiera que sea la votación por ellos obtenida. </w:t>
      </w:r>
    </w:p>
    <w:p w14:paraId="066259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0DCD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 una vez vencido el plazo inicial de inscripción y el de su prórroga no se lograre la inscripción de fórmula alguna, el Director de la Entidad efectuará la respectiva designación. </w:t>
      </w:r>
    </w:p>
    <w:p w14:paraId="5A8E50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99E7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bookmarkStart w:id="340" w:name="ver_30052482"/>
      <w:bookmarkEnd w:id="340"/>
      <w:r w:rsidRPr="00562064">
        <w:rPr>
          <w:rFonts w:ascii="Arial" w:eastAsia="Times New Roman" w:hAnsi="Arial" w:cs="Arial"/>
          <w:color w:val="000000" w:themeColor="text1"/>
          <w:lang w:eastAsia="es-CO"/>
        </w:rPr>
        <w:t>Artículo 2.2.1.5.2.6. Publicación de la lista de inscritos. El Jefe del Área de Recursos Humanos o quien haga sus veces, en los dos (2) días siguientes al vencimiento del término previsto para las inscripciones, divulgará a través del correo electrónico institucional, la lista de las fórmulas inscritas. </w:t>
      </w:r>
    </w:p>
    <w:p w14:paraId="4E545F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3E980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41" w:name="ver_30052483"/>
      <w:bookmarkEnd w:id="341"/>
    </w:p>
    <w:p w14:paraId="165B9D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2.2.1.5.2.7. Vigilancia de la votación. La elección será vigilada por tres (3) jurados y tres (3) suplentes por cada mesa de votación, designados por el Jefe del Área de Recursos Humanos o quien haga sus veces, a más tardar dentro de los dos (2) días siguientes a la fecha de divulgación de las listas de candidatos inscritos. </w:t>
      </w:r>
    </w:p>
    <w:p w14:paraId="53C8AB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562D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jurados actuarán como Presidente, Vicepresidente y Vocal, según se determine en la designación. </w:t>
      </w:r>
    </w:p>
    <w:p w14:paraId="0920EC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2A40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designación de los jurados se comunicará a través de medio electrónico o por escrito con la siguiente información: </w:t>
      </w:r>
    </w:p>
    <w:p w14:paraId="22EA23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5CE6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Nombre y apellidos completos e identificación de los miembros del jurado, con indicación del cargo asignado a cada uno y del número y ubicación de la mesa de votación en la que ejercerán sus funciones. </w:t>
      </w:r>
    </w:p>
    <w:p w14:paraId="061141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0A41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Funciones. </w:t>
      </w:r>
    </w:p>
    <w:p w14:paraId="278998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9EE07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Citación para instrucción sobre sus funciones. </w:t>
      </w:r>
    </w:p>
    <w:p w14:paraId="48E393E3" w14:textId="03E07473"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42" w:name="ver_30052484"/>
      <w:bookmarkEnd w:id="342"/>
    </w:p>
    <w:p w14:paraId="5DAD50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2.2.1.5.2.8. Funciones de los jurados. Son funciones de los jurados de votación las siguientes: </w:t>
      </w:r>
    </w:p>
    <w:p w14:paraId="5CF4DF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9382E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Recibir la urna y verificar los documentos y elementos de la mesa de votación. </w:t>
      </w:r>
    </w:p>
    <w:p w14:paraId="3B6934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099F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Instalar la mesa de votación. </w:t>
      </w:r>
    </w:p>
    <w:p w14:paraId="6233574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A803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Vigilar el proceso de votación. </w:t>
      </w:r>
    </w:p>
    <w:p w14:paraId="56A9945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ACEA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Verificar la identidad de los votantes. </w:t>
      </w:r>
    </w:p>
    <w:p w14:paraId="7EA77E9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B08F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Realizar el escrutinio de los votos y consignar los resultados en el acta respectiva. </w:t>
      </w:r>
    </w:p>
    <w:p w14:paraId="628756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FCE5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Firmar las actas. </w:t>
      </w:r>
    </w:p>
    <w:p w14:paraId="0CEDC8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93756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Entregar al Jefe del Área de Recursos Humanos o a quien haga sus veces las actas, los votos y los demás documentos y elementos relativos a la elección. </w:t>
      </w:r>
    </w:p>
    <w:p w14:paraId="7B080A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EAB51C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2.2.1.5.2.9. Lista de electores. El Jefe del Área de Recursos Humanos o quien haga sus veces publicará, durante los dos (2) días anteriores a la fecha de las elecciones, la lista general de los electores con indicación del documento de identidad y del número y ubicación de la mesa en la que les corresponderá votar. </w:t>
      </w:r>
    </w:p>
    <w:p w14:paraId="6D6C8D3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7350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jurados de votación sufragarán en la mesa en donde ejerzan su función. </w:t>
      </w:r>
    </w:p>
    <w:p w14:paraId="7AE320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6D3E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voto será secreto y el derecho a elegir no podrá ser objeto de delegación ni el elector podrá hacerse representar para sufragar. </w:t>
      </w:r>
    </w:p>
    <w:p w14:paraId="58091D6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E712D8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43" w:name="ver_30052486"/>
      <w:bookmarkEnd w:id="343"/>
    </w:p>
    <w:p w14:paraId="56EC70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2.2.1.5.2.10. Duración de la votación. Las votaciones se efectuarán en un solo día y se abrirán y se cerrarán en las horas previstas en la convocatoria. </w:t>
      </w:r>
    </w:p>
    <w:p w14:paraId="3FBA6165" w14:textId="54E0234A"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44" w:name="ver_30052487"/>
      <w:bookmarkEnd w:id="344"/>
    </w:p>
    <w:p w14:paraId="6C372E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2.2.1.5.2.11. Escrutinio parcial. Para los escrutinios parciales, los jurados de votación procederán de la siguiente manera: </w:t>
      </w:r>
    </w:p>
    <w:p w14:paraId="1BF4DB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B99AB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Cerrada la votación, uno de los miembros del jurado leerá en voz alta el número total de sufragantes, de lo cual se dejará constancia en el acta de escrutinio y en el registro general de votantes. </w:t>
      </w:r>
    </w:p>
    <w:p w14:paraId="714B2C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BF75F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Surtido el anterior trámite, la urna se abrirá públicamente y se contarán los votos depositados; si el número de votos supera el de los empleados votantes, todos se introducirán de nuevo en la urna y se sacarán al azar tantos votos cuanto sean los excedentes y, sin consultar su contenido, se incinerarán en el acto. De tal hecho se dejará constancia en el acta de escrutinio. </w:t>
      </w:r>
    </w:p>
    <w:p w14:paraId="0C26F1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04868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Los jurados procederán a hacer el escrutinio y a anotar en el acta el número de votos emitidos a favor de cada fórmula, así como el de los votos en blanco. Los votos que no permitan identificar claramente la decisión del votante se consideran nulos y no serán computados. El acta de escrutinio será firmada por los jurados. </w:t>
      </w:r>
    </w:p>
    <w:p w14:paraId="41A96A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B74A1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Terminado el escrutinio, se leerán los resultados en voz alta y se introducirán en sobres diferentes los votos emitidos para cada fórmula; los votos en blanco; los votos nulos; y el acta y las constancias correspondientes. Estos sobres y los demás documentos utilizados en la votación se entregarán inmediatamente al Jefe del Área de Recursos Humanos o a quien haga sus veces. </w:t>
      </w:r>
    </w:p>
    <w:p w14:paraId="646D64C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CE241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2.2.1.5.2.12. Escrutinio General. El escrutinio general se realizará públicamente el día hábil siguiente al de la votación, en el lugar y hora señalados en la convocatoria, por una Comisión Escrutadora integrada por el Director de la Entidad o su delegado y por dos empleados de carrera designados de común acuerdo por los candidatos que participaron en las elecciones. Como Secretario actuará el Jefe del Área de Recursos Humanos o quien haga sus veces. </w:t>
      </w:r>
    </w:p>
    <w:p w14:paraId="6EEABA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0E374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Comisión escrutará con base en los resultados de las actas de escrutinio. </w:t>
      </w:r>
    </w:p>
    <w:p w14:paraId="426C48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509A33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45" w:name="ver_30052489"/>
      <w:bookmarkEnd w:id="345"/>
    </w:p>
    <w:p w14:paraId="4DC6F8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2.2.1.5.2.13. Reclamaciones sobre el escrutinio. Los candidatos en el acto mismo del escrutinio general podrán formular, por escrito, reclamaciones sustentadas, las cuales deben ser resueltas de inmediato por la Comisión Escrutadora. Seguidamente esta declarará la elección de los representantes. De todo lo anterior se levantará un acta, la cual será publicada en el correo electrónico institucional. </w:t>
      </w:r>
    </w:p>
    <w:p w14:paraId="05069BEA" w14:textId="35B6A8FC"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46" w:name="ver_30052490"/>
      <w:bookmarkEnd w:id="346"/>
    </w:p>
    <w:p w14:paraId="699825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2.2.1.5.2.14. Fórmula ganadora. Cuando se inscriba más de una fórmula, se declararán elegidos como representantes, principal y suplente, a quienes hagan parte de aquella que obtenga el mayor número de votos. Si el número de votos a favor de dos o más fórmulas fuere igual, la elección se decidirá a la suerte conforme con el mecanismo que establezca el Director de la Entidad o su delegado en la Comisión Escrutadora. </w:t>
      </w:r>
    </w:p>
    <w:p w14:paraId="36029E4C" w14:textId="3B7D89BD"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47" w:name="ver_30052491"/>
      <w:bookmarkEnd w:id="347"/>
    </w:p>
    <w:p w14:paraId="1D7F89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2.2.1.5.2.15. Faltas temporales del representante. Las faltas temporales del representante de los empleados en la Comisión de Personal serán llenadas por el suplente. </w:t>
      </w:r>
    </w:p>
    <w:p w14:paraId="40CE91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A014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caso de falta absoluta del representante principal, el suplente asumirá tal calidad hasta el final del período. </w:t>
      </w:r>
    </w:p>
    <w:p w14:paraId="4B4E2EE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169C6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Parágrafo.Falta absoluta del representante y su suplente. En caso de falta absoluta de los representantes de los empleados, principal y suplente, el Director de la Entidad convocará a elecciones dentro de los cinco (5) días siguientes a la fecha en la que se tenga conocimiento de dicha situación. </w:t>
      </w:r>
    </w:p>
    <w:p w14:paraId="2539085F" w14:textId="5A19E85B"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48" w:name="ver_30052492"/>
      <w:bookmarkEnd w:id="348"/>
    </w:p>
    <w:p w14:paraId="168145B8" w14:textId="2EF3DCF3"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2.2.1.5.2.16. Reglamento de la Comisión. En la primera sesión, la Comisión de Personal expedirá el reglamento de funcionamiento.   </w:t>
      </w:r>
    </w:p>
    <w:p w14:paraId="785C6BF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49" w:name="ver_30052493"/>
      <w:bookmarkEnd w:id="349"/>
    </w:p>
    <w:p w14:paraId="0CA812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2.2.1.5.2.17. Transitorio. La convocatoria para la primera elección del representante de los empleados en la Comisión de Personal se efectuará dentro de los quince (15) días siguientes a la promulgación del presente decreto y en ella podrán participar como candidatos y electores los empleados del DAPRE que ejerzan empleos de carrera. </w:t>
      </w:r>
    </w:p>
    <w:p w14:paraId="577CBA5D" w14:textId="77777777" w:rsidR="00187561" w:rsidRPr="00562064" w:rsidRDefault="00187561" w:rsidP="00143180">
      <w:pPr>
        <w:spacing w:after="0" w:line="293" w:lineRule="atLeast"/>
        <w:jc w:val="both"/>
        <w:rPr>
          <w:rFonts w:ascii="Arial" w:eastAsia="Times New Roman" w:hAnsi="Arial" w:cs="Arial"/>
          <w:color w:val="000000" w:themeColor="text1"/>
          <w:lang w:eastAsia="es-CO"/>
        </w:rPr>
      </w:pPr>
      <w:bookmarkStart w:id="350" w:name="ver_30052494"/>
      <w:bookmarkEnd w:id="350"/>
    </w:p>
    <w:p w14:paraId="500E9C44" w14:textId="5C7033B6"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Título 2</w:t>
      </w:r>
    </w:p>
    <w:p w14:paraId="5B8DC680" w14:textId="722AB728"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Fondo de Programas Especiales para la Paz –Fondo Paz-</w:t>
      </w:r>
    </w:p>
    <w:p w14:paraId="6905089F"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1</w:t>
      </w:r>
    </w:p>
    <w:p w14:paraId="012899BA" w14:textId="6BC16234"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Funcionamiento del Fondo de Programas Especiales para la Paz</w:t>
      </w:r>
    </w:p>
    <w:p w14:paraId="0D9E1F8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51" w:name="ver_30052495"/>
      <w:bookmarkEnd w:id="351"/>
    </w:p>
    <w:p w14:paraId="062B74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2.2.2.1.1. Funciones específicas. En desarrollo de su objeto, el Fondo de Programas Especiales para la Paz, tendrá como funciones específicas las siguientes: </w:t>
      </w:r>
    </w:p>
    <w:p w14:paraId="4C2BBE4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2EE8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Diseñar, desarrollar, financiar y cofinanciar planes, programas y estrategias que generen condiciones, para el logro y mantenimiento de la paz. </w:t>
      </w:r>
    </w:p>
    <w:p w14:paraId="33A86A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0EB3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Administrar y ejecutar los recursos de los planes y programas de paz, que se adelanten en desarrollo de las funciones asignadas a la Oficina del Alto Comisionado para la Paz. </w:t>
      </w:r>
    </w:p>
    <w:p w14:paraId="521B0E0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F51F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Financiar los trámites legales necesarios para el otorgamiento de indultos, amnistías, beneficios y demás garantías jurídicas a los miembros de grupos alzados en armas que se encuentren en proceso de paz con el Gobierno nacional y demuestren su voluntad de reincorporarse a la vida civil. </w:t>
      </w:r>
    </w:p>
    <w:p w14:paraId="40BA8B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7502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Financiar y cofinanciar la realización de actividades que generen condiciones para entablar conversaciones, diálogos y firma de acuerdos con grupos alzados en armas que participen en el conflicto interno armado. </w:t>
      </w:r>
    </w:p>
    <w:p w14:paraId="56F6A2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CC23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Adelantar programas de difusión del Derecho Internacional Humanitario, de conformidad con las directrices que señale el Presidente de la República, y financiar el estudio y divulgación de las normas relacionadas con la materia. </w:t>
      </w:r>
    </w:p>
    <w:p w14:paraId="086FB05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CC34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Financiar los estudios que permitan un seguimiento continuo a los hechos constitutivos de violencia y su evolución, y sirvan para crear alternativas de solución en la construcción de una política de paz. </w:t>
      </w:r>
    </w:p>
    <w:p w14:paraId="180AA04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B2D3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Fomentar la coordinación interinstitucional, la participación de las organizaciones no gubernamentales y de la comunidad en el afianzamiento de una cultura de convivencia, respecto a los derechos humanos y bienestar social. </w:t>
      </w:r>
    </w:p>
    <w:p w14:paraId="695C3E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E846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Dar impulso y apoyo económico a las iniciativas de la sociedad civil a nivel nacional y regional, encaminadas al logro y mantenimiento de la paz. </w:t>
      </w:r>
    </w:p>
    <w:p w14:paraId="2C2DAEDB" w14:textId="6706552E"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52" w:name="ver_30052496"/>
      <w:bookmarkEnd w:id="352"/>
    </w:p>
    <w:p w14:paraId="6F99CB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Artículo2.2.2.1.2. Funciones del Director. Para el cumplimiento de los objetivos del Fondo de Programas Especiales para la Paz, el Director tendrá las siguientes funciones: </w:t>
      </w:r>
    </w:p>
    <w:p w14:paraId="7A245D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1E75D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Dirigir, controlar y coordinar la acción administrativa del Fondo. </w:t>
      </w:r>
    </w:p>
    <w:p w14:paraId="0B9C07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BD9D6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Dictar las normas necesarias para el debido cumplimiento de las funciones del Fondo y proponer al Gobierno nacional y al Director del Departamento Administrativo de la Presidencia de la República las que fueren de competencia de estos. </w:t>
      </w:r>
    </w:p>
    <w:p w14:paraId="6F0134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51A5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Cumplir y hacer cumplir las decisiones y normas expedidas por el Gobierno nacional y el Director del Departamento Administrativo de la Presidencia de la República, en temas relacionados con el funcionamiento y desarrollo del Fondo. </w:t>
      </w:r>
    </w:p>
    <w:p w14:paraId="03568E6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AA0AB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En virtud de la delegación que le otorgue el Director del Departamento Administrativo de la Presidencia de la República celebrar los contratos y efectuar los pagos, que se requieran para el desarrollo del objeto y funciones del Fondo. </w:t>
      </w:r>
    </w:p>
    <w:p w14:paraId="70D5AC4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401D2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Promover la obtención de recursos financieros, de cooperación nacional e internacional, para el cumplimiento del objeto y funciones del Fondo de Programas Especiales para la Paz. </w:t>
      </w:r>
    </w:p>
    <w:p w14:paraId="46AC36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7B25B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Las demás que le asigne la ley, el Gobierno nacional y el Director del Departamento Administrativo de la Presidencia de la República. </w:t>
      </w:r>
    </w:p>
    <w:p w14:paraId="2CA4A3AE" w14:textId="78FEA5EA"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53" w:name="ver_30052497"/>
      <w:bookmarkEnd w:id="353"/>
    </w:p>
    <w:p w14:paraId="432827F2" w14:textId="51E95E6B" w:rsidR="00E475BF"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2.2.2.1.3. Régimen jurídico de sus operaciones, actos y contratos. Los actos, operaciones, contratos y convenios que celebre el Director del Fondo de Programas Especiales para la Paz, en virtud de la delegación conferida por el Director del Departamento Administrativo de la Presidencia de la República, de conformidad con lo dispuesto en el Decreto 716 de 1994, así como en desarrollo de su objeto, sólo se someterán a las normas que rigen la contratación entre particulares, sin perjuicio de la inclusión de las cláusulas excepcionales contempladas en la Ley 80 de 1993 y las que las modifiquen y adicionen. </w:t>
      </w:r>
    </w:p>
    <w:p w14:paraId="00D80438" w14:textId="7A26878C" w:rsidR="004C2D57" w:rsidRPr="002B4D26" w:rsidRDefault="004C2D57" w:rsidP="00143180">
      <w:pPr>
        <w:spacing w:after="0" w:line="254" w:lineRule="atLeast"/>
        <w:jc w:val="both"/>
        <w:rPr>
          <w:rFonts w:ascii="Arial" w:eastAsia="Times New Roman" w:hAnsi="Arial" w:cs="Arial"/>
          <w:color w:val="000000" w:themeColor="text1"/>
          <w:sz w:val="20"/>
          <w:szCs w:val="20"/>
          <w:lang w:eastAsia="es-CO"/>
        </w:rPr>
      </w:pPr>
    </w:p>
    <w:p w14:paraId="332AF056" w14:textId="4C3FAF1E" w:rsidR="004C2D57" w:rsidRPr="002B4D26" w:rsidRDefault="004C2D57" w:rsidP="00143180">
      <w:pPr>
        <w:spacing w:after="0" w:line="254" w:lineRule="atLeast"/>
        <w:jc w:val="both"/>
        <w:rPr>
          <w:rFonts w:ascii="Arial" w:eastAsia="Times New Roman" w:hAnsi="Arial" w:cs="Arial"/>
          <w:color w:val="000000" w:themeColor="text1"/>
          <w:sz w:val="20"/>
          <w:szCs w:val="20"/>
          <w:lang w:eastAsia="es-CO"/>
        </w:rPr>
      </w:pPr>
      <w:r w:rsidRPr="002B4D26">
        <w:rPr>
          <w:rFonts w:ascii="Arial" w:eastAsia="Times New Roman" w:hAnsi="Arial" w:cs="Arial"/>
          <w:color w:val="000000" w:themeColor="text1"/>
          <w:sz w:val="20"/>
          <w:szCs w:val="20"/>
          <w:lang w:eastAsia="es-CO"/>
        </w:rPr>
        <w:t xml:space="preserve">(Ver conceptos: </w:t>
      </w:r>
      <w:hyperlink r:id="rId96" w:history="1">
        <w:r w:rsidR="00EB0D1D" w:rsidRPr="002B4D26">
          <w:rPr>
            <w:rStyle w:val="Hipervnculo"/>
            <w:rFonts w:ascii="Arial" w:eastAsia="Times New Roman" w:hAnsi="Arial" w:cs="Arial"/>
            <w:sz w:val="20"/>
            <w:szCs w:val="20"/>
            <w:lang w:eastAsia="es-CO"/>
          </w:rPr>
          <w:t>C-607 del 13/10/2020</w:t>
        </w:r>
      </w:hyperlink>
      <w:r w:rsidR="00EB0D1D" w:rsidRPr="002B4D26">
        <w:rPr>
          <w:rFonts w:ascii="Arial" w:eastAsia="Times New Roman" w:hAnsi="Arial" w:cs="Arial"/>
          <w:color w:val="000000" w:themeColor="text1"/>
          <w:sz w:val="20"/>
          <w:szCs w:val="20"/>
          <w:lang w:eastAsia="es-CO"/>
        </w:rPr>
        <w:t>)</w:t>
      </w:r>
    </w:p>
    <w:p w14:paraId="0057627A" w14:textId="328DED4F" w:rsidR="00E475BF" w:rsidRPr="00562064" w:rsidRDefault="00E475BF" w:rsidP="002B4D26">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54" w:name="ver_30052498"/>
      <w:bookmarkEnd w:id="354"/>
    </w:p>
    <w:p w14:paraId="3369975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2.2.2.1.4. Pagos. A partir de la vigencia del presente decreto, el Fondo de Programas Especiales para la Paz, atenderá la ejecución de los pagos de que trata el artículo 2º del Decreto 716 de 1994. </w:t>
      </w:r>
    </w:p>
    <w:p w14:paraId="74E0E21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45383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2.2.2.1.5. Transferencia de derechos y obligaciones contractuales. Los contratos o convenios que hayan sido perfeccionados con cargo al presupuesto de la Red de Solidaridad Social, que no correspondan a los objetivos y funciones de la Red de Solidaridad Social, de acuerdo a la Ley 368 de 1997 y al Decreto 1225 de 1997, serán cedidos al Departamento Administrativo de la Presidencia de la República, para lo cual se hará la nota de cesión en el texto de los contratos o convenios. </w:t>
      </w:r>
    </w:p>
    <w:p w14:paraId="6408BD8D" w14:textId="5C300AE7"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5CC78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55" w:name="ver_30167982"/>
      <w:bookmarkEnd w:id="355"/>
    </w:p>
    <w:p w14:paraId="085E6E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2.2.2.1.6. Gastos. Los gastos de viáticos y gastos de viaje que se generen con ocasión de las comisiones de servicios de funcionarios, del personal que se encuentre en comisión de servicios en el Departamento Administrativo de la Presidencia de la República y de contratistas que deban desarrollar o participar en actividades encaminadas a generar condiciones para entablar conversaciones, diálogos y firma de acuerdos con grupos alzados en armas que participen en el conflicto armado interno y/o relacionadas con los Acuerdos de Paz suscritos; serán cubiertos con cargo al rubro presupuestal 3-1- 1-11 - Fondo de Programas Especiales para la Paz: Programa Desmovilizados, Recursos Nación. </w:t>
      </w:r>
    </w:p>
    <w:p w14:paraId="29BAD3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19269D4C"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356" w:name="ver_30052500"/>
      <w:bookmarkEnd w:id="356"/>
      <w:r w:rsidRPr="00562064">
        <w:rPr>
          <w:rFonts w:ascii="Arial" w:eastAsia="Times New Roman" w:hAnsi="Arial" w:cs="Arial"/>
          <w:b/>
          <w:bCs/>
          <w:color w:val="000000" w:themeColor="text1"/>
          <w:lang w:eastAsia="es-CO"/>
        </w:rPr>
        <w:t>Título 3</w:t>
      </w:r>
    </w:p>
    <w:p w14:paraId="796D368F" w14:textId="74E15BA6"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Trámite para la integración de las correspondientes ternas de candidatos a magistrados de la Corte Constitucional por parte del Presidente de la República</w:t>
      </w:r>
    </w:p>
    <w:p w14:paraId="6DD316D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57" w:name="ver_30052501"/>
      <w:bookmarkEnd w:id="357"/>
    </w:p>
    <w:p w14:paraId="562113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2.2.3.1. Objeto. El presente Título tiene por objeto establecer el trámite para la integración de las ternas que corresponde conformar al Presidente de la República, con fundamento en lo dispuesto en los artículos 239 de la Constitución Política, 318 de la Ley 5ª de 1992 y 44 de la Ley 270 de 1996. </w:t>
      </w:r>
    </w:p>
    <w:p w14:paraId="1C9C439A" w14:textId="555D0275"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DA37A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58" w:name="ver_30052502"/>
      <w:bookmarkEnd w:id="358"/>
    </w:p>
    <w:p w14:paraId="1B969B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2.2.3.2. Calidades de los ternados. Las ternas de candidatos a magistrados de la Corte Constitucional que presente el Presidente de la República deberán estar integradas, cada una de ellas, por ciudadanos que cumplan con los requisitos constitucionales y legales para el cargo, cuidando que en aquellas se incluya por lo menos a una ciudadana colombiana, de acuerdo con lo dispuesto en el artículo 6° de la Ley 581 de 2000. </w:t>
      </w:r>
    </w:p>
    <w:p w14:paraId="7BD190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ADC8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la conformación de las ternas se observará que los candidatos aseguren probidad, independencia, idoneidad, carácter y solvencia académica y profesional. </w:t>
      </w:r>
    </w:p>
    <w:p w14:paraId="158B1EBD" w14:textId="6C343810"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59" w:name="ver_30052503"/>
      <w:bookmarkEnd w:id="359"/>
    </w:p>
    <w:p w14:paraId="1526F3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2.2.3.3. Invitación pública. Dentro de los 2 meses anteriores a la fecha cierta en que culminen los periodos de los magistrados de la Corte Constitucional que hayan sido postulados por el Presidente de la República, se invitará públicamente, mediante aviso que se publicará en un periódico de amplia circulación nacional, a quienes reúnan los requisitos establecidos en la Constitución Política y en la ley para tal cargo, con el fin de que dentro de los diez (10) días siguientes a la dicha publicación postulen su nombre allegando al Ministro de la Presidencia de la República su hoja de vida, con los soportes documentales que correspondan. </w:t>
      </w:r>
    </w:p>
    <w:p w14:paraId="125A5F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11BE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Una vez vencido el término señalado, el Ministro de la Presidencia de la República remitirá la lista al Presidente de la República quien podrá, dentro de los diez (10) días siguientes, incluir en el listado los nombres de cualesquiera otros ciudadanos. </w:t>
      </w:r>
    </w:p>
    <w:p w14:paraId="33C734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3075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En los casos de vacancia del cargo por razones distintas al cumplimiento del periodo respectivo y que le sean comunicadas al Presidente de la República, el tiempo de la publicación se reducirá a cinco (5) días, con el propósito de cumplir el término previsto en el artículo 44 de la Ley 270 de 1996. </w:t>
      </w:r>
    </w:p>
    <w:p w14:paraId="6A2425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93188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60" w:name="ver_30052504"/>
      <w:bookmarkEnd w:id="360"/>
    </w:p>
    <w:p w14:paraId="422116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2.2.3.4. Publicación de la lista definitiva. Una vez conformada la lista definitiva, esta se publicará en la página Web de la Presidencia de la República señalando expresamente si el candidato envió su hoja de vida según lo señalado en este Título o fue incluido por el Presidente de la República. Igualmente, se publicarán en este momento los criterios de selección que serán tenidos en cuenta para la valoración de las hojas de vida, así como la política de manejo de eventuales conflictos de intereses entre nominador y candidatos. </w:t>
      </w:r>
    </w:p>
    <w:p w14:paraId="0A61CD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03A1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Se creará un canal, a cargo de la Secretaría Jurídica de la Presidencia, para que los ciudadanos se pronuncien frente a los candidatos y se informará en medios de comunicación de amplia circulación la existencia del mismo. La ciudadanía contará con un término de diez (10) días contados a partir de la publicación de la lista definitiva para hacer llegar por escrito, de manera sustentada y a través del canal creado para este fin, las observaciones y apreciaciones que se consideren de interés respecto de los candidatos inscritos. </w:t>
      </w:r>
    </w:p>
    <w:p w14:paraId="574AD2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C82F6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Dentro del mismo término la Secretaría Jurídica de la Presidencia podrá solicitar la opinión de organizaciones ciudadanas, sociales, universitarias o académicas, sobre los nombres inscritos en la lista. </w:t>
      </w:r>
    </w:p>
    <w:p w14:paraId="7743BA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5841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Una vez vencido el término anterior, el Ministro de la Presidencia remitirá inmediatamente al Presidente de la República las observaciones y apreciaciones que le hayan sido presentadas por los ciudadanos, o le informará que aquellas no fueron presentadas. </w:t>
      </w:r>
    </w:p>
    <w:p w14:paraId="60E272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54B3B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26FC6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61" w:name="ver_30052505"/>
      <w:bookmarkEnd w:id="361"/>
    </w:p>
    <w:p w14:paraId="0CAD0E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2.2.3.5. Entrevista. Recibidas las observaciones y apreciaciones de los ciudadanos, el Presidente de la República podrá realizar entrevistas a los candidatos, caso en el cual se deberá establecer y divulgar previamente un mecanismo para la realización de las mismas que garantice equidad y transparencia. </w:t>
      </w:r>
    </w:p>
    <w:p w14:paraId="660E2D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6C7BC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62" w:name="ver_30052506"/>
      <w:bookmarkEnd w:id="362"/>
    </w:p>
    <w:p w14:paraId="2CD43245" w14:textId="79FAE445" w:rsidR="00E475BF"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2.2.3.6. Divulgación de la terna. Una vez el Presidente de la República elabore la terna, dará a conocer a la opinión pública a través de medios de amplia circulación los nombres de quienes la(s) integran y, posteriormente, por intermedio del Secretario Jurídico de la Presidencia, la(s) presentará al Senado de la República dentro del término legal que corresponda. </w:t>
      </w:r>
    </w:p>
    <w:p w14:paraId="29142666" w14:textId="0511F04C" w:rsidR="0051031E" w:rsidRDefault="0051031E" w:rsidP="00143180">
      <w:pPr>
        <w:spacing w:after="0" w:line="254" w:lineRule="atLeast"/>
        <w:jc w:val="both"/>
        <w:rPr>
          <w:rFonts w:ascii="Arial" w:eastAsia="Times New Roman" w:hAnsi="Arial" w:cs="Arial"/>
          <w:color w:val="000000" w:themeColor="text1"/>
          <w:lang w:eastAsia="es-CO"/>
        </w:rPr>
      </w:pPr>
    </w:p>
    <w:p w14:paraId="1C3C53E6" w14:textId="516B728C" w:rsidR="0051031E" w:rsidRDefault="0051031E" w:rsidP="00143180">
      <w:pPr>
        <w:spacing w:after="0" w:line="254" w:lineRule="atLeast"/>
        <w:jc w:val="both"/>
        <w:rPr>
          <w:rFonts w:ascii="Arial" w:eastAsia="Times New Roman" w:hAnsi="Arial" w:cs="Arial"/>
          <w:color w:val="000000" w:themeColor="text1"/>
          <w:lang w:eastAsia="es-CO"/>
        </w:rPr>
      </w:pPr>
    </w:p>
    <w:p w14:paraId="22165674" w14:textId="77777777" w:rsidR="0051031E" w:rsidRPr="00562064" w:rsidRDefault="0051031E" w:rsidP="00143180">
      <w:pPr>
        <w:spacing w:after="0" w:line="254" w:lineRule="atLeast"/>
        <w:jc w:val="both"/>
        <w:rPr>
          <w:rFonts w:ascii="Arial" w:eastAsia="Times New Roman" w:hAnsi="Arial" w:cs="Arial"/>
          <w:color w:val="000000" w:themeColor="text1"/>
          <w:lang w:eastAsia="es-CO"/>
        </w:rPr>
      </w:pPr>
    </w:p>
    <w:p w14:paraId="0F7F4F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29377F"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363" w:name="ver_30177737"/>
      <w:bookmarkEnd w:id="363"/>
      <w:r w:rsidRPr="00562064">
        <w:rPr>
          <w:rFonts w:ascii="Arial" w:eastAsia="Times New Roman" w:hAnsi="Arial" w:cs="Arial"/>
          <w:b/>
          <w:bCs/>
          <w:color w:val="000000" w:themeColor="text1"/>
          <w:lang w:eastAsia="es-CO"/>
        </w:rPr>
        <w:t>Título 4</w:t>
      </w:r>
    </w:p>
    <w:p w14:paraId="2242D02A"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Reglas de la convocatoria pública para la conformación de las ternas que debe presentar el Presidente de la República para la elección de los Magistrados de la Comisión Nacional de Disciplina Judicial</w:t>
      </w:r>
    </w:p>
    <w:p w14:paraId="30F5E3D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64" w:name="ver_30177738"/>
      <w:bookmarkStart w:id="365" w:name="ver_30106617"/>
      <w:bookmarkEnd w:id="364"/>
    </w:p>
    <w:p w14:paraId="4833B409" w14:textId="50088A08"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2.2.4.1. Objeto y ámbito de aplicación. El presente decreto tiene por objeto desarrollar, las reglas de la convocatoria pública previstas en la Ley 1904 de 2018, en lo que corresponda, a la conformación de la(s) terna(s)de los aspirantes que debe presentar el Presidente de la República para la elección de los Magistrados de la Comisión Nacional de Disciplina Judicial. </w:t>
      </w:r>
    </w:p>
    <w:p w14:paraId="028E95C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66" w:name="ver_30177739"/>
      <w:bookmarkStart w:id="367" w:name="ver_30106618"/>
      <w:bookmarkEnd w:id="365"/>
      <w:bookmarkEnd w:id="366"/>
    </w:p>
    <w:p w14:paraId="331421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2.2.4.2. Etapas para la conformación de la(s) terna(s). El proceso para la conformación de la(s) terna(s) de los aspirantes a ocupar el cargo de magistrado de la Comisión Nacional de Disciplina Judicial tendrá obligatoriamente las siguientes etapas: </w:t>
      </w:r>
    </w:p>
    <w:p w14:paraId="26496B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BA82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La convocatoria. </w:t>
      </w:r>
    </w:p>
    <w:p w14:paraId="332D44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9EB2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La inscripción. </w:t>
      </w:r>
    </w:p>
    <w:p w14:paraId="6521357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60C54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Lista de aspirantes que cumplen los requisitos. </w:t>
      </w:r>
    </w:p>
    <w:p w14:paraId="620D80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18CC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Pruebas. </w:t>
      </w:r>
    </w:p>
    <w:p w14:paraId="415EF6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275A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Criterios de selección. </w:t>
      </w:r>
    </w:p>
    <w:p w14:paraId="47CC56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0F59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Entrevista y, </w:t>
      </w:r>
    </w:p>
    <w:p w14:paraId="38D7C6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96DC1CF" w14:textId="72A42AD9"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La conformación de la(s) terna(s). </w:t>
      </w:r>
    </w:p>
    <w:p w14:paraId="52B0D3F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68" w:name="ver_30177740"/>
      <w:bookmarkStart w:id="369" w:name="ver_30106619"/>
      <w:bookmarkEnd w:id="367"/>
      <w:bookmarkEnd w:id="368"/>
    </w:p>
    <w:p w14:paraId="64C002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2.2.4.3. Convocatoria. La convocatoria pública, previa a la elección de los magistrados de la Comisión Nacional de Disciplina Judicial por el Congreso de la República en pleno, se hará por conducto del Departamento Administrativo de la Presidencia de la República y deberá cumplir con los requisitos y procedimientos establecidos en la Ley 1904 de 2018, en lo que corresponda. </w:t>
      </w:r>
    </w:p>
    <w:p w14:paraId="352C873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84C5B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convocatoria pública entendida como el aviso público para invitar a todos los ciudadanos interesados en participar en la convocatoria para la conformación de la(s) terna(s) de los aspirantes a ocupar el cargo de magistrado de la Comisión Nacional de Disciplina Judicial, corresponde efectuarla al Departamento Administrativo de la Presidencia de la República, en un término no inferior a dos (2) meses previos al vencimiento del periodo personal de ocho años del magistrado a reemplazar. </w:t>
      </w:r>
    </w:p>
    <w:p w14:paraId="7458027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62CF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la misma se designará la institución de educación superior, pública o privada encargada de adelantar la convocatoria y deberá contener como mínimo la siguiente información: </w:t>
      </w:r>
    </w:p>
    <w:p w14:paraId="3CB832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7C6E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Los factores que habrán de evaluarse. </w:t>
      </w:r>
    </w:p>
    <w:p w14:paraId="1DA0C2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57BD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Los criterios de ponderación que aseguren el acceso en igualdad de oportunidades a los aspirantes. </w:t>
      </w:r>
    </w:p>
    <w:p w14:paraId="300659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EAD04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Fecha de fijación, lugar, fecha y hora de inscripción y término para la misma. </w:t>
      </w:r>
    </w:p>
    <w:p w14:paraId="4E9055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1A5EE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Fecha de publicación de lista de admitidos y no admitidos. </w:t>
      </w:r>
    </w:p>
    <w:p w14:paraId="18B8C0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BFD73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Fecha, hora y lugar de las pruebas de conocimiento. </w:t>
      </w:r>
    </w:p>
    <w:p w14:paraId="14B0F5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D4C3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Trámite de reclamaciones y recursos procedentes. </w:t>
      </w:r>
    </w:p>
    <w:p w14:paraId="745646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CCE41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Fecha de la publicación de la(s) terna(s). </w:t>
      </w:r>
    </w:p>
    <w:p w14:paraId="7FBF243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DD74D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Los demás aspectos que se estimen pertinentes, que tengan relación con el proceso de conformación de la(s) terna(s) y aseguren la eficacia de la misma. </w:t>
      </w:r>
    </w:p>
    <w:p w14:paraId="77F54C29" w14:textId="6A6E6639"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877ABF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70" w:name="ver_30177741"/>
      <w:bookmarkStart w:id="371" w:name="ver_30106620"/>
      <w:bookmarkEnd w:id="369"/>
      <w:bookmarkEnd w:id="370"/>
    </w:p>
    <w:p w14:paraId="420D124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2.2.4.4. Inscripción. En esta etapa serán registrados los interesados en participar en la convocatoria para la conformación de la(s) terna(s) de aspirantes a ocupar el cargo de magistrado de la Comisión Nacional de Disciplina Judicial que cumplan los requisitos establecidos en la Constitución Política y en la ley, debiendo acompañar la hoja de vida del Sistema de Información y Gestión del Empleo Público junto con los soportes y acreditaciones de estudios y experiencia y los demás anexos, en la forma, términos y condiciones previstos en la convocatoria. </w:t>
      </w:r>
    </w:p>
    <w:p w14:paraId="0A83D9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3099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publicación de la convocatoria deberá efectuarse con no menos de diez (10) días calendario de anticipación a la fecha de inicio de inscripciones. Las inscripciones, hojas de vida, anexos o cualquier otro documento que se aporte de manera extemporánea serán rechazados, devueltos y no serán valorados, para ningún efecto. </w:t>
      </w:r>
    </w:p>
    <w:p w14:paraId="004C777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72" w:name="ver_30177742"/>
      <w:bookmarkStart w:id="373" w:name="ver_30106621"/>
      <w:bookmarkEnd w:id="371"/>
      <w:bookmarkEnd w:id="372"/>
    </w:p>
    <w:p w14:paraId="1090CC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2.2.4.5. Lista de aspirantes que cumplen los requisitos. Cerradas las inscripciones serán elaboradas la lista de aspirantes a la convocatoria pública; previa verificación del cumplimiento de requisitos por parte de la institución de educación superior, pública o privada encargada de adelantar el proceso de conformación de las ternas. </w:t>
      </w:r>
    </w:p>
    <w:p w14:paraId="1DFC7F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B9DB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información suministrada en desarrollo de la etapa de inscripción se entenderá aportada bajo la gravedad del juramento y, una vez efectuada la inscripción, no podrá ser modificada bajo ninguna circunstancia. </w:t>
      </w:r>
    </w:p>
    <w:p w14:paraId="471A31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EADC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aspirantes asumirán la responsabilidad de la veracidad de los datos consignados en el momento de la inscripción, así como de los documentos que acrediten el cumplimiento de requisitos. </w:t>
      </w:r>
    </w:p>
    <w:p w14:paraId="1ABDB42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74" w:name="ver_30177743"/>
      <w:bookmarkStart w:id="375" w:name="ver_30106622"/>
      <w:bookmarkEnd w:id="373"/>
      <w:bookmarkEnd w:id="374"/>
    </w:p>
    <w:p w14:paraId="7AB52B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2.2.4.6. Pruebas. Las pruebas de conocimiento se dirigen a establecer la capacidad, idoneidad y aptitud del aspirante frente al cargo. La valoración de los factores anteriores se realizará a través de pruebas de conocimiento objetivas, elaboradas por un establecimiento de educación superior público o privado debidamente acreditado y con enfoque en los ejes temáticos que giren en torno a las funciones del cargo. </w:t>
      </w:r>
    </w:p>
    <w:p w14:paraId="136176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1116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parámetros de ponderación estarán previamente establecidos en la convocatoria y la prueba es de carácter eliminatorio. </w:t>
      </w:r>
    </w:p>
    <w:p w14:paraId="4E435CE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76" w:name="ver_30177744"/>
      <w:bookmarkStart w:id="377" w:name="ver_30106623"/>
      <w:bookmarkEnd w:id="375"/>
      <w:bookmarkEnd w:id="376"/>
    </w:p>
    <w:p w14:paraId="0950E8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2.2.4.7. Criterios de selección. Los criterios de selección estarán dados como mínimo por la ponderación de las pruebas de conocimiento, la formación profesional, la experiencia, la competencia, la actividad docente, la entrevista, la publicación de libros o artículos científicos en el ámbito disciplinario y la aptitud específica para el ejercicio del cargo. </w:t>
      </w:r>
    </w:p>
    <w:p w14:paraId="0005D8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B4889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valoración de los estudios y experiencia que sobrepasen los requisitos del empleo, tendrán el valor que se fije en la convocatoria. </w:t>
      </w:r>
    </w:p>
    <w:p w14:paraId="28BE61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AA514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El establecimiento de educación superior que adelante proceso de conformación de ternas, integrará una lista de diez (10) elegibles, por cada terna a conformar, con las personas que hayan obtenido el mayor puntaje de la ponderación de los criterios que trata el presente artículo, cuyas hojas de vida serán publicadas en la página web de la Presidencia de la República, durante el término de cinco (5) días hábiles, donde se puedan recibir las observaciones que tenga la ciudadanía sobre los aspirantes. </w:t>
      </w:r>
    </w:p>
    <w:p w14:paraId="5B88B84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78" w:name="ver_30177745"/>
      <w:bookmarkStart w:id="379" w:name="ver_30106624"/>
      <w:bookmarkEnd w:id="377"/>
      <w:bookmarkEnd w:id="378"/>
    </w:p>
    <w:p w14:paraId="27127B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2.2.4.8. Entrevista. Una vez integrada la lista de los diez (10) elegibles, por cada terna a conformar, los funcionarios designados por el Presidente de la República realizarán entrevistas por separado y por el tiempo que señalen las reglas de la convocatoria. </w:t>
      </w:r>
    </w:p>
    <w:p w14:paraId="0140F87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80" w:name="ver_30177746"/>
      <w:bookmarkEnd w:id="379"/>
      <w:bookmarkEnd w:id="380"/>
    </w:p>
    <w:p w14:paraId="348853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2.2.4.9. La conformación de las ternas. Una vez vencido el término para observaciones de que trata el parágrafo 1° del artículo 2.2A.1 del presente decreto y surtidas las entrevistas, el Presidente de la República conformará la(s) terna(s) de los aspirantes para la elección de los Magistrados de la Comisión Nacional de Disciplina Judicial. </w:t>
      </w:r>
    </w:p>
    <w:p w14:paraId="6CF956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843528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81" w:name="ver_30177747"/>
      <w:bookmarkEnd w:id="381"/>
    </w:p>
    <w:p w14:paraId="59C29D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2.2.4.10. Envío de las ternas Congreso de la República. Cumplido el trámite descrito en el presente decreto, en la Ley 1904 de 2018, en lo que corresponda, o en la ley que se expida de conformidad con lo establecido en el inciso 4 del artículo 126 de la Constitución Política, el Presidente de la República remitirá la(s) terna(s) al Congreso de la República para la respectiva elección. </w:t>
      </w:r>
    </w:p>
    <w:p w14:paraId="1A1E2C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F3E34F" w14:textId="3F0D7B74"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82" w:name="ver_30177748"/>
      <w:bookmarkEnd w:id="382"/>
    </w:p>
    <w:p w14:paraId="7B6435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2.2.4.11. Reemplazo. En caso de presentarse alguna de las causales de falta absoluta o desistimiento respecto de alguno o varios de los seleccionados para conformar la(s) terna(s), el Presidente de la República elegirá su respectivo reemplazo entre la lista de admitidos a la convocatoria pública a que se refiere el artículo 2.2.4.6. del presente decreto”. </w:t>
      </w:r>
    </w:p>
    <w:p w14:paraId="4E55F3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6758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BB65D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3838608"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383" w:name="ver_30167983"/>
      <w:bookmarkEnd w:id="383"/>
      <w:r w:rsidRPr="00562064">
        <w:rPr>
          <w:rFonts w:ascii="Arial" w:eastAsia="Times New Roman" w:hAnsi="Arial" w:cs="Arial"/>
          <w:b/>
          <w:bCs/>
          <w:color w:val="000000" w:themeColor="text1"/>
          <w:lang w:eastAsia="es-CO"/>
        </w:rPr>
        <w:t>TÍTULO 5</w:t>
      </w:r>
    </w:p>
    <w:p w14:paraId="27B9B80D"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FUNCIONAMIENTO DE LAS INSTANCIAS DE EJECUCIÓN, COORDINACIÓN Y GESTIÓN DEL PROGRAMA NACIONAL INTEGRAL DE SUSTITUCIÓN DE CULTIVOS DE USO ILÍCITO (PNIS)</w:t>
      </w:r>
    </w:p>
    <w:p w14:paraId="1AD687B8"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1</w:t>
      </w:r>
    </w:p>
    <w:p w14:paraId="79DA5458" w14:textId="2BA518BF"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COMPOSICIÓN Y FUNCIONES DE LAS INSTANCIAS DE EJECUCIÓN DEL PNIS</w:t>
      </w:r>
      <w:bookmarkStart w:id="384" w:name="ver_30167984"/>
      <w:bookmarkEnd w:id="384"/>
    </w:p>
    <w:p w14:paraId="77B31F9E" w14:textId="77777777" w:rsidR="00187561" w:rsidRPr="00562064" w:rsidRDefault="00187561" w:rsidP="00187561">
      <w:pPr>
        <w:spacing w:after="0" w:line="293" w:lineRule="atLeast"/>
        <w:jc w:val="center"/>
        <w:rPr>
          <w:rFonts w:ascii="Arial" w:eastAsia="Times New Roman" w:hAnsi="Arial" w:cs="Arial"/>
          <w:b/>
          <w:bCs/>
          <w:color w:val="000000" w:themeColor="text1"/>
          <w:lang w:eastAsia="es-CO"/>
        </w:rPr>
      </w:pPr>
    </w:p>
    <w:p w14:paraId="47E2B3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2.2.5.1.1. Objeto e integración de la Junta de Direccionamiento Estratégico. Como escenario de diálogo, orientación, evaluación y monitoreo de la gestión e implementación del Programa Nacional Integral de Sustitución PNIS, en concordancia con el Acuerdo Final para la Terminación del Conflicto y la Construcción de una Paz Estable y Duradera, se constituirá una Junta de Direccionamiento Estratégico que tomará sus decisiones por consenso y estará integrada así:  </w:t>
      </w:r>
    </w:p>
    <w:p w14:paraId="5F016F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Cuatro Representantes del Gobierno nacional de alto nivel, designados por el Presidente de la República, uno de los cuales la presidirá; y  </w:t>
      </w:r>
    </w:p>
    <w:p w14:paraId="551EDE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Cuatro Representantes designados por el Consejo Nacional de Reincorporación, con el fin de propiciar el proceso de reincorporación de los miembros reincorpora</w:t>
      </w:r>
      <w:r w:rsidRPr="00562064">
        <w:rPr>
          <w:rFonts w:ascii="Arial" w:eastAsia="Times New Roman" w:hAnsi="Arial" w:cs="Arial"/>
          <w:color w:val="000000" w:themeColor="text1"/>
          <w:lang w:eastAsia="es-CO"/>
        </w:rPr>
        <w:softHyphen/>
        <w:t>dos o en proceso de reincorporación de las Farc-EP a través de la implementación del PNIS.  </w:t>
      </w:r>
    </w:p>
    <w:p w14:paraId="1C4DE1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título de invitados, cuando los miembros lo consideren pertinente, participará la Oficina de las Naciones Unidas contra la Droga y el Delito (UNODC), la Comisión Global de Drogas y a las personas o instituciones que se consideren de relevancia.  </w:t>
      </w:r>
    </w:p>
    <w:p w14:paraId="72D4CB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 Secretaría Técnica de la Junta de Direccionamiento Estratégico la ejercerá la Dirección para la Sustitución de Cultivos Ilícitos de la Alta Consejería Presidencial para el Posconflicto del Departamento Administrativo de la Presidencia de la República.  </w:t>
      </w:r>
    </w:p>
    <w:p w14:paraId="68855A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EF524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A9D4C7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85" w:name="ver_30167985"/>
      <w:bookmarkEnd w:id="385"/>
    </w:p>
    <w:p w14:paraId="6F8B27D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2.2.5.1.2. Funciones de la Junta de Direccionamiento Estratégico. La Junta de Direccionamiento Estratégico cumplirá las siguientes funciones:  </w:t>
      </w:r>
    </w:p>
    <w:p w14:paraId="4884BFF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Orientar la política estratégica del PNIS, según lo definido en el Acuerdo Final.  </w:t>
      </w:r>
    </w:p>
    <w:p w14:paraId="27C65F6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Impartir instrucciones a la Dirección General del PNIS para que desarrolle una adecuada coordinación con las entidades competentes y las comunidades, en la aplicación de los planes de sustitución y recuperación ambiental de las áreas afec</w:t>
      </w:r>
      <w:r w:rsidRPr="00562064">
        <w:rPr>
          <w:rFonts w:ascii="Arial" w:eastAsia="Times New Roman" w:hAnsi="Arial" w:cs="Arial"/>
          <w:color w:val="000000" w:themeColor="text1"/>
          <w:lang w:eastAsia="es-CO"/>
        </w:rPr>
        <w:softHyphen/>
        <w:t>tadas por cultivos de uso ilícito, incluyendo los Parques Nacionales Naturales.  </w:t>
      </w:r>
    </w:p>
    <w:p w14:paraId="004683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Aprobar la guía metodológica y protocolos de planeación participativa para el diseño de los Planes Integrales de Sustitución y Desarrollo Alternativo (PISDA).  </w:t>
      </w:r>
    </w:p>
    <w:p w14:paraId="2C356EF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Impartir, en coordinación con las entidades de Gobierno nacional competentes, las directrices en materia de integración de los PISDA a los Programas de De</w:t>
      </w:r>
      <w:r w:rsidRPr="00562064">
        <w:rPr>
          <w:rFonts w:ascii="Arial" w:eastAsia="Times New Roman" w:hAnsi="Arial" w:cs="Arial"/>
          <w:color w:val="000000" w:themeColor="text1"/>
          <w:lang w:eastAsia="es-CO"/>
        </w:rPr>
        <w:softHyphen/>
        <w:t>sarrollo con Enfoque Territorial (PDET), mediante los Planes de Acción para la Transformación Regional (PATR).  </w:t>
      </w:r>
    </w:p>
    <w:p w14:paraId="18EED6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Orientar y hacer seguimiento a la ejecución operativa y administrativa del PNIS.  </w:t>
      </w:r>
    </w:p>
    <w:p w14:paraId="1DAD42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Presentar a la Comisión para el Seguimiento, Impulso, Verificación e Implemen</w:t>
      </w:r>
      <w:r w:rsidRPr="00562064">
        <w:rPr>
          <w:rFonts w:ascii="Arial" w:eastAsia="Times New Roman" w:hAnsi="Arial" w:cs="Arial"/>
          <w:color w:val="000000" w:themeColor="text1"/>
          <w:lang w:eastAsia="es-CO"/>
        </w:rPr>
        <w:softHyphen/>
        <w:t>tación del Acuerdo Final (CSIVI) los informes de seguimiento y monitoreo del PNIS.  </w:t>
      </w:r>
    </w:p>
    <w:p w14:paraId="1AE851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Aprobar los reglamentos de funcionamiento de las instancias de coordinación y ejecución del PNIS propuestos por la Dirección General.  </w:t>
      </w:r>
    </w:p>
    <w:p w14:paraId="5D7FB0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Aprobar los territorios que serán priorizados para la ejecución del PNIS, en armo</w:t>
      </w:r>
      <w:r w:rsidRPr="00562064">
        <w:rPr>
          <w:rFonts w:ascii="Arial" w:eastAsia="Times New Roman" w:hAnsi="Arial" w:cs="Arial"/>
          <w:color w:val="000000" w:themeColor="text1"/>
          <w:lang w:eastAsia="es-CO"/>
        </w:rPr>
        <w:softHyphen/>
        <w:t>nía con el parágrafo 3° del artículo 7° del Decreto-ley 896 de 2017.  </w:t>
      </w:r>
    </w:p>
    <w:p w14:paraId="06AD6B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Impartir las directrices para incorporar los enfoques diferenciales, territoriales, étnicos y de género en el desarrollo del PNIS.  </w:t>
      </w:r>
    </w:p>
    <w:p w14:paraId="461349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Velar por la participación efectiva, amplia y pluralista de todos los actores del territorio, en los diferentes niveles territoriales, en el proceso de elaboración, ejecución, actualización seguimiento y evaluación del PNIS.  </w:t>
      </w:r>
    </w:p>
    <w:p w14:paraId="6CEB45D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Establecer el número y las organizaciones sociales de los territorios afectados por los cultivos de uso ilícito para integrar el Consejo Permanente de Dirección.  </w:t>
      </w:r>
    </w:p>
    <w:p w14:paraId="18E465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Solicitar a la Dirección General, cuando lo considere necesario, la convocatoria extraordinaria del Consejo Permanente de Dirección.  </w:t>
      </w:r>
    </w:p>
    <w:p w14:paraId="0D2582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Establecer orientaciones para la conformación y la puesta en marcha de los Consejos Asesores Territoriales.  </w:t>
      </w:r>
    </w:p>
    <w:p w14:paraId="73034B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Velar e impartir las directrices para que los acuerdos suscritos con las comunidades estén ajustados integralmente al PNIS.  </w:t>
      </w:r>
    </w:p>
    <w:p w14:paraId="6074AE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Aprobar la estrategia de comunicación del PNIS y los PISDA.  </w:t>
      </w:r>
    </w:p>
    <w:p w14:paraId="774974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16. Darse su propio reglamento de funcionamiento.  </w:t>
      </w:r>
    </w:p>
    <w:p w14:paraId="58172D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8C4235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86" w:name="ver_30167986"/>
      <w:bookmarkEnd w:id="386"/>
    </w:p>
    <w:p w14:paraId="678C67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2.2.5.1.3. Dirección General del PNIS. La Dirección General del PNIS estará a cargo del Director de la Dirección para la Sustitución de Cultivos Ilícitos de la Alta Consejería Presidencial para el Posconflicto del Departamento Administrativo de la Presidencia de la República, quien además de las funciones propias de su empleo, cumplirá las siguientes:  </w:t>
      </w:r>
    </w:p>
    <w:p w14:paraId="1059F1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Dirigir, planificar y coordinar el funcionamiento del PNIS.  </w:t>
      </w:r>
    </w:p>
    <w:p w14:paraId="659E39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Coordinar con las diferentes entidades del Gobierno nacional la implementación de los planes y proyectos relacionados con el PNIS, en las áreas afectadas por la presencia de cultivos de uso ilícito, incluidos los Parques Nacionales Naturales.  </w:t>
      </w:r>
    </w:p>
    <w:p w14:paraId="020C64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Diseñar los lineamientos de funcionamiento y puesta en marcha de los procesos necesarios para la adecuada implementación del PNIS en los territorios afectados por cultivos de uso ilícito bajo las directrices de la Junta de Direccionamiento Estratégico.  </w:t>
      </w:r>
    </w:p>
    <w:p w14:paraId="308124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Definir, en coordinación con las entidades competentes, el esquema general de se</w:t>
      </w:r>
      <w:r w:rsidRPr="00562064">
        <w:rPr>
          <w:rFonts w:ascii="Arial" w:eastAsia="Times New Roman" w:hAnsi="Arial" w:cs="Arial"/>
          <w:color w:val="000000" w:themeColor="text1"/>
          <w:lang w:eastAsia="es-CO"/>
        </w:rPr>
        <w:softHyphen/>
        <w:t>guimiento y evaluación a la ejecución de los planes y proyectos que se adelanten dentro del PNIS y de los PISDA.  </w:t>
      </w:r>
    </w:p>
    <w:p w14:paraId="65675E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Ejecutar las directrices de la Junta de Direccionamiento Estratégico en materia de integración de los PISDA a los Programas de Desarrollo con Enfoque Territorial (PDET), mediante los Planes de Acción para la Transformación Regional (PATR), en coordinación con las entidades competentes.  </w:t>
      </w:r>
    </w:p>
    <w:p w14:paraId="49A9EA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Planificar y ejecutar las actividades administrativas, financieras y presupuestales del PNIS.  </w:t>
      </w:r>
    </w:p>
    <w:p w14:paraId="16931D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Coordinar la estructuración y ejecución de los proyectos del PNIS en articulación con las comunidades rurales, agencias nacionales y entidades territoriales.  </w:t>
      </w:r>
    </w:p>
    <w:p w14:paraId="24EB49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Diseñar la guía metodológica y protocolos de planeación participativa para el diseño de los Planes Integrales de Sustitución y Desarrollo Alternativo, para su respectiva aprobación por parte de la Junta de Direccionamiento Estratégico.  </w:t>
      </w:r>
    </w:p>
    <w:p w14:paraId="7165AE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Elaborar informes periódicos sobre el avance del PNIS y los PISDA para segui</w:t>
      </w:r>
      <w:r w:rsidRPr="00562064">
        <w:rPr>
          <w:rFonts w:ascii="Arial" w:eastAsia="Times New Roman" w:hAnsi="Arial" w:cs="Arial"/>
          <w:color w:val="000000" w:themeColor="text1"/>
          <w:lang w:eastAsia="es-CO"/>
        </w:rPr>
        <w:softHyphen/>
        <w:t>miento, evaluación y ajustes al Programa.  </w:t>
      </w:r>
    </w:p>
    <w:p w14:paraId="64E29D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Presentar el proyecto de plan de ejecución presupuestal del PNIS a la Junta de Direccionamiento Estratégico para recibir recomendaciones y orientaciones.  </w:t>
      </w:r>
    </w:p>
    <w:p w14:paraId="64C750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Presentar la rendición de cuentas sobre el desarrollo del PNIS y los PISDA, ante las comunidades en el marco establecido por el Gobierno nacional.  </w:t>
      </w:r>
    </w:p>
    <w:p w14:paraId="4D6C3FF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Articular con las autoridades de seguridad competentes, la provisión de garan</w:t>
      </w:r>
      <w:r w:rsidRPr="00562064">
        <w:rPr>
          <w:rFonts w:ascii="Arial" w:eastAsia="Times New Roman" w:hAnsi="Arial" w:cs="Arial"/>
          <w:color w:val="000000" w:themeColor="text1"/>
          <w:lang w:eastAsia="es-CO"/>
        </w:rPr>
        <w:softHyphen/>
        <w:t>tías y condiciones de seguridad para las comunidades y territorios afectados por los cultivos de uso ilícito, según la concepción de seguridad contemplada en el Acuerdo Final.  </w:t>
      </w:r>
    </w:p>
    <w:p w14:paraId="4CDE07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Coordinar y articular con la Dirección para la Acción Integral contra Minas Anti</w:t>
      </w:r>
      <w:r w:rsidRPr="00562064">
        <w:rPr>
          <w:rFonts w:ascii="Arial" w:eastAsia="Times New Roman" w:hAnsi="Arial" w:cs="Arial"/>
          <w:color w:val="000000" w:themeColor="text1"/>
          <w:lang w:eastAsia="es-CO"/>
        </w:rPr>
        <w:softHyphen/>
        <w:t>personal-Descontamina Colombia, lo pertinente para el desminado humanitario, limpieza y descontaminación de los territorios donde se adelanten los acuerdos de sustitución de cultivos ilícitos.  </w:t>
      </w:r>
    </w:p>
    <w:p w14:paraId="7CD272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Celebrar los acuerdos con las comunidades y las autoridades territoriales, previa socialización, para la puesta en marcha del PNIS en los territorios, modificarlos o darlos por terminados cuando se incumpla alguno de estos acuerdos en alguna de sus partes por quienes los suscriban o cuando su ejecución contradiga lo dispuesto en el Acuerdo Final.  </w:t>
      </w:r>
    </w:p>
    <w:p w14:paraId="3071DB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Promover, en coordinación con las entidades competentes, proyectos de asocia</w:t>
      </w:r>
      <w:r w:rsidRPr="00562064">
        <w:rPr>
          <w:rFonts w:ascii="Arial" w:eastAsia="Times New Roman" w:hAnsi="Arial" w:cs="Arial"/>
          <w:color w:val="000000" w:themeColor="text1"/>
          <w:lang w:eastAsia="es-CO"/>
        </w:rPr>
        <w:softHyphen/>
        <w:t>tividad solidaria y capacitación técnica para el fortalecimiento de las organiza</w:t>
      </w:r>
      <w:r w:rsidRPr="00562064">
        <w:rPr>
          <w:rFonts w:ascii="Arial" w:eastAsia="Times New Roman" w:hAnsi="Arial" w:cs="Arial"/>
          <w:color w:val="000000" w:themeColor="text1"/>
          <w:lang w:eastAsia="es-CO"/>
        </w:rPr>
        <w:softHyphen/>
        <w:t>ciones sociales, comunitarias y cooperativas, en los territorios priorizados por el PNIS.  </w:t>
      </w:r>
    </w:p>
    <w:p w14:paraId="1B0139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16. Presentar para aprobación de la Junta de Direccionamiento Estratégico los regla</w:t>
      </w:r>
      <w:r w:rsidRPr="00562064">
        <w:rPr>
          <w:rFonts w:ascii="Arial" w:eastAsia="Times New Roman" w:hAnsi="Arial" w:cs="Arial"/>
          <w:color w:val="000000" w:themeColor="text1"/>
          <w:lang w:eastAsia="es-CO"/>
        </w:rPr>
        <w:softHyphen/>
        <w:t>mentos de funcionamiento de las instancias del PNIS.  </w:t>
      </w:r>
    </w:p>
    <w:p w14:paraId="190F2A5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17. Realizar las convocatorias a las siguientes instancias:  </w:t>
      </w:r>
    </w:p>
    <w:p w14:paraId="75D853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Al Consejo Permanente de Dirección a sesión ordinaria una vez al mes o de ma</w:t>
      </w:r>
      <w:r w:rsidRPr="00562064">
        <w:rPr>
          <w:rFonts w:ascii="Arial" w:eastAsia="Times New Roman" w:hAnsi="Arial" w:cs="Arial"/>
          <w:color w:val="000000" w:themeColor="text1"/>
          <w:lang w:eastAsia="es-CO"/>
        </w:rPr>
        <w:softHyphen/>
        <w:t>nera extraordinaria cuando se requiera.  </w:t>
      </w:r>
    </w:p>
    <w:p w14:paraId="06FAC9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A grupos temáticos en coordinación con el Consejo Permanente de Dirección cuando se considere necesario, así como recoger y analizar las conclusiones y propuestas sugeridas.  </w:t>
      </w:r>
    </w:p>
    <w:p w14:paraId="5E056E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A los Consejos Asesores Territoriales para su conformación y puesta en marcha, considerando las características de los territorios afectados por cultivos de uso ilícito.  </w:t>
      </w:r>
    </w:p>
    <w:p w14:paraId="117422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A las Asambleas Comunitarias establecidas por el Acuerdo Final para la construc</w:t>
      </w:r>
      <w:r w:rsidRPr="00562064">
        <w:rPr>
          <w:rFonts w:ascii="Arial" w:eastAsia="Times New Roman" w:hAnsi="Arial" w:cs="Arial"/>
          <w:color w:val="000000" w:themeColor="text1"/>
          <w:lang w:eastAsia="es-CO"/>
        </w:rPr>
        <w:softHyphen/>
        <w:t>ción participativa y desarrollo de los PISDA  </w:t>
      </w:r>
    </w:p>
    <w:p w14:paraId="2F5CEDD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A los actores nacionales e internacionales, públicos y privados, para fortalecer la implementación del PNIS.  </w:t>
      </w:r>
    </w:p>
    <w:p w14:paraId="1B1DC4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18. Establecer los criterios para la integración de los Consejos Municipales de Eva</w:t>
      </w:r>
      <w:r w:rsidRPr="00562064">
        <w:rPr>
          <w:rFonts w:ascii="Arial" w:eastAsia="Times New Roman" w:hAnsi="Arial" w:cs="Arial"/>
          <w:color w:val="000000" w:themeColor="text1"/>
          <w:lang w:eastAsia="es-CO"/>
        </w:rPr>
        <w:softHyphen/>
        <w:t>luación y Seguimiento, siguiendo las recomendaciones que para el efecto emita el respectivo Consejo Asesor Territorial.  </w:t>
      </w:r>
    </w:p>
    <w:p w14:paraId="60072E9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19. Promover, en coordinación con las entidades competentes, la veeduría ciudadana en los diferentes niveles territoriales para el seguimiento del PNIS.  </w:t>
      </w:r>
    </w:p>
    <w:p w14:paraId="0E9378D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20. Construir la estrategia de comunicación del PNIS y los PISDA para aprobación en la Junta de Direccionamiento Estratégico.  </w:t>
      </w:r>
    </w:p>
    <w:p w14:paraId="4A9011C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 Implementar las acciones afirmativas necesarias para garantizar la efectividad de los enfoques territorial, étnico, diferencial y de género en el PNIS.  </w:t>
      </w:r>
    </w:p>
    <w:p w14:paraId="1407875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 Gestionar ante los Fondos que el Gobierno nacional administre en relación con los recursos sobre sustitución de cultivos, conforme a las competencias legales y contractualmente asignadas, la asignación de los recursos que sean requeridos para la operación del PNIS.  </w:t>
      </w:r>
    </w:p>
    <w:p w14:paraId="7FDFF2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23. Solicitar a las entidades del orden nacional informes sobre la priorización de re</w:t>
      </w:r>
      <w:r w:rsidRPr="00562064">
        <w:rPr>
          <w:rFonts w:ascii="Arial" w:eastAsia="Times New Roman" w:hAnsi="Arial" w:cs="Arial"/>
          <w:color w:val="000000" w:themeColor="text1"/>
          <w:lang w:eastAsia="es-CO"/>
        </w:rPr>
        <w:softHyphen/>
        <w:t>cursos para el PNIS.  </w:t>
      </w:r>
    </w:p>
    <w:p w14:paraId="4D60D6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24. Garantizar la participación de las entidades del orden nacional en el PNIS, en desarrollo de lo dispuesto en el artículo 5° del Decreto-ley 896 de 2017.  </w:t>
      </w:r>
    </w:p>
    <w:p w14:paraId="170C70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20A825" w14:textId="41F3498E"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87" w:name="ver_30167987"/>
      <w:bookmarkEnd w:id="387"/>
    </w:p>
    <w:p w14:paraId="3CDF90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2.2.5.1.4. Objeto e integración del Consejo Permanente de Dirección. El Consejo Permanente de Dirección es una instancia de apoyo a la Dirección General del PNIS y estará integrada por:  </w:t>
      </w:r>
    </w:p>
    <w:p w14:paraId="67BCF7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Tres representantes del Gobierno nacional, designados por el director del PNIS, uno de los cuales la presidirá.  </w:t>
      </w:r>
    </w:p>
    <w:p w14:paraId="577ABE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Tres representantes designados por el Consejo Nacional de Reincorporación.  </w:t>
      </w:r>
    </w:p>
    <w:p w14:paraId="1AF67DB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Representantes de organizaciones sociales de los territorios afectados por los cul</w:t>
      </w:r>
      <w:r w:rsidRPr="00562064">
        <w:rPr>
          <w:rFonts w:ascii="Arial" w:eastAsia="Times New Roman" w:hAnsi="Arial" w:cs="Arial"/>
          <w:color w:val="000000" w:themeColor="text1"/>
          <w:lang w:eastAsia="es-CO"/>
        </w:rPr>
        <w:softHyphen/>
        <w:t>tivos de uso ilícito que serán elegidos por la Junta de Direccionamiento Estratégi</w:t>
      </w:r>
      <w:r w:rsidRPr="00562064">
        <w:rPr>
          <w:rFonts w:ascii="Arial" w:eastAsia="Times New Roman" w:hAnsi="Arial" w:cs="Arial"/>
          <w:color w:val="000000" w:themeColor="text1"/>
          <w:lang w:eastAsia="es-CO"/>
        </w:rPr>
        <w:softHyphen/>
        <w:t>co.  </w:t>
      </w:r>
    </w:p>
    <w:p w14:paraId="7D4194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Con el fin de garantizar la incorporación de los enfoques diferenciales, de género, étnico y territorial en las diferentes etapas de elaboración, ejecución, seguimiento y evaluación del PNIS, el Consejo Permanente de Dirección podrá consultar e invitar a este escenario a la Instancia Especial para el Seguimiento al Enfoque de Género y Garantía de los Derechos de la Mujeres y a la Instancia Especial de Alto Nivel de los Pueblos Étnicos, que hacen parte de la Comisión de Seguimiento, Impulso y Verificación a la Implementación del Acuerdo Final (CSIVI) o a los demás que estime conveniente.  </w:t>
      </w:r>
    </w:p>
    <w:p w14:paraId="389FC310" w14:textId="2D599E42"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88" w:name="ver_30167988"/>
      <w:bookmarkEnd w:id="388"/>
    </w:p>
    <w:p w14:paraId="640B11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2.2.5.1.5. Funciones del Consejo Permanente de Dirección. Son funciones del Consejo Permanente de Dirección las siguientes:  </w:t>
      </w:r>
    </w:p>
    <w:p w14:paraId="17B03F0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Apoyar, asesorar y recomendar a la Dirección General del PNIS en la formulación e implementación del PNIS.  </w:t>
      </w:r>
    </w:p>
    <w:p w14:paraId="5F6DEA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Asesorar a la Dirección General en la preparación del acercamiento y estrategias de entrada a los territorios, a través de análisis del entorno estratégico en el que se implementará el PNIS.  </w:t>
      </w:r>
    </w:p>
    <w:p w14:paraId="16C327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Proponer a la Dirección General del PNIS, con base en los criterios definidos en el parágrafo 3° del artículo 7° del Decreto-ley 896 de 2017, los territorios a ser priorizados para la implementación del PNIS.  </w:t>
      </w:r>
    </w:p>
    <w:p w14:paraId="57C6A0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Coadyuvar en el proceso de diseño y desarrollo de los planes integrales comunita</w:t>
      </w:r>
      <w:r w:rsidRPr="00562064">
        <w:rPr>
          <w:rFonts w:ascii="Arial" w:eastAsia="Times New Roman" w:hAnsi="Arial" w:cs="Arial"/>
          <w:color w:val="000000" w:themeColor="text1"/>
          <w:lang w:eastAsia="es-CO"/>
        </w:rPr>
        <w:softHyphen/>
        <w:t>rios y municipales de sustitución y desarrollo alternativo (PISDA) y recuperación ambiental de las áreas afectadas por cultivos de uso ilícito.  </w:t>
      </w:r>
    </w:p>
    <w:p w14:paraId="7A010E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Apoyar el reporte de situaciones que afecten la ejecución de los planes de sustitu</w:t>
      </w:r>
      <w:r w:rsidRPr="00562064">
        <w:rPr>
          <w:rFonts w:ascii="Arial" w:eastAsia="Times New Roman" w:hAnsi="Arial" w:cs="Arial"/>
          <w:color w:val="000000" w:themeColor="text1"/>
          <w:lang w:eastAsia="es-CO"/>
        </w:rPr>
        <w:softHyphen/>
        <w:t>ción acordados y las condiciones de seguridad.  </w:t>
      </w:r>
    </w:p>
    <w:p w14:paraId="15A4A4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Dar recomendaciones para el diseño de la guía metodológica y protocolos de planeación participativa para el diseño de los PISDA.  </w:t>
      </w:r>
    </w:p>
    <w:p w14:paraId="683C50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Promover, en coordinación con la Dirección General del PNIS, espacios de vee</w:t>
      </w:r>
      <w:r w:rsidRPr="00562064">
        <w:rPr>
          <w:rFonts w:ascii="Arial" w:eastAsia="Times New Roman" w:hAnsi="Arial" w:cs="Arial"/>
          <w:color w:val="000000" w:themeColor="text1"/>
          <w:lang w:eastAsia="es-CO"/>
        </w:rPr>
        <w:softHyphen/>
        <w:t>duría nacional y territoriales.  </w:t>
      </w:r>
    </w:p>
    <w:p w14:paraId="6CE586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Apoyar la efectiva implementación de las acciones con los enfoques territorial, étnico diferencial y de género, enmarcadas en el PNIS.  </w:t>
      </w:r>
    </w:p>
    <w:p w14:paraId="3C6EDC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 Secretaría Técnica del Consejo Permanente de Dirección la ejercerá la Dirección para la Sustitución de Cultivos Ilícitos de la Alta Consejería Presidencial para el Posconflicto del Departamento Administrativo de la Presidencia de la República.  </w:t>
      </w:r>
    </w:p>
    <w:p w14:paraId="04006F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FBE94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5DD0385" w14:textId="0485EBC4" w:rsidR="00E475BF" w:rsidRPr="00562064" w:rsidRDefault="00BB76F5" w:rsidP="00187561">
      <w:pPr>
        <w:spacing w:after="0" w:line="293" w:lineRule="atLeast"/>
        <w:jc w:val="center"/>
        <w:rPr>
          <w:rFonts w:ascii="Arial" w:eastAsia="Times New Roman" w:hAnsi="Arial" w:cs="Arial"/>
          <w:b/>
          <w:bCs/>
          <w:color w:val="000000" w:themeColor="text1"/>
          <w:lang w:eastAsia="es-CO"/>
        </w:rPr>
      </w:pPr>
      <w:bookmarkStart w:id="389" w:name="ver_30167989"/>
      <w:bookmarkEnd w:id="389"/>
      <w:r>
        <w:rPr>
          <w:rFonts w:ascii="Arial" w:eastAsia="Times New Roman" w:hAnsi="Arial" w:cs="Arial"/>
          <w:b/>
          <w:bCs/>
          <w:color w:val="000000" w:themeColor="text1"/>
          <w:lang w:eastAsia="es-CO"/>
        </w:rPr>
        <w:t>C</w:t>
      </w:r>
      <w:r w:rsidR="00E475BF" w:rsidRPr="00562064">
        <w:rPr>
          <w:rFonts w:ascii="Arial" w:eastAsia="Times New Roman" w:hAnsi="Arial" w:cs="Arial"/>
          <w:b/>
          <w:bCs/>
          <w:color w:val="000000" w:themeColor="text1"/>
          <w:lang w:eastAsia="es-CO"/>
        </w:rPr>
        <w:t>APÍTULO 2</w:t>
      </w:r>
    </w:p>
    <w:p w14:paraId="7ADCD4F6"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COMPOSICIÓN Y FUNCIONES DE LAS INSTANCIAS TERRITORIALES DE COORDINACIÓN Y GESTIÓN DEL PNIS</w:t>
      </w:r>
    </w:p>
    <w:p w14:paraId="0F700A4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90" w:name="ver_30167990"/>
      <w:bookmarkEnd w:id="390"/>
    </w:p>
    <w:p w14:paraId="5847FB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2.2.5.2.1. Consejos Asesores Territoriales. La Dirección del PNIS, previa orientación y aprobación de la Junta de Direccionamiento Estratégico, sin perjuicio de las funciones y competencias asignadas a las diferentes autoridades públicas, y en función de las necesidades, podrá convocar a los Consejos Asesores Territoriales que serán instancias de articulación entre los niveles nacional y territorial del PNIS.  </w:t>
      </w:r>
    </w:p>
    <w:p w14:paraId="5C89FF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Consejos Asesores Territoriales estarán compuestos por las autoridades nacionales, regionales y locales, representantes de las Farc-EP, reincorporados o en proceso de reincorporación a la vida civil, voceros o delegados de las comunidades que hacen parte de los Consejos Municipales de Planeación Participativa de los territorios afectados por la presencia de cultivos ilícitos y por la Dirección para la Sustitución de Cultivos de uso ilícito.  </w:t>
      </w:r>
    </w:p>
    <w:p w14:paraId="352D02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Junta de Direccionamiento Estratégico, definirá a partir de la conformación geográfica de los Consejos Asesores Territoriales, la forma como participarán los actores antes señalados, en ejercicio de la función señalada en el numeral 13 del artículo 2.2.5.1.2., del presente decreto.  </w:t>
      </w:r>
    </w:p>
    <w:p w14:paraId="1AB8EC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Consejos Asesores Territoriales serán conformados sin que estos necesariamente coincidan con la división político administrativa del país.  </w:t>
      </w:r>
    </w:p>
    <w:p w14:paraId="43647B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F448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3D6FD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2.2.5.2.2. Funciones de los Consejos Asesores Territoriales. Son funciones de los Consejos Asesores Territoriales las siguientes:  </w:t>
      </w:r>
    </w:p>
    <w:p w14:paraId="49C40A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Articular las orientaciones del PNIS con el nivel territorial, y recoger las iniciati</w:t>
      </w:r>
      <w:r w:rsidRPr="00562064">
        <w:rPr>
          <w:rFonts w:ascii="Arial" w:eastAsia="Times New Roman" w:hAnsi="Arial" w:cs="Arial"/>
          <w:color w:val="000000" w:themeColor="text1"/>
          <w:lang w:eastAsia="es-CO"/>
        </w:rPr>
        <w:softHyphen/>
        <w:t>vas municipales y locales, con el fin de dar recomendaciones para la construcción de los PISDA.  </w:t>
      </w:r>
    </w:p>
    <w:p w14:paraId="00CCC4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Apoyar en la identificación de necesidades y oportunidades territoriales para la formulación de los PISDA.  </w:t>
      </w:r>
    </w:p>
    <w:p w14:paraId="4A9E44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Promover la integración de los PISDA a los Planes de Acción para la Transforma</w:t>
      </w:r>
      <w:r w:rsidRPr="00562064">
        <w:rPr>
          <w:rFonts w:ascii="Arial" w:eastAsia="Times New Roman" w:hAnsi="Arial" w:cs="Arial"/>
          <w:color w:val="000000" w:themeColor="text1"/>
          <w:lang w:eastAsia="es-CO"/>
        </w:rPr>
        <w:softHyphen/>
        <w:t>ción Regional (PATR) como visión del territorio </w:t>
      </w:r>
    </w:p>
    <w:p w14:paraId="221F558B" w14:textId="77777777" w:rsidR="00187561" w:rsidRPr="00562064" w:rsidRDefault="00187561" w:rsidP="00143180">
      <w:pPr>
        <w:spacing w:after="0" w:line="254" w:lineRule="atLeast"/>
        <w:jc w:val="both"/>
        <w:rPr>
          <w:rFonts w:ascii="Arial" w:eastAsia="Times New Roman" w:hAnsi="Arial" w:cs="Arial"/>
          <w:color w:val="000000" w:themeColor="text1"/>
          <w:spacing w:val="45"/>
          <w:lang w:eastAsia="es-CO"/>
        </w:rPr>
      </w:pPr>
    </w:p>
    <w:p w14:paraId="22FCC7A4" w14:textId="234B7DA1"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2.2.5.2.3. Comisiones Municipales de Planeación Participativa. En cada municipio donde se desarrolle el Programa, la Comisión Municipal de Planeación Participativa será la instancia de coordinación entre las Asambleas Comunitarias y el PNIS, para la construcción de los PISDA, sin perjuicio de las funciones y competencias atribuidas a las diferentes autoridades públicas y estarán integradas por:  </w:t>
      </w:r>
    </w:p>
    <w:p w14:paraId="568391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Un (1) delegado de las comunidades por cada núcleo veredal, elegido en Asam</w:t>
      </w:r>
      <w:r w:rsidRPr="00562064">
        <w:rPr>
          <w:rFonts w:ascii="Arial" w:eastAsia="Times New Roman" w:hAnsi="Arial" w:cs="Arial"/>
          <w:color w:val="000000" w:themeColor="text1"/>
          <w:lang w:eastAsia="es-CO"/>
        </w:rPr>
        <w:softHyphen/>
        <w:t>blea Comunitaria.  </w:t>
      </w:r>
    </w:p>
    <w:p w14:paraId="108135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Un (1) delegado de la Dirección para la Sustitución de Cultivos Ilícitos.  </w:t>
      </w:r>
    </w:p>
    <w:p w14:paraId="47DBBC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Un (1) delegado de las Farc-EP reincorporado o en proceso de reincorporación a la vida civil.  </w:t>
      </w:r>
    </w:p>
    <w:p w14:paraId="53CB65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Un (1) delegado de la Alcaldía.  </w:t>
      </w:r>
    </w:p>
    <w:p w14:paraId="3D007F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Un (1) delegado del Departamento.  </w:t>
      </w:r>
    </w:p>
    <w:p w14:paraId="5723EE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Delegados, residentes en la zona, de las organizaciones sociales con presencia en el territorio.  </w:t>
      </w:r>
    </w:p>
    <w:p w14:paraId="32775C90" w14:textId="272176FC"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91" w:name="ver_30167993"/>
      <w:bookmarkEnd w:id="391"/>
    </w:p>
    <w:p w14:paraId="2826CA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2.2.5.2.4. Funciones de las Comisiones Municipales de Planeación Participativa. Son funciones de las Comisiones Municipales de Planeación Participativa las siguientes:  </w:t>
      </w:r>
    </w:p>
    <w:p w14:paraId="7335F6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Articular las diferentes propuestas de las Asambleas Comunitarias para construir el Plan Integral Comunitario y Municipal de Sustitución y Desarrollo Alternativo, PISDA.  </w:t>
      </w:r>
    </w:p>
    <w:p w14:paraId="784797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Articular con las autoridades locales y los Consejos Asesores Territoriales para la integración del PNIS a los Planes de Desarrollo Municipales y Departamentales, a los Planes de Ordenamiento y al PATR.  </w:t>
      </w:r>
    </w:p>
    <w:p w14:paraId="6D81CC4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Promover la participación de organizaciones sociales y los grupos poblacionales de los territorios afectados por cultivos de uso ilícito, con enfoque territorial, étnico y de género, en la planeación, ejecución, seguimiento y evaluación de los PISDA.  </w:t>
      </w:r>
    </w:p>
    <w:p w14:paraId="2785FC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Servir como canal de comunicación para la rendición de cuentas de forma perió</w:t>
      </w:r>
      <w:r w:rsidRPr="00562064">
        <w:rPr>
          <w:rFonts w:ascii="Arial" w:eastAsia="Times New Roman" w:hAnsi="Arial" w:cs="Arial"/>
          <w:color w:val="000000" w:themeColor="text1"/>
          <w:lang w:eastAsia="es-CO"/>
        </w:rPr>
        <w:softHyphen/>
        <w:t>dica a las Asambleas comunitarias sobre el desarrollo de los PISDA.  </w:t>
      </w:r>
    </w:p>
    <w:p w14:paraId="5A3D7C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Armonizar, de acuerdo con lo concertado en las Asambleas comunitarias, los tiempos para el cumplimiento de los compromisos mutuos por parte del Gobierno nacional y las comunidades en el marco del PNIS.  </w:t>
      </w:r>
    </w:p>
    <w:p w14:paraId="03DA7F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Mantener interlocución directa con los Consejos Asesores Territoriales en torno a la implementación del PNIS y el PISDA.  </w:t>
      </w:r>
    </w:p>
    <w:p w14:paraId="70692D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Integrar la visión municipal de las Asambleas Comunitarias para la articulación en los Consejos Asesores Territoriales.  </w:t>
      </w:r>
    </w:p>
    <w:p w14:paraId="0DF293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Socializar con las Asambleas comunitarias la visión de territorio emanada del Consejo Asesor Territorial.  </w:t>
      </w:r>
    </w:p>
    <w:p w14:paraId="2E10B96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Apoyar y asesorar a las Asambleas comunitarias en las cuales se diseñarán los planes concertados de sustitución y recuperación ambiental de las áreas afectadas por cultivos de uso ilícito.  </w:t>
      </w:r>
    </w:p>
    <w:p w14:paraId="6B835BC8" w14:textId="4EF4830F"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92" w:name="ver_30167995"/>
      <w:bookmarkEnd w:id="392"/>
    </w:p>
    <w:p w14:paraId="2965009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2.2.5.2.5. Objeto, funciones e integración de los Consejos Municipales de Evaluación y Seguimiento. El Consejo Municipal de Evaluación y Seguimiento es la instancia encargada de realizar el seguimiento y la evaluación de la ejecución y cumplimiento de los planes comunitarios y planes municipales de sustitución y desarrollo alternativo -PISDA y los Planes de Atención Inmediata (PAI), y presentar informes a las Asambleas Comunitarias, a las Comisiones Municipales de Planeación Participativa y al Consejo Asesor Territorial. Lo anterior sin perjuicio de las funciones y competencias atribuidas a las diferentes autoridades públicas.  </w:t>
      </w:r>
    </w:p>
    <w:p w14:paraId="22D481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Estarán conformados por delegados de las Asambleas comunitarias, delegados de las autoridades nacionales, departamentales y municipales, y delegados de las Farc-EP reincorporados o en proceso de reincorporación a la vida civil, según los criterios que para el efecto establezca la Dirección del PNIS, a partir de las recomendaciones del respectivo Consejo Asesor Territorial.  </w:t>
      </w:r>
    </w:p>
    <w:p w14:paraId="4D70C4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3B4207E"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393" w:name="ver_30167997"/>
      <w:bookmarkEnd w:id="393"/>
      <w:r w:rsidRPr="00562064">
        <w:rPr>
          <w:rFonts w:ascii="Arial" w:eastAsia="Times New Roman" w:hAnsi="Arial" w:cs="Arial"/>
          <w:b/>
          <w:bCs/>
          <w:color w:val="000000" w:themeColor="text1"/>
          <w:lang w:eastAsia="es-CO"/>
        </w:rPr>
        <w:t>CAPÍTULO 3</w:t>
      </w:r>
    </w:p>
    <w:p w14:paraId="204F4390"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COORDINACIÓN INTERINSTITUCIONAL DEL PNIS</w:t>
      </w:r>
    </w:p>
    <w:p w14:paraId="6F9E9D3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94" w:name="ver_30167999"/>
      <w:bookmarkEnd w:id="394"/>
    </w:p>
    <w:p w14:paraId="33031C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2.2.5.3.1. Coordinación interinstitucional del PNIS. Conforme a lo establecido en el artículo 5° del Decreto-ley 896 de 2017, la Dirección General del PNIS podrá citar, cuando lo considere pertinente, a las entidades del orden nacional que tengan alguna relación con el desarrollo del PNIS, para que brinden el apoyo que sea necesario, participen activamente en las actividades requeridas y suministren la información necesaria.  </w:t>
      </w:r>
    </w:p>
    <w:p w14:paraId="196C378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ello, en cumplimiento de la misma norma, la Dirección General del PNIS deberá solicitar a las entidades correspondientes la designación de un funcionario del más alto nivel, directivo o asesor y con poder de decisión para que sirva como su representante ante el PNIS.  </w:t>
      </w:r>
    </w:p>
    <w:p w14:paraId="679A0C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 todas las reuniones que se lleven a cabo se dejarán actas donde consten sucintamente el tema de la reunión, las consideraciones expuestas y la decisión tomada.  </w:t>
      </w:r>
    </w:p>
    <w:p w14:paraId="1BD502E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 igual forma, en la planeación presupuestal de las entidades convocadas por la Dirección del PNIS se deberá dejar constancia de las líneas presupuestales que en algún componente aporten al desarrollo del PNIS, con el fin de contabilizar los aportes que reciba, de manera general, todo el programa.  </w:t>
      </w:r>
    </w:p>
    <w:p w14:paraId="55DCA0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F98C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F8D26A2" w14:textId="6F2C5F55"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5100A6A"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395" w:name="ver_30052507"/>
      <w:bookmarkEnd w:id="395"/>
      <w:r w:rsidRPr="00562064">
        <w:rPr>
          <w:rFonts w:ascii="Arial" w:eastAsia="Times New Roman" w:hAnsi="Arial" w:cs="Arial"/>
          <w:b/>
          <w:bCs/>
          <w:color w:val="000000" w:themeColor="text1"/>
          <w:lang w:eastAsia="es-CO"/>
        </w:rPr>
        <w:t>PARTE 3</w:t>
      </w:r>
    </w:p>
    <w:p w14:paraId="336C5E33"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REGLAMENTARIAS ALUSIVAS A LAS ENTIDADES ADSCRITAS AL DEPARTAMENTO ADMINISTRATIVO DE LA PRESIDENCIA DE LA REPÚBLICA –SECTOR DESCENTRALIZADO-</w:t>
      </w:r>
    </w:p>
    <w:p w14:paraId="5F668E4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96" w:name="ver_30052508"/>
      <w:bookmarkEnd w:id="396"/>
    </w:p>
    <w:p w14:paraId="7C6C81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 Objeto: La Parte 3 de Libro 2 del presente Decreto compila las disposiciones reglamentarias expedidas por el señor Presidente de la República en ejercicio del numeral 11 de artículo 189 de la Constitución Política, que regulan, en lo pertinente, la actividad de las entidades del sector descentralizado que se encuentran adscritas al Departamento Administrativo de la Presidencia de la República. </w:t>
      </w:r>
    </w:p>
    <w:p w14:paraId="69C2FAEE"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397" w:name="ver_30052509"/>
      <w:bookmarkEnd w:id="397"/>
      <w:r w:rsidRPr="00562064">
        <w:rPr>
          <w:rFonts w:ascii="Arial" w:eastAsia="Times New Roman" w:hAnsi="Arial" w:cs="Arial"/>
          <w:b/>
          <w:bCs/>
          <w:color w:val="000000" w:themeColor="text1"/>
          <w:lang w:eastAsia="es-CO"/>
        </w:rPr>
        <w:t>Título 1</w:t>
      </w:r>
    </w:p>
    <w:p w14:paraId="782175C4"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Unidad Administrativa Especial para la Gestión del Riesgo de Desastres</w:t>
      </w:r>
    </w:p>
    <w:p w14:paraId="36AFE354"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1</w:t>
      </w:r>
    </w:p>
    <w:p w14:paraId="14B0E290"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Seguro contra accidentes de los miembros voluntarios de los organismos de socorro del Sistema Nacional de Gestión del Riesgo de Desastres.</w:t>
      </w:r>
    </w:p>
    <w:p w14:paraId="60F06801"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01D2E953"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Aspectos generales</w:t>
      </w:r>
    </w:p>
    <w:p w14:paraId="134DCB6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398" w:name="ver_30052510"/>
      <w:bookmarkEnd w:id="398"/>
    </w:p>
    <w:p w14:paraId="2A80F5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2.3.1.1.1.1. Seguro contra Accidentes. El Director General de la Unidad Nacional para la Gestión del Riesgo de Desastres adelantará, anualmente, los trámites legales para la selección del contratista y el perfeccionamiento y legalización de un contrato de seguro contra accidentes que ampare a los Miembros Voluntarios de los Organismos de Socorro que formen parte del Sistema Nacional de Gestión del Riesgo de Desastres, hasta el monto de los recursos que le hayan sido transferidos por el Fondo Nacional de Seguridad y Convivencia Ciudadana, FONSECON, para tal fin. </w:t>
      </w:r>
    </w:p>
    <w:p w14:paraId="5EDDFE39" w14:textId="145241A8" w:rsidR="00E475BF" w:rsidRPr="00562064" w:rsidRDefault="00E475BF" w:rsidP="0018756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399" w:name="ver_30052511"/>
      <w:bookmarkEnd w:id="399"/>
    </w:p>
    <w:p w14:paraId="056EC7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2.3.1.1.1.2. Organismos de socorro del Sistema Nacional de Gestión del Riesgo de Desastres. Son Organismos de Socorro del Sistema Nacional de Gestión del Riesgo de Desastres, la Cruz Roja Colombiana, la Defensa Civil Colombiana, los Cuerpos de Bomberos de Colombia y las demás organizaciones que estén registradas como miembros del Sistema en la Unidad Nacional para la Gestión del Riesgo de Desastres. </w:t>
      </w:r>
    </w:p>
    <w:p w14:paraId="05F57B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1866F9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00" w:name="ver_30052512"/>
      <w:bookmarkEnd w:id="400"/>
    </w:p>
    <w:p w14:paraId="6D74D0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2.3.1.1.1.3. Cobertura del seguro. El seguro de accidentes cubrirá como mínimo las siguientes contingencias, originadas en la prestación del servicio voluntario: desmembración, incapacidad total o parcial, permanente o transitoria, servicios médicos, rehabilitación física y funcional y suministro de prótesis. </w:t>
      </w:r>
    </w:p>
    <w:p w14:paraId="49995B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B5F8B51"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401" w:name="ver_30052513"/>
      <w:bookmarkEnd w:id="401"/>
      <w:r w:rsidRPr="00562064">
        <w:rPr>
          <w:rFonts w:ascii="Arial" w:eastAsia="Times New Roman" w:hAnsi="Arial" w:cs="Arial"/>
          <w:b/>
          <w:bCs/>
          <w:color w:val="000000" w:themeColor="text1"/>
          <w:lang w:eastAsia="es-CO"/>
        </w:rPr>
        <w:t>Sección 2</w:t>
      </w:r>
    </w:p>
    <w:p w14:paraId="3B705920"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Aspectos institucionales</w:t>
      </w:r>
    </w:p>
    <w:p w14:paraId="6017EB0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02" w:name="ver_30052514"/>
      <w:bookmarkEnd w:id="402"/>
    </w:p>
    <w:p w14:paraId="10A053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2.3.1.1.2.1. Recursos. Los recursos para la contratación del seguro contra accidentes de que trata el presente Capítulo serán aportados por el Fondo Nacional de Seguridad y Convivencia Ciudadana, FONSECON, creado por el artículo 122 de la Ley 418 de 1997, prorrogada y modificada por las Leyes 548 de 1999 y 782 de 2002. </w:t>
      </w:r>
    </w:p>
    <w:p w14:paraId="71B1D9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FE8E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recursos en mención ingresarán en una subcuenta del Fondo Nacional de Gestión del Riesgo de Desastres denominada Seguro Voluntario del Sistema Nacional de Gestión del Riesgo de Desastres, la cual será administrada por la Fiduciaria La Previsora S. A., en su calidad de representante legal del Fondo Nacional Gestión del Riesgo de Desastres. </w:t>
      </w:r>
    </w:p>
    <w:p w14:paraId="16A05C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11C22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efectos del traslado de los recursos del Fondo Nacional de Seguridad y Convivencia Ciudadana, FONSECON, al Fondo Nacional de Gestión del Riesgo de Desastres, bastará la solicitud escrita del el Director General de la Unidad Nacional para la Gestión del Riesgo de Desastres, debidamente sustentada. </w:t>
      </w:r>
    </w:p>
    <w:p w14:paraId="4F5861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ADEC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 cuantía del traslado será calculada por el Director General de la Unidad Nacional para la Gestión del Riesgo de Desastres teniendo en cuenta los estudios efectuados con los Organismos de Socorro del Sistema Nacional de Gestión del Riesgo de Desastres, las estadísticas y proyecciones de accidentalidad y el valor comercial promedio de la póliza en el mercado. </w:t>
      </w:r>
    </w:p>
    <w:p w14:paraId="075375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B7DB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73D60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03" w:name="ver_30052515"/>
      <w:bookmarkEnd w:id="403"/>
    </w:p>
    <w:p w14:paraId="51E715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2.3.1.1.2.2. Contratistas. El contrato de seguro contra accidentes de que trata el presente Capítulo podrá celebrarse con entidades públicas o privadas debidamente acreditadas por la Superintendencia Bancaria, cuyo objeto tenga inmediata relación con la constitución de seguros, sujetándose a los requisitos y formalidades que exige la ley para la contratación con el Fondo Nacional de Gestión del Riesgo de Desastres y a los procedimientos que en materia contable tiene este establecidos. </w:t>
      </w:r>
    </w:p>
    <w:p w14:paraId="292052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38327A"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404" w:name="ver_30052516"/>
      <w:bookmarkEnd w:id="404"/>
      <w:r w:rsidRPr="00562064">
        <w:rPr>
          <w:rFonts w:ascii="Arial" w:eastAsia="Times New Roman" w:hAnsi="Arial" w:cs="Arial"/>
          <w:b/>
          <w:bCs/>
          <w:color w:val="000000" w:themeColor="text1"/>
          <w:lang w:eastAsia="es-CO"/>
        </w:rPr>
        <w:t>Capítulo 2</w:t>
      </w:r>
    </w:p>
    <w:p w14:paraId="27F53BAD"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Procedimiento para la Expedición y actualización del Plan Nacional de Gestión del Riesgo</w:t>
      </w:r>
    </w:p>
    <w:p w14:paraId="05FF2F06"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29BB9E1F"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generales</w:t>
      </w:r>
    </w:p>
    <w:p w14:paraId="1DADD3CB"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Subsección 1</w:t>
      </w:r>
    </w:p>
    <w:p w14:paraId="30A2E5FE"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Objeto y alcance, ámbito de aplicación y principios</w:t>
      </w:r>
    </w:p>
    <w:p w14:paraId="745E138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05" w:name="ver_30052517"/>
      <w:bookmarkEnd w:id="405"/>
    </w:p>
    <w:p w14:paraId="5820A6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2.3.1.2.1.1.1. Objeto y alcance. El presente Capítulo tiene por objeto establecer el procedimiento para la expedición y actualización del Plan Nacional de Gestión del Riesgo, el cual será de obligatorio cumplimiento por parte de las entidades que integran el sistema nacional de gestión del riesgo de desastres, con el propósito de precisar en detalle las instancias que se deben considerar en la formulación, aprobación, adopción, ejecución, seguimiento y evaluación del Plan. </w:t>
      </w:r>
    </w:p>
    <w:p w14:paraId="779778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028DF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06" w:name="ver_30052518"/>
      <w:bookmarkEnd w:id="406"/>
    </w:p>
    <w:p w14:paraId="720E45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2.3.1.2.1.1.2. Ámbito de aplicación. El presente Capítulo se aplica a los integrantes del Sistema Nacional de Gestión del Riesgo de Desastres e instancias de dirección, orientación y coordinación que hacen parte del Sistema Nacional de Gestión del Riesgo de Desastres, contempladas en los artículos 8°, 9° y 15 de la Ley 1523 de 2012. </w:t>
      </w:r>
    </w:p>
    <w:p w14:paraId="288D45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2D13E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07" w:name="ver_30052519"/>
      <w:bookmarkEnd w:id="407"/>
    </w:p>
    <w:p w14:paraId="6F60D5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2.3.1.2.1.1.3. Principios generales y definiciones. La expedición y actualización del Plan Nacional de Gestión del Riesgo, observará en todo lo que sea pertinente, los principios generales que en materia de planeación establece la Ley 152 de 1994, así como los principios y definiciones establecidos en los artículos 3° y 4º de la Ley 1523 de 2012. </w:t>
      </w:r>
    </w:p>
    <w:p w14:paraId="70D9B7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919D0C8"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408" w:name="ver_30052520"/>
      <w:bookmarkEnd w:id="408"/>
      <w:r w:rsidRPr="00562064">
        <w:rPr>
          <w:rFonts w:ascii="Arial" w:eastAsia="Times New Roman" w:hAnsi="Arial" w:cs="Arial"/>
          <w:b/>
          <w:bCs/>
          <w:color w:val="000000" w:themeColor="text1"/>
          <w:lang w:eastAsia="es-CO"/>
        </w:rPr>
        <w:t>Sección 2</w:t>
      </w:r>
    </w:p>
    <w:p w14:paraId="0E6B50D1"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Plan Nacional de Gestión del Riesgo</w:t>
      </w:r>
    </w:p>
    <w:p w14:paraId="46081254"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Subsección 1</w:t>
      </w:r>
    </w:p>
    <w:p w14:paraId="3EB40764"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El Plan, Procesos y Estructura</w:t>
      </w:r>
    </w:p>
    <w:p w14:paraId="1B8C703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09" w:name="ver_30052521"/>
      <w:bookmarkEnd w:id="409"/>
    </w:p>
    <w:p w14:paraId="75BA46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2.3.1.2.2.1.1. El Plan Nacional de Gestión del Riesgo. Contendrá los objetivos, programas, acciones, responsables y presupuestos, mediante las cuales se ejecutarán los procesos de conocimiento del riesgo, reducción del riesgo y de manejo de desastres, en el marco de la planificación del desarrollo nacional. </w:t>
      </w:r>
    </w:p>
    <w:p w14:paraId="0627BA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D30B25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Plan Nacional de Gestión del Riesgo se formulará con una proyección de tres periodos constitucionales de gobierno a partir de su adopción. </w:t>
      </w:r>
    </w:p>
    <w:p w14:paraId="1036C8B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B5F4E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10" w:name="ver_30052522"/>
      <w:bookmarkEnd w:id="410"/>
    </w:p>
    <w:p w14:paraId="6380DF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2.3.1.2.2.1.2. Estructura del Plan. El Plan Nacional de Gestión del Riesgo contará con dos componentes: un componente general y un componente programático y de inversiones. </w:t>
      </w:r>
    </w:p>
    <w:p w14:paraId="1B891D8B" w14:textId="77777777" w:rsidR="00187561"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5DF333" w14:textId="683A317B"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2.3.1.2.2.1.3. Componente general. El componente general del Plan Nacional de Gestión del Riesgo deberá desarrollarse en el marco de los tres procesos de la gestión del riesgo e incorporará el enfoque de género y la adaptación al cambio climático, y contendrá: </w:t>
      </w:r>
    </w:p>
    <w:p w14:paraId="5447E1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A448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Los objetivos y metas nacionales y sectoriales de mediano y largo plazo, según resulte del diagnóstico general de la gestión del riesgo en el país; </w:t>
      </w:r>
    </w:p>
    <w:p w14:paraId="0D7270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5552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Las estrategias destinadas al logro de los objetivos propuestos; </w:t>
      </w:r>
    </w:p>
    <w:p w14:paraId="365195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D4F9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Los instrumentos de coordinación y armonización del Plan Nacional de Gestión del Riesgo con los procesos de planificación sectorial y territorial; </w:t>
      </w:r>
    </w:p>
    <w:p w14:paraId="6F84C85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07C5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Las directrices que orientarán la asignación y ejecución de los recursos del Fondo Nacional de Gestión del Riesgo. </w:t>
      </w:r>
    </w:p>
    <w:p w14:paraId="4926C8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EB7FE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11" w:name="ver_30052524"/>
      <w:bookmarkEnd w:id="411"/>
    </w:p>
    <w:p w14:paraId="2596A2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2.3.1.2.2.1.4. El componente programático y de inversiones. Definirá para cada una de las estrategias formuladas, los programas y los proyectos de inversión con indicación de sus objetivos y metas nacionales, sectoriales y territoriales, los responsables de su implementación, las fuentes de financiación y los recursos de inversión previstos para tal fin en el corto, mediano y largo plazo. </w:t>
      </w:r>
    </w:p>
    <w:p w14:paraId="1EE108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217A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Se incluirán presupuestos plurianuales cuando la proyección de los costos y fuentes de financiación de los principales programas y proyectos de inversión requieran para su ejecución más de una vigencia fiscal. </w:t>
      </w:r>
    </w:p>
    <w:p w14:paraId="75E284B7" w14:textId="70E820EB"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E0A5B1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12" w:name="ver_30052525"/>
      <w:bookmarkEnd w:id="412"/>
    </w:p>
    <w:p w14:paraId="3E5454F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2.3.1.2.2.1.5. Contenido del Plan. El Plan Nacional de Gestión del Riesgo contendrá como mínimo los siguientes elementos: </w:t>
      </w:r>
    </w:p>
    <w:p w14:paraId="444BA3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CB57D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Introducción y antecedentes del Plan. </w:t>
      </w:r>
    </w:p>
    <w:p w14:paraId="27F48D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BF461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Marco legal y conceptual de la gestión del riesgo de desastres en el país. </w:t>
      </w:r>
    </w:p>
    <w:p w14:paraId="193B5D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8873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El diagnóstico de la gestión del riesgo en el país, el cual contendrá: </w:t>
      </w:r>
    </w:p>
    <w:p w14:paraId="2ECAA76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845E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3.1. La identificación de los escenarios de riesgo de desastres incorporando la vulnerabilidad del país frente al cambio climático y el enfoque de género en los resultados del análisis y evaluación del riesgo existente. </w:t>
      </w:r>
    </w:p>
    <w:p w14:paraId="04209C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22F5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3.2. El estado de la inversión pública en gestión del riesgo: recursos programados, asignados e invertidos frente a los resultados obtenidos con la ejecución de los proyectos y acciones en gestión del riesgo de desastres en el país. </w:t>
      </w:r>
    </w:p>
    <w:p w14:paraId="42345A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9206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Componente general. </w:t>
      </w:r>
    </w:p>
    <w:p w14:paraId="15FD13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D4A1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Componente programático y de inversión. </w:t>
      </w:r>
    </w:p>
    <w:p w14:paraId="0040A4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B037D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Mecanismos de seguimiento y evaluación. </w:t>
      </w:r>
    </w:p>
    <w:p w14:paraId="5FE6DF5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CC408B"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413" w:name="ver_30052526"/>
      <w:bookmarkEnd w:id="413"/>
      <w:r w:rsidRPr="00562064">
        <w:rPr>
          <w:rFonts w:ascii="Arial" w:eastAsia="Times New Roman" w:hAnsi="Arial" w:cs="Arial"/>
          <w:b/>
          <w:bCs/>
          <w:color w:val="000000" w:themeColor="text1"/>
          <w:lang w:eastAsia="es-CO"/>
        </w:rPr>
        <w:t>Subsección 2</w:t>
      </w:r>
    </w:p>
    <w:p w14:paraId="08D515C0"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Formulación del plan nacional de gestión del riesgo</w:t>
      </w:r>
    </w:p>
    <w:p w14:paraId="71B026F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14" w:name="ver_30052527"/>
      <w:bookmarkEnd w:id="414"/>
    </w:p>
    <w:p w14:paraId="0DD39EC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2.3.1.2.2.2.1. Formulación. Consiste en el proceso secuencial y participativo por el cual se llevará a cabo la elaboración del Plan Nacional de Gestión del Riesgo. </w:t>
      </w:r>
    </w:p>
    <w:p w14:paraId="0A7E47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99651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Unidad Nacional para la Gestión del Riesgo de Desastres es la instancia encargada de elaborar el Plan Nacional de Gestión del Riesgo con los insumos provenientes de los comités nacionales de gestión del riesgo y de los consejos territoriales. Las etapas para llevar a cabo la formulación son: direccionamiento, consulta, sistematización y análisis y validación. </w:t>
      </w:r>
    </w:p>
    <w:p w14:paraId="06B612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3E522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15" w:name="ver_30052528"/>
      <w:bookmarkEnd w:id="415"/>
    </w:p>
    <w:p w14:paraId="44E30F1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2.3.1.2.2.2.2. Direccionamiento del Plan. La Unidad Nacional para la Gestión del Riesgo de Desastres será la encargada de elaborar un documento que contendrá las orientaciones para su formulación y la definición del tipo de plan que se requiere para el país, a partir de la articulación y sistematización de la información consolidada de la participación de los comités nacionales y ministerios. </w:t>
      </w:r>
    </w:p>
    <w:p w14:paraId="55C6CC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3D9097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16" w:name="ver_30052529"/>
      <w:bookmarkEnd w:id="416"/>
    </w:p>
    <w:p w14:paraId="084C6C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2.3.1.2.2.2.3. Consulta. La Unidad Nacional para la Gestión del Riesgo de Desastres facilitará los mecanismos de participación y consulta a los actores del Sistema Nacional de Gestión del Riesgo que en virtud de sus competencias, intervendrán en la formulación del Plan Nacional de Gestión del Riesgo, con el propósito de contribuir a la utilización de un mismo marco conceptual de la gestión del riesgo. </w:t>
      </w:r>
    </w:p>
    <w:p w14:paraId="76DAF2E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A6B9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consulta estará orientada al diseño y realización de talleres y reuniones sectoriales y territoriales con el propósito de precisar una propuesta concertada de los contenidos del componente general y del programático del Plan Nacional de Gestión del Riesgo. Los procesos de consulta se podrán apoyar a través del uso de estrategias de tecnologías de la información y comunicación cuando se considere necesario. </w:t>
      </w:r>
    </w:p>
    <w:p w14:paraId="159B9A43" w14:textId="1443BCC1"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79C61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17" w:name="ver_30052530"/>
      <w:bookmarkEnd w:id="417"/>
    </w:p>
    <w:p w14:paraId="13B070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2.3.1.2.2.2.4. Sistematización y análisis. Consiste en el procesamiento y análisis de las etapas de formulación del Plan Nacional de Gestión del Riesgo y los resultados de su implementación que se articulará con el sistema integrado de gestión de la Unidad Nacional para la Gestión del Riesgo de Desastres. </w:t>
      </w:r>
    </w:p>
    <w:p w14:paraId="72CCBE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D5B4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2.3.1.2.2.2.5. Validación de la propuesta. La Unidad Nacional para la Gestión del Riesgo de Desastres definirá el mecanismo de validación de la propuesta del Plan Nacional de Gestión del Riesgo, la cual, junto con los comités nacionales y consejos territoriales de gestión del riesgo realizarán la revisión, discusión y ajustes pertinentes. </w:t>
      </w:r>
    </w:p>
    <w:p w14:paraId="787D5B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2906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Director de la Unidad Nacional para la Gestión del Riesgo de Desastres, enviará la propuesta del Plan Nacional de Gestión del Riesgo al Departamento Nacional de Planeación y al Ministerio de Hacienda y Crédito Público para la revisión de los programas y proyectos de inversión que vayan a ser ejecutados, en desarrollo de los lineamientos del plan. </w:t>
      </w:r>
    </w:p>
    <w:p w14:paraId="4CFB20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BE8132"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418" w:name="ver_30052532"/>
      <w:bookmarkEnd w:id="418"/>
      <w:r w:rsidRPr="00562064">
        <w:rPr>
          <w:rFonts w:ascii="Arial" w:eastAsia="Times New Roman" w:hAnsi="Arial" w:cs="Arial"/>
          <w:b/>
          <w:bCs/>
          <w:color w:val="000000" w:themeColor="text1"/>
          <w:lang w:eastAsia="es-CO"/>
        </w:rPr>
        <w:t>Subsección 3</w:t>
      </w:r>
    </w:p>
    <w:p w14:paraId="616EFE01"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Aprobación, adopción y términos del plan nacional de gestión del riesgo</w:t>
      </w:r>
    </w:p>
    <w:p w14:paraId="7A1357F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19" w:name="ver_30052533"/>
      <w:bookmarkEnd w:id="419"/>
    </w:p>
    <w:p w14:paraId="532262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2.3.1.2.2.3.1. Aprobación del Plan. El Director General de la Unidad Nacional para la Gestión del Riesgo de Desastres enviará la propuesta del Plan Nacional de Gestión del Riesgo a cada uno de los integrantes del Consejo Nacional de Gestión del Riesgo, para que en un plazo no mayor a treinta (30) días calendario, realicen la respectiva revisión, análisis y sugerencias. </w:t>
      </w:r>
    </w:p>
    <w:p w14:paraId="693990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5F36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propuesta ajustada del Plan, será presentada al Consejo Nacional de Gestión del Riesgo de Desastres, en un término no superior a treinta (30) días, por el Director General de la Unidad Nacional para la Gestión del Riesgo de Desastres, para su aprobación. </w:t>
      </w:r>
    </w:p>
    <w:p w14:paraId="3FC7EF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BDCF2F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20" w:name="ver_30052534"/>
      <w:bookmarkEnd w:id="420"/>
    </w:p>
    <w:p w14:paraId="666107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2.3.1.2.2.3.2. Término para la adopción del Plan Nacional de Gestión del Riesgo. A partir de la publicación del presente Decreto se contará con un plazo de doce (12) meses para la formulación, aprobación y adopción del plan. </w:t>
      </w:r>
    </w:p>
    <w:p w14:paraId="337348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7A9444" w14:textId="77777777" w:rsidR="00E475BF" w:rsidRPr="00562064" w:rsidRDefault="00E475BF" w:rsidP="00187561">
      <w:pPr>
        <w:spacing w:after="0" w:line="293" w:lineRule="atLeast"/>
        <w:jc w:val="center"/>
        <w:rPr>
          <w:rFonts w:ascii="Arial" w:eastAsia="Times New Roman" w:hAnsi="Arial" w:cs="Arial"/>
          <w:b/>
          <w:bCs/>
          <w:color w:val="000000" w:themeColor="text1"/>
          <w:lang w:eastAsia="es-CO"/>
        </w:rPr>
      </w:pPr>
      <w:bookmarkStart w:id="421" w:name="ver_30052535"/>
      <w:bookmarkEnd w:id="421"/>
      <w:r w:rsidRPr="00562064">
        <w:rPr>
          <w:rFonts w:ascii="Arial" w:eastAsia="Times New Roman" w:hAnsi="Arial" w:cs="Arial"/>
          <w:b/>
          <w:bCs/>
          <w:color w:val="000000" w:themeColor="text1"/>
          <w:lang w:eastAsia="es-CO"/>
        </w:rPr>
        <w:t>Subsección 4</w:t>
      </w:r>
    </w:p>
    <w:p w14:paraId="33969A78" w14:textId="77777777" w:rsidR="00E475BF" w:rsidRPr="00562064" w:rsidRDefault="00E475BF" w:rsidP="0018756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Ejecución, Seguimiento y Evaluación</w:t>
      </w:r>
    </w:p>
    <w:p w14:paraId="33B0B60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22" w:name="ver_30052536"/>
      <w:bookmarkEnd w:id="422"/>
    </w:p>
    <w:p w14:paraId="7405CA09" w14:textId="5802AD6C"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2.3.1.2.2.4.1. Ejecución. El Plan Nacional de Gestión del Riesgo se ejecutará a través del desarrollo de los programas y proyectos definidos en el componente programático y de inversiones, los cuales deberán ser incorporados, para su ejecución, en los respectivos planes de acción y presupuestos institucionales de las entidades responsables.   </w:t>
      </w:r>
    </w:p>
    <w:p w14:paraId="1D249EA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23" w:name="ver_30052537"/>
      <w:bookmarkEnd w:id="423"/>
    </w:p>
    <w:p w14:paraId="20E634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2.3.1.2.2.4.2. Seguimiento y evaluación. La Unidad Nacional para la Gestión del Riesgo de Desastres con la orientación de los comités nacionales para la gestión del riesgo, diseñará la metodología para el seguimiento y evaluación a la ejecución del Plan Nacional de Gestión del Riesgo. </w:t>
      </w:r>
    </w:p>
    <w:p w14:paraId="4513C6D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p>
    <w:p w14:paraId="22BF6F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2.3.1.2.2.4.3. Responsables del seguimiento. La Unidad Nacional para la Gestión del Riesgo de Desastres será la responsable del seguimiento del Plan Nacional de Gestión del Riesgo y elaborará un informe semestral del estado de ejecución del plan. </w:t>
      </w:r>
    </w:p>
    <w:p w14:paraId="253031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4E456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Este seguimiento se realizará con base en la información de avance suministrada por cada uno de los comités nacionales, de las subdirecciones de gestión del riesgo de desastres y de los consejos territoriales de gestión del riesgo, a partir de un proceso previo de recolección de información con las entidades responsables de la ejecución de los proyectos de inversión y conforme a la metodología que para el efecto se establezca. </w:t>
      </w:r>
    </w:p>
    <w:p w14:paraId="06CD85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7BFF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proceso de seguimiento tendrá en cuenta el avance en el cumplimiento de los objetivos, de las metas y de la ejecución presupuestal de los diferentes proyectos. </w:t>
      </w:r>
    </w:p>
    <w:p w14:paraId="50FEC8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4D7DB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Copia de estos informes serán remitidos al Departamento Nacional de Planeación y al Ministerio de Hacienda y Crédito Público para su respectivo conocimiento y análisis. </w:t>
      </w:r>
    </w:p>
    <w:p w14:paraId="0CDC3A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CF3B2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24" w:name="ver_30052539"/>
      <w:bookmarkEnd w:id="424"/>
    </w:p>
    <w:p w14:paraId="351D0B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2.3.1.2.2.4.4. Evaluación del Plan. Este proceso tendrá en cuenta los resultados del cumplimiento de los objetivos, las metas y la ejecución presupuestal de los diferentes proyectos con base en los indicadores diseñados para el efecto y se medirá el impacto en función de los programas y de los objetivos de los procesos de la gestión del riesgo. </w:t>
      </w:r>
    </w:p>
    <w:p w14:paraId="6AE74305" w14:textId="77777777" w:rsidR="00672867" w:rsidRPr="00562064" w:rsidRDefault="00672867" w:rsidP="00143180">
      <w:pPr>
        <w:spacing w:after="0" w:line="293" w:lineRule="atLeast"/>
        <w:jc w:val="both"/>
        <w:rPr>
          <w:rFonts w:ascii="Arial" w:eastAsia="Times New Roman" w:hAnsi="Arial" w:cs="Arial"/>
          <w:color w:val="000000" w:themeColor="text1"/>
          <w:lang w:eastAsia="es-CO"/>
        </w:rPr>
      </w:pPr>
      <w:bookmarkStart w:id="425" w:name="ver_30052540"/>
      <w:bookmarkEnd w:id="425"/>
    </w:p>
    <w:p w14:paraId="269AA023" w14:textId="79C3E2F8" w:rsidR="00E475BF" w:rsidRPr="00562064" w:rsidRDefault="00E475BF" w:rsidP="00672867">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Subsección 5</w:t>
      </w:r>
    </w:p>
    <w:p w14:paraId="14FE1544" w14:textId="77777777" w:rsidR="00E475BF" w:rsidRPr="00562064" w:rsidRDefault="00E475BF" w:rsidP="00672867">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Actualización del Plan Nacional de Gestión del Riesgo</w:t>
      </w:r>
    </w:p>
    <w:p w14:paraId="72828E2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26" w:name="ver_30052541"/>
      <w:bookmarkEnd w:id="426"/>
    </w:p>
    <w:p w14:paraId="1594F7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2.3.1.2.2.5.1. Actualización. El Plan Nacional de Gestión del Riesgo podrá ajustarse de acuerdo a las necesidades y nuevos contextos en materia de gestión del riesgo de desastres y seguirá el mismo procedimiento establecido para su formulación y aprobación. </w:t>
      </w:r>
    </w:p>
    <w:p w14:paraId="0EF5B7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37B1D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actualizaciones permitirán ajustes y cambios en el componente programático y se realizarán cada cuatro (4) años conforme al plan nacional de desarrollo vigente. </w:t>
      </w:r>
    </w:p>
    <w:p w14:paraId="7EA92B02" w14:textId="45030BA1" w:rsidR="00E475BF" w:rsidRPr="00562064" w:rsidRDefault="00E475BF" w:rsidP="00672867">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27" w:name="ver_30052542"/>
      <w:bookmarkEnd w:id="427"/>
    </w:p>
    <w:p w14:paraId="3AE3E0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2.3.1.2.2.5.2. Actualización extraordinaria. El Plan Nacional de Gestión del Riesgo podrá someterse a actualizaciones extraordinarias, tanto en su componente general como en el programático cuando se presente una de las siguientes situaciones: </w:t>
      </w:r>
    </w:p>
    <w:p w14:paraId="53328E8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5939E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Modificaciones en el marco nacional e internacional sobre la política de gestión del riesgo de desastres; </w:t>
      </w:r>
    </w:p>
    <w:p w14:paraId="1B3EEC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0FF4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Modificaciones en la estructura del Estado y/o instituciones de gobierno que impliquen cambios en las competencias y responsabilidades de las mismas; </w:t>
      </w:r>
    </w:p>
    <w:p w14:paraId="7720E6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42521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Declaratoria de situación de desastre nacional. </w:t>
      </w:r>
    </w:p>
    <w:p w14:paraId="5F7AD4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9074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1CF64E6" w14:textId="77777777" w:rsidR="00E475BF" w:rsidRPr="00562064" w:rsidRDefault="00E475BF" w:rsidP="00672867">
      <w:pPr>
        <w:spacing w:after="0" w:line="293" w:lineRule="atLeast"/>
        <w:jc w:val="center"/>
        <w:rPr>
          <w:rFonts w:ascii="Arial" w:eastAsia="Times New Roman" w:hAnsi="Arial" w:cs="Arial"/>
          <w:b/>
          <w:bCs/>
          <w:color w:val="000000" w:themeColor="text1"/>
          <w:lang w:eastAsia="es-CO"/>
        </w:rPr>
      </w:pPr>
      <w:bookmarkStart w:id="428" w:name="ver_30052543"/>
      <w:bookmarkEnd w:id="428"/>
      <w:r w:rsidRPr="00562064">
        <w:rPr>
          <w:rFonts w:ascii="Arial" w:eastAsia="Times New Roman" w:hAnsi="Arial" w:cs="Arial"/>
          <w:b/>
          <w:bCs/>
          <w:color w:val="000000" w:themeColor="text1"/>
          <w:lang w:eastAsia="es-CO"/>
        </w:rPr>
        <w:t>Subsección 6</w:t>
      </w:r>
    </w:p>
    <w:p w14:paraId="5C5E833A" w14:textId="77777777" w:rsidR="00E475BF" w:rsidRPr="00562064" w:rsidRDefault="00E475BF" w:rsidP="00672867">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Financiamiento del Plan Nacional de Gestión del Riesgo</w:t>
      </w:r>
    </w:p>
    <w:p w14:paraId="30DD205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29" w:name="ver_30052544"/>
      <w:bookmarkEnd w:id="429"/>
    </w:p>
    <w:p w14:paraId="2E2E5C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2.3.1.2.2.6.1. Financiamiento del Plan. El Plan Nacional de Gestión del Riesgo contará con los recursos de financiación mediante los cuales se dará ejecución y cumplimiento a sus componentes general y programático con el fin de lograr una incidencia sectorial en la ejecución de proyectos del orden nacional y territorial. </w:t>
      </w:r>
    </w:p>
    <w:p w14:paraId="438D821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C558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Los recursos del Fondo Nacional de Gestión del Riesgo de Desastres se orientarán, asignarán y ejecutarán con base en las directrices que establezca el Plan Nacional de Gestión del Riesgo y con las previsiones especiales que contemplen los planes de acción específicos para la rehabilitación, reconstrucción y recuperación. </w:t>
      </w:r>
    </w:p>
    <w:p w14:paraId="7BF012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F5F8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Las entidades del orden nacional, regional, departamental, distrital y municipal, incluirán en sus presupuestos anuales y, en adelante, las partidas presupuestales que sean necesarias para la realización de las tareas que le competen en materia de conocimiento y reducción de riesgos y de manejo de desastres. </w:t>
      </w:r>
    </w:p>
    <w:p w14:paraId="4E51E4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624019" w14:textId="77777777" w:rsidR="00E475BF" w:rsidRPr="00562064" w:rsidRDefault="00E475BF" w:rsidP="00672867">
      <w:pPr>
        <w:spacing w:after="0" w:line="293" w:lineRule="atLeast"/>
        <w:jc w:val="center"/>
        <w:rPr>
          <w:rFonts w:ascii="Arial" w:eastAsia="Times New Roman" w:hAnsi="Arial" w:cs="Arial"/>
          <w:b/>
          <w:bCs/>
          <w:color w:val="000000" w:themeColor="text1"/>
          <w:lang w:eastAsia="es-CO"/>
        </w:rPr>
      </w:pPr>
      <w:bookmarkStart w:id="430" w:name="ver_30052545"/>
      <w:bookmarkEnd w:id="430"/>
      <w:r w:rsidRPr="00562064">
        <w:rPr>
          <w:rFonts w:ascii="Arial" w:eastAsia="Times New Roman" w:hAnsi="Arial" w:cs="Arial"/>
          <w:b/>
          <w:bCs/>
          <w:color w:val="000000" w:themeColor="text1"/>
          <w:lang w:eastAsia="es-CO"/>
        </w:rPr>
        <w:t>Sección 7</w:t>
      </w:r>
    </w:p>
    <w:p w14:paraId="2D41C5AA" w14:textId="77777777" w:rsidR="00E475BF" w:rsidRPr="00562064" w:rsidRDefault="00E475BF" w:rsidP="00672867">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generales</w:t>
      </w:r>
    </w:p>
    <w:p w14:paraId="4F48E8A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31" w:name="ver_30052546"/>
      <w:bookmarkEnd w:id="431"/>
    </w:p>
    <w:p w14:paraId="3B11CC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2.3.1.2.2.7.1. Apoyo y asesoría técnica. Para la elaboración del Plan Nacional de Gestión del Riesgo contará con la asesoría técnica, apoyo y la participación de las entidades del Sistema Nacional para la Gestión del Riesgo de Desastres. </w:t>
      </w:r>
    </w:p>
    <w:p w14:paraId="34D654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5DEC89" w14:textId="77777777" w:rsidR="00E475BF" w:rsidRPr="00562064" w:rsidRDefault="00E475BF" w:rsidP="00672867">
      <w:pPr>
        <w:spacing w:after="0" w:line="293" w:lineRule="atLeast"/>
        <w:jc w:val="center"/>
        <w:rPr>
          <w:rFonts w:ascii="Arial" w:eastAsia="Times New Roman" w:hAnsi="Arial" w:cs="Arial"/>
          <w:b/>
          <w:bCs/>
          <w:color w:val="000000" w:themeColor="text1"/>
          <w:lang w:eastAsia="es-CO"/>
        </w:rPr>
      </w:pPr>
      <w:bookmarkStart w:id="432" w:name="ver_30052547"/>
      <w:bookmarkEnd w:id="432"/>
      <w:r w:rsidRPr="00562064">
        <w:rPr>
          <w:rFonts w:ascii="Arial" w:eastAsia="Times New Roman" w:hAnsi="Arial" w:cs="Arial"/>
          <w:b/>
          <w:bCs/>
          <w:color w:val="000000" w:themeColor="text1"/>
          <w:lang w:eastAsia="es-CO"/>
        </w:rPr>
        <w:t>Capítulo 3</w:t>
      </w:r>
    </w:p>
    <w:p w14:paraId="4A480F99" w14:textId="77777777" w:rsidR="00E475BF" w:rsidRPr="00562064" w:rsidRDefault="00E475BF" w:rsidP="00672867">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Eliminación de la Comisión Intersectorial para la Zona de Influencia del Volcán Galeras</w:t>
      </w:r>
    </w:p>
    <w:p w14:paraId="498B338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33" w:name="ver_30052548"/>
      <w:bookmarkEnd w:id="433"/>
    </w:p>
    <w:p w14:paraId="7C449E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2.3.1.3.1. Derogatoria. Deróguese el Decreto número 4046 de 2005, “por el cual se crea la Comisión Intersectorial para la Zona de Influencia del Volcán Galeras”. </w:t>
      </w:r>
    </w:p>
    <w:p w14:paraId="7135EEDD" w14:textId="20E20039" w:rsidR="00E475BF" w:rsidRPr="00562064" w:rsidRDefault="00E475BF" w:rsidP="00672867">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34" w:name="ver_30052549"/>
      <w:bookmarkEnd w:id="434"/>
    </w:p>
    <w:p w14:paraId="3D1999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2.3.1.3.2. Coordinación. La Unidad Nacional para la Gestión del Riesgo de Desastres, en ejercicio de sus facultades y en el ámbito de sus competencias, coordinará con los entes territoriales de la zona, las acciones que se deben implementar en el proceso integral de gestión del riesgo en la Zona de Amenaza Alta del Volcán Galeras ZAVA. </w:t>
      </w:r>
    </w:p>
    <w:p w14:paraId="19162739" w14:textId="192F514B" w:rsidR="00E475BF" w:rsidRPr="00562064" w:rsidRDefault="00E475BF" w:rsidP="00672867">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35" w:name="ver_30052550"/>
      <w:bookmarkEnd w:id="435"/>
    </w:p>
    <w:p w14:paraId="43061584" w14:textId="3BB10ED6"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2.3.1.3.3. Comunicación. Comuníquese el presente decreto al Instituto Geográfico Agustín Codazzi, al Servicio Geológico Colombiano y a la Unidad Nacional para la Gestión del Riesgo de Desastres. </w:t>
      </w:r>
    </w:p>
    <w:p w14:paraId="17A33DD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36" w:name="ver_30052551"/>
      <w:bookmarkEnd w:id="436"/>
    </w:p>
    <w:p w14:paraId="1CEE60FD" w14:textId="3091AFCF"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2.3.1.3.4. Entrega de documentos. El Ministerio de Vivienda, Ciudad y Territorio, escindido del Ministerio de Ambiente, Vivienda y Desarrollo Territorial, que ejercía la Secretaría Técnica de la Comisión Intersectorial para la Zona de Influencia del Volcán Galeras, remitirá las actas y demás documentos que reposen en sus archivos relacionados con la mencionada Comisión Intersectorial, a la Unidad Nacional para la Gestión del Riesgo de Desastres. </w:t>
      </w:r>
    </w:p>
    <w:p w14:paraId="000B791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37" w:name="ver_30052552"/>
      <w:bookmarkEnd w:id="437"/>
    </w:p>
    <w:p w14:paraId="5332380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2.3.1.3.5. Vigencia. El Decreto 1027 de 2014 derogó el Decreto 4046 de 2005. </w:t>
      </w:r>
    </w:p>
    <w:p w14:paraId="489B82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43B5F3" w14:textId="77777777" w:rsidR="00E475BF" w:rsidRPr="00562064" w:rsidRDefault="00E475BF" w:rsidP="00672867">
      <w:pPr>
        <w:spacing w:after="0" w:line="293" w:lineRule="atLeast"/>
        <w:jc w:val="center"/>
        <w:rPr>
          <w:rFonts w:ascii="Arial" w:eastAsia="Times New Roman" w:hAnsi="Arial" w:cs="Arial"/>
          <w:b/>
          <w:bCs/>
          <w:color w:val="000000" w:themeColor="text1"/>
          <w:lang w:eastAsia="es-CO"/>
        </w:rPr>
      </w:pPr>
      <w:bookmarkStart w:id="438" w:name="ver_30052553"/>
      <w:bookmarkEnd w:id="438"/>
      <w:r w:rsidRPr="00562064">
        <w:rPr>
          <w:rFonts w:ascii="Arial" w:eastAsia="Times New Roman" w:hAnsi="Arial" w:cs="Arial"/>
          <w:b/>
          <w:bCs/>
          <w:color w:val="000000" w:themeColor="text1"/>
          <w:lang w:eastAsia="es-CO"/>
        </w:rPr>
        <w:t>Capítulo 4</w:t>
      </w:r>
    </w:p>
    <w:p w14:paraId="7BA82016" w14:textId="77777777" w:rsidR="00E475BF" w:rsidRPr="00562064" w:rsidRDefault="00E475BF" w:rsidP="00672867">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Subcuenta Departamento Archipiélago de San Andrés, Providencia y Santa Catalina</w:t>
      </w:r>
    </w:p>
    <w:p w14:paraId="7BE3F316" w14:textId="77777777" w:rsidR="00E475BF" w:rsidRPr="00562064" w:rsidRDefault="00E475BF" w:rsidP="00672867">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72F18003" w14:textId="77777777" w:rsidR="00E475BF" w:rsidRPr="00562064" w:rsidRDefault="00E475BF" w:rsidP="00672867">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Reglamentación de la Subcuenta Departamento Archipiélago de San Andrés, Providencia y Santa Catalina</w:t>
      </w:r>
    </w:p>
    <w:p w14:paraId="35C8D805" w14:textId="77777777" w:rsidR="00E475BF" w:rsidRPr="00562064" w:rsidRDefault="00E475BF" w:rsidP="00672867">
      <w:pPr>
        <w:spacing w:after="0" w:line="240" w:lineRule="auto"/>
        <w:jc w:val="center"/>
        <w:rPr>
          <w:rFonts w:ascii="Arial" w:eastAsia="Times New Roman" w:hAnsi="Arial" w:cs="Arial"/>
          <w:b/>
          <w:bCs/>
          <w:color w:val="000000" w:themeColor="text1"/>
          <w:lang w:eastAsia="es-CO"/>
        </w:rPr>
      </w:pPr>
      <w:bookmarkStart w:id="439" w:name="ver_30052554"/>
      <w:bookmarkEnd w:id="439"/>
    </w:p>
    <w:p w14:paraId="751405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2.3.1.4.1.1. Financiación de programas estratégicos y proyectos de inversión. De conformidad con el artículo 98 de la Ley 1737 de 2014, podrán financiarse, con cargo a la Subcuenta Departamento Archipiélago de San Andrés, Providencia y Santa Catalina del Fondo Nacional para la Gestión del Riesgo de Desastres, los programas estratégicos para el mejoramiento de las condiciones de transporte, comercio, industria y turismo del Archipiélago; el desarrollo de la agricultura, pesca y acuicultura; apoyo al desarrollo social de las poblaciones ubicadas en este departamento fronterizo, en especial para el fortalecimiento de los sectores de educación, cultura, deporte y el desarrollo psicosocial de los niños, niñas y adolescentes del departamento; apoyo a la producción de insumos para la elaboración de un plan de ordenamiento territorial de carácter diferencial; mejoramiento de las condiciones en materia de habitabilidad, agua potable y saneamiento básico; desarrollo de la capacidad de generación de empleo e ingresos; implementación de líneas especiales de crédito para los habitantes; otorgamiento de apoyos destinados a incentivar la demanda con el fin de fomentar el desarrollo económico y turístico y de mejorar las condiciones de seguridad en el Departamento, y; financiamiento de proyectos de inversión para el desarrollo económico y social en el Departamento Archipiélago de San Andrés, Providencia y Santa Catalina, de conformidad con lo establecido por el Gobierno nacional. </w:t>
      </w:r>
    </w:p>
    <w:p w14:paraId="10C5F190" w14:textId="1292F599" w:rsidR="00E475BF" w:rsidRPr="00562064" w:rsidRDefault="00E475BF" w:rsidP="00672867">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40" w:name="ver_30052555"/>
      <w:bookmarkEnd w:id="440"/>
    </w:p>
    <w:p w14:paraId="14D0CE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2.3.1.4.1.2. Gestión del Riesgo. La Subcuenta Departamento Archipiélago de San Andrés, Providencia y Santa Catalina del Fondo Nacional de Gestión del Riesgo de Desastres se regirá con sujeción a las disposiciones de la Ley 1523 de 2012. </w:t>
      </w:r>
    </w:p>
    <w:p w14:paraId="299465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8B82E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41" w:name="ver_30052556"/>
      <w:bookmarkEnd w:id="441"/>
    </w:p>
    <w:p w14:paraId="732A51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2.3.1.4.1.3. Temporalidad y cuantía. La duración y cuantía del apoyo a la financiación de los programas y proyectos de inversión estarán definidas por las necesidades de la población del Archipiélago, hasta los límites presupuestales vigentes. </w:t>
      </w:r>
    </w:p>
    <w:p w14:paraId="397FDD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4B69448" w14:textId="77777777" w:rsidR="00E475BF" w:rsidRPr="00562064" w:rsidRDefault="00E475BF" w:rsidP="00672867">
      <w:pPr>
        <w:spacing w:after="0" w:line="293" w:lineRule="atLeast"/>
        <w:jc w:val="center"/>
        <w:rPr>
          <w:rFonts w:ascii="Arial" w:eastAsia="Times New Roman" w:hAnsi="Arial" w:cs="Arial"/>
          <w:b/>
          <w:bCs/>
          <w:color w:val="000000" w:themeColor="text1"/>
          <w:lang w:eastAsia="es-CO"/>
        </w:rPr>
      </w:pPr>
      <w:bookmarkStart w:id="442" w:name="ver_30052557"/>
      <w:bookmarkEnd w:id="442"/>
      <w:r w:rsidRPr="00562064">
        <w:rPr>
          <w:rFonts w:ascii="Arial" w:eastAsia="Times New Roman" w:hAnsi="Arial" w:cs="Arial"/>
          <w:b/>
          <w:bCs/>
          <w:color w:val="000000" w:themeColor="text1"/>
          <w:lang w:eastAsia="es-CO"/>
        </w:rPr>
        <w:t>Sección 2</w:t>
      </w:r>
    </w:p>
    <w:p w14:paraId="5B636C31" w14:textId="77777777" w:rsidR="00E475BF" w:rsidRPr="00562064" w:rsidRDefault="00E475BF" w:rsidP="00672867">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Proyectos estratégicos</w:t>
      </w:r>
    </w:p>
    <w:p w14:paraId="103A6C1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43" w:name="ver_30052558"/>
      <w:bookmarkEnd w:id="443"/>
    </w:p>
    <w:p w14:paraId="2C50A0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2.3.1.4.2.1. Adopción de Proyectos Estratégicos. De conformidad con lo establecido en el artículo 98 de la Ley 1737 de 2014, adóptense los siguientes proyectos estratégicos por realizarse en el Departamento Archipiélago de San Andrés, Providencia y Santa Catalina, en los sectores de transporte, turismo y pesca: </w:t>
      </w:r>
    </w:p>
    <w:p w14:paraId="2C3C06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E2EB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Apoyo económico a la demanda de pasajes de transporte aéreo y marítimo de personas entre las islas del Archipiélago, con un tratamiento diferencial entre turistas y residentes/raizales; </w:t>
      </w:r>
    </w:p>
    <w:p w14:paraId="3D7322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0C68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Apoyo al combustible para embarcaciones cuya actividad sea la pesca industrial; </w:t>
      </w:r>
    </w:p>
    <w:p w14:paraId="481D3A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4798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Amparo, mediante contratos de seguro, tanto las embarcaciones de pesca industrial como su carga y su tripulación. </w:t>
      </w:r>
    </w:p>
    <w:p w14:paraId="69B13E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C377C5" w14:textId="46658B11"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18D6A1FA" w14:textId="77777777" w:rsidR="00E475BF" w:rsidRPr="00562064" w:rsidRDefault="00E475BF" w:rsidP="00672867">
      <w:pPr>
        <w:spacing w:after="0" w:line="293" w:lineRule="atLeast"/>
        <w:jc w:val="center"/>
        <w:rPr>
          <w:rFonts w:ascii="Arial" w:eastAsia="Times New Roman" w:hAnsi="Arial" w:cs="Arial"/>
          <w:b/>
          <w:bCs/>
          <w:color w:val="000000" w:themeColor="text1"/>
          <w:lang w:eastAsia="es-CO"/>
        </w:rPr>
      </w:pPr>
      <w:bookmarkStart w:id="444" w:name="ver_30052559"/>
      <w:bookmarkEnd w:id="444"/>
      <w:r w:rsidRPr="00562064">
        <w:rPr>
          <w:rFonts w:ascii="Arial" w:eastAsia="Times New Roman" w:hAnsi="Arial" w:cs="Arial"/>
          <w:b/>
          <w:bCs/>
          <w:color w:val="000000" w:themeColor="text1"/>
          <w:lang w:eastAsia="es-CO"/>
        </w:rPr>
        <w:t>Sección 3</w:t>
      </w:r>
    </w:p>
    <w:p w14:paraId="7D10AC63" w14:textId="77777777" w:rsidR="00E475BF" w:rsidRPr="00562064" w:rsidRDefault="00E475BF" w:rsidP="00672867">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Plan Estratégico para el Archipiélago de San Andrés, Providencia y Santa Catalina</w:t>
      </w:r>
    </w:p>
    <w:p w14:paraId="03B2577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45" w:name="ver_30052560"/>
      <w:bookmarkEnd w:id="445"/>
    </w:p>
    <w:p w14:paraId="6BD3244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2.3.1.4.3.1. Adopción del Plan Estratégico. Adóptese el Plan Estratégico para el Archipiélago de San Andrés, Providencia y Santa Catalina, por el cual se definen los programas estratégicos por realizarse en el Departamento Archipiélago de San Andrés, Providencia y Santa Catalina, en los sectores de transporte, infraestructura, turismo, agricultura, pesca y acuicultura, defensa, cultura, deporte, educación, vivienda y trabajo, de conformidad con lo establecido en el artículo 98 de la Ley 1737 de 2014; plan que se encuentra consignado en el anexo 3 que forma parte integral de la presente sección y que se publica con el mismo, siempre que estos programas no excedan los límites presupuestales vigentes. </w:t>
      </w:r>
    </w:p>
    <w:p w14:paraId="2412CC27" w14:textId="4094F14E"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2EABB2"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46" w:name="ver_30138457"/>
      <w:bookmarkEnd w:id="446"/>
      <w:r w:rsidRPr="00562064">
        <w:rPr>
          <w:rFonts w:ascii="Arial" w:eastAsia="Times New Roman" w:hAnsi="Arial" w:cs="Arial"/>
          <w:b/>
          <w:bCs/>
          <w:color w:val="000000" w:themeColor="text1"/>
          <w:lang w:eastAsia="es-CO"/>
        </w:rPr>
        <w:t>CAPÍTULO 5</w:t>
      </w:r>
    </w:p>
    <w:p w14:paraId="197D6FA2"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Plan de Gestión del Riesgo de Desastres de las Entidades Públicas y Privadas</w:t>
      </w:r>
    </w:p>
    <w:p w14:paraId="7C305485"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65276323"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generales</w:t>
      </w:r>
    </w:p>
    <w:p w14:paraId="33132CA1"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Subsección 1</w:t>
      </w:r>
    </w:p>
    <w:p w14:paraId="01A3DA15"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Objeto</w:t>
      </w:r>
    </w:p>
    <w:p w14:paraId="05F216F2" w14:textId="78D29ED6" w:rsidR="00E475BF" w:rsidRPr="00562064" w:rsidRDefault="00E475BF" w:rsidP="002F0391">
      <w:pPr>
        <w:spacing w:line="293" w:lineRule="atLeast"/>
        <w:rPr>
          <w:rFonts w:ascii="Arial" w:eastAsia="Times New Roman" w:hAnsi="Arial" w:cs="Arial"/>
          <w:b/>
          <w:bCs/>
          <w:color w:val="000000" w:themeColor="text1"/>
          <w:lang w:eastAsia="es-CO"/>
        </w:rPr>
      </w:pPr>
    </w:p>
    <w:p w14:paraId="3367080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47" w:name="ver_30138458"/>
      <w:bookmarkEnd w:id="447"/>
    </w:p>
    <w:p w14:paraId="12AC9A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2.3.1.5.1.1.1. Objeto. Reglamentar el artículo 42 de la Ley 1523 de 2012 estableciendo el marco regulatorio dirigido a los responsables de realizar el Plan de Gestión del Riesgo de Desastres de las Entidades Públicas y Privadas (PGRDEPP) como mecanismo para la planeación de la gestión del riesgo de desastres.  </w:t>
      </w:r>
    </w:p>
    <w:p w14:paraId="726F7A7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48" w:name="ver_30138461"/>
      <w:bookmarkEnd w:id="448"/>
    </w:p>
    <w:p w14:paraId="39BA83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2.3.1.5.1.1.2. Alcance. El Plan de Gestión del Riesgo de Desastres de las Entidades Públicas y Privadas (PGRDEPP) incluirá, entre otros aspectos, el análisis específico de riesgo que considere los posibles efectos de eventos de origen natural, socio-natural, tecnológico, biosanitario o humano no intencional, sobre la infraestructura expuesta y aquellos que se deriven de los daños de la misma en su área de influencia de posible afectación por la entidad, así como de su operación que puedan generar una alteración intensa, grave y extendida en las condiciones normales de funcionamiento de la sociedad. Con base en ello realizará el diseño e implementación de medidas para reducir las condiciones de riesgo actual y futuro, además de la formulación del plan de emergencia y contingencia, con el fin de proteger la población, mejorar la seguridad, el bienestar y sostenibilidad de las entidades.  </w:t>
      </w:r>
    </w:p>
    <w:p w14:paraId="4363D3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EFBBE4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49" w:name="ver_30138464"/>
      <w:bookmarkEnd w:id="449"/>
    </w:p>
    <w:p w14:paraId="1AC029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2.3.1.5.1.1.3. Definiciones. El presente capítulo adoptará las definiciones previstas en la Ley 1523 de 2012 y las relacionadas en el documento de Terminología de Gestión del Riesgo y Fenómenos Amenazantes de la UNGRD.  </w:t>
      </w:r>
    </w:p>
    <w:p w14:paraId="661DB30F" w14:textId="77777777" w:rsidR="002F0391" w:rsidRPr="00562064" w:rsidRDefault="002F0391" w:rsidP="00143180">
      <w:pPr>
        <w:spacing w:after="0" w:line="293" w:lineRule="atLeast"/>
        <w:jc w:val="both"/>
        <w:rPr>
          <w:rFonts w:ascii="Arial" w:eastAsia="Times New Roman" w:hAnsi="Arial" w:cs="Arial"/>
          <w:color w:val="000000" w:themeColor="text1"/>
          <w:spacing w:val="45"/>
          <w:lang w:eastAsia="es-CO"/>
        </w:rPr>
      </w:pPr>
      <w:bookmarkStart w:id="450" w:name="ver_30138466"/>
      <w:bookmarkEnd w:id="450"/>
    </w:p>
    <w:p w14:paraId="13F8AE7D" w14:textId="43246404"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Subsección 2</w:t>
      </w:r>
    </w:p>
    <w:p w14:paraId="464AB78B"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Ámbito de aplicación y responsables</w:t>
      </w:r>
    </w:p>
    <w:p w14:paraId="590598E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51" w:name="ver_30138469"/>
      <w:bookmarkEnd w:id="451"/>
    </w:p>
    <w:p w14:paraId="46C6CE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2.3.1.5.1.2.1. Ámbito de aplicación. El presente capítulo aplica a todas las entidades públicas y privadas, que desarrollen sus actividades en el territorio nacional, encargadas de la prestación de servicios públicos, que ejecuten obras civiles mayores o que desarrollen actividades industriales o de otro tipo que puedan significar riesgo de desastre debido a eventos físicos peligrosos de origen natural, socio-natural, tecnológico, biosanitario o humano no intencional.  </w:t>
      </w:r>
    </w:p>
    <w:p w14:paraId="53EDBB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4E62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 elaboración e implementación del PGRDEPP aplicable a las entidades descritas en el ámbito de este capítulo, deberá desarrollarse mediante la articulación, el fortalecimiento y el mejoramiento de los sistemas de gestión que puedan ser implementados por la entidad.  </w:t>
      </w:r>
    </w:p>
    <w:p w14:paraId="206282E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52" w:name="ver_30138470"/>
      <w:bookmarkEnd w:id="452"/>
    </w:p>
    <w:p w14:paraId="7E4561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2.3.1.5.1.2.2. Responsables. Las Entidades Públicas y Privadas encargadas de:  </w:t>
      </w:r>
    </w:p>
    <w:p w14:paraId="46C7413C"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1E63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Prestación de servicios públicos. Los servicios públicos se asocian con la fun</w:t>
      </w:r>
      <w:r w:rsidRPr="00562064">
        <w:rPr>
          <w:rFonts w:ascii="Arial" w:eastAsia="Times New Roman" w:hAnsi="Arial" w:cs="Arial"/>
          <w:color w:val="000000" w:themeColor="text1"/>
          <w:lang w:eastAsia="es-CO"/>
        </w:rPr>
        <w:softHyphen/>
        <w:t>ción social del Estado y, por lo tanto, constituidos para la satisfacción de las ne</w:t>
      </w:r>
      <w:r w:rsidRPr="00562064">
        <w:rPr>
          <w:rFonts w:ascii="Arial" w:eastAsia="Times New Roman" w:hAnsi="Arial" w:cs="Arial"/>
          <w:color w:val="000000" w:themeColor="text1"/>
          <w:lang w:eastAsia="es-CO"/>
        </w:rPr>
        <w:softHyphen/>
        <w:t>cesidades colectivas en forma general, permanente y continua, bajo su dirección, regulación y control, así como aquéllos mediante los cuales se busca preservar el orden y asegurar el cumplimiento de sus fines.  </w:t>
      </w:r>
    </w:p>
    <w:p w14:paraId="59D280E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BA7813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Obras civiles mayores. Construcción de obras a través de megaproyectos, macro proyectos, proyectos estratégicos de interés nacional, regional, departamental y local, y todas aquellas obras civiles que impliquen modificaciones al entorno, he</w:t>
      </w:r>
      <w:r w:rsidRPr="00562064">
        <w:rPr>
          <w:rFonts w:ascii="Arial" w:eastAsia="Times New Roman" w:hAnsi="Arial" w:cs="Arial"/>
          <w:color w:val="000000" w:themeColor="text1"/>
          <w:lang w:eastAsia="es-CO"/>
        </w:rPr>
        <w:softHyphen/>
        <w:t>rramientas y equipos que puedan ocasionar riesgo de desastre para la sociedad y el ambiente.  </w:t>
      </w:r>
    </w:p>
    <w:p w14:paraId="64152B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B3BEF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Desarrollo de actividades industriales. Están relacionadas con la transforma</w:t>
      </w:r>
      <w:r w:rsidRPr="00562064">
        <w:rPr>
          <w:rFonts w:ascii="Arial" w:eastAsia="Times New Roman" w:hAnsi="Arial" w:cs="Arial"/>
          <w:color w:val="000000" w:themeColor="text1"/>
          <w:lang w:eastAsia="es-CO"/>
        </w:rPr>
        <w:softHyphen/>
        <w:t>ción mecánica o química de sustancias orgánicas e inorgánicas en productos nuevos. Incluye el montaje de las partes que componen los productos manu</w:t>
      </w:r>
      <w:r w:rsidRPr="00562064">
        <w:rPr>
          <w:rFonts w:ascii="Arial" w:eastAsia="Times New Roman" w:hAnsi="Arial" w:cs="Arial"/>
          <w:color w:val="000000" w:themeColor="text1"/>
          <w:lang w:eastAsia="es-CO"/>
        </w:rPr>
        <w:softHyphen/>
        <w:t>facturados, excepto en los casos en que tal actividad sea propia del sector de la construcción.  </w:t>
      </w:r>
    </w:p>
    <w:p w14:paraId="655301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71B85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Otras actividades que puedan significar riesgo de desastre para la sociedad y el ambiente.  </w:t>
      </w:r>
    </w:p>
    <w:p w14:paraId="71B955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1665D6"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4.1. Transporte y almacenamiento de carga. Incluye la provisión de transporte regular y no regular de carga por ferrocarril, carretera, vía acuática y vía aérea, al igual que el servicio de transporte de productos por tuberías.  </w:t>
      </w:r>
    </w:p>
    <w:p w14:paraId="6C4DC20B"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E1A1136"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4.2. Construcciones bajo la Categoría IV de alta complejidad. Acorde a lo dis</w:t>
      </w:r>
      <w:r w:rsidRPr="00562064">
        <w:rPr>
          <w:rFonts w:ascii="Arial" w:eastAsia="Times New Roman" w:hAnsi="Arial" w:cs="Arial"/>
          <w:color w:val="000000" w:themeColor="text1"/>
          <w:lang w:eastAsia="es-CO"/>
        </w:rPr>
        <w:softHyphen/>
        <w:t>puesto en el artículo 2.2.6.1.2.1.4 del Decreto Único Reglamentario número 1077 de 2015 del Sector Vivienda, Ciudad y Territorio, o las normas que la modifiquen, adicionen, sustituyan o deroguen que bajo una misma construcción alberguen gran cantidad de población.  </w:t>
      </w:r>
    </w:p>
    <w:p w14:paraId="491330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2AA1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El responsable de espacios físicos que genere aglomeraciones, entendida esta como la congregación planeada de un número plural de personas, reunidas en un lugar con la capacidad o infraestructura para ese fin, con el objetivo de participar en actividades reguladas en su propósito, tiempo, contenido y condiciones de ingreso y salida, bajo la responsabilidad de una organización con el control y soporte necesario para su realización y bajo el permiso y supervisión de entidades u organismos con jurisdicción sobre ella; deberá realizar el PGRDEPP.  </w:t>
      </w:r>
    </w:p>
    <w:p w14:paraId="7E8B55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6795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Unidad Nacional para la Gestión del Riesgo de Desastres, en el marco de lo establecido en el artículo 42 de la Ley 1523 de 2012 y, en su condición de entidad coordinadora del Sistema Nacional de Gestión del Riesgo de Desastres, podrá identificar y determinar otras actividades que puedan significar riesgo de desastre para la sociedad.  </w:t>
      </w:r>
    </w:p>
    <w:p w14:paraId="1AE428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045F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La responsabilidad de implementar el plan de gestión del riesgo de desastres de las entidades públicas y privadas (PGRDEPP), es del representante legal de la entidad, acorde a lo establecido en sus sistemas de gestión.  </w:t>
      </w:r>
    </w:p>
    <w:p w14:paraId="48D64DE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6668770"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53" w:name="ver_30138475"/>
      <w:bookmarkEnd w:id="453"/>
      <w:r w:rsidRPr="00562064">
        <w:rPr>
          <w:rFonts w:ascii="Arial" w:eastAsia="Times New Roman" w:hAnsi="Arial" w:cs="Arial"/>
          <w:b/>
          <w:bCs/>
          <w:color w:val="000000" w:themeColor="text1"/>
          <w:lang w:eastAsia="es-CO"/>
        </w:rPr>
        <w:t>Sección 2</w:t>
      </w:r>
    </w:p>
    <w:p w14:paraId="266682BF"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Plan de Gestión del Riesgo de Desastres de las Entidades Públicas y Privadas</w:t>
      </w:r>
    </w:p>
    <w:p w14:paraId="6E3A474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54" w:name="ver_30138480"/>
      <w:bookmarkEnd w:id="454"/>
    </w:p>
    <w:p w14:paraId="4CCE33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2.3.1.5.2.1. Plan de Gestión del Riesgo de Desastres de las Entidades Públicas y Privadas (PGRDEPP). Es el instrumento mediante el cual las entidades públicas y privadas, objeto del presente capítulo, deberán: identificar, priorizar, formular, programar y hacer seguimiento a las acciones necesarias para conocer y reducir las condiciones de riesgo (actual y futuro) de sus instalaciones y de aquellas derivadas de su propia actividad u operación que pueden generar daños y pérdidas a su entorno, así como dar respuesta a los desastres que puedan presentarse, permitiendo además su articulación con los sistemas de gestión de la entidad, los ámbitos territoriales, sectoriales e institucionales de la gestión del riesgo de desastres y los demás instrumentos de planeación estipulados en la Ley 1523 de 2012 para la gestión del riesgo de desastres.  </w:t>
      </w:r>
    </w:p>
    <w:p w14:paraId="1D98EB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AF87C1F"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55" w:name="ver_30138481"/>
      <w:bookmarkEnd w:id="455"/>
      <w:r w:rsidRPr="00562064">
        <w:rPr>
          <w:rFonts w:ascii="Arial" w:eastAsia="Times New Roman" w:hAnsi="Arial" w:cs="Arial"/>
          <w:b/>
          <w:bCs/>
          <w:color w:val="000000" w:themeColor="text1"/>
          <w:lang w:eastAsia="es-CO"/>
        </w:rPr>
        <w:t>Subsección 1</w:t>
      </w:r>
    </w:p>
    <w:p w14:paraId="29BEAF98"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Formulación del Plan</w:t>
      </w:r>
    </w:p>
    <w:p w14:paraId="5B8126C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56" w:name="ver_30138482"/>
      <w:bookmarkEnd w:id="456"/>
    </w:p>
    <w:p w14:paraId="04B9A9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2.3.1.5.2.1.1. Formulación del Plan de Gestión del Riesgo de Desastres de las Entidades Públicas y Privadas (PGRDEPP). El PGRDEPP desarrolla los procesos de la gestión del riesgo establecidos por la Ley 1523 de 2012 bajo los siguientes lineamientos, en articulación con lo pertinente a lo referido en los sistemas de gestión que maneje la entidad:  </w:t>
      </w:r>
    </w:p>
    <w:p w14:paraId="61ADAA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E60CA3F" w14:textId="77777777" w:rsidR="00E475BF" w:rsidRPr="00562064" w:rsidRDefault="00E475BF" w:rsidP="00143180">
      <w:pPr>
        <w:numPr>
          <w:ilvl w:val="0"/>
          <w:numId w:val="1"/>
        </w:numPr>
        <w:spacing w:before="100" w:beforeAutospacing="1" w:after="100" w:afterAutospacing="1" w:line="240" w:lineRule="auto"/>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el Proceso de Conocimiento del Riesgo. El proceso de conocimiento del riesgo provee la base temática para desarrollar los procesos de reducción del riesgo y de manejo del desastre. Su contenido relaciona tres aspectos:</w:t>
      </w:r>
    </w:p>
    <w:p w14:paraId="423BCE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7A12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Establecimiento del contexto. Contempla como mínimo los siguientes elementos:  </w:t>
      </w:r>
    </w:p>
    <w:p w14:paraId="6520B1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39777E"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1.1.1. Información general de la actividad: Descripción de la actividad donde se debe incluir como mínimo los siguientes aspectos: nombre del establecimiento o razón social, ubicación, vías de acceso, actividad principal y complementaria, descripción de producción o servicio resaltando la actividad que pueda generar riesgo de desastre para la sociedad, listado general y la descripción, cantidad de procesos, de sustancias químicas, de maquinaria que pueden ser fuente de desastres, área total construida, área libre, disposición de edificaciones, número de pisos, año de licencia de construcción, tipo de espacios y número, espacios comunitarios y equipamiento para emergencias existente, horario de funcionamiento, población expuesta al interior de la instalación evaluada, entre otros. Adicionalmente, se podrá incluir otra información de la actividad que se considere pertinente para el plan de gestión el riesgo de la entidad.  </w:t>
      </w:r>
    </w:p>
    <w:p w14:paraId="61A9F171"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A05FA1"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1.1.2. Contexto externo: Hace referencia al ambiente exterior en el cual la organización busca alcanzar sus objetivos organizacionales de compromiso, de credibilidad y de confianza que se debe generar con su entorno y con la comunidad del área de influencia de probable afectación, alineados con la gestión de riesgos. Regularmente hace énfasis en requisitos legales, reglamentarios y la descripción del entorno de la actividad entre otros. Se debe tener en cuenta como mínimo:  </w:t>
      </w:r>
    </w:p>
    <w:p w14:paraId="56818CB0"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Elementos expuestos entorno de la actividad y la relacionada con el área de afec</w:t>
      </w:r>
      <w:r w:rsidRPr="00562064">
        <w:rPr>
          <w:rFonts w:ascii="Arial" w:eastAsia="Times New Roman" w:hAnsi="Arial" w:cs="Arial"/>
          <w:color w:val="000000" w:themeColor="text1"/>
          <w:lang w:eastAsia="es-CO"/>
        </w:rPr>
        <w:softHyphen/>
        <w:t>tación probable (personas, medios de subsistencia, servicios ambientales y re</w:t>
      </w:r>
      <w:r w:rsidRPr="00562064">
        <w:rPr>
          <w:rFonts w:ascii="Arial" w:eastAsia="Times New Roman" w:hAnsi="Arial" w:cs="Arial"/>
          <w:color w:val="000000" w:themeColor="text1"/>
          <w:lang w:eastAsia="es-CO"/>
        </w:rPr>
        <w:softHyphen/>
        <w:t>cursos económicos y sociales, bienes culturales e infraestructura), acorde a la información disponible por las entidades pertinentes.  </w:t>
      </w:r>
    </w:p>
    <w:p w14:paraId="42FF16AD"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15C36A"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Descripción del entorno del establecimiento/actividad en relación a sus condicio</w:t>
      </w:r>
      <w:r w:rsidRPr="00562064">
        <w:rPr>
          <w:rFonts w:ascii="Arial" w:eastAsia="Times New Roman" w:hAnsi="Arial" w:cs="Arial"/>
          <w:color w:val="000000" w:themeColor="text1"/>
          <w:lang w:eastAsia="es-CO"/>
        </w:rPr>
        <w:softHyphen/>
        <w:t>nes biofísicas y de localización.  </w:t>
      </w:r>
    </w:p>
    <w:p w14:paraId="10F687D0"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CC4E2EB"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Identificación de instalaciones que puedan originar amenazas o producir efecto dominó mediante análisis cualitativo de acuerdo a la información disponible por las entidades pertinentes.  </w:t>
      </w:r>
    </w:p>
    <w:p w14:paraId="08423F98"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La información pertinente definida en los instrumentos de planificación del de</w:t>
      </w:r>
      <w:r w:rsidRPr="00562064">
        <w:rPr>
          <w:rFonts w:ascii="Arial" w:eastAsia="Times New Roman" w:hAnsi="Arial" w:cs="Arial"/>
          <w:color w:val="000000" w:themeColor="text1"/>
          <w:lang w:eastAsia="es-CO"/>
        </w:rPr>
        <w:softHyphen/>
        <w:t>sarrollo y para la gestión existentes, tales como: Planes de Ordenación y Manejo de Cuencas Hidrográficas (Pomca), Planes de Ordenación y Manejo de Unidades Ambientales Costeras (Pomiuac), Planes de Ordenamiento Territorial (POT), Pla</w:t>
      </w:r>
      <w:r w:rsidRPr="00562064">
        <w:rPr>
          <w:rFonts w:ascii="Arial" w:eastAsia="Times New Roman" w:hAnsi="Arial" w:cs="Arial"/>
          <w:color w:val="000000" w:themeColor="text1"/>
          <w:lang w:eastAsia="es-CO"/>
        </w:rPr>
        <w:softHyphen/>
        <w:t>nes Municipales de Gestión del Riesgo (PMGRD), Estrategias Municipales de Respuesta (EMRE), Planes territoriales y sectoriales de cambio climático, entre otros de acuerdo con los requerimientos de la entidad.  </w:t>
      </w:r>
    </w:p>
    <w:p w14:paraId="708E65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1C9DA89"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1.1.3. Contexto interno: Corresponde al ambiente intrínseco en el cual las entidades públicas y privadas buscan alcanzar sus objetivos y se relaciona con la alineación de la gestión del riesgo en los procesos propios de la actividad, la cultura, estructura y estrategia de la entidad evaluada. Estos procesos deben estar alineados con los objetivos de la organización y el compromiso, la credibilidad y la confianza que se debe generar con los trabajadores, los clientes y la comunidad del área de influencia. Como mínimo debe incluir:  </w:t>
      </w:r>
    </w:p>
    <w:p w14:paraId="57D17A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A640406" w14:textId="77777777" w:rsidR="00E475BF" w:rsidRPr="00562064" w:rsidRDefault="00E475BF" w:rsidP="00143180">
      <w:pPr>
        <w:spacing w:after="0" w:line="254" w:lineRule="atLeast"/>
        <w:ind w:left="132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Gobierno, estructura organizacional, funciones y responsabilidades.  </w:t>
      </w:r>
    </w:p>
    <w:p w14:paraId="09FB1E71"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CB9ABD" w14:textId="77777777" w:rsidR="00E475BF" w:rsidRPr="00562064" w:rsidRDefault="00E475BF" w:rsidP="00143180">
      <w:pPr>
        <w:spacing w:after="0" w:line="254" w:lineRule="atLeast"/>
        <w:ind w:left="132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Políticas, objetivos y estrategias diseñadas para la implementación del plan de gestión del riesgo.  </w:t>
      </w:r>
    </w:p>
    <w:p w14:paraId="7AFBF549"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FDED4E" w14:textId="77777777" w:rsidR="00E475BF" w:rsidRPr="00562064" w:rsidRDefault="00E475BF" w:rsidP="00143180">
      <w:pPr>
        <w:spacing w:after="0" w:line="254" w:lineRule="atLeast"/>
        <w:ind w:left="127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Capacidades (Recursos disponibles, conocimiento).  </w:t>
      </w:r>
    </w:p>
    <w:p w14:paraId="5E859696"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EEDCBF" w14:textId="77777777" w:rsidR="00E475BF" w:rsidRPr="00562064" w:rsidRDefault="00E475BF" w:rsidP="00143180">
      <w:pPr>
        <w:spacing w:after="0" w:line="254" w:lineRule="atLeast"/>
        <w:ind w:left="1224"/>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Las relaciones con las partes involucradas internas y sus percepciones y valores.  </w:t>
      </w:r>
    </w:p>
    <w:p w14:paraId="779766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46F16B" w14:textId="77777777" w:rsidR="00E475BF" w:rsidRPr="00562064" w:rsidRDefault="00E475BF" w:rsidP="00143180">
      <w:pPr>
        <w:spacing w:after="0" w:line="254" w:lineRule="atLeast"/>
        <w:ind w:left="564"/>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La cultura de la organización.  </w:t>
      </w:r>
    </w:p>
    <w:p w14:paraId="6AA84B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5632962" w14:textId="77777777" w:rsidR="00E475BF" w:rsidRPr="00562064" w:rsidRDefault="00E475BF" w:rsidP="00143180">
      <w:pPr>
        <w:spacing w:after="0" w:line="254" w:lineRule="atLeast"/>
        <w:ind w:left="564"/>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Forma y extensión de las relaciones contractuales.  </w:t>
      </w:r>
    </w:p>
    <w:p w14:paraId="58376D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77F804" w14:textId="77777777" w:rsidR="00E475BF" w:rsidRPr="00562064" w:rsidRDefault="00E475BF" w:rsidP="00143180">
      <w:pPr>
        <w:spacing w:after="0" w:line="254" w:lineRule="atLeast"/>
        <w:ind w:left="564"/>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g) Normas, directrices y modelos adoptados por la organización.  </w:t>
      </w:r>
    </w:p>
    <w:p w14:paraId="52728DB0"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B289C8" w14:textId="77777777" w:rsidR="00E475BF" w:rsidRPr="00562064" w:rsidRDefault="00E475BF" w:rsidP="00143180">
      <w:pPr>
        <w:spacing w:after="0" w:line="254" w:lineRule="atLeast"/>
        <w:ind w:left="127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h) Listado de las directivas de la entidad con datos y líneas relevantes y actuales de comunicación.  </w:t>
      </w:r>
    </w:p>
    <w:p w14:paraId="4F5C8643"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97928E" w14:textId="77777777" w:rsidR="00E475BF" w:rsidRPr="00562064" w:rsidRDefault="00E475BF" w:rsidP="00143180">
      <w:pPr>
        <w:spacing w:after="0" w:line="254" w:lineRule="atLeast"/>
        <w:ind w:left="127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 Descripción de las principales actividades, procesos, métodos operativos y zonas del establecimiento/actividad que estén expuestas a afectaciones/daños (proyecto, servicio, trabajadores, etc.).  </w:t>
      </w:r>
    </w:p>
    <w:p w14:paraId="70DE1F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4745A73" w14:textId="77777777" w:rsidR="00E475BF" w:rsidRPr="00562064" w:rsidRDefault="00E475BF" w:rsidP="00143180">
      <w:pPr>
        <w:spacing w:after="0" w:line="254" w:lineRule="atLeast"/>
        <w:ind w:left="127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1.1.4. Contexto del proceso de gestión del riesgo: Se orienta a definir aspectos de actuación en la toma de decisiones frente a la intervención del riesgo de desastres por parte de la entidad, actividad o empresa, para lo cual se debe tener en cuenta la identificación y definición de:  </w:t>
      </w:r>
    </w:p>
    <w:p w14:paraId="4EBE97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CD1CD8" w14:textId="77777777" w:rsidR="00E475BF" w:rsidRPr="00562064" w:rsidRDefault="00E475BF" w:rsidP="00143180">
      <w:pPr>
        <w:spacing w:after="0" w:line="254" w:lineRule="atLeast"/>
        <w:ind w:left="4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Responsabilidades, roles y estructura.  </w:t>
      </w:r>
    </w:p>
    <w:p w14:paraId="57D833E7" w14:textId="77777777" w:rsidR="00E475BF" w:rsidRPr="00562064" w:rsidRDefault="00E475BF" w:rsidP="00143180">
      <w:pPr>
        <w:spacing w:after="0" w:line="254" w:lineRule="atLeast"/>
        <w:ind w:left="112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Actividades de gestión del riesgo de desastres que se van a implementar. c) Precisar el proyecto o el proceso en función del tiempo y la localización.  </w:t>
      </w:r>
    </w:p>
    <w:p w14:paraId="1C4C0FEB" w14:textId="77777777" w:rsidR="00E475BF" w:rsidRPr="00562064" w:rsidRDefault="00E475BF" w:rsidP="00143180">
      <w:pPr>
        <w:spacing w:after="0" w:line="254" w:lineRule="atLeast"/>
        <w:ind w:left="112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Las relaciones entre un proyecto o actividad particular y otros proyectos o activi</w:t>
      </w:r>
      <w:r w:rsidRPr="00562064">
        <w:rPr>
          <w:rFonts w:ascii="Arial" w:eastAsia="Times New Roman" w:hAnsi="Arial" w:cs="Arial"/>
          <w:color w:val="000000" w:themeColor="text1"/>
          <w:lang w:eastAsia="es-CO"/>
        </w:rPr>
        <w:softHyphen/>
        <w:t>dades de la organización.  </w:t>
      </w:r>
    </w:p>
    <w:p w14:paraId="2D0B7800" w14:textId="77777777" w:rsidR="00E475BF" w:rsidRPr="00562064" w:rsidRDefault="00E475BF" w:rsidP="00143180">
      <w:pPr>
        <w:spacing w:after="0" w:line="254" w:lineRule="atLeast"/>
        <w:ind w:left="108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Definir las metodologías de valoración del riesgo.  </w:t>
      </w:r>
    </w:p>
    <w:p w14:paraId="2C07525F"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Identificar los estudios necesarios para la elaboración del proyecto de interven</w:t>
      </w:r>
      <w:r w:rsidRPr="00562064">
        <w:rPr>
          <w:rFonts w:ascii="Arial" w:eastAsia="Times New Roman" w:hAnsi="Arial" w:cs="Arial"/>
          <w:color w:val="000000" w:themeColor="text1"/>
          <w:lang w:eastAsia="es-CO"/>
        </w:rPr>
        <w:softHyphen/>
        <w:t>ción del riesgo.  </w:t>
      </w:r>
    </w:p>
    <w:p w14:paraId="2FEFCD18"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1.1.5. Criterios del riesgo: herramienta para la toma de decisiones para tener en cuenta en la valoración inicial del riesgo, la cual como mínimo debe tener en cuenta:  </w:t>
      </w:r>
    </w:p>
    <w:p w14:paraId="1D9BEF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43D7A4" w14:textId="77777777" w:rsidR="00E475BF" w:rsidRPr="00562064" w:rsidRDefault="00E475BF" w:rsidP="00143180">
      <w:pPr>
        <w:spacing w:after="0" w:line="254" w:lineRule="atLeast"/>
        <w:ind w:left="132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Cómo se va a definir la probabilidad.  </w:t>
      </w:r>
    </w:p>
    <w:p w14:paraId="7FB4693E" w14:textId="77777777" w:rsidR="00E475BF" w:rsidRPr="00562064" w:rsidRDefault="00E475BF" w:rsidP="00143180">
      <w:pPr>
        <w:spacing w:after="0" w:line="254" w:lineRule="atLeast"/>
        <w:ind w:left="127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Los marcos temporales de la probabilidad, consecuencias o ambas.  </w:t>
      </w:r>
    </w:p>
    <w:p w14:paraId="47367858" w14:textId="77777777" w:rsidR="00E475BF" w:rsidRPr="00562064" w:rsidRDefault="00E475BF" w:rsidP="00143180">
      <w:pPr>
        <w:spacing w:after="0" w:line="254" w:lineRule="atLeast"/>
        <w:ind w:left="1224"/>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Cómo se va a determinar el nivel de riesgo.  </w:t>
      </w:r>
    </w:p>
    <w:p w14:paraId="0FB3AC73" w14:textId="77777777" w:rsidR="00E475BF" w:rsidRPr="00562064" w:rsidRDefault="00E475BF" w:rsidP="00143180">
      <w:pPr>
        <w:spacing w:after="0" w:line="254" w:lineRule="atLeast"/>
        <w:ind w:left="117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Nivel en el cual el riesgo se torna aceptable o tolerable.  </w:t>
      </w:r>
    </w:p>
    <w:p w14:paraId="7AEB8181"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La definición de estas variables deberá ajustarse al tipo de riesgo que se está evaluando y podrá integrarse, en lo pertinente, con los sistemas de gestión imple</w:t>
      </w:r>
      <w:r w:rsidRPr="00562064">
        <w:rPr>
          <w:rFonts w:ascii="Arial" w:eastAsia="Times New Roman" w:hAnsi="Arial" w:cs="Arial"/>
          <w:color w:val="000000" w:themeColor="text1"/>
          <w:lang w:eastAsia="es-CO"/>
        </w:rPr>
        <w:softHyphen/>
        <w:t>mentados por las entidades públicas y privadas.  </w:t>
      </w:r>
    </w:p>
    <w:p w14:paraId="37D427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0A9982" w14:textId="77777777" w:rsidR="00E475BF" w:rsidRPr="00562064" w:rsidRDefault="00E475BF" w:rsidP="00143180">
      <w:pPr>
        <w:spacing w:after="0" w:line="254" w:lineRule="atLeast"/>
        <w:ind w:left="28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Valoración del riesgo. La valoración del riesgo incluye la identificación del riesgo, el análisis del riesgo y la evaluación del riesgo, concordante con el análisis y evaluación del riesgo en la Ley 1523 de 2012, para estimar daños y pérdidas potenciales, comparables con los criterios de seguridad ya establecidos, con el propósito de definir tipos de intervención mediante la reducción del riesgo o del manejo del desastre. La valoración del riesgo podrá realizarse teniendo en cuenta los contenidos mínimos que se describen a continuación:  </w:t>
      </w:r>
    </w:p>
    <w:p w14:paraId="6EB007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2E4C3E"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1.2.1. Identificación del riesgo: Corresponde a la caracterización del riesgo diferenciado en las entidades públicas y privadas tanto en el contexto interno como en el contexto externo; esta identificación debe ser exhaustiva con el fin de cubrir todas las posibilidades, por lo que es necesario desarrollar como mínimo:  </w:t>
      </w:r>
    </w:p>
    <w:p w14:paraId="752FEBA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A70F6C8"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La determinación de la metodología para la identificación de riesgos deberá tener en cuenta las establecidas en los sistemas de gestión de la entidad en lo pertinente, la normatividad que territorialmente o sectorialmente aplique y se haya estable</w:t>
      </w:r>
      <w:r w:rsidRPr="00562064">
        <w:rPr>
          <w:rFonts w:ascii="Arial" w:eastAsia="Times New Roman" w:hAnsi="Arial" w:cs="Arial"/>
          <w:color w:val="000000" w:themeColor="text1"/>
          <w:lang w:eastAsia="es-CO"/>
        </w:rPr>
        <w:softHyphen/>
        <w:t>cido parcial o totalmente en las reglamentaciones, términos de referencia, guías y demás documentos pertinentes, de acuerdo con el tipo de actividades de interés y la naturaleza de los escenarios de riesgo identificados. En los demás casos se po</w:t>
      </w:r>
      <w:r w:rsidRPr="00562064">
        <w:rPr>
          <w:rFonts w:ascii="Arial" w:eastAsia="Times New Roman" w:hAnsi="Arial" w:cs="Arial"/>
          <w:color w:val="000000" w:themeColor="text1"/>
          <w:lang w:eastAsia="es-CO"/>
        </w:rPr>
        <w:softHyphen/>
        <w:t>drá adoptar cualquiera de los métodos sugeridos en la NTCIEC/IS031010:2009 o las demás normas que la reglamenten o sustituyan; los cuales pueden incluir entre otros aspectos que sean necesarios en el contexto de los procesos y actividades de cada entidad pública y privada, lo siguiente: la evidencia o datos históricos; la consulta a expertos y/o el razonamiento inductivo, en caso de que aplique.  </w:t>
      </w:r>
    </w:p>
    <w:p w14:paraId="6AB833A4"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7A20461"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Identificación de las causas y fuentes de riesgo, en donde se debe tener en cuenta la descripción, ubicación y frecuencia de ocurrencia, tanto para las actividades o procesos existentes como futuros, además la afectación que se pueda generar en la actualidad o a futuro en el área de influencia (entiéndase como área de influencia a la zona que podría ser afectada por consecuencia de efectos relacionados con la actividad desarrollada por la entidad pública y privada).  </w:t>
      </w:r>
    </w:p>
    <w:p w14:paraId="5D8EC2FF"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DB8E99"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Caracterización de controles preventivos y correctivos, en donde se deben identi</w:t>
      </w:r>
      <w:r w:rsidRPr="00562064">
        <w:rPr>
          <w:rFonts w:ascii="Arial" w:eastAsia="Times New Roman" w:hAnsi="Arial" w:cs="Arial"/>
          <w:color w:val="000000" w:themeColor="text1"/>
          <w:lang w:eastAsia="es-CO"/>
        </w:rPr>
        <w:softHyphen/>
        <w:t>ficar los elementos que constituyen el riesgo:  </w:t>
      </w:r>
    </w:p>
    <w:p w14:paraId="29FA54E2" w14:textId="77777777" w:rsidR="00E475BF" w:rsidRPr="00562064" w:rsidRDefault="00E475BF" w:rsidP="00143180">
      <w:pPr>
        <w:spacing w:after="0" w:line="254" w:lineRule="atLeast"/>
        <w:ind w:left="132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39718A7"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c.1. Identificar sistemáticamente todas las amenazas, tanto internas como externas, que puedan afectar la entidad.  </w:t>
      </w:r>
    </w:p>
    <w:p w14:paraId="56997B22" w14:textId="77777777" w:rsidR="00E475BF" w:rsidRPr="00562064" w:rsidRDefault="00E475BF" w:rsidP="00143180">
      <w:pPr>
        <w:spacing w:after="0" w:line="254" w:lineRule="atLeast"/>
        <w:ind w:left="132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c.2. Listado de escenarios posibles y previsibles.  </w:t>
      </w:r>
    </w:p>
    <w:p w14:paraId="5915B798"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c.3. Áreas de afectación probables (impactos esperados acorde al tipo de evento amenazante).  </w:t>
      </w:r>
    </w:p>
    <w:p w14:paraId="31311FCE"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c.4. Identificación de los elementos expuestos dentro del área de afectación probable.  </w:t>
      </w:r>
    </w:p>
    <w:p w14:paraId="449DF6A8" w14:textId="77777777" w:rsidR="00E475BF" w:rsidRPr="00562064" w:rsidRDefault="00E475BF" w:rsidP="00143180">
      <w:pPr>
        <w:spacing w:after="0" w:line="254" w:lineRule="atLeast"/>
        <w:ind w:left="132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c.5. Consecuencias potenciales o colaterales.  </w:t>
      </w:r>
    </w:p>
    <w:p w14:paraId="7B0C562E" w14:textId="77777777" w:rsidR="00E475BF" w:rsidRPr="00562064" w:rsidRDefault="00E475BF" w:rsidP="00143180">
      <w:pPr>
        <w:spacing w:after="0" w:line="254" w:lineRule="atLeast"/>
        <w:ind w:left="132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c.6. Experiencias y lecciones aprendidas (posterior a la emergencia). Como parte de lo anterior se podrán adoptar acciones en los tres procesos de gestión del riesgo de desastres.  </w:t>
      </w:r>
    </w:p>
    <w:p w14:paraId="23532A09" w14:textId="77777777" w:rsidR="00E475BF" w:rsidRPr="00562064" w:rsidRDefault="00E475BF" w:rsidP="00143180">
      <w:pPr>
        <w:spacing w:after="0" w:line="254" w:lineRule="atLeast"/>
        <w:ind w:left="127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c.7. Actores relacionados.  </w:t>
      </w:r>
    </w:p>
    <w:p w14:paraId="488050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D9EC3F4"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1.2.2. Análisis del riesgo: Consiste en la determinación de consecuencias y probabilidades del riesgo, permitiendo su reconocimiento y comprensión y el detalle de las amenazas, los elementos expuestos y el riesgo. El análisis del riesgo es un examen detallado para conocer sus características, cualidades o su estado y extraer conclusiones considerando las partes que lo constituyen; haciendo una diferenciación de la magnitud y gravedad de las consecuencias a nivel interno de las instalaciones de la actividad y del área de influencia de probable afectación.  </w:t>
      </w:r>
    </w:p>
    <w:p w14:paraId="4ED051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C88246"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realizar el análisis del riesgo se pueden utilizar métodos cualitativos, cuantitativos o semicuantitativos, cuyo grado de detalle requerido dependerá de la aplicación particular, la disposición de datos confiables de las necesidades para la toma de decisión de la entidad (NTC-ISO 31000:2009). Para lo cual se deberá tener en cuenta los sistemas de gestión de la entidad, la normatividad que territorialmente o sectorialmente aplique y se haya establecido parcial o totalmente en las reglamentaciones, términos de referencia, guías y demás documentos pertinentes, de acuerdo con el tipo de actividades de interés y la naturaleza de los escenarios de riesgo identificados.  </w:t>
      </w:r>
    </w:p>
    <w:p w14:paraId="2F3A82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A7CF79"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métodos elegidos deberán cumplir con las siguientes características: sistémico, repetible, exhaustivo y auditable.  </w:t>
      </w:r>
    </w:p>
    <w:p w14:paraId="2ACF3C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B5CA1BF"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puntos a desarrollar como mínimo en esta etapa son:  </w:t>
      </w:r>
    </w:p>
    <w:p w14:paraId="5BB600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37EF6E"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Definición de los métodos para estimar el nivel de consecuencias: efectos socia</w:t>
      </w:r>
      <w:r w:rsidRPr="00562064">
        <w:rPr>
          <w:rFonts w:ascii="Arial" w:eastAsia="Times New Roman" w:hAnsi="Arial" w:cs="Arial"/>
          <w:color w:val="000000" w:themeColor="text1"/>
          <w:lang w:eastAsia="es-CO"/>
        </w:rPr>
        <w:softHyphen/>
        <w:t>les, económicos y ambientales, deben incluirse los escenarios de mayores conse</w:t>
      </w:r>
      <w:r w:rsidRPr="00562064">
        <w:rPr>
          <w:rFonts w:ascii="Arial" w:eastAsia="Times New Roman" w:hAnsi="Arial" w:cs="Arial"/>
          <w:color w:val="000000" w:themeColor="text1"/>
          <w:lang w:eastAsia="es-CO"/>
        </w:rPr>
        <w:softHyphen/>
        <w:t>cuencias y/o eventos extremos.  </w:t>
      </w:r>
    </w:p>
    <w:p w14:paraId="2CE94965"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Definición del método para el análisis de la posibilidad y estimación de la proba</w:t>
      </w:r>
      <w:r w:rsidRPr="00562064">
        <w:rPr>
          <w:rFonts w:ascii="Arial" w:eastAsia="Times New Roman" w:hAnsi="Arial" w:cs="Arial"/>
          <w:color w:val="000000" w:themeColor="text1"/>
          <w:lang w:eastAsia="es-CO"/>
        </w:rPr>
        <w:softHyphen/>
        <w:t>bilidad: La posibilidad se entiende como el panorama general de alternativas que pueden suceder frente a un proceso o evento determinado (NTC-ISO 31000:2009) y la probabilidad se refiere a la ocurrencia especifica de un proceso o evento de</w:t>
      </w:r>
      <w:r w:rsidRPr="00562064">
        <w:rPr>
          <w:rFonts w:ascii="Arial" w:eastAsia="Times New Roman" w:hAnsi="Arial" w:cs="Arial"/>
          <w:color w:val="000000" w:themeColor="text1"/>
          <w:lang w:eastAsia="es-CO"/>
        </w:rPr>
        <w:softHyphen/>
        <w:t>terminado (NTC-ISO 31000:2009).  </w:t>
      </w:r>
    </w:p>
    <w:p w14:paraId="0CB17A0B"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Factores que afectan las probabilidades y las consecuencias, incluidos los esque</w:t>
      </w:r>
      <w:r w:rsidRPr="00562064">
        <w:rPr>
          <w:rFonts w:ascii="Arial" w:eastAsia="Times New Roman" w:hAnsi="Arial" w:cs="Arial"/>
          <w:color w:val="000000" w:themeColor="text1"/>
          <w:lang w:eastAsia="es-CO"/>
        </w:rPr>
        <w:softHyphen/>
        <w:t>mas de control establecidos por la entidad en el marco de los sistemas de gestión.  </w:t>
      </w:r>
    </w:p>
    <w:p w14:paraId="0FA39D04"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Valoración de los controles existentes, en cuanto a la existencia, capacidad y fun</w:t>
      </w:r>
      <w:r w:rsidRPr="00562064">
        <w:rPr>
          <w:rFonts w:ascii="Arial" w:eastAsia="Times New Roman" w:hAnsi="Arial" w:cs="Arial"/>
          <w:color w:val="000000" w:themeColor="text1"/>
          <w:lang w:eastAsia="es-CO"/>
        </w:rPr>
        <w:softHyphen/>
        <w:t>cionamiento o la comparación con criterios de seguridad establecidos por la enti</w:t>
      </w:r>
      <w:r w:rsidRPr="00562064">
        <w:rPr>
          <w:rFonts w:ascii="Arial" w:eastAsia="Times New Roman" w:hAnsi="Arial" w:cs="Arial"/>
          <w:color w:val="000000" w:themeColor="text1"/>
          <w:lang w:eastAsia="es-CO"/>
        </w:rPr>
        <w:softHyphen/>
        <w:t>dad.  </w:t>
      </w:r>
    </w:p>
    <w:p w14:paraId="12CB4B98"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Análisis de consecuencias a través de: una descripción sencilla o un modelo cuan</w:t>
      </w:r>
      <w:r w:rsidRPr="00562064">
        <w:rPr>
          <w:rFonts w:ascii="Arial" w:eastAsia="Times New Roman" w:hAnsi="Arial" w:cs="Arial"/>
          <w:color w:val="000000" w:themeColor="text1"/>
          <w:lang w:eastAsia="es-CO"/>
        </w:rPr>
        <w:softHyphen/>
        <w:t>titativo detallado o un análisis de vulnerabilidad; según se defina para cada tipo de actividad de naturaleza, magnitud y complejidad similar. Deberá considerar la ocurrencia de eventos extremos.  </w:t>
      </w:r>
    </w:p>
    <w:p w14:paraId="1C1FAE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88A5D5"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1.2.3. Evaluación del riesgo: Permite determinar el nivel de riesgo asociado al nivel de probabilidad de que dicho riesgo se concrete y al nivel de severidad de las consecuencias de esa concreción (artículo 2.2.4.6.2. Decreto número 1072 de 2015 Único del Ministerio de Trabajo o las demás normas que la modifique, adicione, sustituya o derogue); mediante la estimación del valor de los daños y las pérdidas potenciales o nivel estimado del riesgo con los criterios de riesgo definidos y establecidos en el contexto los cuales pueden ser entre otros los criterios de riesgo usados por actividades de naturaleza, magnitud y complejidad similar o los establecidos por cada sector.  </w:t>
      </w:r>
    </w:p>
    <w:p w14:paraId="434E9D4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9F41F15"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evaluación del riesgo considera:  </w:t>
      </w:r>
    </w:p>
    <w:p w14:paraId="65593940"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La comparación de los niveles estimados del riesgo según el contexto de la acti</w:t>
      </w:r>
      <w:r w:rsidRPr="00562064">
        <w:rPr>
          <w:rFonts w:ascii="Arial" w:eastAsia="Times New Roman" w:hAnsi="Arial" w:cs="Arial"/>
          <w:color w:val="000000" w:themeColor="text1"/>
          <w:lang w:eastAsia="es-CO"/>
        </w:rPr>
        <w:softHyphen/>
        <w:t>vidad desarrollada por la entidad pública y/o privada evaluada con el fin de de</w:t>
      </w:r>
      <w:r w:rsidRPr="00562064">
        <w:rPr>
          <w:rFonts w:ascii="Arial" w:eastAsia="Times New Roman" w:hAnsi="Arial" w:cs="Arial"/>
          <w:color w:val="000000" w:themeColor="text1"/>
          <w:lang w:eastAsia="es-CO"/>
        </w:rPr>
        <w:softHyphen/>
        <w:t>terminar la importancia del riesgo, el nivel del riesgo y el tipo de riesgo teniendo en cuenta los referentes internacionales o los determinados por las autoridades competentes o los usados por actividades de naturaleza, magnitud y complejidad similar o los definidos por la entidad en sus sistemas de gestión.  </w:t>
      </w:r>
    </w:p>
    <w:p w14:paraId="2AF6372D"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Priorización del riesgo.  </w:t>
      </w:r>
    </w:p>
    <w:p w14:paraId="42AF748B"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Elementos de entrada para la toma de decisiones: comprensión del riesgo (del análisis del riesgo), consideraciones éticas, legales, financieras, percepción del riesgo.  </w:t>
      </w:r>
    </w:p>
    <w:p w14:paraId="6016BF01" w14:textId="77777777" w:rsidR="00E475BF" w:rsidRPr="00562064" w:rsidRDefault="00E475BF" w:rsidP="00143180">
      <w:pPr>
        <w:spacing w:after="0" w:line="254" w:lineRule="atLeast"/>
        <w:ind w:left="132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Identificación de medidas para el tratamiento del riesgo.  </w:t>
      </w:r>
    </w:p>
    <w:p w14:paraId="63AA6047"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 esta forma la evaluación del riesgo está dirigida hacia la toma de decisiones, basado en el resultado de los análisis, para la priorización de los escenarios a través los cuales se desarrollarán los métodos y estrategias de tratamiento del riesgo, que pueden ser medidas de reducción del riesgo y de manejo del desastre.  </w:t>
      </w:r>
    </w:p>
    <w:p w14:paraId="1A3C78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EBB2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Monitoreo del riesgo. El monitoreo del riesgo permite conocer el comportamiento en el tiempo de los riesgos, sus amenazas y vulnerabilidades; las cuales pueden cambiar la valoración del riesgo y realimentar el proceso de conocimiento. Los procesos de monitoreo podrán estar alineados con aquellos dispuestos en los sistemas de gestión de la entidad y con los sistemas de alerta dispuestos por las entidades del Sistema Nacional de Gestión del Riesgo de Desastres, de nivel nacional, regional o municipal. Este contempla como mínimo los siguientes aspectos:  </w:t>
      </w:r>
    </w:p>
    <w:p w14:paraId="193D93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5868C2"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1.3.1. Protocolos o procedimientos de cómo se llevará a cabo el monitoreo.  </w:t>
      </w:r>
    </w:p>
    <w:p w14:paraId="5CB7CACB"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Teniendo en cuenta el conocimiento y mapeo de amenazas que permiten estable</w:t>
      </w:r>
      <w:r w:rsidRPr="00562064">
        <w:rPr>
          <w:rFonts w:ascii="Arial" w:eastAsia="Times New Roman" w:hAnsi="Arial" w:cs="Arial"/>
          <w:color w:val="000000" w:themeColor="text1"/>
          <w:lang w:eastAsia="es-CO"/>
        </w:rPr>
        <w:softHyphen/>
        <w:t>cer los niveles de acuerdo al fenómeno o evento.  </w:t>
      </w:r>
    </w:p>
    <w:p w14:paraId="11EBB24E"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Monitoreo y pronóstico de eventos inminentes.  </w:t>
      </w:r>
    </w:p>
    <w:p w14:paraId="1A2404AC"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D40602" w14:textId="77777777" w:rsidR="00E475BF" w:rsidRPr="00562064" w:rsidRDefault="00E475BF" w:rsidP="00143180">
      <w:pPr>
        <w:spacing w:after="0" w:line="254" w:lineRule="atLeast"/>
        <w:ind w:left="136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1.3.2. Protocolos o procedimientos de notificación previos a una situación de emergencia de acuerdo con los umbrales de los parámetros e indicadores identificados.  </w:t>
      </w:r>
    </w:p>
    <w:p w14:paraId="4AF77E86" w14:textId="77777777" w:rsidR="00E475BF" w:rsidRPr="00562064" w:rsidRDefault="00E475BF" w:rsidP="00143180">
      <w:pPr>
        <w:spacing w:after="0" w:line="254" w:lineRule="atLeast"/>
        <w:ind w:left="132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Proceso y difusión de alertas comprensibles a las autoridades y población.  </w:t>
      </w:r>
    </w:p>
    <w:p w14:paraId="13BDC801" w14:textId="77777777" w:rsidR="00E475BF" w:rsidRPr="00562064" w:rsidRDefault="00E475BF" w:rsidP="00143180">
      <w:pPr>
        <w:spacing w:after="0" w:line="254" w:lineRule="atLeast"/>
        <w:ind w:left="127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Adopción de medidas apropiadas y oportunas en respuesta a tales alertas.  </w:t>
      </w:r>
    </w:p>
    <w:p w14:paraId="72AE825C" w14:textId="77777777" w:rsidR="00E475BF" w:rsidRPr="00562064" w:rsidRDefault="00E475BF" w:rsidP="00143180">
      <w:pPr>
        <w:spacing w:after="0" w:line="254" w:lineRule="atLeast"/>
        <w:ind w:left="1224"/>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CC05E0" w14:textId="77777777" w:rsidR="00E475BF" w:rsidRPr="00562064" w:rsidRDefault="00E475BF" w:rsidP="00143180">
      <w:pPr>
        <w:spacing w:after="0" w:line="254" w:lineRule="atLeast"/>
        <w:ind w:left="1224"/>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1.3.3. Selección de parámetros e indicadores objeto de monitoreo del riesgo.  </w:t>
      </w:r>
    </w:p>
    <w:p w14:paraId="4D0A1EFE" w14:textId="77777777" w:rsidR="00E475BF" w:rsidRPr="00562064" w:rsidRDefault="00E475BF" w:rsidP="00143180">
      <w:pPr>
        <w:spacing w:after="0" w:line="254" w:lineRule="atLeast"/>
        <w:ind w:left="117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853CE18" w14:textId="77777777" w:rsidR="00E475BF" w:rsidRPr="00562064" w:rsidRDefault="00E475BF" w:rsidP="00143180">
      <w:pPr>
        <w:spacing w:after="0" w:line="254" w:lineRule="atLeast"/>
        <w:ind w:left="117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1.3.4. Diseño e instalación de la instrumentación (Si se requieren).  </w:t>
      </w:r>
    </w:p>
    <w:p w14:paraId="62161DB2"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7E3199" w14:textId="77777777" w:rsidR="00E475BF" w:rsidRPr="00562064" w:rsidRDefault="00E475BF" w:rsidP="00143180">
      <w:pPr>
        <w:spacing w:after="0" w:line="254" w:lineRule="atLeast"/>
        <w:ind w:left="112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1.3.5. Obtener información adicional para mejorar la valoración del riesgo.  </w:t>
      </w:r>
    </w:p>
    <w:p w14:paraId="55417EB1" w14:textId="77777777" w:rsidR="00E475BF" w:rsidRPr="00562064" w:rsidRDefault="00E475BF" w:rsidP="00143180">
      <w:pPr>
        <w:spacing w:after="0" w:line="254" w:lineRule="atLeast"/>
        <w:ind w:left="108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A62A69" w14:textId="77777777" w:rsidR="00E475BF" w:rsidRPr="00562064" w:rsidRDefault="00E475BF" w:rsidP="00143180">
      <w:pPr>
        <w:spacing w:after="0" w:line="254" w:lineRule="atLeast"/>
        <w:ind w:left="108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1.3.6. Analizar y aprender lecciones a partir de eventos ocurridos.  </w:t>
      </w:r>
    </w:p>
    <w:p w14:paraId="1DB5DD61" w14:textId="77777777" w:rsidR="00E475BF" w:rsidRPr="00562064" w:rsidRDefault="00E475BF" w:rsidP="00143180">
      <w:pPr>
        <w:spacing w:after="0" w:line="254" w:lineRule="atLeast"/>
        <w:ind w:left="103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FAA6E8" w14:textId="77777777" w:rsidR="00E475BF" w:rsidRPr="00562064" w:rsidRDefault="00E475BF" w:rsidP="00143180">
      <w:pPr>
        <w:spacing w:after="0" w:line="254" w:lineRule="atLeast"/>
        <w:ind w:left="103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1.3.7. Identificar riesgos futuros.  </w:t>
      </w:r>
    </w:p>
    <w:p w14:paraId="7EE1F5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DA1E2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En el proceso de reducción del riesgo. Consiste en el tratamiento del riesgo para definir el tipo de intervención, las directrices para el diseño y las especificaciones técnicas de las medidas a implementar para modificar los riesgos identificados, analizados y evaluados en el proceso de conocimiento del riesgo mediante: reducir el riesgo actual (mitigación del riesgo. intervención correctiva), reducir el riesgo futuro (prevención del riesgo. intervención prospectiva) y la protección financiera.  </w:t>
      </w:r>
    </w:p>
    <w:p w14:paraId="066C9A0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5CCA92"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 Intervención correctiva. Su objetivo es disminuir el nivel de riesgo existente de la población y los bienes sociales, económicos y ambientales del área de influencia de probable afectación de las entidades, a través de acciones de mitigación, en el sentido de disminuir o reducirlas condiciones de amenaza, cuando sea posible, y la vulnerabilidad de los elementos expuestos de la entidad. Para abordar las causas y las consecuencias.  </w:t>
      </w:r>
    </w:p>
    <w:p w14:paraId="75D3EA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Debe contener como mínimo:  </w:t>
      </w:r>
    </w:p>
    <w:p w14:paraId="5DEA4B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60DB5B"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2.1.1. Identificación de alternativas de intervención correctiva: Son aquellas opciones que se establecen para dar solución a las prioridades para la implementación del tratamiento del riesgo relacionada como las medidas de reducción del riesgo actual, a través de medidas técnicas estructurales y no estructurales que puede contemplar la revisión y selección de alternativas con base en un análisis multicriterio, análisis costo/ beneficio, costo/efectividad o el utilizado por la entidad.  </w:t>
      </w:r>
    </w:p>
    <w:p w14:paraId="1ECBEC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4E1DA5"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la identificación de las alternativas se debe verificar la viabilidad técnica de la medida estructural o no estructural de intervención correctiva a desarrollar para mitigar el riesgo actual, a través de como mínimo, los siguientes pasos:  </w:t>
      </w:r>
    </w:p>
    <w:p w14:paraId="1FD3EC01"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011AA86" w14:textId="794A4E0F"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Revisar la competencia del objeto de la medida de intervención correctiva, el cual debe cumplir con el marco de referencia en cuanto al comando y compro</w:t>
      </w:r>
      <w:r w:rsidRPr="00562064">
        <w:rPr>
          <w:rFonts w:ascii="Arial" w:eastAsia="Times New Roman" w:hAnsi="Arial" w:cs="Arial"/>
          <w:color w:val="000000" w:themeColor="text1"/>
          <w:lang w:eastAsia="es-CO"/>
        </w:rPr>
        <w:softHyphen/>
        <w:t xml:space="preserve">miso general del proceso de gestión del riesgo el cual es: “ofrecer protección a la población, mejorar la seguridad, el bienestar y la calidad de vida y contribuir al desarrollo sostenible” </w:t>
      </w:r>
    </w:p>
    <w:p w14:paraId="60C78715"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961781"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Determinar funcionalidad de la medida de intervención correctiva, mediante la incorporación de una visión integral de la medida planteada.  </w:t>
      </w:r>
    </w:p>
    <w:p w14:paraId="561098C3"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5C15611"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Revisar la documentación técnica de soporte de la medida de intervención co</w:t>
      </w:r>
      <w:r w:rsidRPr="00562064">
        <w:rPr>
          <w:rFonts w:ascii="Arial" w:eastAsia="Times New Roman" w:hAnsi="Arial" w:cs="Arial"/>
          <w:color w:val="000000" w:themeColor="text1"/>
          <w:lang w:eastAsia="es-CO"/>
        </w:rPr>
        <w:softHyphen/>
        <w:t>rrectiva, la cual puede ser de los diseños, los procesos, los planos, las especifica</w:t>
      </w:r>
      <w:r w:rsidRPr="00562064">
        <w:rPr>
          <w:rFonts w:ascii="Arial" w:eastAsia="Times New Roman" w:hAnsi="Arial" w:cs="Arial"/>
          <w:color w:val="000000" w:themeColor="text1"/>
          <w:lang w:eastAsia="es-CO"/>
        </w:rPr>
        <w:softHyphen/>
        <w:t>ciones, entre otros.  </w:t>
      </w:r>
    </w:p>
    <w:p w14:paraId="750FB339"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5B84DE"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Generar viabilidad técnica de la medida de intervención correctiva, mediante la aprobación de la medida de intervención correctiva seleccionada a implementar.  </w:t>
      </w:r>
    </w:p>
    <w:p w14:paraId="30053F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7108C9"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2.1.2. Priorización de la medida de intervención: Mediante un análisis para la toma de decisiones. Una vez viabilizadas las alternativas de intervención se da paso a la priorización mediante: un análisis multicriterio, de costo/beneficio, costo/efectividad, u otros utilizados por la entidad con la cual se pueda:  </w:t>
      </w:r>
    </w:p>
    <w:p w14:paraId="0F6AE3A2"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AB84D0"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Verificar viabilidad presupuestal para su ejecución, por parte de los organismos decisorios de la entidad pública y privada (incluir, entre otros aspectos, el presu</w:t>
      </w:r>
      <w:r w:rsidRPr="00562064">
        <w:rPr>
          <w:rFonts w:ascii="Arial" w:eastAsia="Times New Roman" w:hAnsi="Arial" w:cs="Arial"/>
          <w:color w:val="000000" w:themeColor="text1"/>
          <w:lang w:eastAsia="es-CO"/>
        </w:rPr>
        <w:softHyphen/>
        <w:t>puesto con base en la oferta de mercado, las proyecciones, entre otros).  </w:t>
      </w:r>
    </w:p>
    <w:p w14:paraId="5912D390"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Viabilizar la medida de intervención correctiva, aprobación de la medida de inter</w:t>
      </w:r>
      <w:r w:rsidRPr="00562064">
        <w:rPr>
          <w:rFonts w:ascii="Arial" w:eastAsia="Times New Roman" w:hAnsi="Arial" w:cs="Arial"/>
          <w:color w:val="000000" w:themeColor="text1"/>
          <w:lang w:eastAsia="es-CO"/>
        </w:rPr>
        <w:softHyphen/>
        <w:t>vención correctiva con viabilidad presupuestal para la ejecución.  </w:t>
      </w:r>
    </w:p>
    <w:p w14:paraId="424B1766"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5CD86F6"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2.1.3. Diseño, especificaciones y desarrollo de las medidas de intervención seleccionadas: una vez desarrollada la verificación de la viabilidad técnica y presupuestal de la medida de intervención, se realiza el diseño específico detallado actualizado de la medida de intervención correctiva.  </w:t>
      </w:r>
    </w:p>
    <w:p w14:paraId="48BF5C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418371"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 Intervención prospectiva. Se busca garantizar que no surjan nuevas situaciones de riesgo y se concreta a través de acciones de prevención, que impiden que las personas y los bienes lleguen a estar expuestos ante posibles eventos peligrosos, se disminuyan las pérdidas o se propenda por la sostenibilidad de las entidades.  </w:t>
      </w:r>
    </w:p>
    <w:p w14:paraId="1C5C819C"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Bajo este marco, las entidades públicas y privadas deben tener en cuenta como mínimo los siguientes aspectos que se relacionan con la intervención prospectiva:  </w:t>
      </w:r>
    </w:p>
    <w:p w14:paraId="7A05AFDC" w14:textId="77777777" w:rsidR="00A014C2" w:rsidRDefault="00A014C2" w:rsidP="00143180">
      <w:pPr>
        <w:spacing w:after="0" w:line="254" w:lineRule="atLeast"/>
        <w:jc w:val="both"/>
        <w:rPr>
          <w:rFonts w:ascii="Arial" w:eastAsia="Times New Roman" w:hAnsi="Arial" w:cs="Arial"/>
          <w:color w:val="000000" w:themeColor="text1"/>
          <w:lang w:eastAsia="es-CO"/>
        </w:rPr>
      </w:pPr>
    </w:p>
    <w:p w14:paraId="23E50561" w14:textId="32A188B1"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actividades nuevas:  </w:t>
      </w:r>
    </w:p>
    <w:p w14:paraId="240C2D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3CA031"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2.2.1. Conocer los condicionamientos de uso y ocupación definidos por el POT y por cualquier otro instrumento de planificación pertinente que aplique para los terrenos donde se va a implantar la nueva actividad con el fin de corroborar su compatibilidad con el instrumento de planificación pertinente y la de su área de influencia.  </w:t>
      </w:r>
    </w:p>
    <w:p w14:paraId="6ADA3816"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A69E5A"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2.2.2. Verificar las restricciones para el establecimiento de la actividad y la de su área de influencia directa e indirecta donde existan instituciones educativas, de bienestar, de seguridad, de gobierno, de salud, de protección ambiental, entre otras que por su fragilidad requieran protección.  </w:t>
      </w:r>
    </w:p>
    <w:p w14:paraId="2315C4EE"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3096F6"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2.2.3. Identificar la reglamentación que condiciona, restringe y/o que prohíbe la ocupación permanente de áreas expuestas y propensas a eventos amenazantes definidas o adoptadas por los entes territoriales.  </w:t>
      </w:r>
    </w:p>
    <w:p w14:paraId="041C0D33"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3308FC"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2.2.4. Establecer las especificaciones técnicas necesarias para implementar la actividad.  </w:t>
      </w:r>
    </w:p>
    <w:p w14:paraId="17EC92E0"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CB615B"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2.2.5. Incorporar estudios de pre factibilidad y diseños adecuados para la actividad a implementar y el entorno.  </w:t>
      </w:r>
    </w:p>
    <w:p w14:paraId="3A62D2ED"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429307"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2.2.6. Definir área de afectación del territorio en función de la actividad a implantar referenciando los daños y pérdidas que se podrían generar por su desarrollo.  </w:t>
      </w:r>
    </w:p>
    <w:p w14:paraId="210F77F2"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7930E4"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2.2.7. Definir las medidas de reducción el riesgo en función de los usos presentes y futuros en el área a implantar la actividad y en su área de influencia.  </w:t>
      </w:r>
    </w:p>
    <w:p w14:paraId="69557A96"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actividades existentes:  </w:t>
      </w:r>
    </w:p>
    <w:p w14:paraId="0F4CAB94"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5F1380"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2.2.8. Identificar, formular e implementar medidas y procedimientos de carácter técnico o administrativo específicos y propios de la entidad y sus procesos que reduzcan el riesgo de desastres antes de fijar un cambio en los procesos.  </w:t>
      </w:r>
    </w:p>
    <w:p w14:paraId="597BDAF5"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8BD173"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2.3. Protección financiera. Son los instrumentos del mercado financiero suscritos de manera anticipada para disponer de recursos económicos, una vez se materialice el riesgo, para cubrir el costo de los daños y la recuperación.  </w:t>
      </w:r>
    </w:p>
    <w:p w14:paraId="31EF30EC"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34A939"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costos económicos que se deriven como consecuencia de los riesgos de desastres no gestionados oportuna o correctamente, deberán ser asumidos por el responsable de la actividad de conformidad con lo definido en el presente capítulo.  </w:t>
      </w:r>
    </w:p>
    <w:p w14:paraId="3F4CC13B"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E9DBFE2"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Del análisis de riesgo realizado y las medidas de reducción del riesgo implementadas se obtendrán menores exposiciones. La entidad responsable deberá suscribir coberturas financieras que le permitan atender los impactos ante la ocurrencia de un desastre ya sea por el ejercicio de la actividad propia o por aquellos eventos de origen natural que afecten directamente a la entidad o al entorno acorde a las ofertas que para ello ofrezca el mercado financiero.  </w:t>
      </w:r>
    </w:p>
    <w:p w14:paraId="04D73D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6FC4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En el proceso de manejo del desastre. Con base en los resultados del análisis específico de riesgos (proceso de conocimiento) y las medidas implementadas de reducción del riesgo, se estructura el Plan de Emergencia y Contingencia del proceso de manejo del desastre el cual se compone de: preparación para la respuesta, ejecución de la respuesta y la preparación y ejecución de la recuperación (rehabilitación y reconstrucción), estás ultimas se realizarán acorde a lo establecido en la evaluación inicial y post emergencia, de acuerdo al grado de impacto sobre la población, los bienes y los servicios interrumpidos y deteriorados.  </w:t>
      </w:r>
    </w:p>
    <w:p w14:paraId="6AE48BC6"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CD32CC7"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3.1. El Plan de Emergencias y Contingencia (PEC). Es la herramienta de preparación para la respuesta que con base en unos escenarios posibles y priorizados (identificados en el proceso de conocimiento del riesgo), define los mecanismos de organización, coordinación, funciones, competencias, responsabilidades, así como recursos disponibles y necesarios para garantizar la atención efectiva de las emergencias que se puedan presentar: Igualmente precisa los procedimientos y protocolos de actuación para cada una de ellas minimizando el impacto en las personas, los bienes y el ambiente. Este debe desarrollar los siguientes contenidos mínimos:  </w:t>
      </w:r>
    </w:p>
    <w:p w14:paraId="2C69C641"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E77E08"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3.1.1. Componente de preparación para la respuesta a emergencias. Es el conjunto de acciones principalmente de coordinación, sistemas de alerta, capacitación, equipamiento, centros de reserva, entrenamiento, entre otras, necesarios para optimizar la ejecución de la respuesta. La efectividad de la respuesta es proporcional a las medidas de preparación que se implementen.  </w:t>
      </w:r>
    </w:p>
    <w:p w14:paraId="7BDAF1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97405DB"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Capacitación: Formación del personal, ya sea interno o externo, para la respuesta de las emergencias, con el fin de garantizar la idoneidad de los actores.  </w:t>
      </w:r>
    </w:p>
    <w:p w14:paraId="131152BE"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Simulaciones y simulacros: Se lleva a cabo la revisión del plan de emergencias y contingencia mediante la prueba, que permite una evaluación y mejora continua, garantizando la efectividad de la respuesta ante una emergencia presentada. Estos ejercicios se deben realizar mínimo una vez al año en articulación con lo estable</w:t>
      </w:r>
      <w:r w:rsidRPr="00562064">
        <w:rPr>
          <w:rFonts w:ascii="Arial" w:eastAsia="Times New Roman" w:hAnsi="Arial" w:cs="Arial"/>
          <w:color w:val="000000" w:themeColor="text1"/>
          <w:lang w:eastAsia="es-CO"/>
        </w:rPr>
        <w:softHyphen/>
        <w:t>cido en los sistemas de gestión de la entidad.  </w:t>
      </w:r>
    </w:p>
    <w:p w14:paraId="1A9FEEA2"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Equipamiento: La entidad relacionada como responsable de aplicar el PGR</w:t>
      </w:r>
      <w:r w:rsidRPr="00562064">
        <w:rPr>
          <w:rFonts w:ascii="Arial" w:eastAsia="Times New Roman" w:hAnsi="Arial" w:cs="Arial"/>
          <w:color w:val="000000" w:themeColor="text1"/>
          <w:lang w:eastAsia="es-CO"/>
        </w:rPr>
        <w:softHyphen/>
        <w:t>DEPP del presente capítulo, debe contar con herramientas, equipos, accesorios, sistema de alerta temprana de sus propios procesos, para garantizar de manera oportuna la primera respuesta, así mismo con la disponibilidad de personal idóneo para atenderlo, teniendo en cuenta las capacidades de los actores externos que a través de figuras administrativas existentes pueden fortalecer el equipamiento en la preparación para la respuesta.  </w:t>
      </w:r>
    </w:p>
    <w:p w14:paraId="04928BC1"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Planeación y organización: Cada entidad debe contar con protocolos y proce</w:t>
      </w:r>
      <w:r w:rsidRPr="00562064">
        <w:rPr>
          <w:rFonts w:ascii="Arial" w:eastAsia="Times New Roman" w:hAnsi="Arial" w:cs="Arial"/>
          <w:color w:val="000000" w:themeColor="text1"/>
          <w:lang w:eastAsia="es-CO"/>
        </w:rPr>
        <w:softHyphen/>
        <w:t>dimientos y un equipo de respuesta establecido en su plan de emergencia y con</w:t>
      </w:r>
      <w:r w:rsidRPr="00562064">
        <w:rPr>
          <w:rFonts w:ascii="Arial" w:eastAsia="Times New Roman" w:hAnsi="Arial" w:cs="Arial"/>
          <w:color w:val="000000" w:themeColor="text1"/>
          <w:lang w:eastAsia="es-CO"/>
        </w:rPr>
        <w:softHyphen/>
        <w:t>tingencia, con unas funciones y responsabilidades específicas, de acuerdo a cada escenario de riesgo identificado. Este equipo deberá asumir la dirección y coordi</w:t>
      </w:r>
      <w:r w:rsidRPr="00562064">
        <w:rPr>
          <w:rFonts w:ascii="Arial" w:eastAsia="Times New Roman" w:hAnsi="Arial" w:cs="Arial"/>
          <w:color w:val="000000" w:themeColor="text1"/>
          <w:lang w:eastAsia="es-CO"/>
        </w:rPr>
        <w:softHyphen/>
        <w:t>nación de las operaciones de respuesta.  </w:t>
      </w:r>
    </w:p>
    <w:p w14:paraId="050828DC"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Equipo de respuesta del plan de emergencia y contingencia: Enlace entre los directivos, jefes de la entidad o empresa con las instituciones y sectores adminis</w:t>
      </w:r>
      <w:r w:rsidRPr="00562064">
        <w:rPr>
          <w:rFonts w:ascii="Arial" w:eastAsia="Times New Roman" w:hAnsi="Arial" w:cs="Arial"/>
          <w:color w:val="000000" w:themeColor="text1"/>
          <w:lang w:eastAsia="es-CO"/>
        </w:rPr>
        <w:softHyphen/>
        <w:t>trativos públicos y privados a través de mecanismos disponibles entre las partes para definir roles y funciones y hacer efectiva la respuesta ante el desastre.  </w:t>
      </w:r>
    </w:p>
    <w:p w14:paraId="251426D0"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Roles y responsabilidades: Los roles institucionales de la entidad deben ser considerados conforme al nivel de autoridad y de competencia en el nivel de la emergencia. Lo anterior no configura bajo ninguna circunstancia la delegación de responsabilidades de la entidad generadora del evento frente a la implementación de todas las acciones del PEC hasta la finalización de la emergencia, así como la puesta en marcha de su plan de continuidad.  </w:t>
      </w:r>
    </w:p>
    <w:p w14:paraId="1121B775"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g) Inventario de recursos: Deberá ser actualizado periódicamente de los elementos, equipos, herramientas, sistemas y talento humano disponible para la atención de emergencias y contingencias según cada escenario de riesgo.  </w:t>
      </w:r>
    </w:p>
    <w:p w14:paraId="5587B854"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h) Apoyo a terceros: El PEC considerará mecanismos de apoyo a terceros desde su competencia para la prestación de servicios básicos de respuesta definidos en la Estrategia Municipal de Respuesta a Emergencias (EMRE).  </w:t>
      </w:r>
    </w:p>
    <w:p w14:paraId="52B74A87"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CB2F8FB"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3.1.2. Componente de ejecución para la respuesta a emergencias. Este componente define el marco de actuación de la entidad para responder a los diferentes eventos adversos que se puedan presentar. Establece los niveles de emergencia, los actores, instancias de coordinación y estructuras de intervención; así mismo, señala la articulación de la respuesta con actores internos y externos. Este debe desarrollar los siguientes contenidos mínimos:  </w:t>
      </w:r>
    </w:p>
    <w:p w14:paraId="59068A27"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EED341"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Objetivos y alcance: Se precisan a partir de los resultados del proceso de conocimiento del riesgo y reducción del riesgo.  </w:t>
      </w:r>
    </w:p>
    <w:p w14:paraId="672B63B1"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9C598B"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Niveles de emergencia: Los niveles de emergencia para la respuesta se establecen a partir de variables relacionadas con la afectación, las características de la emergencia o el fenómeno y con la capacidad de respuesta, siendo variable determinante la capacidad de respuesta de la entidad, para definir estos niveles de emergencia frente a la respuesta.  </w:t>
      </w:r>
    </w:p>
    <w:p w14:paraId="3723CD9D" w14:textId="77777777" w:rsidR="00E475BF" w:rsidRPr="00562064" w:rsidRDefault="00E475BF" w:rsidP="00143180">
      <w:pPr>
        <w:spacing w:after="0" w:line="254" w:lineRule="atLeast"/>
        <w:ind w:left="28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93C8A3" w14:textId="77777777" w:rsidR="00E475BF" w:rsidRPr="00562064" w:rsidRDefault="00E475BF" w:rsidP="00143180">
      <w:pPr>
        <w:spacing w:after="0" w:line="254" w:lineRule="atLeast"/>
        <w:ind w:left="28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Alerta, Alarma y Niveles de activación:  </w:t>
      </w:r>
    </w:p>
    <w:p w14:paraId="078515CC"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A1DAE6"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c.1. Alerta: estado que se declara con anterioridad a la manifestación de un evento peligroso, con base en el análisis de riesgo y el monitoreo del comportamiento de la respectiva amenaza; para que población de la entidad y el área de influencia del área de probable afectación involucrada en la emergencia, activen procedimientos de acción previamente establecidos para tomar precauciones específicas debido a la probable y/o cercana ocurrencia de un evento adverso.  </w:t>
      </w:r>
    </w:p>
    <w:p w14:paraId="37576E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30CFB5"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c.1.1. Sistemas de alerta temprana: mecanismos autónomos o dependientes de la supervisión humana, cuya función es dar aviso sobre niveles predeterminados de riesgo para una actividad o derivado de las condiciones ambientales, físicas y/o químicas de sustancias, del estado de maquinaria, equipo o de otras condiciones generadoras de riesgo previamente analizadas en el proceso de conocimiento del riesgo específicamente en el monitoreo del riesgo con las escalas de valor definidas las cuales proveen información oportuna para la toma de acciones frente a una amenaza.  </w:t>
      </w:r>
    </w:p>
    <w:p w14:paraId="5B9D0CE6"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304AB99"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c.1.2. Para efectos de armonización con la Estrategia Nacional de Respuesta y las estrategias en los niveles regional y local los niveles de alerta para la articulación territorial en la emergencia estarán asociados a un código de colores que servirá para iniciar las tareas de acuerdo a cada situación de la siguiente forma:  </w:t>
      </w:r>
    </w:p>
    <w:p w14:paraId="5537D077"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4554CC"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D301B5"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F5504C" w14:textId="77777777" w:rsidR="00E475BF" w:rsidRPr="00562064" w:rsidRDefault="00E475BF" w:rsidP="00143180">
      <w:pPr>
        <w:spacing w:after="0" w:line="254" w:lineRule="atLeast"/>
        <w:ind w:left="98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1661C1"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c.2. Alarma: Señales de carácter físico (audible o visual) que se emiten mediante elementos pasivos, de carácter conocido por todos los involucrados para indicar que se deben ejecutar de manera inmediata las instrucciones específicas establecidas en el Plan de emergencia y contingencia debido a la presencia real o inminente de un evento adverso.  </w:t>
      </w:r>
    </w:p>
    <w:p w14:paraId="7BB10366" w14:textId="77777777" w:rsidR="00E475BF" w:rsidRPr="00562064" w:rsidRDefault="00E475BF" w:rsidP="00143180">
      <w:pPr>
        <w:spacing w:after="0" w:line="254" w:lineRule="atLeast"/>
        <w:ind w:left="1416"/>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c.3. Niveles de activación: Están basados en la superación de las capacidades de respuesta por parte de la entidad y que dado el inicio súbito de una emergencia o por el escalonamiento resultante de la evolución desfavorable en relación a las actividades y acciones establecidas en el PEC, se deberá establecer el punto de intervención de entidades externas a la entidad involucrada que apoyen las labores de atención con medios y capacidades locales, regionales o nacionales según las necesidades.  </w:t>
      </w:r>
    </w:p>
    <w:p w14:paraId="50DC5B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B07DCC"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 Estructura de la intervención y articulación de la respuesta: La organización interna para la atención de emergencias deberá ser modular de modo que facilite su integración con los Consejos Territoriales de Gestión del Riesgo según el nivel de emergencia y de activación. Así mismo, dispondrá de manera gráfica del organigrama de la entidad y de los niveles de mando para cada nivel de emergencia que identifique las instancias de dirección, coordinación y asesoría; sin perjuicio de la autonomía de las entidades para establecer a través de sus sistemas de gestión.  </w:t>
      </w:r>
    </w:p>
    <w:p w14:paraId="7DD6CB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44CF0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 Protocolos y Procedimientos de respuesta para cada tipo de emergencia:  </w:t>
      </w:r>
    </w:p>
    <w:p w14:paraId="06A4726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C5F2DE"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Protocolo general para el manejo de la respuesta ante la emergencia: Define los objetivos de respuesta a la emergencia específica, la implementación de la organización, las estrategias y tácticas que permitan planificar, coordinar la participación empresarial, institucional, interinstitucional, sectorial, municipal, departamental, nacional o internacional, y optimizar las operaciones de respuesta de acuerdo con el panorama de daños y la disponibilidad de recursos para responder efectivamente a la emergencia.  </w:t>
      </w:r>
    </w:p>
    <w:p w14:paraId="5E032ED9"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iniciar con el desarrollo del protocolo general para el manejo de la respuesta ante la emergencia, para lo cual debe realizar como mínimo:  </w:t>
      </w:r>
    </w:p>
    <w:p w14:paraId="3B2932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9427E9"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Evacuar el sitio de la emergencia y su área de influencia de probable afectación de acuerdo al plan de evacuación.  </w:t>
      </w:r>
    </w:p>
    <w:p w14:paraId="6CCBDFBF"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Organizar las personas que lideran las acciones de respuesta de la entidad y el establecimiento de una estructura de mando para el desarrollo de acciones.  </w:t>
      </w:r>
    </w:p>
    <w:p w14:paraId="645394E0"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Habilitar recursos como: equipos, herramientas y los medios necesarios para garantizar la respuesta inmediata.  </w:t>
      </w:r>
    </w:p>
    <w:p w14:paraId="75834431"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Determinar las acciones a desarrollar, teniendo en cuenta la preparación ante una emergencia y la ejecución de la misma, así como: uso de sistemas de alerta temprana, rutas de evacuación, puntos de encuentro y centros de alojamiento (teniendo en cuenta la capacidad de los refugios con detalles demográficos (hombres, mujeres, niños, niñas, personas en situación de discapacidad, adultos mayores, entre otros), así como la información más relevante para la evacuación de la entidad y de la zona de influencia de probable afectación de esta.  </w:t>
      </w:r>
    </w:p>
    <w:p w14:paraId="47DBFE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Iniciar la aplicación de la Evaluación de Daños y Análisis de Necesidades (EDAN)  </w:t>
      </w:r>
    </w:p>
    <w:p w14:paraId="5DBD0B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8729831"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e.2. Procedimientos para el manejo de la respuesta ante la emergencia: Son variables y dinámicos conforme al escenario y deberán estar articulados con lo pertinente a los sistemas de gestión de la entidad.  </w:t>
      </w:r>
    </w:p>
    <w:p w14:paraId="1F455EB4"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4EDD22"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herramientas que se pueden definir mediante procedimientos y que hacen parte esencial del PEC son:  </w:t>
      </w:r>
    </w:p>
    <w:p w14:paraId="43862E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B6AE34"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 Directorio de contactos para emergencia.  </w:t>
      </w:r>
    </w:p>
    <w:p w14:paraId="3445B5B7"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 Cadenas de llamado.  </w:t>
      </w:r>
    </w:p>
    <w:p w14:paraId="7159097D"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2.3. Sistema de Alerta Temprana.  </w:t>
      </w:r>
    </w:p>
    <w:p w14:paraId="7FCE02B5"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2.4. Todas las demás que faciliten la atención de la emergencia.  </w:t>
      </w:r>
    </w:p>
    <w:p w14:paraId="1D4AD5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E06607"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e.3. Prioridades para la respuesta: La toma de decisiones para la respuesta a la emergencia o desastre, debe enfocarse en salvar el mayor número de vidas, la reducción de impactos al ambiente, la protección de los bienes e infraestructura y la preservación de la información.  </w:t>
      </w:r>
    </w:p>
    <w:p w14:paraId="6DB6F61A"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F0C424D"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e.4. Actividades críticas en la atención de una emergencia: Consolidar los daños y la afectación a la prestación de los servicios básicos de respuesta como consecuencia de la emergencia; identificar las necesidades de recursos humanos y materiales para la evaluación y análisis; adaptar la estructura organizacional general a los requerimientos en la emergencia; establecer las prioridades de la respuesta, de acuerdo con la información consolidada; activar las medidas necesarias para el plan de continuidad de negocio, y ejecutar la gestión de recursos de acuerdo con las prioridades.  </w:t>
      </w:r>
    </w:p>
    <w:p w14:paraId="34584B61"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50A60D"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 Mecanismo de actualización del Plan de Emergencia y Contingencia: Se actualizará anualmente, de acuerdo a lo referido en los sistemas de gestión de la entidad.  </w:t>
      </w:r>
    </w:p>
    <w:p w14:paraId="42FF04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4C7E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Una vez ejecutadas cualquiera de las obras civiles mayores de que trata el numeral 2 del artículo 2.3.1.5.1.2.2 del presente capítulo, El Plan de Gestión del Riesgo de Desastres de las Entidades Públicas y Privadas (PGRDEPP) se desarrollará de acuerdo con la actividad a la que está destinada la obra una vez terminada, y el PGRDEPP de la obra civil mayor podrá servir como insumo para elaborar la nueva gestión acorde con la labor a desarrollar por la entidad pública y/o privada final, si es objeto de aplicación del presente capítulo.  </w:t>
      </w:r>
    </w:p>
    <w:p w14:paraId="2DA8A0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92B43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Los planes de emergencia y contingencia o similar existentes se deberán actualizar a las disposiciones y directrices del presente capítulo, así como la solicitud de los mismos por parte de las entidades que lo requieran.  </w:t>
      </w:r>
    </w:p>
    <w:p w14:paraId="4BCC8B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12E4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En el Plan de Gestión del Riesgo de Desastres de las Entidades Públicas y Privadas (PGRDEPP), se deben incluir todas las instalaciones donde se adelante la actividad que puede generar riesgo de desastre. En caso que dichas instalaciones tengan distinta ubicación geográfica a la sede principal, así pertenezcan a la misma entidad, cada una de estas deberá respectivamente adelantar el Plan de Gestión del Riesgo de Desastres de las Entidades Públicas y Privadas (PGRDEPP).  </w:t>
      </w:r>
    </w:p>
    <w:p w14:paraId="78C7FA93" w14:textId="1C6B3CD7"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57" w:name="ver_30138493"/>
      <w:bookmarkEnd w:id="457"/>
    </w:p>
    <w:p w14:paraId="2AE4DB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2.3.1.5.2.1.2. Plan de inversiones. La aplicación del PGRDEPP, adicional al desarrollo de los procesos de gestión del riesgo de desastres estipulados anteriormente (conocimiento del riesgo, reducción del riesgo y manejo de los desastres), deberá incluir una programación que conciba la ejecución de las acciones de intervención a desarrollar en cada uno de estos procesos de gestión, en función de los plazos contemplados para la misma (corto, mediano y largo plazo), las áreas responsables de su coordinación, gestión y ejecución, presupuesto, y programación financiera que permitan garantizar su inclusión en los instrumentos de planeación financiera, presupuesta!, y del desarrollo de las entidades públicas y privadas en función de sus capacidades de implementación y gestión.  </w:t>
      </w:r>
    </w:p>
    <w:p w14:paraId="28C1DD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2D58262"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58" w:name="ver_30138494"/>
      <w:bookmarkEnd w:id="458"/>
      <w:r w:rsidRPr="00562064">
        <w:rPr>
          <w:rFonts w:ascii="Arial" w:eastAsia="Times New Roman" w:hAnsi="Arial" w:cs="Arial"/>
          <w:b/>
          <w:bCs/>
          <w:color w:val="000000" w:themeColor="text1"/>
          <w:lang w:eastAsia="es-CO"/>
        </w:rPr>
        <w:t>Subsección 2</w:t>
      </w:r>
    </w:p>
    <w:p w14:paraId="63F7D44C"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Adopción del el Plan de Gestión del Riesgo de Desastres de las Entidades Públicas y Privadas</w:t>
      </w:r>
    </w:p>
    <w:p w14:paraId="30D97EF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59" w:name="ver_30138495"/>
      <w:bookmarkEnd w:id="459"/>
    </w:p>
    <w:p w14:paraId="22E9D2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2.3.1.5.2.2.1. Adopción. El Plan de Gestión del Riesgo de Desastres de las Entidades Públicas y Privadas. PGRDEPP será adoptado de acuerdo a las normas del presente capítulo e implementadas con las establecidas por el respectivo sector.  </w:t>
      </w:r>
    </w:p>
    <w:p w14:paraId="64C92151" w14:textId="77777777" w:rsidR="002F0391" w:rsidRPr="00562064" w:rsidRDefault="002F0391" w:rsidP="00143180">
      <w:pPr>
        <w:spacing w:after="0" w:line="293" w:lineRule="atLeast"/>
        <w:jc w:val="both"/>
        <w:rPr>
          <w:rFonts w:ascii="Arial" w:eastAsia="Times New Roman" w:hAnsi="Arial" w:cs="Arial"/>
          <w:color w:val="000000" w:themeColor="text1"/>
          <w:spacing w:val="45"/>
          <w:lang w:eastAsia="es-CO"/>
        </w:rPr>
      </w:pPr>
      <w:bookmarkStart w:id="460" w:name="ver_30138496"/>
      <w:bookmarkEnd w:id="460"/>
    </w:p>
    <w:p w14:paraId="00C2D11D" w14:textId="5909B748"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Subsección 3</w:t>
      </w:r>
    </w:p>
    <w:p w14:paraId="4CDCF03E"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Implementación sectorial y armonización territorial</w:t>
      </w:r>
    </w:p>
    <w:p w14:paraId="4539ED7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61" w:name="ver_30138497"/>
      <w:bookmarkEnd w:id="461"/>
    </w:p>
    <w:p w14:paraId="5A5895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2.3.1.5.2.3.1. Implementación sectorial y armonización territorial del PGRDEPP. Una vez adoptado el PGRDEPP, la entidad deberá implementar con sus propios recursos económicos, técnicos, tecnológicos, logísticos, humanos, entre otros, las medidas de conocimiento del riesgo, reducción del riesgo y manejo de desastras establecidas en el citado Plan.  </w:t>
      </w:r>
    </w:p>
    <w:p w14:paraId="135EAA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B60B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Las entidades públicas y privadas responsables del PGRDEPP deben (i) garantizar su integración con los sistemas de gestión de su entidad (ii) suministrar la información pertinente para ser integrada por el ente territorial en sus Planes de Gestión del Riesgo de Desastres y su Estrategia de Respuesta a Emergencias y (iii) entregar al Consejo Territoriales de Gestión del Riesgo correspondiente para su adecuada articulación y armonización territorial, sectorial e institucional.  </w:t>
      </w:r>
    </w:p>
    <w:p w14:paraId="2FEDAEE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5C7C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En caso de la ocurrencia de un evento calamitoso o desastroso que supere la capacidad de reacción de la entidad pública y/o privada, esta podrá acudir a los mecanismos disponibles entre las partes para atender la emergencia.  </w:t>
      </w:r>
    </w:p>
    <w:p w14:paraId="131AB8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778EF6B"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62" w:name="ver_30138498"/>
      <w:bookmarkEnd w:id="462"/>
      <w:r w:rsidRPr="00562064">
        <w:rPr>
          <w:rFonts w:ascii="Arial" w:eastAsia="Times New Roman" w:hAnsi="Arial" w:cs="Arial"/>
          <w:b/>
          <w:bCs/>
          <w:color w:val="000000" w:themeColor="text1"/>
          <w:lang w:eastAsia="es-CO"/>
        </w:rPr>
        <w:t>Subsección 4</w:t>
      </w:r>
    </w:p>
    <w:p w14:paraId="0585A468"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Seguimiento y verificación</w:t>
      </w:r>
    </w:p>
    <w:p w14:paraId="05AA825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63" w:name="ver_30138499"/>
      <w:bookmarkEnd w:id="463"/>
    </w:p>
    <w:p w14:paraId="795695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2.3.1.5.2.4.1. Seguimiento del PGRDEPP. Dado que el Plan de Gestión del Riesgo de Desastres de las Entidades Públicas y Privadas se debe verificar por la entidad pública y/o privada que lo formule, en los avances y el impacto de la gestión para el mejoramiento del PGRDEPP, se hace preciso desarrollar las actividades mínimas descritas a continuación:  </w:t>
      </w:r>
    </w:p>
    <w:p w14:paraId="09BE9A2B"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2D2747"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Seleccionar parámetros e indicadores de ejecución y gestión del PGRDEPP.  </w:t>
      </w:r>
    </w:p>
    <w:p w14:paraId="0F48CFD3"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Garantizar controles eficaces y eficientes.  </w:t>
      </w:r>
    </w:p>
    <w:p w14:paraId="77597D08"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Identificar cambios en la implementación de los procesos de gestión del riesgo de desastres y en las acciones de intervención formuladas para el conocimiento, la reducción del riesgo o el manejo del desastre.  </w:t>
      </w:r>
    </w:p>
    <w:p w14:paraId="3F1EA2A1"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Generar reportes acorde a lo definido por la entidad sobre el seguimiento al PGRDEPP de manera que permita su evaluación y reingeniería en su planea</w:t>
      </w:r>
      <w:r w:rsidRPr="00562064">
        <w:rPr>
          <w:rFonts w:ascii="Arial" w:eastAsia="Times New Roman" w:hAnsi="Arial" w:cs="Arial"/>
          <w:color w:val="000000" w:themeColor="text1"/>
          <w:lang w:eastAsia="es-CO"/>
        </w:rPr>
        <w:softHyphen/>
        <w:t>ción.  </w:t>
      </w:r>
    </w:p>
    <w:p w14:paraId="1551C4BF"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Formular recomendaciones para el mejoramiento continuo en la implementa</w:t>
      </w:r>
      <w:r w:rsidRPr="00562064">
        <w:rPr>
          <w:rFonts w:ascii="Arial" w:eastAsia="Times New Roman" w:hAnsi="Arial" w:cs="Arial"/>
          <w:color w:val="000000" w:themeColor="text1"/>
          <w:lang w:eastAsia="es-CO"/>
        </w:rPr>
        <w:softHyphen/>
        <w:t>ción de los procesos de gestión y sus acciones. </w:t>
      </w:r>
    </w:p>
    <w:p w14:paraId="7CF587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6645679"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Socialización y comunicación</w:t>
      </w:r>
    </w:p>
    <w:p w14:paraId="6DB27E4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64" w:name="ver_30138502"/>
      <w:bookmarkEnd w:id="464"/>
    </w:p>
    <w:p w14:paraId="73A395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2.3.1.5.2.5.1. Socialización y comunicación del PGRDEPP. La socialización y comunicación busca promover el aumento de la conciencia del riesgo, la participación, la sensibilización, la corresponsabilidad social y la socialización de las estrategias definidas.  </w:t>
      </w:r>
    </w:p>
    <w:p w14:paraId="65B4E1D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Así mismo, esta etapa debe ser un mecanismo de consulta de aspectos relacionados con causas, consecuencias y medidas reconocidas para tratar el riesgo.  </w:t>
      </w:r>
    </w:p>
    <w:p w14:paraId="674979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comunicación efectiva debe ser transversal a la gestión del riesgo y debe permitir como mínimo, conforme a lo establecido en la NTC-ISO 31000:2009 o las demás normas que la reglamenten o sustituyan, y de acuerdo a las capacidades de la entidad, el desarrollo de los siguientes aspectos:  </w:t>
      </w:r>
    </w:p>
    <w:p w14:paraId="08BAC5C3"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417A79"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Incorporar los saberes locales para establecer el contexto.  </w:t>
      </w:r>
    </w:p>
    <w:p w14:paraId="6B042302"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Formular una estrategia de comunicación efectiva del PGRDEPP.  </w:t>
      </w:r>
    </w:p>
    <w:p w14:paraId="18C006A1"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Establecer equipos multidisciplinarios para desarrollar e implementar estrate</w:t>
      </w:r>
      <w:r w:rsidRPr="00562064">
        <w:rPr>
          <w:rFonts w:ascii="Arial" w:eastAsia="Times New Roman" w:hAnsi="Arial" w:cs="Arial"/>
          <w:color w:val="000000" w:themeColor="text1"/>
          <w:lang w:eastAsia="es-CO"/>
        </w:rPr>
        <w:softHyphen/>
        <w:t>gias de comunicación a la comunidad del área de influencia, entes territoriales, personal de la empresa, entre otros.  </w:t>
      </w:r>
    </w:p>
    <w:p w14:paraId="19CB1CF1" w14:textId="77777777" w:rsidR="00E475BF" w:rsidRPr="00562064" w:rsidRDefault="00E475BF" w:rsidP="00143180">
      <w:pPr>
        <w:spacing w:after="0" w:line="254" w:lineRule="atLeast"/>
        <w:ind w:left="660"/>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Comunicar a la población de la empresa (interna) y del área de influencia (externa) los resultados del Plan y mecanismos de participación del mismo, en lo pertinente.  </w:t>
      </w:r>
    </w:p>
    <w:p w14:paraId="6967F8B2" w14:textId="77777777" w:rsidR="002F0391" w:rsidRPr="00562064" w:rsidRDefault="002F0391" w:rsidP="002F0391">
      <w:pPr>
        <w:spacing w:after="0" w:line="293" w:lineRule="atLeast"/>
        <w:jc w:val="center"/>
        <w:rPr>
          <w:rFonts w:ascii="Arial" w:eastAsia="Times New Roman" w:hAnsi="Arial" w:cs="Arial"/>
          <w:b/>
          <w:bCs/>
          <w:color w:val="000000" w:themeColor="text1"/>
          <w:lang w:eastAsia="es-CO"/>
        </w:rPr>
      </w:pPr>
      <w:bookmarkStart w:id="465" w:name="ver_30138503"/>
      <w:bookmarkEnd w:id="465"/>
    </w:p>
    <w:p w14:paraId="4693066C" w14:textId="13100A4D"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Subsección 6</w:t>
      </w:r>
    </w:p>
    <w:p w14:paraId="116A2731"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Control</w:t>
      </w:r>
    </w:p>
    <w:p w14:paraId="10C020F9" w14:textId="77777777" w:rsidR="00E475BF" w:rsidRPr="00562064" w:rsidRDefault="00E475BF" w:rsidP="002F0391">
      <w:pPr>
        <w:spacing w:after="0" w:line="240" w:lineRule="auto"/>
        <w:jc w:val="center"/>
        <w:rPr>
          <w:rFonts w:ascii="Arial" w:eastAsia="Times New Roman" w:hAnsi="Arial" w:cs="Arial"/>
          <w:b/>
          <w:bCs/>
          <w:color w:val="000000" w:themeColor="text1"/>
          <w:lang w:eastAsia="es-CO"/>
        </w:rPr>
      </w:pPr>
      <w:bookmarkStart w:id="466" w:name="ver_30138504"/>
      <w:bookmarkEnd w:id="466"/>
    </w:p>
    <w:p w14:paraId="35BDBB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2.3.1.5.2.6.1. Control del plan. En el marco de los artículos 2° y 44 de la Ley 1523 de 2012, los órganos de control de Estado ejercerán procesos de monitoreo, evaluación y control y, la sociedad, a través de los mecanismos de veeduría ciudadana, a los planes de gestión del riesgo de la entidades públicas y privadas.  </w:t>
      </w:r>
    </w:p>
    <w:p w14:paraId="4AE18F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A5D7D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En armonía con el principio de autoconservación del artículo 3° de la Ley 1523 de 2012 y, en ejercicio de la solidaridad social, las entidades públicas y privadas objeto de la presente reglamentación, tienen el deber de adoptar las medidas necesarias para una adecuada gestión del riesgo en su ámbito personal y funcional, con miras a salvaguardarse. Así mismo, las entidades son corresponsables de la gestión del riesgo y, en esa medida, desarrollarán y ejecutarán los procesos de gestión del riesgo, entiéndase: conocimiento del riesgo, reducción, del riesgo y manejo de desastres, en el marco de sus competencias, su ámbito de actuación y su jurisdicción, como componentes del Sistema Nacional de Gestión del Riesgo de Desastres.  </w:t>
      </w:r>
    </w:p>
    <w:p w14:paraId="7FA1B8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2A5B43" w14:textId="77777777" w:rsidR="00E475BF" w:rsidRPr="00562064" w:rsidRDefault="00E475BF" w:rsidP="002F0391">
      <w:pPr>
        <w:spacing w:after="0" w:line="254" w:lineRule="atLeast"/>
        <w:jc w:val="center"/>
        <w:rPr>
          <w:rFonts w:ascii="Arial" w:eastAsia="Times New Roman" w:hAnsi="Arial" w:cs="Arial"/>
          <w:color w:val="000000" w:themeColor="text1"/>
          <w:lang w:eastAsia="es-CO"/>
        </w:rPr>
      </w:pPr>
    </w:p>
    <w:p w14:paraId="74BA2C3D" w14:textId="77777777" w:rsidR="00E475BF" w:rsidRPr="006C4E2B" w:rsidRDefault="00E475BF" w:rsidP="002F0391">
      <w:pPr>
        <w:spacing w:after="0" w:line="293" w:lineRule="atLeast"/>
        <w:jc w:val="center"/>
        <w:rPr>
          <w:rFonts w:ascii="Arial" w:eastAsia="Times New Roman" w:hAnsi="Arial" w:cs="Arial"/>
          <w:b/>
          <w:bCs/>
          <w:color w:val="000000" w:themeColor="text1"/>
          <w:lang w:eastAsia="es-CO"/>
        </w:rPr>
      </w:pPr>
      <w:bookmarkStart w:id="467" w:name="ver_30138505"/>
      <w:bookmarkEnd w:id="467"/>
      <w:r w:rsidRPr="006C4E2B">
        <w:rPr>
          <w:rFonts w:ascii="Arial" w:eastAsia="Times New Roman" w:hAnsi="Arial" w:cs="Arial"/>
          <w:b/>
          <w:bCs/>
          <w:color w:val="000000" w:themeColor="text1"/>
          <w:lang w:eastAsia="es-CO"/>
        </w:rPr>
        <w:t>Subsección 7</w:t>
      </w:r>
    </w:p>
    <w:p w14:paraId="25401533" w14:textId="77777777" w:rsidR="00E475BF" w:rsidRPr="006C4E2B" w:rsidRDefault="00E475BF" w:rsidP="002F0391">
      <w:pPr>
        <w:spacing w:after="0" w:line="293" w:lineRule="atLeast"/>
        <w:jc w:val="center"/>
        <w:rPr>
          <w:rFonts w:ascii="Arial" w:eastAsia="Times New Roman" w:hAnsi="Arial" w:cs="Arial"/>
          <w:b/>
          <w:bCs/>
          <w:color w:val="000000" w:themeColor="text1"/>
          <w:lang w:eastAsia="es-CO"/>
        </w:rPr>
      </w:pPr>
      <w:r w:rsidRPr="006C4E2B">
        <w:rPr>
          <w:rFonts w:ascii="Arial" w:eastAsia="Times New Roman" w:hAnsi="Arial" w:cs="Arial"/>
          <w:b/>
          <w:bCs/>
          <w:color w:val="000000" w:themeColor="text1"/>
          <w:lang w:eastAsia="es-CO"/>
        </w:rPr>
        <w:t>Requerimientos adicionales</w:t>
      </w:r>
    </w:p>
    <w:p w14:paraId="347FBCE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68" w:name="ver_30138506"/>
      <w:bookmarkEnd w:id="468"/>
    </w:p>
    <w:p w14:paraId="237FAA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2.3.1.5.2.7.1. Requerimientos adicionales del PGRDEPP. Cada uno de los sectores correspondientes a las actividades que trata la subsección 2 de la sección 1 del presente decreto, dentro de los seis (6) meses siguientes a la entrada en vigencia, podrán establecer contenidos o requisitos adicionales al Plan frente a los componentes específicos que se requieran para la implementación efectiva de los procesos de gestión del riesgo de desastres.  </w:t>
      </w:r>
    </w:p>
    <w:p w14:paraId="73CF6C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70F4C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Las entidades públicas y privadas responsables del Plan, contaran con un término de seis (6) meses para adoptar su respectivo Plan, prorrogable por una sola vez y por el mismo término.  </w:t>
      </w:r>
    </w:p>
    <w:p w14:paraId="436B70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0597AA5"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69" w:name="ver_30138507"/>
      <w:bookmarkEnd w:id="469"/>
      <w:r w:rsidRPr="00562064">
        <w:rPr>
          <w:rFonts w:ascii="Arial" w:eastAsia="Times New Roman" w:hAnsi="Arial" w:cs="Arial"/>
          <w:b/>
          <w:bCs/>
          <w:color w:val="000000" w:themeColor="text1"/>
          <w:lang w:eastAsia="es-CO"/>
        </w:rPr>
        <w:t>Subsección 8</w:t>
      </w:r>
    </w:p>
    <w:p w14:paraId="13C2DCF1"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Revisión y ajuste</w:t>
      </w:r>
    </w:p>
    <w:p w14:paraId="4142CFC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70" w:name="ver_30138508"/>
      <w:bookmarkEnd w:id="470"/>
    </w:p>
    <w:p w14:paraId="3B2B00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2.3.1.5.2.8.1. Revisión y ajuste del Plan. Con base a los resultados del monitoreo y seguimiento del Plan de Gestión del Riesgo de Desastres de las Entidades Públicas y Privadas. PGRDEPP, este debe ser revisado y ajustado anualmente, y/o cuando el sector o la entidad lo considere necesario y/o cuando los resultados de los ejercicios propios de modelación evidencien la necesidad de acciones de mejoramiento del Plan. En cualquier caso, se debe mantener la implementación de los procesos de gestión establecidos en la Ley 1523 de 2012: Conocimiento del riesgo, Reducción del riesgo y Manejo de Desastres.  </w:t>
      </w:r>
    </w:p>
    <w:p w14:paraId="7BC219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56B8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09C09E2"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71" w:name="ver_30138509"/>
      <w:bookmarkEnd w:id="471"/>
      <w:r w:rsidRPr="00562064">
        <w:rPr>
          <w:rFonts w:ascii="Arial" w:eastAsia="Times New Roman" w:hAnsi="Arial" w:cs="Arial"/>
          <w:b/>
          <w:bCs/>
          <w:color w:val="000000" w:themeColor="text1"/>
          <w:lang w:eastAsia="es-CO"/>
        </w:rPr>
        <w:t>Subsección 9</w:t>
      </w:r>
    </w:p>
    <w:p w14:paraId="2D341B37"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Temporalidad del Plan</w:t>
      </w:r>
    </w:p>
    <w:p w14:paraId="29550EC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72" w:name="ver_30138510"/>
      <w:bookmarkEnd w:id="472"/>
    </w:p>
    <w:p w14:paraId="3F2570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2.3.1.5.2.9.1. Temporalidad del Plan. El tiempo de vigencia del Plan de Gestión del Riesgo de Desastres de las Entidades Públicas y Privadas (PGRDEPP), estará determinada por las actualizaciones y ajustes que se realicen de conformidad con lo establecido en el artículo 2.3.1.5.2.8.1 del presente capítulo.  </w:t>
      </w:r>
    </w:p>
    <w:p w14:paraId="1A4AF7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0E89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1B93F144"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73" w:name="ver_30138511"/>
      <w:bookmarkEnd w:id="473"/>
      <w:r w:rsidRPr="00562064">
        <w:rPr>
          <w:rFonts w:ascii="Arial" w:eastAsia="Times New Roman" w:hAnsi="Arial" w:cs="Arial"/>
          <w:b/>
          <w:bCs/>
          <w:color w:val="000000" w:themeColor="text1"/>
          <w:lang w:eastAsia="es-CO"/>
        </w:rPr>
        <w:t>Sección 3</w:t>
      </w:r>
    </w:p>
    <w:p w14:paraId="159B833D"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finales</w:t>
      </w:r>
    </w:p>
    <w:p w14:paraId="370B0FA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74" w:name="ver_30138512"/>
      <w:bookmarkEnd w:id="474"/>
    </w:p>
    <w:p w14:paraId="3E63E2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2.3.1.5.3.1. Periodo de transición. Hasta tanto se expida el Plan, se mantendrá la aplicación de las normas de carácter sectorial relacionadas con la gestión del riesgo de desastres.  </w:t>
      </w:r>
    </w:p>
    <w:p w14:paraId="67655AF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75" w:name="ver_30138513"/>
      <w:bookmarkEnd w:id="475"/>
    </w:p>
    <w:p w14:paraId="365F72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2.3.1.5.3.2. Vigencia y derogatorias. El presente decreto rige a partir de la fecha de su publicación y deroga las disposiciones que le sean contrarias.  </w:t>
      </w:r>
    </w:p>
    <w:p w14:paraId="06BE17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27A2B2F"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76" w:name="ver_30177063"/>
      <w:bookmarkEnd w:id="476"/>
      <w:r w:rsidRPr="00562064">
        <w:rPr>
          <w:rFonts w:ascii="Arial" w:eastAsia="Times New Roman" w:hAnsi="Arial" w:cs="Arial"/>
          <w:b/>
          <w:bCs/>
          <w:color w:val="000000" w:themeColor="text1"/>
          <w:lang w:eastAsia="es-CO"/>
        </w:rPr>
        <w:t>CAPÍTULO 6</w:t>
      </w:r>
    </w:p>
    <w:p w14:paraId="63D78675"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Fondo Nacional de Gestión del Riesgo de Desastres</w:t>
      </w:r>
    </w:p>
    <w:p w14:paraId="5E4E3548"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795EF1E1"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Generales</w:t>
      </w:r>
    </w:p>
    <w:p w14:paraId="4A724610"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Objeto, alcance, definiciones y responsables</w:t>
      </w:r>
    </w:p>
    <w:p w14:paraId="41678F3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77" w:name="ver_30177068"/>
      <w:bookmarkEnd w:id="477"/>
    </w:p>
    <w:p w14:paraId="3CED63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2.3.1.6.1.1. Objeto. Reglamentar las actividades directivas, administrativas y operacionales del Fondo Nacional de Gestión del Riesgo de Desastres, como mecanismo de financiación de la política de gestión del riesgo de desastres en Colombia. </w:t>
      </w:r>
    </w:p>
    <w:p w14:paraId="6D385BF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78" w:name="ver_30177071"/>
      <w:bookmarkEnd w:id="478"/>
    </w:p>
    <w:p w14:paraId="262DB6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2.3.1.6.1.2. Alcance. Las disposiciones contenidas en el presente reglamento aplican a todas las entidades del Sistema Nacional de Gestión del Riesgo de Desastres, que ejecuten actividades con recursos del Fondo Nacional, relativas a los procesos de conocimiento del riesgo, reducción del riesgo y manejo de desastres; a Fiduprevisora S.A., en su calidad de vocera y administradora del patrimonio autónomo del Fondo Nacional y, al Director de la Unidad Nacional para la Gestión del Riesgo de Desastres, en su calidad de Ordenador del Gasto de los recursos del Fondo Nacional de Gestión del Riesgo de Desastres y sus subcuentas, respectivamente.  </w:t>
      </w:r>
    </w:p>
    <w:p w14:paraId="1CC0B645" w14:textId="7305052D"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79" w:name="ver_30177072"/>
      <w:bookmarkEnd w:id="479"/>
    </w:p>
    <w:p w14:paraId="281D43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2.3.1.6.1.3. Definiciones. El presente capítulo utilizará los conceptos y las definiciones previstas en la Ley 1523 de 2012, así como las siguientes siglas o acrónimos que se relacionan a continuación:  </w:t>
      </w:r>
    </w:p>
    <w:p w14:paraId="05A544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3966F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Sistema Nacional de Gestión del Riesgo de Desastres (SNGRD) o Sistema Nacio</w:t>
      </w:r>
      <w:r w:rsidRPr="00562064">
        <w:rPr>
          <w:rFonts w:ascii="Arial" w:eastAsia="Times New Roman" w:hAnsi="Arial" w:cs="Arial"/>
          <w:color w:val="000000" w:themeColor="text1"/>
          <w:lang w:eastAsia="es-CO"/>
        </w:rPr>
        <w:softHyphen/>
        <w:t>nal.  </w:t>
      </w:r>
    </w:p>
    <w:p w14:paraId="252F19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Fondo Nacional de Gestión del Riesgo de Desastres (FNGRD) o Fondo Nacional o Fondo.  </w:t>
      </w:r>
    </w:p>
    <w:p w14:paraId="1AF26C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Unidad Nacional para la Gestión del Riesgo de Desastres - Unidad Nacional o (UNGRD).  </w:t>
      </w:r>
    </w:p>
    <w:p w14:paraId="6130AC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Fiduciaria La Previsora S.A. (Fiduprevisora S.A.).  </w:t>
      </w:r>
    </w:p>
    <w:p w14:paraId="234495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Fondos Territoriales de Gestión del Riesgo - Fondos Territoriales.  </w:t>
      </w:r>
    </w:p>
    <w:p w14:paraId="1914D3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Fondo de Inversión Colectiva (FIC).  </w:t>
      </w:r>
    </w:p>
    <w:p w14:paraId="4F13FE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Consejo Distrital, Municipal o Departamental de Gestión del Riesgo de Desastre (CMGRD-CDGRD), según el caso.  </w:t>
      </w:r>
    </w:p>
    <w:p w14:paraId="4BCE6D9B" w14:textId="22A483F0"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80" w:name="ver_30177073"/>
      <w:bookmarkEnd w:id="480"/>
    </w:p>
    <w:p w14:paraId="494FA7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2.3.1.6.1.4. Responsables. Son responsables del adecuado manejo de los recursos económicos, los integrantes del Sistema Nacional de Gestión del Riesgo de Desastres que manejen, administren o ejecuten actividades financiadas con recursos del Fondo Nacional de Gestión del Riesgo de Desastres. </w:t>
      </w:r>
    </w:p>
    <w:p w14:paraId="0FC986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14B0C91" w14:textId="018CA1EE" w:rsidR="00E475BF" w:rsidRPr="00562064" w:rsidRDefault="00E475BF" w:rsidP="002F0391">
      <w:pPr>
        <w:spacing w:after="0" w:line="254" w:lineRule="atLeast"/>
        <w:jc w:val="center"/>
        <w:rPr>
          <w:rFonts w:ascii="Arial" w:eastAsia="Times New Roman" w:hAnsi="Arial" w:cs="Arial"/>
          <w:b/>
          <w:bCs/>
          <w:color w:val="000000" w:themeColor="text1"/>
          <w:lang w:eastAsia="es-CO"/>
        </w:rPr>
      </w:pPr>
    </w:p>
    <w:p w14:paraId="772DECEA"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81" w:name="ver_30177075"/>
      <w:bookmarkEnd w:id="481"/>
      <w:r w:rsidRPr="00562064">
        <w:rPr>
          <w:rFonts w:ascii="Arial" w:eastAsia="Times New Roman" w:hAnsi="Arial" w:cs="Arial"/>
          <w:b/>
          <w:bCs/>
          <w:color w:val="000000" w:themeColor="text1"/>
          <w:lang w:eastAsia="es-CO"/>
        </w:rPr>
        <w:t>SUBSECCIÓN 2</w:t>
      </w:r>
    </w:p>
    <w:p w14:paraId="37E6CFD5" w14:textId="27A4B02A"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Naturaleza, dirección y manejo de recursos del fondo nacional de gestión del riesgo de desastres</w:t>
      </w:r>
    </w:p>
    <w:p w14:paraId="2CBFFDEA" w14:textId="1D953E88" w:rsidR="00E475BF" w:rsidRPr="00562064" w:rsidRDefault="00E475BF" w:rsidP="00143180">
      <w:pPr>
        <w:spacing w:line="293" w:lineRule="atLeast"/>
        <w:jc w:val="both"/>
        <w:rPr>
          <w:rFonts w:ascii="Arial" w:eastAsia="Times New Roman" w:hAnsi="Arial" w:cs="Arial"/>
          <w:color w:val="000000" w:themeColor="text1"/>
          <w:lang w:eastAsia="es-CO"/>
        </w:rPr>
      </w:pPr>
    </w:p>
    <w:p w14:paraId="5C7CC42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82" w:name="ver_30177078"/>
      <w:bookmarkEnd w:id="482"/>
    </w:p>
    <w:p w14:paraId="397F38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2.3.1.6.1.2.1. Fondo Nacional para la Gestión del Riesgo de Desastres. Los recursos del Fondo Nacional están destinados a la implementación y continuidad de la política nacional de gestión del riesgo de desastres, en el marco de la Ley 1523 de 2012 y sus normas reglamentarias.  </w:t>
      </w:r>
    </w:p>
    <w:p w14:paraId="60A8A4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AC6C7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C9BD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1FF0282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83" w:name="ver_30177079"/>
      <w:bookmarkEnd w:id="483"/>
    </w:p>
    <w:p w14:paraId="5B4158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2.3.1.6.1.2.2. La Junta Directiva. Para efecto de lo consagrado en el artículo 52 de la Ley 1523 de 2012, la Junta Directiva deberá definir:  </w:t>
      </w:r>
    </w:p>
    <w:p w14:paraId="74E47C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7BAE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Los montos autorizados y los criterios de selección de los proyectos presentados a la Unidad Nacional para la Gestión del Riesgo de Desastres para su aprobación y correspondiente financiación con recursos del Fondo.  </w:t>
      </w:r>
    </w:p>
    <w:p w14:paraId="2FD97F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60239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Las directrices a la Unidad Nacional para la Gestión del Riesgo de Desastres que tengan por objeto orientar el diseño de procedimientos adecuados que posibiliten las transferencias de recursos del Fondo a las entidades del Sistema Nacional de Gestión del Riesgo de Desastres.  </w:t>
      </w:r>
    </w:p>
    <w:p w14:paraId="5E5F00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DAF4AE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Las directrices y las políticas de inversión de los activos del Fondo.  </w:t>
      </w:r>
    </w:p>
    <w:p w14:paraId="48DA9A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55B0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Expedir y adoptar su propio reglamento.  </w:t>
      </w:r>
    </w:p>
    <w:p w14:paraId="414B7D61" w14:textId="0B2CD59F"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84" w:name="ver_30177083"/>
      <w:bookmarkEnd w:id="484"/>
    </w:p>
    <w:p w14:paraId="0815C6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2.3.1.6.1.2.3. Secretaria Técnica de la Junta Directiva del Fondo Nacio</w:t>
      </w:r>
      <w:r w:rsidRPr="00562064">
        <w:rPr>
          <w:rFonts w:ascii="Arial" w:eastAsia="Times New Roman" w:hAnsi="Arial" w:cs="Arial"/>
          <w:color w:val="000000" w:themeColor="text1"/>
          <w:lang w:eastAsia="es-CO"/>
        </w:rPr>
        <w:softHyphen/>
        <w:t>nal. La Dirección de la Unidad Nacional para la Gestión del Riesgo de Desastres ejercerá la Secretaría Técnica de la Junta Directiva del Fondo, con las siguientes funciones:  </w:t>
      </w:r>
    </w:p>
    <w:p w14:paraId="466596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5AB2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Planear, organizar, dirigir y controlar los trámites necesarios, para el cabal cum</w:t>
      </w:r>
      <w:r w:rsidRPr="00562064">
        <w:rPr>
          <w:rFonts w:ascii="Arial" w:eastAsia="Times New Roman" w:hAnsi="Arial" w:cs="Arial"/>
          <w:color w:val="000000" w:themeColor="text1"/>
          <w:lang w:eastAsia="es-CO"/>
        </w:rPr>
        <w:softHyphen/>
        <w:t>plimiento de las funciones de la Junta, incluyendo la recepción de la información, las peticiones, quejas y reclamos, de conformidad con las políticas, procedimien</w:t>
      </w:r>
      <w:r w:rsidRPr="00562064">
        <w:rPr>
          <w:rFonts w:ascii="Arial" w:eastAsia="Times New Roman" w:hAnsi="Arial" w:cs="Arial"/>
          <w:color w:val="000000" w:themeColor="text1"/>
          <w:lang w:eastAsia="es-CO"/>
        </w:rPr>
        <w:softHyphen/>
        <w:t>tos, planes y criterios que para tal fin se establezcan.  </w:t>
      </w:r>
    </w:p>
    <w:p w14:paraId="2C91B8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5B2F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Tramitar las convocatorias a las sesiones ordinarias y extraordinarias de la Junta.  </w:t>
      </w:r>
    </w:p>
    <w:p w14:paraId="5E3E73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EA6A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Asistir a las sesiones de la Junta Directiva del Fondo, en las cuales tendrá voz pero no voto.  </w:t>
      </w:r>
    </w:p>
    <w:p w14:paraId="67FFF3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3A48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Prestar el apoyo logístico y brindar la información que en cualquier momento le solicite la Junta.  </w:t>
      </w:r>
    </w:p>
    <w:p w14:paraId="13FAAA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5A0C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Elaborar, custodiar y conservar las actas de las sesiones y los Acuerdos, así como dar fe sobre la autenticidad de su contenido.  </w:t>
      </w:r>
    </w:p>
    <w:p w14:paraId="23AF1B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C735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Preparar los proyectos de actos administrativos, incluyendo los estudios técnicos que se le soliciten y aquellos necesarios para soportar la toma de decisiones.  </w:t>
      </w:r>
    </w:p>
    <w:p w14:paraId="684C85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AF35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Recibir y tramitar las propuestas que los miembros de la Junta presenten para su incorporación al orden del día de sus sesiones.  </w:t>
      </w:r>
    </w:p>
    <w:p w14:paraId="0EB38C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91569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Presentar los informes que le solicite la Junta.  </w:t>
      </w:r>
    </w:p>
    <w:p w14:paraId="656DBA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D8EFE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Publicar, comunicar y notificar las decisiones y resoluciones que expida la Junta Directica y mantener un sistema de conservación y consulta pública de los mis</w:t>
      </w:r>
      <w:r w:rsidRPr="00562064">
        <w:rPr>
          <w:rFonts w:ascii="Arial" w:eastAsia="Times New Roman" w:hAnsi="Arial" w:cs="Arial"/>
          <w:color w:val="000000" w:themeColor="text1"/>
          <w:lang w:eastAsia="es-CO"/>
        </w:rPr>
        <w:softHyphen/>
        <w:t>mos, de conformidad con la ley.  </w:t>
      </w:r>
    </w:p>
    <w:p w14:paraId="31CFA2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9AF7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Dar respuesta directa a las solicitudes, peticiones, consultas, que se eleven a la Junta sobre las materias de su competencia, con fundamento en lo establecido en la normatividad aplicable.  </w:t>
      </w:r>
    </w:p>
    <w:p w14:paraId="250D17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434A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Las demás que le asigne la Junta Directiva.  </w:t>
      </w:r>
    </w:p>
    <w:p w14:paraId="29FC85FD" w14:textId="48D119C1"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85" w:name="ver_30177088"/>
      <w:bookmarkEnd w:id="485"/>
    </w:p>
    <w:p w14:paraId="18D5F003" w14:textId="77777777" w:rsidR="002F0391" w:rsidRPr="00562064" w:rsidRDefault="002F0391" w:rsidP="002F0391">
      <w:pPr>
        <w:spacing w:after="0" w:line="254" w:lineRule="atLeast"/>
        <w:jc w:val="both"/>
        <w:rPr>
          <w:rFonts w:ascii="Arial" w:eastAsia="Times New Roman" w:hAnsi="Arial" w:cs="Arial"/>
          <w:color w:val="000000" w:themeColor="text1"/>
          <w:lang w:eastAsia="es-CO"/>
        </w:rPr>
      </w:pPr>
    </w:p>
    <w:p w14:paraId="57AD07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2.3.1.6.1.2.4. Manejo de recursos. La sociedad Fiduciaria La Previsora S.A., como representante legal y administradora del Fondo Nacional, tendrá a cargo la recepción, administración, inversión y pago de los recursos del Fondo.  </w:t>
      </w:r>
    </w:p>
    <w:p w14:paraId="240AD2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2934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D9CF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06D6E22"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86" w:name="ver_30177089"/>
      <w:bookmarkEnd w:id="486"/>
      <w:r w:rsidRPr="00562064">
        <w:rPr>
          <w:rFonts w:ascii="Arial" w:eastAsia="Times New Roman" w:hAnsi="Arial" w:cs="Arial"/>
          <w:b/>
          <w:bCs/>
          <w:color w:val="000000" w:themeColor="text1"/>
          <w:lang w:eastAsia="es-CO"/>
        </w:rPr>
        <w:t>SECCIÓN 2</w:t>
      </w:r>
    </w:p>
    <w:p w14:paraId="0126B3F8"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Aspectos operativos y de funcionamiento del Fondo Nacional de Gestión del Riesgo de Desastres</w:t>
      </w:r>
    </w:p>
    <w:p w14:paraId="6AA5C60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87" w:name="ver_30177090"/>
      <w:bookmarkEnd w:id="487"/>
    </w:p>
    <w:p w14:paraId="74ABD4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2.3.1.6.2.1. Operación. El Fondo Nacional de Gestión del Riesgo de Desastres desarrollará sus funciones y operaciones de manera directa, subsidiaria o complementaria, bajo esquemas interinstitucionales de cofinanciación, concurrencia y subsidiariedad.  </w:t>
      </w:r>
    </w:p>
    <w:p w14:paraId="7F00AB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7BB0C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Fondo Nacional operará con esquemas interinstitucionales de manera directa en el financiamiento de la política de gestión del riesgo de carácter nacional, subsidiariamente en el apoyo a las autoridades administrativas a nivel territorial cuando el evento supere su capacidad financiera, técnica y/o administrativa y, complementariamente, cuando brinde apoyo financiero a entidades públicas o privadas en la parte necesaria para implementar sus políticas de gestión del riesgo o de asociación, conforme a las disposiciones constitucionales y legales vigentes.  </w:t>
      </w:r>
    </w:p>
    <w:p w14:paraId="3DD356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9C2EFD6" w14:textId="6B492B57" w:rsidR="00E475BF" w:rsidRPr="00562064" w:rsidRDefault="00E475BF" w:rsidP="002F0391">
      <w:pPr>
        <w:spacing w:after="0" w:line="254" w:lineRule="atLeast"/>
        <w:jc w:val="both"/>
        <w:rPr>
          <w:rFonts w:ascii="Arial" w:eastAsia="Times New Roman" w:hAnsi="Arial" w:cs="Arial"/>
          <w:color w:val="000000" w:themeColor="text1"/>
          <w:lang w:eastAsia="es-CO"/>
        </w:rPr>
      </w:pPr>
      <w:bookmarkStart w:id="488" w:name="ver_30177091"/>
      <w:bookmarkEnd w:id="488"/>
    </w:p>
    <w:p w14:paraId="0677B6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2.3.1.6.2.2. Inversiones forzosas. El Fondo se encuentra libre de inversiones forzosas y obligatorias, y deberá garantizar la disponibilidad inmediata de recursos para cumplir con sus objetivos.  </w:t>
      </w:r>
    </w:p>
    <w:p w14:paraId="7BB58B6C" w14:textId="54441EAF"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89" w:name="ver_30177096"/>
      <w:bookmarkEnd w:id="489"/>
    </w:p>
    <w:p w14:paraId="7EB2A3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2.3.1.6.2.3. Transferencias de recursos para proyectos específicos. Los recursos provenientes del presupuesto general de la nación transferidos al Fondo para la financiación de proyectos específicos, bajo los términos que establezca la Ley de Presupuesto y/o Decreto de liquidación, se transferirán a la Subcuenta correspondiente, a través de la Unidad Nacional para la Gestión del Riesgo de Desastres. </w:t>
      </w:r>
    </w:p>
    <w:p w14:paraId="7B05AFF1" w14:textId="5459FEF5" w:rsidR="00E475BF" w:rsidRPr="00562064" w:rsidRDefault="00E475BF" w:rsidP="00143180">
      <w:pPr>
        <w:spacing w:after="0" w:line="240" w:lineRule="auto"/>
        <w:jc w:val="both"/>
        <w:rPr>
          <w:rFonts w:ascii="Arial" w:eastAsia="Times New Roman" w:hAnsi="Arial" w:cs="Arial"/>
          <w:color w:val="000000" w:themeColor="text1"/>
          <w:spacing w:val="45"/>
          <w:lang w:eastAsia="es-CO"/>
        </w:rPr>
      </w:pPr>
      <w:bookmarkStart w:id="490" w:name="ver_30177103"/>
      <w:bookmarkEnd w:id="490"/>
    </w:p>
    <w:p w14:paraId="1B96DF9D" w14:textId="77777777" w:rsidR="002F0391" w:rsidRPr="00562064" w:rsidRDefault="002F0391" w:rsidP="00143180">
      <w:pPr>
        <w:spacing w:after="0" w:line="240" w:lineRule="auto"/>
        <w:jc w:val="both"/>
        <w:rPr>
          <w:rFonts w:ascii="Arial" w:eastAsia="Times New Roman" w:hAnsi="Arial" w:cs="Arial"/>
          <w:color w:val="000000" w:themeColor="text1"/>
          <w:lang w:eastAsia="es-CO"/>
        </w:rPr>
      </w:pPr>
    </w:p>
    <w:p w14:paraId="243BAE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2.3.1.6.2.4. Aspectos presupuestales. La Unidad Nacional para la Gestión del Riesgo de Desastres, adelantará las gestiones necesarias ante el Ministerio de Hacienda y Crédito Público para definir la programación presupuestal y las adiciones necesarias, así como el traslado de los recursos, que permitan la operatividad y financiamiento del Fondo.  </w:t>
      </w:r>
    </w:p>
    <w:p w14:paraId="78FEA7A8" w14:textId="656D0B36"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91" w:name="ver_30177105"/>
      <w:bookmarkEnd w:id="491"/>
    </w:p>
    <w:p w14:paraId="5C72CE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2.3.1.6.2.5. Rendimientos financieros. Los rendimientos financieros del Fondo, serán utilizados en la implementación de la política pública de gestión del riesgo de desastres, en el pago de la comisión fiduciaria, los gastos de administración del Fondo o ahorro.  </w:t>
      </w:r>
    </w:p>
    <w:p w14:paraId="0F8F80A6" w14:textId="2C7168E9"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492" w:name="ver_30177108"/>
      <w:bookmarkEnd w:id="492"/>
    </w:p>
    <w:p w14:paraId="4348FA94" w14:textId="08BB28B1"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2.3.1.6.2.6. Creación de subcuentas. La creación de nuevas subcuentas del Fondo Nacional de Gestión del Riesgo de Desastres, se realizará bajo la consideración y aprobación de la Junta Directiva o por disposición legal. </w:t>
      </w:r>
    </w:p>
    <w:p w14:paraId="61C1CF1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93" w:name="ver_30177110"/>
      <w:bookmarkEnd w:id="493"/>
    </w:p>
    <w:p w14:paraId="633373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2.3.1.6.2.7. Recursos subcuenta de protección financiera. La gestión, negociación, adquisición o celebración de instrumentos, contratos, convenios, acuerdos y demás negocios jurídicos compatibles, de forma individual o colectiva, que desarrollen, consoliden o incluyan cualquier tipo de seguro, reaseguro, coaseguro, corretaje o intermediación de seguros, fronting de seguros, créditos, fondos de reserva, bonos CAT, Swaps, Cat swaps, futuros y demás instrumentos de financiamiento, retención o transferencia del riesgo ofrecidos por entidades o mercados nacionales o internacionales, que permitan la protección financiera frente al riesgo de desastres, será ordenada por el Ministerio de Hacienda y Crédito Público. </w:t>
      </w:r>
    </w:p>
    <w:p w14:paraId="47D2ED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70E8B9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94" w:name="ver_30177115"/>
      <w:bookmarkEnd w:id="494"/>
    </w:p>
    <w:p w14:paraId="640DA6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2.3.1.6.2.8. Distribución de recursos entre subcuentas. Los recursos que ingresen bajo cualquier título al Fondo, serán distribuidos entre las subcuentas para apoyar el financiamiento de la gestión del riesgo. </w:t>
      </w:r>
    </w:p>
    <w:p w14:paraId="7ABD39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85DC32F" w14:textId="15D28CC9"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015B7B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95" w:name="ver_30177117"/>
      <w:bookmarkEnd w:id="495"/>
    </w:p>
    <w:p w14:paraId="6C35D8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2.3.1.6.2.9. Traslado de recursos entre subcuentas. La Junta Directiva del Fondo autorizará el traslado de recursos entre subcuentas, con excepción de la subcuenta para la protección financiera. Los recursos a trasladar, bajo ninguna circunstancia o condición, deben encontrarse asignados o comprometidos. </w:t>
      </w:r>
    </w:p>
    <w:p w14:paraId="68CFAF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FC1A1F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96" w:name="ver_30177120"/>
      <w:bookmarkEnd w:id="496"/>
    </w:p>
    <w:p w14:paraId="326E8B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2.3.1.6.2.10. Control de recursos. Los recursos del Fondo Nacional son objeto de control por parte de las autoridades públicas competentes, conforme las normas constitucionales y legales vigentes sobre la materia. </w:t>
      </w:r>
    </w:p>
    <w:p w14:paraId="55F4E0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5B49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Todas las entidades del Sistema Nacional, que reciban y/o ejecuten recursos del Fondo Nacional, serán diligentes en acatar los procedimientos y suministrar la información que requiera la Unidad Nacional para la Gestión del Riesgo de Desastres, la Fiduciaria la Previsora S.A., y la auditoría externa o interna del Fondo, para el ejercicio del control. </w:t>
      </w:r>
    </w:p>
    <w:p w14:paraId="7F225D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6039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92F6D3" w14:textId="496FC233" w:rsidR="00E475BF" w:rsidRPr="00562064" w:rsidRDefault="00E475BF" w:rsidP="002F0391">
      <w:pPr>
        <w:spacing w:after="0" w:line="254" w:lineRule="atLeast"/>
        <w:jc w:val="center"/>
        <w:rPr>
          <w:rFonts w:ascii="Arial" w:eastAsia="Times New Roman" w:hAnsi="Arial" w:cs="Arial"/>
          <w:b/>
          <w:bCs/>
          <w:color w:val="000000" w:themeColor="text1"/>
          <w:lang w:eastAsia="es-CO"/>
        </w:rPr>
      </w:pPr>
    </w:p>
    <w:p w14:paraId="2617680A"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497" w:name="ver_30177155"/>
      <w:bookmarkEnd w:id="497"/>
      <w:r w:rsidRPr="00562064">
        <w:rPr>
          <w:rFonts w:ascii="Arial" w:eastAsia="Times New Roman" w:hAnsi="Arial" w:cs="Arial"/>
          <w:b/>
          <w:bCs/>
          <w:color w:val="000000" w:themeColor="text1"/>
          <w:lang w:eastAsia="es-CO"/>
        </w:rPr>
        <w:t>SECCIÓN 3</w:t>
      </w:r>
    </w:p>
    <w:p w14:paraId="6AFF0080" w14:textId="7406F759"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Transferencia, giros, destinación de recursos del Fondo Nacional de Gestión del Riesgo de desastres y financiación de proyectos</w:t>
      </w:r>
    </w:p>
    <w:p w14:paraId="011D2A2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98" w:name="ver_30177156"/>
      <w:bookmarkEnd w:id="498"/>
    </w:p>
    <w:p w14:paraId="56E6517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2.3.1.6.3.1. Transferencias. Las transferencias que realice el Fondo, estarán especialmente destinadas a actividades correspondientes a procesos de gestión del riesgo de desastres. Quienes las reciban, deberán administrarlas y responder por su correcta y debida ejecución.  </w:t>
      </w:r>
    </w:p>
    <w:p w14:paraId="5CD0FA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367B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entidad receptora de los recursos deberá realizar la respectiva operación presupuestal, salvo lo dispuesto en el artículo 80 de la Ley 1523 de 2012.  </w:t>
      </w:r>
    </w:p>
    <w:p w14:paraId="3D1BD4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A2DC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5E861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FD25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6BA959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499" w:name="ver_30177157"/>
      <w:bookmarkEnd w:id="499"/>
    </w:p>
    <w:p w14:paraId="3F0A30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2.3.1.6.3.2. Administración de los recursos transferidos. La responsabilidad de administrar y ordenar el gasto en debida forma de los recursos transferidos recae en el jefe o representante legal de la entidad receptora, delimitándose su destino a los gastos propuestos y aprobados por la Unidad Nacional para la Gestión del Riesgo de Desastres.  </w:t>
      </w:r>
    </w:p>
    <w:p w14:paraId="04E52D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7019F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obligación de realizar los correspondientes registros contables de los recursos transferidos será asumida por los representantes legales de las entidades receptoras, quienes prestarán su colaboración en todo lo referente al control fiscal ejercido por la Contraloría General de la República o las Contralorías del nivel territorial, conforme a sus competencias.  </w:t>
      </w:r>
    </w:p>
    <w:p w14:paraId="443EF7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50CE9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00" w:name="ver_30177158"/>
      <w:bookmarkEnd w:id="500"/>
    </w:p>
    <w:p w14:paraId="301301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2.3.1.6.3.3. Regulación de las transferencias. La Junta Directiva del Fondo fijará los procedimientos administrativos y operativos que se requieran para la ejecución, control administrativo, legalización, disminución o prohibiciones de las transferencias. </w:t>
      </w:r>
    </w:p>
    <w:p w14:paraId="64341C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E65DE0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01" w:name="ver_30177159"/>
      <w:bookmarkEnd w:id="501"/>
    </w:p>
    <w:p w14:paraId="0502EB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2.3.1.6.3.4. Legalización de las transferencias. La legalización de los recursos ante Fiduprevisora S.A., estará a cargo de la entidad receptora. Los recursos no ejecutados, serán reintegrados al Fondo Nacional.  </w:t>
      </w:r>
    </w:p>
    <w:p w14:paraId="5C14B2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32925A" w14:textId="4A541F6D"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 Fiduprevisora S.A., comunicará a la Unidad Nacional los incumplimientos de los entes receptores en la legalización de los recursos a fin que se tomen las medidas pertinentes, conforme a la oportunidad que se señale.  </w:t>
      </w:r>
      <w:bookmarkStart w:id="502" w:name="ver_30177160"/>
      <w:bookmarkEnd w:id="502"/>
    </w:p>
    <w:p w14:paraId="184680FA" w14:textId="77777777" w:rsidR="002F0391" w:rsidRPr="00562064" w:rsidRDefault="002F0391" w:rsidP="002F0391">
      <w:pPr>
        <w:spacing w:after="0" w:line="254" w:lineRule="atLeast"/>
        <w:jc w:val="both"/>
        <w:rPr>
          <w:rFonts w:ascii="Arial" w:eastAsia="Times New Roman" w:hAnsi="Arial" w:cs="Arial"/>
          <w:color w:val="000000" w:themeColor="text1"/>
          <w:lang w:eastAsia="es-CO"/>
        </w:rPr>
      </w:pPr>
    </w:p>
    <w:p w14:paraId="052571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2.3.1.6.3.5. Contenido de las legalizaciones. Los entes receptores de los recursos transferidos, deberán reportar la relación detallada de todos y cada uno de los contratos suscritos, facturas, cuentas de cobro, acta de recibo de los bienes adquiridos, certificaciones, formatos diligenciados, informes, actas de liquidación y todos los demás documentos que acrediten las inversiones o destinaciones de los recursos provenientes de las transferencias efectuadas por el Fondo Nacional.  </w:t>
      </w:r>
    </w:p>
    <w:p w14:paraId="087EA59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31969D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03" w:name="ver_30177161"/>
      <w:bookmarkEnd w:id="503"/>
    </w:p>
    <w:p w14:paraId="00FCFB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2.3.1.6.3.6. Plazo para la legalización de los recursos. La legalización de los recursos transferidos se realizará en los términos y el plazo, conforme al procedimiento administrativo y operativo que establezca la Junta Directiva del Fondo Nacional de Gestión del Riesgo de Desastres.  </w:t>
      </w:r>
    </w:p>
    <w:p w14:paraId="043D94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7962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En todo caso, los plazos previstos podrán ser prorrogados, previa solicitud debidamente justificada ante la Unidad Nacional. Una vez aprobada por el Director de la Unidad Nacional, se informará a la Entidad receptora y a Fiduprevisora S.A.  </w:t>
      </w:r>
    </w:p>
    <w:p w14:paraId="50C966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74E2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4353C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5E9EB9C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04" w:name="ver_30177164"/>
      <w:bookmarkEnd w:id="504"/>
    </w:p>
    <w:p w14:paraId="0A4971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2.3.1.6.3.7. Limitación a las transferencias. En el evento que la entidad receptora no haya efectuado la legalización total de la transferencia dentro del plazo establecido, no se podrán autorizar transferencias adicionales a la entidad, salvo en casos excepcionales que serán evaluados por el Director de la Unidad e informados posteriormente a Fiduprevisora S.A., y la Junta Directiva del Fondo.  </w:t>
      </w:r>
    </w:p>
    <w:p w14:paraId="3EA207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003D6A" w14:textId="6B19BF1F" w:rsidR="00E475BF" w:rsidRPr="00562064" w:rsidRDefault="00E475BF" w:rsidP="002F0391">
      <w:pPr>
        <w:spacing w:after="0" w:line="254" w:lineRule="atLeast"/>
        <w:jc w:val="both"/>
        <w:rPr>
          <w:rFonts w:ascii="Arial" w:eastAsia="Times New Roman" w:hAnsi="Arial" w:cs="Arial"/>
          <w:color w:val="000000" w:themeColor="text1"/>
          <w:lang w:eastAsia="es-CO"/>
        </w:rPr>
      </w:pPr>
      <w:bookmarkStart w:id="505" w:name="ver_30177165"/>
      <w:bookmarkEnd w:id="505"/>
    </w:p>
    <w:p w14:paraId="4B40FF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2.3.1.6.3.8. Suspensión, disminución y prohibiciones de las transferencias. Se procederá conforme lo dispuesto en este artículo, cuando:  </w:t>
      </w:r>
    </w:p>
    <w:p w14:paraId="178B0C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6709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Habrá suspensión de las transferencias de recursos, cuando:  </w:t>
      </w:r>
    </w:p>
    <w:p w14:paraId="27D254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AF899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La entidad receptora no hubiere efectuado, dentro de los términos, la legalización del primer giro o los subsiguientes.  </w:t>
      </w:r>
    </w:p>
    <w:p w14:paraId="3E2BCF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B5B3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Se cambie injustificadamente el lugar de ejecución de los contratos financiados con recursos del Fondo.  </w:t>
      </w:r>
    </w:p>
    <w:p w14:paraId="22A97F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B80C9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Sin justa causa ocurra el abandono del contrato en ejecución con recursos del Fondo por parte del contratista.  </w:t>
      </w:r>
    </w:p>
    <w:p w14:paraId="76C4B9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FFCA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La entidad receptora efectúe la liquidación de contratos financiados con recursos del Fondo, cuando existan obras pendientes o en ejecución por parte de los con</w:t>
      </w:r>
      <w:r w:rsidRPr="00562064">
        <w:rPr>
          <w:rFonts w:ascii="Arial" w:eastAsia="Times New Roman" w:hAnsi="Arial" w:cs="Arial"/>
          <w:color w:val="000000" w:themeColor="text1"/>
          <w:lang w:eastAsia="es-CO"/>
        </w:rPr>
        <w:softHyphen/>
        <w:t>tratistas.  </w:t>
      </w:r>
    </w:p>
    <w:p w14:paraId="3706DA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058E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Habrá disminución de las transferencias de recursos, cuando:  </w:t>
      </w:r>
    </w:p>
    <w:p w14:paraId="7948A5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F038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 Se evidencien sobrecostos en el presupuesto que sustenta los contratos suscritos para la realización de los proyectos financiados con recursos del Fondo.  </w:t>
      </w:r>
    </w:p>
    <w:p w14:paraId="04A2B5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1A79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 Se evidencien sobrecostos en el presupuesto que sustenta la solicitud de los recur</w:t>
      </w:r>
      <w:r w:rsidRPr="00562064">
        <w:rPr>
          <w:rFonts w:ascii="Arial" w:eastAsia="Times New Roman" w:hAnsi="Arial" w:cs="Arial"/>
          <w:color w:val="000000" w:themeColor="text1"/>
          <w:lang w:eastAsia="es-CO"/>
        </w:rPr>
        <w:softHyphen/>
        <w:t>sos.  </w:t>
      </w:r>
    </w:p>
    <w:p w14:paraId="1FBC6F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B1B8F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Habrá prohibición de las transferencias de recursos, cuando:  </w:t>
      </w:r>
    </w:p>
    <w:p w14:paraId="0B689F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C012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3.1. El objeto de los contratos realizados por el ente receptor de los recursos del Fondo no corresponda al aprobado por la Unidad.  </w:t>
      </w:r>
    </w:p>
    <w:p w14:paraId="2E8C78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F04D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3.2. Los proyectos financiados con recursos del Fondo no sean pertinentes para la finalidad que fueron propuestos.  </w:t>
      </w:r>
    </w:p>
    <w:p w14:paraId="66D39F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9BDC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3.3. Se verifique la ocurrencia de situaciones irregulares o contrarias a la ley por parte de las entidades receptoras en el manejo de los recursos provenientes del Fondo.  </w:t>
      </w:r>
    </w:p>
    <w:p w14:paraId="001F278F" w14:textId="283CDA9E"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06" w:name="ver_30177166"/>
      <w:bookmarkEnd w:id="506"/>
    </w:p>
    <w:p w14:paraId="463D3B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2.3.1.6.3.9. No legalización de los recursos. El representante legal de la entidad receptora está en la obligación de justificar la no legalización de los recursos girados dentro de los términos establecidos, conforme al procedimiento administrativo y operativo, expedidos por la Junta Directiva del Fondo Nacional, so pena de aplicarse lo dispuesto en el numeral 1 del artículo 2.3.1.6.3.8. </w:t>
      </w:r>
    </w:p>
    <w:p w14:paraId="3623005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7D204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spacing w:val="45"/>
          <w:lang w:eastAsia="es-CO"/>
        </w:rPr>
        <w:t>TEXTO CORRESPONDIENTE A </w:t>
      </w:r>
      <w:r w:rsidRPr="00562064">
        <w:rPr>
          <w:rFonts w:ascii="Arial" w:eastAsia="Times New Roman" w:hAnsi="Arial" w:cs="Arial"/>
          <w:color w:val="000000" w:themeColor="text1"/>
          <w:lang w:eastAsia="es-CO"/>
        </w:rPr>
        <w:t>[</w:t>
      </w:r>
      <w:hyperlink r:id="rId97" w:history="1">
        <w:r w:rsidRPr="00562064">
          <w:rPr>
            <w:rFonts w:ascii="Arial" w:eastAsia="Times New Roman" w:hAnsi="Arial" w:cs="Arial"/>
            <w:color w:val="000000" w:themeColor="text1"/>
            <w:u w:val="single"/>
            <w:lang w:eastAsia="es-CO"/>
          </w:rPr>
          <w:t>Mostrar</w:t>
        </w:r>
      </w:hyperlink>
      <w:r w:rsidRPr="00562064">
        <w:rPr>
          <w:rFonts w:ascii="Arial" w:eastAsia="Times New Roman" w:hAnsi="Arial" w:cs="Arial"/>
          <w:color w:val="000000" w:themeColor="text1"/>
          <w:lang w:eastAsia="es-CO"/>
        </w:rPr>
        <w:t>]</w:t>
      </w:r>
    </w:p>
    <w:p w14:paraId="4F014B4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07" w:name="ver_30177167"/>
      <w:bookmarkEnd w:id="507"/>
    </w:p>
    <w:p w14:paraId="7FB1AF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2.3.1.6.3.10. Duración de la Suspensión. La suspensión de los giros por las causas contempladas en el numeral 1 del artículo 2.3.1.6.3.8, se mantendrá hasta tanto la entidad receptora de los recursos del Fondo remita a la Unidad Nacional para la Gestión del Riesgo de Desastres, los soportes documentales suficientes y pertinentes, que acrediten la superación de las situaciones que le dieron origen.  </w:t>
      </w:r>
    </w:p>
    <w:p w14:paraId="556E3B7A" w14:textId="3E7880F6"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08" w:name="ver_30177168"/>
      <w:bookmarkEnd w:id="508"/>
    </w:p>
    <w:p w14:paraId="00ECA8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2.3.1.6.3.11. Transferencia de recursos a otras entidades del Sistema. La transferencia de los recursos a las entidades del Sistema Nacional, distintas a los Entes Territoriales, se hará, previo convenio o contrato suscrito a través de Fiduprevisora S.A.  </w:t>
      </w:r>
    </w:p>
    <w:p w14:paraId="4018E14C" w14:textId="5A9771FE"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09" w:name="ver_30177169"/>
      <w:bookmarkEnd w:id="509"/>
    </w:p>
    <w:p w14:paraId="158800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2.3.1.6.3.12. Solicitud de recursos y aprobación. El representante legal de la entidad solicitante de los recursos del Fondo Nacional, debe remitir oficio a la Unidad Nacional, en el que indique la situación a resolver acompañado del proyecto a financiar, así como del concepto del correspondiente consejo territorial de gestión del riesgo, presupuesto, entre otros documentos necesarios, como anexos.  </w:t>
      </w:r>
    </w:p>
    <w:p w14:paraId="1D97145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F3AAC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solicitudes debidamente soportadas, serán evaluadas por la Unidad Nacional y, una vez aprobadas, se procederá a la elaboración del convenio, contrato o transferencia por parte de Fiduprevisora S.A., según sea el caso.  </w:t>
      </w:r>
    </w:p>
    <w:p w14:paraId="70254D39" w14:textId="1E6A3FE8"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10" w:name="ver_30177170"/>
      <w:bookmarkEnd w:id="510"/>
    </w:p>
    <w:p w14:paraId="621081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2.3.1.6.3.13. Convenios y contratos. El representante legal de la entidad solicitante, para efectos del adecuado ejercicio de la gestión pública, deberá diligenciar los correspondientes formatos, allegar las certificaciones que acrediten su calidad, firmar el convenio o contrato y demás documentos que solicite la Unidad Nacional o Fiduprevisora S.A.  </w:t>
      </w:r>
    </w:p>
    <w:p w14:paraId="2E3F97C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AEF3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Cumplido lo anterior, los recursos serán transferidos con destino al Fondo Territorial correspondiente o al Fondo de Inversión colectiva de la entidad solicitante, por parte de Fiduprevisora S.A.  </w:t>
      </w:r>
    </w:p>
    <w:p w14:paraId="4E4EF7A7" w14:textId="4E921AD4"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11" w:name="ver_30177171"/>
      <w:bookmarkEnd w:id="511"/>
    </w:p>
    <w:p w14:paraId="467FAF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2.3.1.6.3.14. Administración de los recursos. La administración de los recursos transferidos será responsabilidad del representante legal de la entidad receptora, constituyéndose en ordenador del gasto de los montos transferidos.  </w:t>
      </w:r>
    </w:p>
    <w:p w14:paraId="2865A9F1" w14:textId="016481B3"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12" w:name="ver_30177172"/>
      <w:bookmarkEnd w:id="512"/>
    </w:p>
    <w:p w14:paraId="5F353CF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2.3.1.6.3.15.Alcance, objeto y justificación de los proyectos. Los recursos del Fondo serán transferidos para la financiación de proyectos que contengan como objeto, justificación y alcance, la implementación y continuidad de la política de gestión del riesgo de desastres, incluyéndose los procesos de conocimiento del riesgo, reducción del riesgo y manejo de desastres.  </w:t>
      </w:r>
    </w:p>
    <w:p w14:paraId="62346BC8" w14:textId="13EE4C04"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13" w:name="ver_30177174"/>
      <w:bookmarkEnd w:id="513"/>
    </w:p>
    <w:p w14:paraId="1017CD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2.3.1.6.3.16. Análisis costo - beneficio. La Junta Directiva del Fondo, establecerá lineamientos para la ejecución de los recursos, criterios de selección, indicadores de vulnerabilidad y amenaza o condiciones de pobreza y desigualdad, entre otros, que permitan reflejar los beneficios y costos evitados en las solicitudes y proyectos presentados, siendo los proyectos y programas de mayor eficiencia, los prioritarios.  </w:t>
      </w:r>
    </w:p>
    <w:p w14:paraId="792981DD" w14:textId="26CF695C"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14" w:name="ver_30177176"/>
      <w:bookmarkEnd w:id="514"/>
    </w:p>
    <w:p w14:paraId="486806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2.3.1.6.3.17. Impuestos y otros gravámenes. Los impuestos y demás cargas impositivas que se generen en desarrollo de los contratos o convenios suscritos por parte de las entidades receptoras de los recursos, son responsabilidad única y exclusiva de estas entidades, por lo tanto, deberá liquidarlos, declararlos y cancelarlos de acuerdo con la normatividad tributaria que les aplique.  </w:t>
      </w:r>
    </w:p>
    <w:p w14:paraId="59DF88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7C94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Los recursos que transfiera el Fondo Nacional con ocasión de un contrato o convenio o cualquier otro acto que implique la aplicación de impuestos, tasas y contribuciones y, en general, todo lo que signifique una disminución en su cuantía, serán compensados con la correspondiente contrapartida a cargo de la entidad receptora.  </w:t>
      </w:r>
    </w:p>
    <w:p w14:paraId="7BEE68F9" w14:textId="7E09BC1E"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15" w:name="ver_30177179"/>
      <w:bookmarkEnd w:id="515"/>
    </w:p>
    <w:p w14:paraId="043E0B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2.3.1.6.3.18. Criterios de priorización de proyectos financiados con recursos del Fondo. La Dirección General de la Unidad, presentará a consideración de la Junta Directiva para su aprobación, los criterios técnicos conforme al procedimiento administrativo y operativo para la priorización de proyectos financiados con recursos del Fondo, los cuales incluirán, entre otros, indicadores de vulnerabilidad y amenaza de desastres, cofinanciación, condiciones de pobreza y desigualdad de la zona afectada. </w:t>
      </w:r>
    </w:p>
    <w:p w14:paraId="5B3C94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58ADDF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16" w:name="ver_30177181"/>
      <w:bookmarkEnd w:id="516"/>
    </w:p>
    <w:p w14:paraId="263897A6" w14:textId="74CA3E30"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2.3.1.6.3.19. Informes. Las entidades receptoras de los recursos del Fondo Nacional presentarán informes mensuales o cuando la Unidad Nacional lo requiera, sobre el avance de los proyectos o actividades desarrolladas. Estos informes darán cuenta, entre otros aspectos, sobre la legalización de los recursos y el avance físico y financiero en la ejecución. </w:t>
      </w:r>
      <w:bookmarkStart w:id="517" w:name="ver_30177183"/>
      <w:bookmarkEnd w:id="517"/>
    </w:p>
    <w:p w14:paraId="0DC0BC10" w14:textId="77777777" w:rsidR="002F0391" w:rsidRPr="00562064" w:rsidRDefault="002F0391" w:rsidP="002F0391">
      <w:pPr>
        <w:spacing w:after="0" w:line="254" w:lineRule="atLeast"/>
        <w:jc w:val="both"/>
        <w:rPr>
          <w:rFonts w:ascii="Arial" w:eastAsia="Times New Roman" w:hAnsi="Arial" w:cs="Arial"/>
          <w:color w:val="000000" w:themeColor="text1"/>
          <w:lang w:eastAsia="es-CO"/>
        </w:rPr>
      </w:pPr>
    </w:p>
    <w:p w14:paraId="641E7E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2.3.1.6.3.20. Destinación de los recursos. Los recursos del Fondo Nacional, solo podrán ser destinados a las actividades u obras para los cuales fueron solicitados por la entidad receptora y autorizados por la Unidad Nacional.  </w:t>
      </w:r>
    </w:p>
    <w:p w14:paraId="00F6C4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DE1E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entidad receptora, una vez transferidos los recursos, deberá iniciar inmediatamente las gestiones y acciones necesarias para su ejecución, las cuales se ceñirán a lo señalado en el acto administrativo expedido por la Unidad Nacional o lo pactado en el contrato o convenio suscrito con Fiduprevisora S.A. </w:t>
      </w:r>
    </w:p>
    <w:p w14:paraId="4A6ED13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18" w:name="ver_30177185"/>
      <w:bookmarkEnd w:id="518"/>
    </w:p>
    <w:p w14:paraId="185C39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2.3.1.6.3.21. Cambio de destino de los recursos. Las entidades receptoras de los recursos del Fondo, antes de la suscripción del contrato o convenio, podrán solicitar el cambio de la destinación de los recursos previa solicitud justificada y dirigida al ordenador del gasto del Fondo Nacional, atendiendo, lo que para el caso disponga, el procedimiento administrativo y operativo, que expida la Junta Directiva.  </w:t>
      </w:r>
    </w:p>
    <w:p w14:paraId="250B4D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DA3E1F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Esta solicitud contendrá lo dispuesto en el artículo 2.3.1.6.3.13.  </w:t>
      </w:r>
    </w:p>
    <w:p w14:paraId="531FCF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7162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Consejo Territorial de Gestión del Riesgo respectivo, emitirá un concepto técnico que contendrá la correspondencia entre la nueva destinación de los recursos, con las necesidades prioritarias en materia de gestión del riesgo de su jurisdicción.  </w:t>
      </w:r>
    </w:p>
    <w:p w14:paraId="53F4CA6F" w14:textId="35FB78C5"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19" w:name="ver_30177186"/>
      <w:bookmarkEnd w:id="519"/>
    </w:p>
    <w:p w14:paraId="7106DE6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2.3.1.6.3.22. Reintegro de los recursos transferidos. Las entidades receptoras reintegrarán al Fondo los recursos que no ejecuten o que hayan ejecutado para fines distintos a los determinados en la trasferencia, contrato o convenio suscrito con Fiduprevisora S.A.  </w:t>
      </w:r>
    </w:p>
    <w:p w14:paraId="2F8E62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673B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 manera enunciativa, las siguientes situaciones prestan suficiente mérito para el reintegro de los recursos cuando el ente receptor:  </w:t>
      </w:r>
    </w:p>
    <w:p w14:paraId="076632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BB84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Renuncia a los recursos transferidos desde el Fondo;  </w:t>
      </w:r>
    </w:p>
    <w:p w14:paraId="12E992D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5B1F2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No ha demostrado la superación de los hechos que causan la suspensión de las trasferencias y desembolsos por parte del Fondo;  </w:t>
      </w:r>
    </w:p>
    <w:p w14:paraId="36AA66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2232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No ha informado a la Unidad de las acciones tendientes a resolver las situaciones de incumplimiento derivadas de los contratos o convenios.  </w:t>
      </w:r>
    </w:p>
    <w:p w14:paraId="34EB71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7EE7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 no devolución de los recursos, bajo estas circunstancias, implicará responsabilidades de tipo disciplinario, fiscal y penal según las normas que resulten aplicables.  </w:t>
      </w:r>
    </w:p>
    <w:p w14:paraId="6A8873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0812A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20" w:name="ver_30177187"/>
      <w:bookmarkEnd w:id="520"/>
    </w:p>
    <w:p w14:paraId="1BC019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2.3.1.6.3.23. Plazo límite para la ejecución de las transferencias del Fondo. Una vez realizada la transferencia de los recursos, las entidades receptoras deberán iniciar inmediatamente las gestiones y acciones necesarias para su ejecución. Si transcurridos cuatro (4) meses después de la aprobación y transferencia de los recursos sin haberse adjudicado el contrato o celebrado el convenio por parte de las entidades receptoras, la Unidad Nacional, solicitará a la entidad las explicaciones de su falta de ejecución y, si no fueren satisfactorias, solicitará la devolución de los recursos.  </w:t>
      </w:r>
    </w:p>
    <w:p w14:paraId="339F7A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83303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Si la entidad receptora no se pronuncia dentro de los quince (15) días calendario, siguientes al envío del requerimiento, se entenderá vencido el plazo y, por lo tanto, la Unidad Nacional instruirá a Fiduprevisora S.A., para que gestione el reintegro de los recursos al Fondo Nacional.  </w:t>
      </w:r>
    </w:p>
    <w:p w14:paraId="280C34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5822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 una vez reintegrados los recursos, existen obligaciones adquiridas por la entidad receptora, estos deberán ser solicitados a la Unidad Nacional.  </w:t>
      </w:r>
    </w:p>
    <w:p w14:paraId="0B4181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B11A8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Los plazos previstos podrán ser prorrogados, previa solicitud, debidamente justificada y aprobada, por la Unidad Nacional.  </w:t>
      </w:r>
    </w:p>
    <w:p w14:paraId="1F68B6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1D7E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CD0FF44" w14:textId="0B54F7EF"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21" w:name="ver_30177188"/>
      <w:bookmarkEnd w:id="521"/>
    </w:p>
    <w:p w14:paraId="58DDB5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2.3.1.6.3.24. Término de Reintegro. Cuando no se ejecuten o se ejecuten parcialmente los recursos asignados y, sin perjuicio de las acciones legales a que haya lugar, los valores no ejecutados deben ser reintegrados al Fondo Nacional a la cuenta bancaria indicada por Fiduprevisora S.A., dentro de los diez (10) días hábiles siguientes a la solicitud de la Unidad Nacional.  </w:t>
      </w:r>
    </w:p>
    <w:p w14:paraId="26A7CC6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22" w:name="ver_30177189"/>
      <w:bookmarkEnd w:id="522"/>
    </w:p>
    <w:p w14:paraId="0E5968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2.3.1.6.3.25. Responsabilidad en el manejo de los recursos girados. Los responsables del manejo de los recursos del Fondo Nacional, adoptarán mecanismos que minimicen los riesgos jurídicos, financieros y operativos en la ejecución de los mismos.  </w:t>
      </w:r>
    </w:p>
    <w:p w14:paraId="138B8ED0" w14:textId="16BCF27C"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EAAAF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23" w:name="ver_30177190"/>
      <w:bookmarkEnd w:id="523"/>
    </w:p>
    <w:p w14:paraId="0FAE92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2.3.1.6.3.26. Transferencias Directas. El Director de la Unidad Nacional, podrá mediante acto administrativo, ordenar la transferencia de recursos del Fondo Nacional, para el cumplimiento de los objetivos del Sistema Nacional y del Fondo, sin que medie una declaratoria previa de calamidad pública o desastre.  </w:t>
      </w:r>
    </w:p>
    <w:p w14:paraId="373C52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199BB3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24" w:name="ver_30177191"/>
      <w:bookmarkEnd w:id="524"/>
    </w:p>
    <w:p w14:paraId="31B073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2.3.1.6.3.27. Propiedad de los bienes adquiridos. La transferencia de la propiedad de los bienes adquiridos con los recursos del Fondo Nacional, se tramitará y legalizará por la fiduciaria La Previsora, conforme lo dispuesto en el procedimiento administrativo y operativo que establezca la Junta Directiva y las instrucciones del ordenador de gasto.  </w:t>
      </w:r>
    </w:p>
    <w:p w14:paraId="595BBB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3E12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En el evento que haya lugar a gastos, de cualquier orden, estos estarán a cargo y serán sufragados por la entidad receptora de los bienes, salvo pacto en contrario, total o parcial.  </w:t>
      </w:r>
    </w:p>
    <w:p w14:paraId="7B55FE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1D97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transferencia de bienes consumibles que se adquieran con los recursos de Fondo para apoyar las entidades del Sistema Nacional, se realizará conforme las instrucciones del ordenador de gasto del Fondo.  </w:t>
      </w:r>
    </w:p>
    <w:p w14:paraId="634DDC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BECE50E"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525" w:name="ver_30177192"/>
      <w:bookmarkEnd w:id="525"/>
      <w:r w:rsidRPr="00562064">
        <w:rPr>
          <w:rFonts w:ascii="Arial" w:eastAsia="Times New Roman" w:hAnsi="Arial" w:cs="Arial"/>
          <w:b/>
          <w:bCs/>
          <w:color w:val="000000" w:themeColor="text1"/>
          <w:lang w:eastAsia="es-CO"/>
        </w:rPr>
        <w:t>SECCIÓN 4</w:t>
      </w:r>
    </w:p>
    <w:p w14:paraId="2A1C3336"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Fondos Territoriales de Gestión del Riesgo de Desastres</w:t>
      </w:r>
    </w:p>
    <w:p w14:paraId="7B621CA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26" w:name="ver_30177193"/>
      <w:bookmarkEnd w:id="526"/>
    </w:p>
    <w:p w14:paraId="7DF200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2.3.1.6.4.1. Financiación. Los recursos de los Fondos Territoriales, puede provenir de fuentes distintas a las del Fondo Nacional, entre otras, de partidas propias con origen en el presupuesto anual del ente territorial o ingresos corrientes tributarios y no tributarios, de capital, intereses, así como aportes que puedan efectuar las entidades públicas y privadas de cualquier naturaleza constituidas legalmente, o de recursos provenientes de las estrategias de protección financiera frente al riesgo de desastres y los rendimientos financieros que se generen.  </w:t>
      </w:r>
    </w:p>
    <w:p w14:paraId="480D9D7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5E94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administraciones departamentales, distritales y municipales podrán autorizar de acuerdo a sus competencias legales y reglamentarias, la celebración de los contratos a que haya lugar con las entidades del Sistema Nacional para la gestión de los mecanismos de financiación y la ejecución de los recursos.  </w:t>
      </w:r>
    </w:p>
    <w:p w14:paraId="407019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E75FC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27" w:name="ver_30177194"/>
      <w:bookmarkEnd w:id="527"/>
    </w:p>
    <w:p w14:paraId="1D512E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2.3.1.6.4.2. Operatividad. Los alcaldes y gobernadores expedirán un reglamento administrativo y operativo que determine las condiciones específicas que permitan una definición clara de roles y responsabilidades entre Junta Directiva, ordenador del gasto, administrador y representante legal. Para tales efectos, deberán tener presente que los fondos territoriales se constituyen bajo el mismo esquema del Fondo Nacional en virtud del artículo 54 de la Ley 1523 de 2012.  </w:t>
      </w:r>
    </w:p>
    <w:p w14:paraId="4E66587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66C614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28" w:name="ver_30177195"/>
      <w:bookmarkEnd w:id="528"/>
    </w:p>
    <w:p w14:paraId="514579F1" w14:textId="04EC656B"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2.3.1.6.4.3. Término para la reglamentación. Los Fondos Territoriales para la Gestión del Riesgo de Desastres, cuentan con un término de noventa (90) días calendario para su reglamentación o actualización, conforme lo dispuesto en este decreto. </w:t>
      </w:r>
    </w:p>
    <w:p w14:paraId="7163FE4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29" w:name="ver_30177196"/>
      <w:bookmarkEnd w:id="529"/>
    </w:p>
    <w:p w14:paraId="241F8B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2.3.1.6.4.4. Sarlaft y registro de firmas. Para la ejecución de los recursos situados en los Fondos Territoriales provenientes del Fondo Nacional, los responsables deberán velar por el cumplimiento de la normatividad expedida por la Superintendencia Financiera y el Manual Sarlaft (Sistema de Administración de Riesgos de Lavado de Activos y Financiación al Terrorismo) de Fiduprevisora S.A.  </w:t>
      </w:r>
    </w:p>
    <w:p w14:paraId="6927D7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87CB9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9A9A4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30" w:name="ver_30177197"/>
      <w:bookmarkEnd w:id="530"/>
    </w:p>
    <w:p w14:paraId="0F1E21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2.3.1.6.4.5. Obligaciones generales de la entidad territorial. Son obligaciones a cargo de las entidades territoriales receptoras de los recursos del Fondo, las siguientes, sin perjuicio de aquellas otras que se deriven de la:  </w:t>
      </w:r>
    </w:p>
    <w:p w14:paraId="11EA19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CD3B4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Utilizar por su cuenta y riesgo para los fines dispuestos por la Unidad Nacional los bienes cuya transferencia se realiza.  </w:t>
      </w:r>
    </w:p>
    <w:p w14:paraId="40AF2A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AEFA1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Destinar los bienes adquiridos con los recursos del Fondo Nacional a las actividades inherentes a la gestión del riesgo.  </w:t>
      </w:r>
    </w:p>
    <w:p w14:paraId="76046B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96BC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Emplear los bienes adquiridos para el uso normal, técnico y ordinario de acuerdo con la naturaleza del mismo.  </w:t>
      </w:r>
    </w:p>
    <w:p w14:paraId="0BDC8A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C0F0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Emplear el mayor cuidado en la conservación de los equipos y brindar un correcto mantenimiento de acuerdo con lo ordenado por el proveedor del equipo.  </w:t>
      </w:r>
    </w:p>
    <w:p w14:paraId="52C80C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A022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Informar a Fiduprevisora S.A., en forma inmediata y por escrito, todo daño, pérdida, deterioro que sufra el equipo y las causas de estos.  </w:t>
      </w:r>
    </w:p>
    <w:p w14:paraId="1D4E4B1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A45F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Pagar la totalidad de las obligaciones que se generen.  </w:t>
      </w:r>
    </w:p>
    <w:p w14:paraId="40007F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2F10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Constituir las respectivas pólizas y seguros, que de acuerdo con el ordenamiento jurídico colombiano deba tener el bien adquirido, que ampare el bien contra todo daño y hurto.  </w:t>
      </w:r>
    </w:p>
    <w:p w14:paraId="6E43A085" w14:textId="7BFB79C8"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31" w:name="ver_30177198"/>
      <w:bookmarkEnd w:id="531"/>
    </w:p>
    <w:p w14:paraId="337207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2.3.1.6.4.6. Cláusula Resolutoria. El acto jurídico de transferencia de la propiedad de los bienes que se adquieran con los recursos del Fondo Nacional de Gestión del Riesgo de Desastres incluirá cláusula resolutoria por incumplimiento de cualquiera de las obligaciones pactadas y, la titularidad del bien será restituida al Fondo Nacional, sin perjuicio de las demás acciones a que haya lugar.  </w:t>
      </w:r>
    </w:p>
    <w:p w14:paraId="3892C24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33D8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0CA8E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6131DF9"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532" w:name="ver_30177199"/>
      <w:bookmarkEnd w:id="532"/>
      <w:r w:rsidRPr="00562064">
        <w:rPr>
          <w:rFonts w:ascii="Arial" w:eastAsia="Times New Roman" w:hAnsi="Arial" w:cs="Arial"/>
          <w:b/>
          <w:bCs/>
          <w:color w:val="000000" w:themeColor="text1"/>
          <w:lang w:eastAsia="es-CO"/>
        </w:rPr>
        <w:t>SECCIÓN 5</w:t>
      </w:r>
    </w:p>
    <w:p w14:paraId="26717E53"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Financiación en situaciones de desastre o calamidad pública</w:t>
      </w:r>
    </w:p>
    <w:p w14:paraId="2BB6FED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33" w:name="ver_30177200"/>
      <w:bookmarkEnd w:id="533"/>
    </w:p>
    <w:p w14:paraId="265B9C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2.3.1.6.5.1. Situaciones de desastre o calamidad pública. En las situaciones contempladas en el artículo 56 y 57 de la Ley 1523 de 2012, el Fondo podrá financiarse de las siguientes fuentes:  </w:t>
      </w:r>
    </w:p>
    <w:p w14:paraId="239E39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814CF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Las establecidas en la Ley 1523 de 2012.  </w:t>
      </w:r>
    </w:p>
    <w:p w14:paraId="21613D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A8F74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Recursos provenientes de créditos contingentes adquiridos por la Nación y demás mecanismos de protección financiera que existan.  </w:t>
      </w:r>
    </w:p>
    <w:p w14:paraId="5C7E89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D7FCC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Créditos suscritos por la Nación con instituciones financieras del mercado nacional o internacional.  </w:t>
      </w:r>
    </w:p>
    <w:p w14:paraId="2AE783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EAD19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Los demás recursos que obtenga a cualquier título de conformidad con lo establecido en el parágrafo 1° del artículo 47 de la Ley 1523 de 2012.  </w:t>
      </w:r>
    </w:p>
    <w:p w14:paraId="21BCCB3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CCF0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De acuerdo con lo establecido en el artículo 51 de la Ley 1523 de 2012, la suscripción de seguros, bonos y demás instrumentos para la transferencia del riesgo que garanticen un ingreso para el Fondo serán implementados por el Ministerio de Hacienda y Crédito Público a través de la subcuenta de protección financiera.  </w:t>
      </w:r>
    </w:p>
    <w:p w14:paraId="5FF9E4F0" w14:textId="7D85EA7A"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34" w:name="ver_30177201"/>
      <w:bookmarkEnd w:id="534"/>
    </w:p>
    <w:p w14:paraId="10D0A8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2.3.1.6.5.2. Ahorro. Sin perjuicio de lo dispuesto en el numeral 5 del artículo 51 de la Ley 1523 de 2012, el Fondo Nacional con sujeción a la ley podrá ahorrar recursos que le permitan obtener liquidez inmediata ante la declaratoria de desastres o calamidad pública. La fuente de estos recursos, será prioritariamente, los rendimientos financieros.  </w:t>
      </w:r>
    </w:p>
    <w:p w14:paraId="2FD929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915E7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71A346"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535" w:name="ver_30177202"/>
      <w:bookmarkEnd w:id="535"/>
      <w:r w:rsidRPr="00562064">
        <w:rPr>
          <w:rFonts w:ascii="Arial" w:eastAsia="Times New Roman" w:hAnsi="Arial" w:cs="Arial"/>
          <w:b/>
          <w:bCs/>
          <w:color w:val="000000" w:themeColor="text1"/>
          <w:lang w:eastAsia="es-CO"/>
        </w:rPr>
        <w:t>SECCIÓN 6</w:t>
      </w:r>
    </w:p>
    <w:p w14:paraId="49919CE1"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finales</w:t>
      </w:r>
    </w:p>
    <w:p w14:paraId="723C4584" w14:textId="1E36EFDB" w:rsidR="00E475BF" w:rsidRPr="00562064" w:rsidRDefault="00E475BF" w:rsidP="00143180">
      <w:pPr>
        <w:spacing w:line="293" w:lineRule="atLeast"/>
        <w:jc w:val="both"/>
        <w:rPr>
          <w:rFonts w:ascii="Arial" w:eastAsia="Times New Roman" w:hAnsi="Arial" w:cs="Arial"/>
          <w:color w:val="000000" w:themeColor="text1"/>
          <w:lang w:eastAsia="es-CO"/>
        </w:rPr>
      </w:pPr>
    </w:p>
    <w:p w14:paraId="0D43DAB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36" w:name="ver_30177203"/>
      <w:bookmarkEnd w:id="536"/>
    </w:p>
    <w:p w14:paraId="7F2B02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2.3.1.6.6.1. Apoyo a la Cooperación Internacional. El Director General de la Unidad Nacional, previa aprobación de la Junta Directiva del Fondo, en el marco del Planes Estratégicos de Cooperación Internacional y, con el fin de promover la diplomacia humanitaria, podrá apoyar con recursos u otorgar apoyo humanitario en especie, ante el acaecimiento de eventos relacionados con desastres internacionales, requerimientos oficiales, participaciones del país ante organismos internacionales o la participación de la Nación en acuerdos de orden internacional cuyo objetivo sea la gestión del riesgo de desastres.  </w:t>
      </w:r>
    </w:p>
    <w:p w14:paraId="300B44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624DC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 Unidad Nacional para la Gestión del Riesgo de Desastres coordinará con la Agencia Presidencial para la Cooperación Internacional de Colombia y el Ministerio de Relaciones Exteriores, la identificación de las necesidades según el evento, el país o territorio afectado y las líneas de apoyo que se señalen o requieran.  </w:t>
      </w:r>
    </w:p>
    <w:p w14:paraId="6C437625" w14:textId="0B24B490"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37" w:name="ver_30177204"/>
      <w:bookmarkEnd w:id="537"/>
    </w:p>
    <w:p w14:paraId="731863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2.3.1.6.6.2. Rendición de cuentas. El Ordenador del Gasto rendirá cuentas anualmente, mediante audiencia pública al Gobierno Nacional, en relación con la gestión de recursos, distribución entre subcuentas, inversión sectorial y territorial, beneficios e impactos y avance de los proyectos estratégicos en cada uno de los procesos misionales de gestión del riesgo, evidenciándose la contribución a los objetivos del Plan Nacional de Gestión del Riesgo de Desastres.  </w:t>
      </w:r>
    </w:p>
    <w:p w14:paraId="09ADFB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8E45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su vez, el ordenador del gasto presentará informes trimestrales a la Junta Directiva del Fondo sobre la inversión territorial y el aporte a los objetivos del Fondo.  </w:t>
      </w:r>
    </w:p>
    <w:p w14:paraId="5706CC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F1AF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DCA8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B80624F"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538" w:name="ver_30052561"/>
      <w:bookmarkEnd w:id="538"/>
      <w:r w:rsidRPr="00562064">
        <w:rPr>
          <w:rFonts w:ascii="Arial" w:eastAsia="Times New Roman" w:hAnsi="Arial" w:cs="Arial"/>
          <w:b/>
          <w:bCs/>
          <w:color w:val="000000" w:themeColor="text1"/>
          <w:lang w:eastAsia="es-CO"/>
        </w:rPr>
        <w:t>Título 2</w:t>
      </w:r>
    </w:p>
    <w:p w14:paraId="17483EDB"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Agencia Colombiana para la Reintegración de Personas y Grupos Alzados en Armas (ACR)</w:t>
      </w:r>
    </w:p>
    <w:p w14:paraId="49A0045E"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1</w:t>
      </w:r>
    </w:p>
    <w:p w14:paraId="1AD45574"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Instrumentos para la búsqueda de la convivencia y la eficacia de la justicia</w:t>
      </w:r>
    </w:p>
    <w:p w14:paraId="5EDF0BAB"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2DCF98BB"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Generalidades y definiciones</w:t>
      </w:r>
    </w:p>
    <w:p w14:paraId="1023103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39" w:name="ver_30052562"/>
      <w:bookmarkEnd w:id="539"/>
    </w:p>
    <w:p w14:paraId="2C3185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2.3.2.1.1.1. Política de reincorporación a la vida civil. La política conducente a desarrollar el programa de reincorporación a la sociedad y los beneficios socioeconómicos reconocidos será fijada por la Agencia Colombiana para la Reintegración de Personas y Grupos Alzados en Armas en coordinación con el Ministerio de Defensa Nacional. </w:t>
      </w:r>
    </w:p>
    <w:p w14:paraId="39D66915" w14:textId="1A2FB588"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40" w:name="ver_30052563"/>
      <w:bookmarkEnd w:id="540"/>
    </w:p>
    <w:p w14:paraId="718A10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2.3.2.1.1.2. Definiciones. Para efectos de la aplicación del presente Título se adoptan las siguientes definiciones: </w:t>
      </w:r>
    </w:p>
    <w:p w14:paraId="58B1E3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68FD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Desmovilizado: Aquel que por decisión individual abandone voluntariamente sus actividades como miembro de organizaciones armadas al margen de la ley, esto es, grupos guerrilleros y grupos de autodefensa, y se entregue a las autoridades de la República. </w:t>
      </w:r>
    </w:p>
    <w:p w14:paraId="45E22C7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D184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Reincorporado: El desmovilizado certificado por el Comité Operativo para la Dejación de las Armas (CODA), que se encuentre en el proceso de reincorporación a la vida civil. </w:t>
      </w:r>
    </w:p>
    <w:p w14:paraId="50D56B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9986B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Grupo familiar: Para aquellos beneficios, diferentes a salud, que involucren la familia, se entiende como grupo familiar del desmovilizado (a), el (la) cónyuge o el (la) compañero (a) permanente, los hijos y, a falta de cualquiera de los anteriores, los padres. </w:t>
      </w:r>
    </w:p>
    <w:p w14:paraId="6AD1CF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E0D9F3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Cuando se trate de compañeros permanentes su unión debe ser superior a los dos años en los términos de la Ley 54 de 1990. </w:t>
      </w:r>
    </w:p>
    <w:p w14:paraId="3BA1FF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C97D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Beneficios: La ayuda humanitaria y los incentivos económicos, jurídicos y sociales que se otorgan a desmovilizados y reincorporados para su regreso a la vida civil. </w:t>
      </w:r>
    </w:p>
    <w:p w14:paraId="5CD16C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40D4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CODA: Comité Operativo para la Dejación de las Armas. </w:t>
      </w:r>
    </w:p>
    <w:p w14:paraId="771B4F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C4C5F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Certificación del CODA: Es el documento que expide el Comité Operativo para la Dejación de las Armas (CODA), dando cuenta de la pertenencia del desmovilizado a una organización armada al margen de la ley y de su voluntad de abandonarla. Esta certificación permite el ingreso del desmovilizado al proceso de reincorporación y el otorgamiento a su favor, de los beneficios jurídicos y socioeconómicos de que hablan la ley y este Decreto. </w:t>
      </w:r>
    </w:p>
    <w:p w14:paraId="40D7B41C" w14:textId="3353E53E"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41" w:name="ver_30052564"/>
      <w:bookmarkEnd w:id="541"/>
    </w:p>
    <w:p w14:paraId="2E2576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2.3.2.1.1.3. Reintegrado. Para todos los efectos legales se entenderá como reintegrados a todas aquellas personas que se encuentren adelantando procesos de reincorporación a la vida civil. </w:t>
      </w:r>
    </w:p>
    <w:p w14:paraId="6E32AA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55745D"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542" w:name="ver_30052565"/>
      <w:bookmarkEnd w:id="542"/>
      <w:r w:rsidRPr="00562064">
        <w:rPr>
          <w:rFonts w:ascii="Arial" w:eastAsia="Times New Roman" w:hAnsi="Arial" w:cs="Arial"/>
          <w:b/>
          <w:bCs/>
          <w:color w:val="000000" w:themeColor="text1"/>
          <w:lang w:eastAsia="es-CO"/>
        </w:rPr>
        <w:t>Sección 2</w:t>
      </w:r>
    </w:p>
    <w:p w14:paraId="465DD246"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Proceso de desmovilización</w:t>
      </w:r>
    </w:p>
    <w:p w14:paraId="1858B40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43" w:name="ver_30052566"/>
      <w:bookmarkEnd w:id="543"/>
    </w:p>
    <w:p w14:paraId="1DFE50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2.3.2.1.2.1. Desmovilización. Las personas que pretendan acceder a los beneficios previstos en este Decreto deberán presentarse ante jueces, fiscales, autoridades militares o de policía, representantes del Procurador, representantes del Defensor del Pueblo o autoridades territoriales, quienes informarán inmediatamente a la Fiscalía General de la Nación y a la guarnición militar más cercana al lugar de la entrega. </w:t>
      </w:r>
    </w:p>
    <w:p w14:paraId="5E60FC4D" w14:textId="348E5643"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44" w:name="ver_30052567"/>
      <w:bookmarkEnd w:id="544"/>
    </w:p>
    <w:p w14:paraId="49BBFB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2.3.2.1.2.2. Recepción. En los casos de desmovilización individual, desde el momento en que la persona se presenta ante las autoridades pertinentes, el Ministerio de Defensa Nacional prestará la ayuda que requiera el desmovilizado y su grupo familiar, cubriendo, en todo caso, sus necesidades básicas de alojamiento, alimentación, vestuario, transporte, atención en salud, recreación y deporte. </w:t>
      </w:r>
    </w:p>
    <w:p w14:paraId="4BBD7B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2F69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Durante este proceso de desmovilización, el Ministerio de Defensa Nacional proveerá los medios necesarios para el alojamiento de los desmovilizados o gestionará la consecución de instalaciones adecuadas, según determine, de manera que se procure su integridad personal. </w:t>
      </w:r>
    </w:p>
    <w:p w14:paraId="18EE2B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0811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Una vez recibido el desmovilizado por parte del Ministerio de Defensa Nacional, deberá dar aviso de tal circunstancia a la Agencia Colombiana para la Reintegración de Personas y Grupos Alzados en Armas en el término de tres (3) días hábiles, y procederá a entregárselo en un término no mayor a quince (15) días calendario adicionales. </w:t>
      </w:r>
    </w:p>
    <w:p w14:paraId="448C0F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380C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entrega física del desmovilizado se hará mediando un acta en la cual constarán los datos iniciales de su individualización, su huella dactilar y las circunstancias de su desmovilización del grupo armado al que pertenecía. </w:t>
      </w:r>
    </w:p>
    <w:p w14:paraId="1D4777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AD81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Para efectos de adelantar la investigación correspondiente y definir la situación jurídica de las personas beneficiarias del presente título, la Agencia Colombiana para la Reintegración de Personas y Grupos Alzados en Armas coordinará con la Fiscalía General de la Nación y el Consejo Superior de la Judicatura la designación de fiscales y jueces de menores. </w:t>
      </w:r>
    </w:p>
    <w:p w14:paraId="704D52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596A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Defensoría del Pueblo promoverá la designación de abogados de oficio con dedicación exclusiva para ejercer la defensa del desmovilizado. </w:t>
      </w:r>
    </w:p>
    <w:p w14:paraId="40858447" w14:textId="539020E7"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45" w:name="ver_30052568"/>
      <w:bookmarkEnd w:id="545"/>
    </w:p>
    <w:p w14:paraId="5D3071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2.3.2.1.2.3. Garantía de los derechos humanos. En armonía con el ejercicio de sus funciones, la Consejería Presidencial para los Derechos Humanos velará por el respeto de los derechos humanos de las personas que abandonen voluntariamente las armas y el correcto cumplimiento de los procesos de desmovilización y reincorporación a la vida civil, para lo cual podrá adelantar visitas a las instalaciones de seguridad, o de educación en que se encuentren los desmovilizados, y solicitar a los órganos y entidades que hacen parte de los procesos de desmovilización y reincorporación, toda la documentación e información que requiera, lo mismo que adelantar las demás acciones que considere pertinentes para el cabal desarrollo de su función. </w:t>
      </w:r>
    </w:p>
    <w:p w14:paraId="37871328" w14:textId="5B4B3294"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46" w:name="ver_30106704"/>
      <w:bookmarkStart w:id="547" w:name="ver_30106703"/>
      <w:bookmarkEnd w:id="546"/>
    </w:p>
    <w:p w14:paraId="53F6BB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2.3.2.1.2.4.Presentación de las listas por parte del grupo armado al margen de la ley. Cuando se trate de diálogos, negociaciones o firma de acuerdos con el Gobierno nacional, la calidad de miembro del grupo armado organizado al margen de la ley de que se trate, se acreditará mediante una lista suscrita por los voceros o miembros representantes designados por dicho grupo, en la que se reconozca expresamente tal calidad. </w:t>
      </w:r>
    </w:p>
    <w:p w14:paraId="3B9437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13EA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Con relación a los niños, niñas y adolescentes que fueron utilizados o participaron directa o indirectamente en las actividades del grupo armado organizado al margen de la ley, los voceros o miembros representantes de dicho grupo entregarán una lista separada que acreditará la pertenencia, mas no la calidad de miembros de dichos menores, en concordancia con lo dispuesto en el inciso 1° del parágrafo 2° del artículo 3° de la Ley 1448 de 2011. </w:t>
      </w:r>
    </w:p>
    <w:p w14:paraId="5717C7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609DC58" w14:textId="6EE050D9"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356DA1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48" w:name="ver_30106705"/>
      <w:bookmarkEnd w:id="547"/>
      <w:bookmarkEnd w:id="548"/>
    </w:p>
    <w:p w14:paraId="05F947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2.3.2.1.2.5. Aceptación de la Lista. Las listas de que trata el artículo anterior serán recibidas y aceptadas por el Alto Comisionado para la Paz de buena fe, sin perjuicio de las verificaciones correspondientes, mediante un acto administrativo formal que hará las veces de certificación de pertenencia al grupo armado organizado al margen de la ley de que se trate.  </w:t>
      </w:r>
    </w:p>
    <w:p w14:paraId="5C21FF2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49" w:name="ver_30106706"/>
      <w:bookmarkEnd w:id="549"/>
    </w:p>
    <w:p w14:paraId="1F46D64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2.3.2.1.2.6.Acceso al proceso de reintegración social, política y económica. La lista de que trata el inciso 1° del artículo 2.3.2.1.2.4 habilita al desmovilizado para acceder, previa dejación de las armas, al proceso de reincorporación social, política y económica y al tratamiento jurídico especial que se acuerde.  </w:t>
      </w:r>
    </w:p>
    <w:p w14:paraId="7B9680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6D4E290"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550" w:name="ver_30052570"/>
      <w:bookmarkEnd w:id="550"/>
      <w:r w:rsidRPr="00562064">
        <w:rPr>
          <w:rFonts w:ascii="Arial" w:eastAsia="Times New Roman" w:hAnsi="Arial" w:cs="Arial"/>
          <w:b/>
          <w:bCs/>
          <w:color w:val="000000" w:themeColor="text1"/>
          <w:lang w:eastAsia="es-CO"/>
        </w:rPr>
        <w:t>Sección 3</w:t>
      </w:r>
    </w:p>
    <w:p w14:paraId="70047A96"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Comité Operativo para la Dejación de las Armas (CODA)</w:t>
      </w:r>
    </w:p>
    <w:p w14:paraId="76DFC93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51" w:name="ver_30052571"/>
      <w:bookmarkEnd w:id="551"/>
    </w:p>
    <w:p w14:paraId="023860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2.3.2.1.3.1. Comité Operativo para la Dejación de las Armas (CODA). Estará conformado por: </w:t>
      </w:r>
    </w:p>
    <w:p w14:paraId="47D587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C02B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Un delegado del Ministro de Justicia y del Derecho, quien lo presidirá. </w:t>
      </w:r>
    </w:p>
    <w:p w14:paraId="185228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DAC7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Un delegado del Ministro de Defensa Nacional, a cargo del cual estará la secretaría técnica. </w:t>
      </w:r>
    </w:p>
    <w:p w14:paraId="3E3635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A504D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Un funcionario de la Agencia Colombiana para la Reintegración de Personas y Grupos Alzados en Armas. </w:t>
      </w:r>
    </w:p>
    <w:p w14:paraId="15B819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A508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Un delegado del Fiscal General de la Nación. </w:t>
      </w:r>
    </w:p>
    <w:p w14:paraId="204C59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C08E7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Un delegado del Director del Instituto Colombiano de Bienestar Familiar. </w:t>
      </w:r>
    </w:p>
    <w:p w14:paraId="6CA078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3FB76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Un delegado del Defensor del Pueblo. </w:t>
      </w:r>
    </w:p>
    <w:p w14:paraId="0D38B0A7" w14:textId="012ED0E8"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52" w:name="ver_30052572"/>
      <w:bookmarkEnd w:id="552"/>
    </w:p>
    <w:p w14:paraId="52DDA54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2.3.2.1.3.2. Funciones del Comité Operativo para la Dejación de las Armas (CODA). El Comité Operativo para la Dejación de las Armas (CODA), sesionará permanentemente y cumplirá las siguientes funciones: </w:t>
      </w:r>
    </w:p>
    <w:p w14:paraId="1C1A47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73692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Constatar la pertenencia del solicitante a la organización al margen de la ley, de conformidad con las disposiciones legales vigentes. </w:t>
      </w:r>
    </w:p>
    <w:p w14:paraId="438D19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0A6A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Realizar la valoración de las circunstancias del abandono voluntario. </w:t>
      </w:r>
    </w:p>
    <w:p w14:paraId="05B4A85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EAAEB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Evaluar la voluntad de reincorporarse a la vida civil que tenga el desmovilizado. </w:t>
      </w:r>
    </w:p>
    <w:p w14:paraId="7E25A5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48A4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Certificar la pertenencia del desmovilizado a una organización armada al margen de la ley y su voluntad de abandonarla. </w:t>
      </w:r>
    </w:p>
    <w:p w14:paraId="4EEB55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546E36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Tramitar las solicitudes de aplazamiento o suspensión de la ejecución de la pena e indulto ante los jueces de ejecución de penas y los Ministerios del Interior y de Justicia y el Derecho, y </w:t>
      </w:r>
    </w:p>
    <w:p w14:paraId="7B8DAE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5F8E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Expedir su propio reglamento. </w:t>
      </w:r>
    </w:p>
    <w:p w14:paraId="3DF326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41E87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Para efectos de los beneficios de este Decreto, el Ministerio de Defensa Nacional presentará al Comité Operativo para la Dejación de las Armas (CODA), en cada una de sus reuniones, los casos de desmovilización de que tenga conocimiento. </w:t>
      </w:r>
    </w:p>
    <w:p w14:paraId="123466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58625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Para el cumplimiento de sus funciones, el Comité Operativo para la Dejación de las Armas (CODA), podrá solicitar a los organismos de seguridad del Estado, autoridades judiciales y demás instituciones competentes, la información que posean sobre la persona que desea reincorporarse a la vida civil. Estas solicitudes tendrán prioridad de tratamiento por las autoridades que las reciban. </w:t>
      </w:r>
    </w:p>
    <w:p w14:paraId="7CC1B9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FD68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El Comité Operativo para la Dejación de las Armas (CODA), dispondrá de un término de veinte (20) días comunes, contados desde la fecha en la cual se recibe la documentación, para certificar y notificar ante las autoridades competentes la pertenencia del desmovilizado a una organización armada al margen de la ley y su voluntad de abandonarla. </w:t>
      </w:r>
    </w:p>
    <w:p w14:paraId="4A92A5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BBB589"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553" w:name="ver_30052573"/>
      <w:bookmarkEnd w:id="553"/>
      <w:r w:rsidRPr="00562064">
        <w:rPr>
          <w:rFonts w:ascii="Arial" w:eastAsia="Times New Roman" w:hAnsi="Arial" w:cs="Arial"/>
          <w:b/>
          <w:bCs/>
          <w:color w:val="000000" w:themeColor="text1"/>
          <w:lang w:eastAsia="es-CO"/>
        </w:rPr>
        <w:t>Sección 4</w:t>
      </w:r>
    </w:p>
    <w:p w14:paraId="153017F9"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Beneficios</w:t>
      </w:r>
    </w:p>
    <w:p w14:paraId="71145EB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54" w:name="ver_30052574"/>
      <w:bookmarkEnd w:id="554"/>
    </w:p>
    <w:p w14:paraId="358228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2.3.2.1.4.1. Beneficios en caso de desmovilización individual y voluntaria. Los beneficios previstos en el presente decreto se aplicarán a los nacionales que, individualmente y por decisión voluntaria, abandonen sus actividades como miembros de los grupos armados organizados al margen de la ley, y hayan además demostrado, a criterio del Gobierno nacional, su voluntad de reincorporarse a la vida civil. Los menores de edad, están excluidos de cualquier forma de colaboración o cooperación con la Fuerza Pública. </w:t>
      </w:r>
    </w:p>
    <w:p w14:paraId="3BEBDC9A" w14:textId="7C111444"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55" w:name="ver_30052575"/>
      <w:bookmarkEnd w:id="555"/>
    </w:p>
    <w:p w14:paraId="627AE3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2.3.2.1.4.2. Beneficios de Documentación. La Agencia Colombiana para la Reintegración de Personas y Grupos Alzados en armas realizará los trámites para entregar al desmovilizado la libreta militar y la cédula de ciudadanía y el certificado de antecedentes judiciales, para lo cual las entidades pertinentes dispondrán lo necesario para asumir los costos que la expedición de tales documentos demande. </w:t>
      </w:r>
    </w:p>
    <w:p w14:paraId="60092F7E" w14:textId="3643798E"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56" w:name="ver_30052576"/>
      <w:bookmarkEnd w:id="556"/>
    </w:p>
    <w:p w14:paraId="5B6FDED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2.3.2.1.4.3. Beneficio en salud. El desmovilizado y su grupo familiar recibirán servicios de salud a través de la red hospitalaria, para lo cual bastará certificación expedida por el Ministerio de Defensa Nacional. Una vez sea certificado por el Comité Operativo para la Dejación de las Armas (CODA), podrá acceder a los beneficios contemplados en el Régimen Subsidiado de Seguridad Social en Salud, con el siguiente grupo familiar: el (la) cónyuge o el compañero (a) permanente, los padres, los hijos y los hermanos menores y/o mayores discapacitados. </w:t>
      </w:r>
    </w:p>
    <w:p w14:paraId="6DC5F2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FA716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Agencia Colombiana para la Reintegración de Persona y Grupos Alzados en Armas deberá tramitar ante el Ministerio de Salud y Protección Social la consecución de los cupos necesarios para brindar acceso a este beneficio. </w:t>
      </w:r>
    </w:p>
    <w:p w14:paraId="6BDDE8D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3976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Las entidades competentes mantendrán cupos permanentes para la afiliación de los reincorporados al Régimen Subsidiado de Seguridad Social en Salud. </w:t>
      </w:r>
    </w:p>
    <w:p w14:paraId="5876AA1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57" w:name="ver_30052577"/>
      <w:bookmarkEnd w:id="557"/>
    </w:p>
    <w:p w14:paraId="5B691D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2.3.2.1.4.4. Beneficios de protección y seguridad. El Ministerio de Defensa Nacional o la Agencia Colombiana para la Reintegración de Personas y Grupos Alzados en armas, según corresponda, coordinarán con la Unidad Nacional de Protección y la Policía Nacional, las medidas necesarias para brindar seguridad tanto al desmovilizado o reincorporado como a su grupo familiar, en los casos en que esto último fuese necesario. </w:t>
      </w:r>
    </w:p>
    <w:p w14:paraId="6E444EA6" w14:textId="7C98D068"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58" w:name="ver_30052578"/>
      <w:bookmarkEnd w:id="558"/>
    </w:p>
    <w:p w14:paraId="4D8A2D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2.3.2.1.4.5. Beneficios por colaboración. El desmovilizado que voluntariamente desee hacer un aporte eficaz a la justicia o a la Fuerza Pública entregando información conducente a evitar o esclarecer delitos, recibirá del Ministerio de Defensa Nacional, una vez haya sido certificado por el Comité Operativo para la Dejación de las Armas (CODA), una bonificación económica acorde al resultado, conforme al procedimiento que expida este Ministerio. </w:t>
      </w:r>
    </w:p>
    <w:p w14:paraId="3C1CADB3" w14:textId="0D802A2F"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59" w:name="ver_30052579"/>
      <w:bookmarkEnd w:id="559"/>
    </w:p>
    <w:p w14:paraId="3BD47574" w14:textId="6DEB757B"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2.3.2.1.4.6. Beneficios por entrega de material. El desmovilizado o reincorporado que haga entrega de material de guerra, intendencia, comunicaciones o de cualquier otro elemento que facilite a los grupos armados al margen de la ley el desarrollo de actividades ilícitas, así como de sustancias o drogas estupefacientes y los insumos y la maquinaria para su elaboración, recibirá del Ministerio de Defensa Nacional, una vez haya sido certificado por el Comité Operativo para la Dejación de las Armas (CODA), una bonificación económica, conforme al procedimiento que expida este Ministerio. </w:t>
      </w:r>
      <w:bookmarkStart w:id="560" w:name="ver_30052580"/>
      <w:bookmarkEnd w:id="560"/>
    </w:p>
    <w:p w14:paraId="7D06CEC4" w14:textId="77777777" w:rsidR="002F0391" w:rsidRPr="00562064" w:rsidRDefault="002F0391" w:rsidP="002F0391">
      <w:pPr>
        <w:spacing w:after="0" w:line="254" w:lineRule="atLeast"/>
        <w:jc w:val="both"/>
        <w:rPr>
          <w:rFonts w:ascii="Arial" w:eastAsia="Times New Roman" w:hAnsi="Arial" w:cs="Arial"/>
          <w:color w:val="000000" w:themeColor="text1"/>
          <w:lang w:eastAsia="es-CO"/>
        </w:rPr>
      </w:pPr>
    </w:p>
    <w:p w14:paraId="60AAB1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2.3.2.1.4.7. Bonificación Económica por Cooperación. Los desmovilizados o reincorporados que voluntariamente deseen desarrollar actividades de cooperación para la Fuerza Pública podrán recibir del Ministerio de Defensa Nacional, una bonificación económica, conforme al procedimiento que expida este Ministerio. </w:t>
      </w:r>
    </w:p>
    <w:p w14:paraId="24D37513" w14:textId="09372261"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61" w:name="ver_30052581"/>
      <w:bookmarkEnd w:id="561"/>
    </w:p>
    <w:p w14:paraId="5F3F2E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2.3.2.1.4.8. Beneficios jurídicos. De conformidad con la ley, tendrán derecho al indulto, suspensión condicional de la ejecución de la pena, la cesación de procedimiento, la preclusión de la instrucción o la resolución inhibitoria, según el estado del proceso, los desmovilizados que hubieren formado parte de organizaciones armadas al margen de la ley, respecto de los cuales el Comité Operativo para la Dejación de las Armas (CODA), expida la certificación de que trata el numeral 4 del artículo 2.3.2.1.3.2 del presente Título. </w:t>
      </w:r>
    </w:p>
    <w:p w14:paraId="3991C01E" w14:textId="10EC002E"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62" w:name="ver_30052582"/>
      <w:bookmarkEnd w:id="562"/>
    </w:p>
    <w:p w14:paraId="27841B2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2.3.2.1.4.9. Beneficio educativo. El reincorporado podrá iniciar o continuar su capacitación en educación básica, media, técnica o tecnológica o en oficios semicalificados para dar empleabilidad en las instituciones educativas que para tal fin establezca la Agencia Colombiana para la Reintegración de Personas y Grupos Alzados en Armas. Igualmente, este programa comprenderá la educación del desmovilizado en un esquema de valores humanos y sociales, compatibles con los deberes y derechos del ciudadano proclamados en nuestra Constitución Política. </w:t>
      </w:r>
    </w:p>
    <w:p w14:paraId="1211D8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9FBE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Ministerio de Educación Nacional y el Instituto Colombiano para la Evaluación de la Educación (Icfes), brindarán su colaboración y asesoría permanente para la prestación de este beneficio. </w:t>
      </w:r>
    </w:p>
    <w:p w14:paraId="4F10050F" w14:textId="48CFA034"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63" w:name="ver_30052583"/>
      <w:bookmarkEnd w:id="563"/>
    </w:p>
    <w:p w14:paraId="349EE7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2.3.2.1.4.10. Beneficios socioeconómicos. Una vez expedida la certificación del Comité Operativo para la Dejación de las Armas (CODA), la Agencia Colombiana para la Reintegración de Personas y Grupos Alzados en armas realizará una valoración integral del reincorporado con el fin de determinar su programa de beneficios socioeconómicos. </w:t>
      </w:r>
    </w:p>
    <w:p w14:paraId="4F248F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48078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64" w:name="ver_30052584"/>
      <w:bookmarkEnd w:id="564"/>
    </w:p>
    <w:p w14:paraId="6F563A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2.3.2.1.4.11. Fijación de los beneficios socioeconómicos del proceso de reintegración. La Agencia Colombiana para la Reintegración de Personas y Grupos Alzados en armas, fijará mediante resolución de carácter general los requisitos, características, condiciones y obligaciones necesarios para el acceso a los beneficios socioeconómicos reconocidos a la población desmovilizada, así como los montos de conformidad con los límites establecidos en este decreto. </w:t>
      </w:r>
    </w:p>
    <w:p w14:paraId="5B051D31" w14:textId="6041CD45"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65" w:name="ver_30052585"/>
      <w:bookmarkEnd w:id="565"/>
    </w:p>
    <w:p w14:paraId="6E3DC0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2.3.2.1.4.12. Apoyo económico a la reintegración. El apoyo económico a la reintegración consiste en un beneficio económico que se otorga a las personas en proceso de reintegración, previa disponibilidad presupuestal y sujeto al cumplimiento de su ruta de reintegración. No es fuente de generación de ingresos, y no puede ser otorgado de forma indefinida. </w:t>
      </w:r>
    </w:p>
    <w:p w14:paraId="52086D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5A9B7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persona en proceso de reintegración podrá recibir mensualmente un apoyo económico de hasta cuatrocientos ochenta mil pesos ($480.000), de conformidad con el cumplimiento de su ruta de reintegración. </w:t>
      </w:r>
    </w:p>
    <w:p w14:paraId="370B8F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9E6E6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Previo a lo dispuesto en el inciso 2° del presente artículo el desmovilizado o desvinculado recibirá durante los dos (2) primeros meses de su ingreso al proceso de reintegración una suma mensual de cuatrocientos mil pesos ($400.000) siempre que haya surtido el procedimiento de ingreso formal y realice presentación personal por lo menos una vez en el mes ante la Agencia Colombiana para la Reintegración de Personas y Grupos Alzados en Armas que le corresponda conforme a su domicilio. </w:t>
      </w:r>
    </w:p>
    <w:p w14:paraId="45FEAC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61E3C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Agencia Colombiana para la Reintegración de Personas y Grupos Alzados en armas otorgará a la persona en proceso de reintegración, un apoyo para menaje el primer mes y por única vez por valor de doscientos mil pesos ($200.000). </w:t>
      </w:r>
    </w:p>
    <w:p w14:paraId="610CF4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193E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No será procedente el apoyo económico a la reintegración, para las personas que no hayan ingresado formalmente a los programas de reintegración de la Agencia Colombiana para la Reintegración de Personas y Grupos Alzados en armas. </w:t>
      </w:r>
    </w:p>
    <w:p w14:paraId="48493517" w14:textId="576CBCDC"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66" w:name="ver_30052586"/>
      <w:bookmarkEnd w:id="566"/>
    </w:p>
    <w:p w14:paraId="3B8685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2.3.2.1.4.13. Beneficio económico. La Agencia Colombiana para la Reintegración de Personas y Grupos Alzados en Armas, previa evaluación de factibilidad, podrá autorizar que el programa aporte de recursos para el desarrollo de proyectos de inserción económica para los reincorporados. Para tal efecto, esta entidad reglamentará y fijará las características, condiciones y montos de los aportes que se reconozcan. Este proyecto no podrá ser refinanciado en ningún caso. </w:t>
      </w:r>
    </w:p>
    <w:p w14:paraId="32AFF6A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39710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quienes hayan optado por educación superior dentro de los programas adoptados por la Agencia Colombiana para la Reintegración de Personas y Grupos Alzados en Armas, el aporte al proyecto de inserción económica será hasta de un 50% del monto determinado por la entidad para dicho proyecto. </w:t>
      </w:r>
    </w:p>
    <w:p w14:paraId="756D87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02AE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Agencia Colombiana para la Reintegración de Personas y Grupos Alzados en Armas podrá fijar como condición para la aprobación del beneficio económico, que el desmovilizado reciba capacitación en oficios semicalificados o educación técnica o tecnológica, con cargo al programa, en el área a la cual se dirige el proyecto, cuando el caso lo amerite. </w:t>
      </w:r>
    </w:p>
    <w:p w14:paraId="7CFEE9BB" w14:textId="01963A3D"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67" w:name="ver_30052587"/>
      <w:bookmarkEnd w:id="567"/>
    </w:p>
    <w:p w14:paraId="5A59B4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2.3.2.1.4.14. Beneficio de inserción económica. El beneficio de inserción económica tiene como objetivo facilitar a la persona en proceso de reintegración, el acceso a una fuente de generación de ingresos. Dicho beneficio podrá hacerse efectivo, por una sola vez, previa disponibilidad presupuestal y con el cumplimiento de los requisitos previstos por la Agencia Colombiana para la Reintegración de Personas y Grupos Alzados en Armas para su otorgamiento. </w:t>
      </w:r>
    </w:p>
    <w:p w14:paraId="3E6E7F3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1376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persona en proceso de reintegración, podrá optar entre el Estímulo Económico a la Empleabilidad o el Capital Semilla para la financiación de un Plan de Negocio, que en todo caso serán excluyentes entre sí. </w:t>
      </w:r>
    </w:p>
    <w:p w14:paraId="75BD14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CD44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persona en proceso de reintegración, además de las obligaciones fijadas por la Agencia Colombiana para la Reintegración de Personas y Grupos Alzados en armas, deberá presentar un informe trimestral por un periodo de doce (12) meses, que permita evidenciar que la destinación de los recursos por concepto del beneficio de inserción económica corresponda a la iniciativa formulada, presentada y aprobada ante la Agencia Colombiana para la Reintegración de Personas y Grupos Alzados en Armas. </w:t>
      </w:r>
    </w:p>
    <w:p w14:paraId="6AC5C3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F202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En caso de comprobarse el abandono o destinación indebida de los recursos del beneficio de inserción económica, la Agencia Colombiana para la Reintegración de Personas y Grupos Alzados en Armas dará por terminados los beneficios socioeconómicos mediante acto administrativo motivado, frente al cual podrán interponerse los recursos de ley. Lo anterior sin perjuicio de la responsabilidad penal que se derive de su conducta. </w:t>
      </w:r>
    </w:p>
    <w:p w14:paraId="424553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A56B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La persona en proceso de reintegración que haya sido objeto del beneficio de inserción económica, no podrá continuar siendo beneficiaria del apoyo económico a la reintegración establecido en el artículo 2.3.2.1.4.12 del presente Título </w:t>
      </w:r>
    </w:p>
    <w:p w14:paraId="7D2A3E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A452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4°. A la persona en proceso de reintegración que culmine su ruta de reintegración y no se le haya otorgado el beneficio de inserción económica, tendrá la opción de acreditar los requisitos para su otorgamiento dentro de los seis (6) meses siguientes a la culminación de su proceso de reintegración; de no hacerlo se entenderá que renuncia a este beneficio. </w:t>
      </w:r>
    </w:p>
    <w:p w14:paraId="4D367D5F" w14:textId="7B44E25D"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68" w:name="ver_30052588"/>
      <w:bookmarkEnd w:id="568"/>
    </w:p>
    <w:p w14:paraId="3E747B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2.3.2.1.4.15. Estímulo económico a la empleabilidad. El estímulo económico a la empleabilidad es un incentivo a la permanencia de la persona en proceso de reintegración en una actividad productiva, autogestionada o gestionada por la Agencia Colombiana para la Reintegración de Personas y Grupos Alzados en Armas. </w:t>
      </w:r>
    </w:p>
    <w:p w14:paraId="15A578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810D2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Dicho estímulo se otorgará por una sola vez, previo cumplimiento de los requisitos exigidos por la Agencia Colombiana para la Reintegración de Personas y Grupos Alzados en Armas, y tendrá como destinación el aporte para la adquisición de vivienda propia nueva o usada, o el pago de hipoteca de un inmueble adquirido con anterioridad. </w:t>
      </w:r>
    </w:p>
    <w:p w14:paraId="086E7D0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1BE60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las personas que se desmovilizaron bajo el marco de los acuerdos con los grupos armados organizados al margen de la ley con los cuales el Gobierno nacional haya adelantado un proceso de paz conforme a lo previsto en el artículo 2.3.2.1.2.4 del presente Título el estímulo económico a la empleabilidad corresponderá al monto acordado en la negociación. </w:t>
      </w:r>
    </w:p>
    <w:p w14:paraId="4F8950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E48F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las personas desmovilizadas individualmente, de conformidad con el procedimiento descrito en la sección 2 del presente capítulo, el estímulo económico a la empleabilidad corresponderá a un monto de hasta ocho millones de pesos ($8.000.000). </w:t>
      </w:r>
    </w:p>
    <w:p w14:paraId="185D92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BA875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En ningún caso el estímulo económico a la empleabilidad será desembolsado directamente a la persona en proceso de reintegración; este será consignado a los vendedores o proveedores, operadores, entidad financiera o la figura de administración de recursos que se determine para cada una de las opciones de vivienda descritas en el presente artículo, conforme a carta de instrucciones de desembolso suscrita por la persona en proceso de reintegración. </w:t>
      </w:r>
    </w:p>
    <w:p w14:paraId="7BEB7F97" w14:textId="1CAD106F"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69" w:name="ver_30052589"/>
      <w:bookmarkEnd w:id="569"/>
    </w:p>
    <w:p w14:paraId="148AAD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2.3.2.1.4.16. Estímulo económico para planes de negocio o capital semilla. El estímulo económico para planes de negocio o capital semilla consiste en un desembolso que otorga la Agencia Colombiana para la Reintegración de Personas y Grupos Alzados en Armas, a la persona en proceso de reintegración para la financiación de un plan de negocio que facilite su reintegración económica. </w:t>
      </w:r>
    </w:p>
    <w:p w14:paraId="2731EB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3758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las personas que se desmovilizaron bajo el marco de los acuerdos con los grupos armados organizados al margen de la ley con los cuales el Gobierno nacional haya adelantado un proceso de paz conforme a lo previsto en el artículo 2.3.2.1.2.4 de este título, el capital semilla corresponderá al monto acordado en la negociación. </w:t>
      </w:r>
    </w:p>
    <w:p w14:paraId="034434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B0557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las personas desmovilizadas individualmente, de conformidad con el procedimiento descrito en la sección 2 de este capítulo, el capital semilla corresponderá a un monto de hasta ocho millones de pesos ($8.000.000). </w:t>
      </w:r>
    </w:p>
    <w:p w14:paraId="09CAEA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8C89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El desembolso de los recursos aprobados se realizará por una sola vez, previo cumplimiento de los requisitos exigidos por la Agencia Colombiana para la Reintegración de Personas y Grupos Alzados en armas para cada tipo de plan de negocio individual o asociativo. </w:t>
      </w:r>
    </w:p>
    <w:p w14:paraId="527B77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9717D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En ningún caso el capital semilla será desembolsado directamente a la persona en proceso de reintegración. El monto aprobado será consignado a los proveedores, operadores, entidad financiera o a la figura de administración de recursos que se determine para cada tipo de plan de negocio, conforme a carta de instrucciones de desembolso suscrita por la persona en proceso de reintegración. </w:t>
      </w:r>
    </w:p>
    <w:p w14:paraId="707B6D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A21B6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El desembolso del capital semilla de los planes de negocio que hayan sido radicados con el cumplimiento pleno de los requisitos exigidos a la fecha de entrada en vigencia del presente decreto, se aplicará de acuerdo con los criterios y reglas vigentes al momento de la radicación. </w:t>
      </w:r>
    </w:p>
    <w:p w14:paraId="0C42C03C" w14:textId="0C394C13"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70" w:name="ver_30052590"/>
      <w:bookmarkEnd w:id="570"/>
    </w:p>
    <w:p w14:paraId="77D575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2.3.2.1.4.17. Póliza de seguro de vida. De conformidad con el parágrafo 3° del artículo 50 de la Ley 418 de 1997, modificado por el artículo 11 de la Ley 1421 de 2010, la Agencia Colombiana para la Reintegración de Personas y Grupos Alzados en armas, adquirirá previa disponibilidad presupuestal, un seguro de vida para la persona en proceso de reintegración con una cobertura de quince (15) salarios mínimos legales mensuales vigentes, por el término de un (1) año contado a partir de la fecha en que la persona desmovilizada sea certificada por el Comité Operativo para la Dejación de las Armas (CODA), o la aceptación de la lista de desmovilizados de que trata el artículo 2.3.2.1.2.4 de este título. </w:t>
      </w:r>
    </w:p>
    <w:p w14:paraId="531C73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5993A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el caso de la ocurrencia del siniestro, corresponderá a la familia del desmovilizado fallecido adelantar ante la compañía de seguros los trámites pertinentes para hacer efectiva la póliza. </w:t>
      </w:r>
    </w:p>
    <w:p w14:paraId="0C2AA1BD" w14:textId="5A8B817C" w:rsidR="002F0391"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71" w:name="ver_30052591"/>
      <w:bookmarkEnd w:id="571"/>
    </w:p>
    <w:p w14:paraId="3DCE19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2.3.2.1.4.18. Apoyo económico para traslado por nivel de riesgo extraordinario. De conformidad con el parágrafo 3° del artículo 50 de la Ley 418 de 1997, modificado por el artículo 11 de la Ley 1421 de 2010, es el apoyo económico que se entrega a la persona en proceso de reintegración con el objeto de cubrir sus gastos de traslado, dentro del territorio nacional. </w:t>
      </w:r>
    </w:p>
    <w:p w14:paraId="26A8E3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8215E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Se otorgará cuando la autoridad competente, acredite la existencia de un nivel de riesgo extraordinario. El monto por concepto de este apoyo será de hasta por dos punto cinco (2.5) salarios mínimos legales mensuales vigentes, y se concederá por una sola vez. </w:t>
      </w:r>
    </w:p>
    <w:p w14:paraId="76B69401" w14:textId="793F40C2"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72" w:name="ver_30052592"/>
      <w:bookmarkEnd w:id="572"/>
    </w:p>
    <w:p w14:paraId="5558D9D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2.3.2.1.4.19. Fomipyme. Los beneficios económicos que reconozca la Agencia Colombiana para la Reintegración de Personas y Grupos Alzados en Armas para estimular la reincorporación a la vida civil podrán ser utilizados para proyectos que permitan el acceso a los incentivos del Fondo Colombiano de Modernización y Desarrollo Tecnológico de las Micro, Pequeñas y Medianas Empresas (Fomipyme), para programas, proyectos y actividades de desarrollo tecnológico y de fomento y promoción de las micro, pequeñas y medianas empresas, con lo cual se pueda proyectar una mayor viabilidad de éxito en el proyecto. </w:t>
      </w:r>
    </w:p>
    <w:p w14:paraId="3A343B37" w14:textId="0AA43ED4"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73" w:name="ver_30052593"/>
      <w:bookmarkEnd w:id="573"/>
    </w:p>
    <w:p w14:paraId="00D08AC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2.3.2.1.4.20. Servicios especiales. A los discapacitados reincorporados se les suministrará soportes mecánicos y tratamientos de rehabilitación cuando no sean prestados por el régimen subsidiado. Este servicio se prestará previa valoración de pérdida de capacidad laboral certificada por el Ministerio de Salud y Protección Social, cuando la causa haya sido anterior a la desmovilización o siendo posterior sea producida por atentados relacionados con su condición de reincorporado a la sociedad civil. Este servicio se prestará durante el término que para tal efecto señale la Agencia Colombiana para la Reintegración de Personas y Grupos Alzados en Armas. </w:t>
      </w:r>
    </w:p>
    <w:p w14:paraId="697693E9" w14:textId="5A0AF14D"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74" w:name="ver_30052594"/>
      <w:bookmarkEnd w:id="574"/>
    </w:p>
    <w:p w14:paraId="051541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2.3.2.1.4.21. Empleo. El Servicio Nacional de Aprendizaje (Sena), en coordinación con la Agencia Colombiana para la Reintegración de Personas y Grupos Alzados en Armas, creará una bolsa de empleo y contratación que vincule al mercado laboral a los reincorporados que se acojan al presente Título. Para este efecto, entrará en relación con los gremios económicos y las distintas empresas del sector productivo o de servicios de la economía. </w:t>
      </w:r>
    </w:p>
    <w:p w14:paraId="569E2F6B" w14:textId="70D81034"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75" w:name="ver_30052595"/>
      <w:bookmarkEnd w:id="575"/>
    </w:p>
    <w:p w14:paraId="0D8DFD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2.3.2.1.4.22. Condiciones. Los beneficios socioeconómicos de que trata este Título están condicionados al cumplimiento de los requisitos y obligaciones que este Título, la Agencia Colombiana para la Reintegración de Personas y Grupos Alzados en armas, y el Ministerio de Defensa Nacional determinen. </w:t>
      </w:r>
    </w:p>
    <w:p w14:paraId="1B378B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FD33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No gozarán de ninguno de los beneficios señalados quienes estén siendo procesados o hayan sido condenados por delitos que de acuerdo con la Constitución Política, o la ley o los tratados internacionales suscritos y ratificados por Colombia no puedan recibir esta clase de beneficios. </w:t>
      </w:r>
    </w:p>
    <w:p w14:paraId="29E03924" w14:textId="2BF2970C"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76" w:name="ver_30052596"/>
      <w:bookmarkEnd w:id="576"/>
    </w:p>
    <w:p w14:paraId="19FCF6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2.3.2.1.4.23. Pérdida de beneficios. Los beneficios se perderán en los siguientes eventos: </w:t>
      </w:r>
    </w:p>
    <w:p w14:paraId="18880B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339FA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Cuando se considere que se ha cumplido con el proceso de reintegración social y económica, de acuerdo con los criterios previamente establecidos por la Agencia Colombiana para la Reintegración de Personas y Grupos Alzados en Armas. </w:t>
      </w:r>
    </w:p>
    <w:p w14:paraId="75813E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3799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Cuando el beneficiario incumpla los compromisos adquiridos durante su desmovilización voluntaria y, aquellos pactados con la Agencia Colombiana para la Reintegración de Personas y Grupos Alzados en Armas. </w:t>
      </w:r>
    </w:p>
    <w:p w14:paraId="41F93C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1912F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La pérdida de beneficios se establecerá mediante acto administrativo motivado, expedido por la Agencia Colombiana para la Reintegración de Personas y Grupos Alzados en Armas, frente al cual podrán interponerse los recursos de ley. </w:t>
      </w:r>
    </w:p>
    <w:p w14:paraId="09D3F5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AEC4629"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577" w:name="ver_30052597"/>
      <w:bookmarkEnd w:id="577"/>
      <w:r w:rsidRPr="00562064">
        <w:rPr>
          <w:rFonts w:ascii="Arial" w:eastAsia="Times New Roman" w:hAnsi="Arial" w:cs="Arial"/>
          <w:b/>
          <w:bCs/>
          <w:color w:val="000000" w:themeColor="text1"/>
          <w:lang w:eastAsia="es-CO"/>
        </w:rPr>
        <w:t>Sección 5</w:t>
      </w:r>
    </w:p>
    <w:p w14:paraId="754C53B4"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Protección y atención de los menores de edad desvinculados</w:t>
      </w:r>
    </w:p>
    <w:p w14:paraId="0C34252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78" w:name="ver_30052598"/>
      <w:bookmarkEnd w:id="578"/>
    </w:p>
    <w:p w14:paraId="478291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2.3.2.1.5.1. Entrega de los menores. Los menores de edad que se desvinculen de organizaciones armadas al margen de la ley de conformidad con las disposiciones legales vigentes, deberán ser entregados al Instituto Colombiano de Bienestar Familiar (ICBF), por la autoridad civil, militar o judicial que constate su desvinculación del grupo armado respectivo, a más tardar dentro de las treinta y seis (36) horas ordinarias siguientes a su desvinculación o en el término de la distancia, para que reciba la protección y atención integral especializada pertinente. </w:t>
      </w:r>
    </w:p>
    <w:p w14:paraId="770197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31FBA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Así mismo, quien constate la desvinculación deberá, dentro del mismo término, dar a conocer el hecho a la autoridad judicial competente. </w:t>
      </w:r>
    </w:p>
    <w:p w14:paraId="4353646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3E92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entrega física se acompañará de un acta en la cual consten los datos iniciales de individualización del menor, su huella dactilar y las circunstancias de su desvinculación del grupo armado, la cual será entregada a la autoridad competente del lugar donde esta se efectúe para que inicie la respectiva actuación. </w:t>
      </w:r>
    </w:p>
    <w:p w14:paraId="0895EA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4E46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Una vez recibo el menor, el Instituto Colombiano de Bienestar Familiar (ICBF), deberá dar aviso al Ministerio de Defensa Nacional para que verifique su vinculación al grupo armado y la Agencia Colombiana para la Reintegración de Personas y Grupos Alzados en Armas, para su seguimiento y posterior reconocimiento de beneficios. </w:t>
      </w:r>
    </w:p>
    <w:p w14:paraId="27F1FCE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980E4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 conformidad con la Constitución Política, la ley y los tratados públicos internacionales ratificados por Colombia, queda proscrita cualquier forma de utilización de menores en actividades de inteligencia. </w:t>
      </w:r>
    </w:p>
    <w:p w14:paraId="30D7F6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3F9A6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2.3.2.1.5.2. Verificación de las condiciones. El Juez de Menores o Promiscuo de Familia competente, según el caso, pedirá cuando lo estime conveniente, las explicaciones necesarias al Instituto Colombiano de Bienestar Familiar (ICBF), a efecto de verificar el estado, las condiciones del menor y la respuesta institucional para su protección integral, ratificando o modificando las medidas adoptadas y atendiendo siempre el interés superior del menor. </w:t>
      </w:r>
    </w:p>
    <w:p w14:paraId="0B7702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D0E93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79" w:name="ver_30052600"/>
      <w:bookmarkEnd w:id="579"/>
    </w:p>
    <w:p w14:paraId="1C8FAA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2.3.2.1.5.3. Competencia institucional. El Instituto Colombiano de Bienestar Familiar (ICBF), desarrollará los trámites administrativos expeditos que permitan la inclusión del menor desvinculado al programa especial de protección que ejecutará con ocasión de este Título, el cual, en todo caso, tendrá un enfoque y tratamiento específico de acuerdo con sus condiciones y a lo establecido en el presente Título. </w:t>
      </w:r>
    </w:p>
    <w:p w14:paraId="4E8875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1B16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todas las medidas concernientes a los niños desvinculados del conflicto armado interno que tomen las autoridades administrativas o los jueces competentes, se atenderá primordialmente el interés superior del niño y se le dará un tratamiento personalizado, en la medida de lo posible. </w:t>
      </w:r>
    </w:p>
    <w:p w14:paraId="7E40E9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8FB08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80" w:name="ver_30052601"/>
      <w:bookmarkEnd w:id="580"/>
    </w:p>
    <w:p w14:paraId="6A7352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2.3.2.1.5.4. Derecho a beneficios sociales y económicos. La Agencia Colombiana para la Reintegración de Personas y Grupos Alzados en Armas, en coordinación con el Instituto Colombiano de Bienestar Familiar, reglamentará la forma como los menores recibirán los beneficios educativos y económicos producto de la desvinculación. </w:t>
      </w:r>
    </w:p>
    <w:p w14:paraId="6535B7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CB32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Instituto Colombiano de Bienestar Familiar (ICBF), desarrollará los planes necesarios para el restablecimiento de los derechos y garantías del niño o menor desvinculado, con especial énfasis en su protección, educación y salud. </w:t>
      </w:r>
    </w:p>
    <w:p w14:paraId="065A91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3A6AFD0"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581" w:name="ver_30052602"/>
      <w:bookmarkEnd w:id="581"/>
      <w:r w:rsidRPr="00562064">
        <w:rPr>
          <w:rFonts w:ascii="Arial" w:eastAsia="Times New Roman" w:hAnsi="Arial" w:cs="Arial"/>
          <w:b/>
          <w:bCs/>
          <w:color w:val="000000" w:themeColor="text1"/>
          <w:lang w:eastAsia="es-CO"/>
        </w:rPr>
        <w:t>Sección 6</w:t>
      </w:r>
    </w:p>
    <w:p w14:paraId="2CB372DD"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finales</w:t>
      </w:r>
    </w:p>
    <w:p w14:paraId="7B4A59E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82" w:name="ver_30052603"/>
      <w:bookmarkEnd w:id="582"/>
    </w:p>
    <w:p w14:paraId="6E67058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2.3.2.1.6.1. Aplicación y condicionamiento. Los beneficios, que en el marco de la reintegración, reciban las personas desmovilizadas, a partir del 24 de enero de 2003, de grupos armados organizados al margen de la ley en forma individual o colectiva, podrán concederse a cada persona, de acuerdo con los criterios que previamente determine la Agencia Colombiana para la Reintegración de Personas y Grupos Alzados en Armas, y terminarán cuando culmine el proceso de reintegración social y económica, el cual se fijará a partir del progreso de cada persona. </w:t>
      </w:r>
    </w:p>
    <w:p w14:paraId="014BB8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DFAF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Las personas que para el 14 de febrero de 2007 se encontraban vinculadas al proceso de reintegración social y económica, serán evaluadas periódicamente por la Agencia Colombiana para la Reintegración de Personas y Grupos Alzados en Armas con base en los indicadores previamente establecidos por esta, los cuales permitirán identificar su voluntad de paz, su compromiso con el proceso y el estado de su reintegración. </w:t>
      </w:r>
    </w:p>
    <w:p w14:paraId="306FA0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5E02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Las personas desmovilizadas individual y colectivamente que no hubiesen completado su proceso de reintegración de acuerdo a los criterios que para tal fin determine previamente la Agencia Colombiana para la Reintegración de Personas y Grupos Alzados en Armas, podrán acceder a los beneficios que indique dicha Entidad, los cuales se definirán teniendo en cuenta la actividad del desmovilizado durante el tiempo que estuvo fuera del proceso, su progreso como ciudadano que respeta las leyes, y el estado de la atención que recibió con los programas sociales y económicos del Gobierno nacional. Estas personas deberán voluntariamente presentarse ante la Agencia Colombiana para la Reintegración de Personas y Grupos Alzados en Armas para iniciar el proceso de evaluación y verificación de requisitos. Una vez sea seleccionado, la permanencia de la persona en el proceso estará sujeta a los requisitos y directrices planteadas en el parágrafo 1 del presente artículo y en el artículo 2.3.2.1.4.23 del presente Título. </w:t>
      </w:r>
    </w:p>
    <w:p w14:paraId="428A28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D4EEB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83" w:name="ver_30052604"/>
      <w:bookmarkEnd w:id="583"/>
    </w:p>
    <w:p w14:paraId="03D6D9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28. Campo de aplicación. Los beneficios económicos a que se refiere el presente Título no cobijarán a los desmovilizados o beneficiarios por acuerdos de paz, ni a quienes ya los hayan recibido con anterioridad a la vigencia del mismo. </w:t>
      </w:r>
    </w:p>
    <w:p w14:paraId="646754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5C86A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84" w:name="ver_30052605"/>
      <w:bookmarkEnd w:id="584"/>
    </w:p>
    <w:p w14:paraId="43A6FA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2.3.2.1.6.3. Recursos. El Ministerio de Hacienda y Crédito Público girará directamente a las entidades comprometidas en este proceso, los recursos financieros requeridos para la ejecución de las funciones asignadas, de conformidad con la Ley Orgánica de Presupuesto y demás normas pertinentes. </w:t>
      </w:r>
    </w:p>
    <w:p w14:paraId="77E6E8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8C5589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85" w:name="ver_30052606"/>
      <w:bookmarkEnd w:id="585"/>
    </w:p>
    <w:p w14:paraId="75E4F6D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2.3.2.1.6.4. Otros recursos. La Agencia Colombiana para la Reintegración de Personas y Grupos Alzados en Armas y el Instituto Colombiano de Bienestar Familiar (ICBF), convocarán la participación de entidades del sector privado o público de orden nacional o internacional con el fin de obtener cooperación para otorgar beneficios adicionales con miras a la reincorporación a la vida civil de quienes abandonan voluntariamente los grupos armados ilegales. </w:t>
      </w:r>
    </w:p>
    <w:p w14:paraId="78DFABE8" w14:textId="1A0B27E6"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7D2EE9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86" w:name="ver_30052607"/>
      <w:bookmarkEnd w:id="586"/>
    </w:p>
    <w:p w14:paraId="32174A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2.3.2.1.6.5. Difusión. Los programas de difusión para incentivar la desmovilización de miembros de los grupos armados organizados al margen de la ley, así como la prevención del reclutamiento en estos grupos, estarán a cargo del Ministerio de Defensa Nacional. </w:t>
      </w:r>
    </w:p>
    <w:p w14:paraId="4297CC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CFBD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AF2452"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587" w:name="ver_30052608"/>
      <w:bookmarkEnd w:id="587"/>
      <w:r w:rsidRPr="00562064">
        <w:rPr>
          <w:rFonts w:ascii="Arial" w:eastAsia="Times New Roman" w:hAnsi="Arial" w:cs="Arial"/>
          <w:b/>
          <w:bCs/>
          <w:color w:val="000000" w:themeColor="text1"/>
          <w:lang w:eastAsia="es-CO"/>
        </w:rPr>
        <w:t>Capítulo 2</w:t>
      </w:r>
    </w:p>
    <w:p w14:paraId="6811591E"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de justicia transicional que garantizan verdad, justicia y reparación a las víctimas de desmovilizados de grupos organizados al margen de la ley y conceden beneficios jurídicos.</w:t>
      </w:r>
    </w:p>
    <w:p w14:paraId="7C94D359"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747CFC68"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Acuerdo de contribución a la verdad histórica y la reparación</w:t>
      </w:r>
    </w:p>
    <w:p w14:paraId="79EC246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88" w:name="ver_30052609"/>
      <w:bookmarkEnd w:id="588"/>
    </w:p>
    <w:p w14:paraId="733C8E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2.3.2.2.1.1. Objeto. El presente Capítulo tiene por objeto crear y reglamentar el procedimiento para la suscripción del “Acuerdo de Contribución a la Verdad Histórica y la Reparación”, así como la verificación de requisitos para efectos de la solicitud y otorgamiento de los beneficios jurídicos de que trata la Ley 1424 de 2010. </w:t>
      </w:r>
    </w:p>
    <w:p w14:paraId="7526642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F8F74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89" w:name="ver_30052610"/>
      <w:bookmarkEnd w:id="589"/>
    </w:p>
    <w:p w14:paraId="403349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2.3.2.2.1.2. Ámbito de aplicación. Los desmovilizados que como consecuencia de su pertenencia a grupos armados al margen de la ley hayan sido condenados por delitos diferentes al concierto para delinquir simple o agravado, utilización ilegal de uniformes e insignias, utilización ilícita de equipos transmisores o receptores, y porte ilegal de armas de fuego o municiones de uso privativo de las Fuerzas Armadas o de defensa personal, no podrán acceder a los beneficios contemplados en los artículos 6° y 7° de la Ley 1424 de 2010 desarrollados en el presente Capítulo. </w:t>
      </w:r>
    </w:p>
    <w:p w14:paraId="0A9CF3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9D04CB"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90" w:name="ver_30052611"/>
      <w:bookmarkEnd w:id="590"/>
    </w:p>
    <w:p w14:paraId="1BCDB1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2.3.2.2.1.4. Manifestación del compromiso con el proceso de reintegración y la voluntad de contribución a la verdad histórica y la reparación. El desmovilizado manifestará su compromiso con el proceso de reintegración y con la contribución al esclarecimiento de: </w:t>
      </w:r>
    </w:p>
    <w:p w14:paraId="3D27AE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6793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La conformación de los grupos organizados al margen de la ley a los que se refiere la Ley 1424 de 2010; </w:t>
      </w:r>
    </w:p>
    <w:p w14:paraId="3E84263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BBD6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El contexto general de su participación; y </w:t>
      </w:r>
    </w:p>
    <w:p w14:paraId="371D7B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1F37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Los hechos o actuaciones de que tenga conocimiento en razón de su pertenencia. </w:t>
      </w:r>
    </w:p>
    <w:p w14:paraId="25AAA3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E5534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manifestación de la voluntad de compromiso con el proceso de reintegración y con la contribución al esclarecimiento de la verdad se formalizará mediante la radicación del “Formato Único para la verificación previa de requisitos”, ante la Agencia Colombiana para la Reintegración de Personas y Grupos Alzados en Armas, a más tardar el día 28 de diciembre de 2011. Dicho formato será proporcionado por la Agencia Colombiana para la Reintegración de Personas y Grupos Alzados en Armas. </w:t>
      </w:r>
    </w:p>
    <w:p w14:paraId="45DA80B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885D3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desmovilizado debidamente certificado de conformidad con la ley, que se encuentre privado de la libertad por delitos cometidos con anterioridad a la desmovilización, podrá acceder al formato de que trata el presente artículo a través de las oficinas asesoras jurídicas de los respectivos establecimientos de reclusión. </w:t>
      </w:r>
    </w:p>
    <w:p w14:paraId="0C6D8E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ECFBC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91" w:name="ver_30052612"/>
      <w:bookmarkEnd w:id="591"/>
    </w:p>
    <w:p w14:paraId="368376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2.3.2.2.1.4. Manifestación del compromiso con el proceso de reintegración y la voluntad de contribución a la verdad histórica y la reparación. El desmovilizado manifestará su compromiso con el proceso de reintegración y con la contribución al esclarecimiento de: </w:t>
      </w:r>
    </w:p>
    <w:p w14:paraId="6C6EA6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BF24E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La conformación de los grupos organizados al margen de la ley a los que se refiere la Ley 1424 de 2010; </w:t>
      </w:r>
    </w:p>
    <w:p w14:paraId="49CBAD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5CFA1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El contexto general de su participación; y </w:t>
      </w:r>
    </w:p>
    <w:p w14:paraId="29611F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E108C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Los hechos o actuaciones de que tenga conocimiento en razón de su pertenencia. </w:t>
      </w:r>
    </w:p>
    <w:p w14:paraId="2BF63F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0E875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manifestación de la voluntad de compromiso con el proceso de reintegración y con la contribución al esclarecimiento de la verdad se formalizará mediante la radicación del “Formato Único para la verificación previa de requisitos”, ante la Agencia Colombiana para la Reintegración de Personas y Grupos Alzados en Armas, a más tardar el día 28 de diciembre de 2011. Dicho formato será proporcionado por la Agencia Colombiana para la Reintegración de Personas y Grupos Alzados en Armas. </w:t>
      </w:r>
    </w:p>
    <w:p w14:paraId="10FCE0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3374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desmovilizado debidamente certificado de conformidad con la ley, que se encuentre privado de la libertad por delitos cometidos con anterioridad a la desmovilización, podrá acceder al formato de que trata el presente artículo a través de las oficinas asesoras jurídicas de los respectivos establecimientos de reclusión. </w:t>
      </w:r>
    </w:p>
    <w:p w14:paraId="60F711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422D3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92" w:name="ver_30052613"/>
      <w:bookmarkEnd w:id="592"/>
    </w:p>
    <w:p w14:paraId="21CD63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2.3.2.2.1.5. Verificación previa de requisitos. Una vez radicado el “Formato Único para la verificación previa de requisitos” de que trata el artículo 2.3.2.2.1.4 del presente Título, la Agencia Colombiana para la Reintegración de Personas y Grupos Alzados en Armas iniciará la verificación del cumplimiento de los siguientes requisitos, respecto de cada solicitante: </w:t>
      </w:r>
    </w:p>
    <w:p w14:paraId="5F62DC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C3AF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La calidad de desmovilizado, acreditada de conformidad con la ley; </w:t>
      </w:r>
    </w:p>
    <w:p w14:paraId="643EC4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6F4BA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Encontrarse vinculado y cumpliendo, o haber culminado formalmente el proceso de reintegración, de conformidad con la reglamentación expedida por la Alta Consejería Presidencial para la Reintegración Social y Económica de Personas y Grupos Alzados en Armas para el efecto; </w:t>
      </w:r>
    </w:p>
    <w:p w14:paraId="0593A5C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4B773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 Que no registre antecedentes penales vigentes por delitos distintos a los contemplados en el artículo 1° de la Ley 1424 de 2010, como consecuencia de su pertenencia a los grupos organizados al margen de la ley, ni por delitos dolosos cometidos con posterioridad a la fecha en que hubiere sido certificada su desmovilización. </w:t>
      </w:r>
    </w:p>
    <w:p w14:paraId="4629747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65B9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Cuando el desmovilizado registre anotaciones por la investigación de delitos dolosos ocurridos con posterioridad a la fecha de la desmovilización, la verificación previa de requisitos se suspenderá, y sólo se reanudará cuando el desmovilizado sea exonerado de responsabilidad mediante providencia en firme. </w:t>
      </w:r>
    </w:p>
    <w:p w14:paraId="3C9956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9E94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Para la verificación del cumplimiento de los requisitos dispuestos en el literal c) y el parágrafo 1° del presente artículo, la Agencia Colombiana para la Reintegración de Personas y Grupos Alzados en Armas, hará las solicitudes pertinentes a las autoridades administrativas y judiciales, de conformidad con el artículo 2.3.2.2.3.2 del presente Título. </w:t>
      </w:r>
    </w:p>
    <w:p w14:paraId="1BBD26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8732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Para el desmovilizado que se encuentre privado de la libertad por delitos cometidos con anterioridad a la desmovilización, la Agencia Colombiana para la Reintegración de Personas y Grupos Alzados en Armas verificará el cumplimiento del requisito contemplado en el literal b) del presente artículo, hasta el momento de la privación de la libertad, según la etapa en que se encontrara en el proceso de reintegración. </w:t>
      </w:r>
    </w:p>
    <w:p w14:paraId="57A5C4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DA15B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93" w:name="ver_30052614"/>
      <w:bookmarkEnd w:id="593"/>
    </w:p>
    <w:p w14:paraId="4C8016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2.3.2.2.1.6. Anexo del Acuerdo de Contribución a la Verdad Histórica y la Reparación. Para la firma del “Acuerdo de Contribución a la Verdad Histórica y la Reparación”, la Agencia Colombiana para la Reintegración de Personas y Grupos Alzados en Armas distribuirá un aplicativo a través del cual el desmovilizado deberá aportar la siguiente información: nombre completo y alias; número de cédula; nombre del bloque o bloques a los que perteneció de manera secuencial; fecha y motivación del reclutamiento o la vinculación al grupo armado; lugar donde operó y zona de influencia; tipo de actividad o actividades que realizó; y fecha de desmovilización como miembro del grupo. Esta información constituirá el Anexo del Acuerdo de Contribución a la Verdad Histórica y la Reparación y hará parte integral del mismo. </w:t>
      </w:r>
    </w:p>
    <w:p w14:paraId="68F2B4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60D059"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94" w:name="ver_30052615"/>
      <w:bookmarkEnd w:id="594"/>
    </w:p>
    <w:p w14:paraId="2B25D7DA" w14:textId="66DF20FD"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2.3.2.2.1.7. Trámite y perfeccionamiento del Acuerdo de Contribución a la Verdad Histórica y la Reparación. La Agencia Colombiana para la Reintegración de Personas y Grupos Alzados en Armas tramitará la firma del Acuerdo de Contribución a la Verdad Histórica y la Reparación con los desmovilizados que hayan cumplido los requisitos del artículo 2.3.2.2.1.5 del presente Título y que hayan diligenciado el Anexo al que se refiere el artículo Artículo 2.3.2.2.1.6 del presente Título. </w:t>
      </w:r>
    </w:p>
    <w:p w14:paraId="65D680C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17A0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Una vez firmado el Acuerdo de Contribución a la Verdad Histórica y la Reparación por el desmovilizado, el director de la Agencia Colombiana para la Reintegración de Personas y Grupos Alzados en Armas, lo suscribirá. Firmado el acuerdo por ambas partes se entenderá perfeccionado. </w:t>
      </w:r>
    </w:p>
    <w:p w14:paraId="32835C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481BF3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El Anexo del Acuerdo de Contribución a la Verdad Histórica y la Reparación constituirá documento informativo y, al igual que la información que surja en el marco de los Acuerdos de Contribución a la Verdad Histórica y la Reparación, en ningún caso podrá ser utilizado como prueba en un proceso judicial en contra del sujeto que lo provea ni de terceros, de conformidad con el inciso segundo del artículo 4° de la Ley 1424 de 2010. Este anexo será enviado al Centro de Memoria Histórica como un primer elemento para poner en marcha el proceso de construcción de la verdad. </w:t>
      </w:r>
    </w:p>
    <w:p w14:paraId="3091C42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B5B875"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595" w:name="ver_30052616"/>
      <w:bookmarkEnd w:id="595"/>
      <w:r w:rsidRPr="00562064">
        <w:rPr>
          <w:rFonts w:ascii="Arial" w:eastAsia="Times New Roman" w:hAnsi="Arial" w:cs="Arial"/>
          <w:b/>
          <w:bCs/>
          <w:color w:val="000000" w:themeColor="text1"/>
          <w:lang w:eastAsia="es-CO"/>
        </w:rPr>
        <w:t>Sección 2</w:t>
      </w:r>
    </w:p>
    <w:p w14:paraId="7D723BFD"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Beneficios jurídicos</w:t>
      </w:r>
    </w:p>
    <w:p w14:paraId="227450C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96" w:name="ver_30052617"/>
      <w:bookmarkEnd w:id="596"/>
    </w:p>
    <w:p w14:paraId="634C6D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2.3.2.2.2.1. Procedimiento para la solicitud de la medida especial respecto de la libertad. Perfeccionado el Acuerdo de Contribución a la Verdad Histórica y la Reparación, la Agencia Colombiana para la Reintegración de Personas y Grupos Alzados en Armas, de conformidad con lo establecido en el artículo 6° de la Ley 1424 de 2010, solicitará a las respectivas autoridades judiciales suspender la orden de captura o abstenerse de librarla, o prescindir de la imposición de la medida de aseguramiento o revocarla si ya hubiere sido impuesta, según sea el caso. </w:t>
      </w:r>
    </w:p>
    <w:p w14:paraId="061403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E1DA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Agencia Colombiana para la Reintegración de Personas y Grupos Alzados en Armas proveerá a la autoridad judicial competente los siguientes documentos para la evaluación de la satisfacción de los requisitos contemplados en el artículo 6° de la Ley 1424 de 2010: </w:t>
      </w:r>
    </w:p>
    <w:p w14:paraId="1B8E58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E2BE3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Copia del documento que acredite la calidad de desmovilizado, de conformidad con la ley. </w:t>
      </w:r>
    </w:p>
    <w:p w14:paraId="1BA8FAE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AF75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Copia del Acuerdo de Contribución a la Verdad Histórica y la Reparación. </w:t>
      </w:r>
    </w:p>
    <w:p w14:paraId="3234A4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8867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Certificación de la vinculación al proceso de reintegración social y económica y de cumplimiento de la ruta de reintegración o de culminación del mismo. </w:t>
      </w:r>
    </w:p>
    <w:p w14:paraId="13E6C7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6F095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Copia de los antecedentes judiciales expedidos por las autoridades competentes. </w:t>
      </w:r>
    </w:p>
    <w:p w14:paraId="19C599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A0C5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Para el desmovilizado que se encuentre privado de la libertad por delitos cometidos con anterioridad a la desmovilización, la Agencia Colombiana para la Reintegración de Personas y Grupos Alzados en Armas verificará el cumplimiento del requisito contemplado en el numeral 3 del presente artículo hasta el momento de la captura, según la etapa en que se encontrara en el proceso de reintegración. </w:t>
      </w:r>
    </w:p>
    <w:p w14:paraId="4ECDAA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7CDD17"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597" w:name="ver_30052618"/>
      <w:bookmarkEnd w:id="597"/>
    </w:p>
    <w:p w14:paraId="5D3AB7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2.3.2.2.2.2. Procedimiento para la solicitud de la suspensión condicional de la ejecución de la pena. Una vez el desmovilizado haya satisfecho los requisitos a los que se refiere el artículo 7° de la Ley 1424 de 2010, la Agencia Colombiana para la Reintegración de Personas y Grupos Alzados en Armas solicitará a la autoridad judicial competente la suspensión condicional de la ejecución de la pena. </w:t>
      </w:r>
    </w:p>
    <w:p w14:paraId="30B034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EA684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Agencia Colombiana para la Reintegración de Personas y Grupos Alzados en Armas proveerá a la autoridad judicial competente los siguientes documentos para la evaluación de la satisfacción de los requisitos contemplados en el artículo 7° de la Ley 1424 de 2010: </w:t>
      </w:r>
    </w:p>
    <w:p w14:paraId="25AEFD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41E6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Copia del documento que acredite la calidad de desmovilizado, de conformidad con la ley. </w:t>
      </w:r>
    </w:p>
    <w:p w14:paraId="0C21C82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7072E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Copia del Acuerdo de Contribución a la Verdad Histórica y la Reparación. </w:t>
      </w:r>
    </w:p>
    <w:p w14:paraId="399355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37CF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Certificación de la vinculación al proceso de reintegración social y económica y de cumplimiento de la ruta de reintegración o de culminación del mismo. </w:t>
      </w:r>
    </w:p>
    <w:p w14:paraId="4C1AA3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4FAD1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Certificación de la realización de actividades de servicio social con las comunidades receptoras. </w:t>
      </w:r>
    </w:p>
    <w:p w14:paraId="155062B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E8093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Copia de los antecedentes judiciales expedidos por las autoridades competentes. </w:t>
      </w:r>
    </w:p>
    <w:p w14:paraId="2BB6F4D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DC0F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Certificación de buena conducta en marco del proceso de reintegración. </w:t>
      </w:r>
    </w:p>
    <w:p w14:paraId="294DBB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2EC7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persona desmovilizada privada de la libertad con anterioridad al cumplimiento del requisito dispuesto en el numeral 4 del presente artículo, podrá ser objeto de los beneficios establecidos en el artículo 7° de la Ley 1424 de 2010, siempre y cuando acredite la participación y buena conducta en las fases de resocialización en el respectivo centro penitenciario y/o carcelario, de conformidad con lo dispuesto en la Ley 65 de 1993 o su participación en cualquier otro programa que permita evidenciar su compromiso con la reconciliación nacional. </w:t>
      </w:r>
    </w:p>
    <w:p w14:paraId="6B998B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9664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el efecto, el Instituto Nacional Penitenciario y Carcelario promoverá programas especiales dirigidos a la población de desmovilizados en los centros penitenciarios y/o carcelarios y enviará a la Alta Consejería Presidencial para la Reintegración Social y Económica de Personas y Grupos Alzados en Armas las certificaciones correspondientes. </w:t>
      </w:r>
    </w:p>
    <w:p w14:paraId="309DB23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CCB05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Para efectos del tratamiento penal especial dispuesto en la Ley 1424 de 2010, reglamentado mediante el presente decreto, la suspensión condicional de la ejecución de la pena comprende tanto las penas principales de prisión, multa y privativas de otros derechos, así como las accesorias impuestas en la sentencia condenatoria. Transcurrido el periodo de la suspensión condicional de la ejecución de la pena sin que el condenado incumpla las obligaciones de que trata la ley, las penas principales de prisión, multa y privativas de otros derechos, así como las accesorias, quedarán extinguidas, previa decisión judicial que así lo determine. </w:t>
      </w:r>
    </w:p>
    <w:p w14:paraId="5B204C00" w14:textId="18DA6DF1"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98" w:name="ver_30052619"/>
      <w:bookmarkEnd w:id="598"/>
    </w:p>
    <w:p w14:paraId="01108E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2.3.2.2.2.3. Verificación del requisito de reparación. Cuando el desmovilizado demuestre que está en imposibilidad económica de indemnizar los daños ocasionados con los delitos por los cuales haya sido condenado en el marco de la Ley 1424 de 2010, las autoridades judiciales ordenarán a las autoridades administrativas correspondientes la evaluación del registro de las víctimas que se acrediten como partes o intervinientes dentro del proceso en el Registro Único de Víctimas de conformidad con los artículos 155 y 156 de la Ley 1448 de 2011. </w:t>
      </w:r>
    </w:p>
    <w:p w14:paraId="733FDF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47B21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estos casos, las medidas que propendan por la indemnización, la restitución y la rehabilitación de las víctimas se harán de conformidad con lo dispuesto en la Ley 1448 de 2011, particularmente en el marco de los artículos 10 y 132, el Capítulo VIII del Título IV, y la reglamentación que de estas normas expida el Gobierno nacional. </w:t>
      </w:r>
    </w:p>
    <w:p w14:paraId="32BC8F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E2DE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participación del desmovilizado en los procedimientos adelantados por el Centro de Memoria Histórica buscará contribuir a la garantía de los derechos de las víctimas a la verdad, la satisfacción y las garantías de no repetición. La Agencia Colombiana para la Reintegración de Personas y Grupos Alzados en Armas remitirá a las autoridades judiciales la certificación de la participación del desmovilizado en los procedimientos adelantados por el Centro de Memoria Histórica. </w:t>
      </w:r>
    </w:p>
    <w:p w14:paraId="4888B2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4466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Cuando el desmovilizado no haya concurrido al Centro de Memoria Histórica por causas no imputables a él, esta circunstancia no podrá ser usada para negar la certificación del requisito de que trata el numeral 3 del artículo 7° de la Ley 1424 de 2010. En cualquier otro caso, la no participación del desmovilizado en los procedimientos adelantados por el Centro de Memoria Histórica será causal de revocatoria de los beneficios, de conformidad con el numeral 4 del artículo 2.3.2.2.2.5 y del numeral 5 del artículo 2.3.2.2.2.6 del presente decreto. </w:t>
      </w:r>
    </w:p>
    <w:p w14:paraId="3E2A29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96A7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participación del desmovilizado en el desarrollo de proyectos de servicio social, así como el cumplimiento de las actividades del proceso de reintegración y la observancia de buena conducta estarán dirigidas a garantizar las medidas de satisfacción y de no repetición que contribuyen a la reparación integral de las víctimas. </w:t>
      </w:r>
    </w:p>
    <w:p w14:paraId="18A04F5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1096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Los beneficios económicos que el desmovilizado haya recibido en el marco del proceso de reintegración, no podrán ser tenidos en cuenta para evaluar su capacidad económica para indemnizar. </w:t>
      </w:r>
    </w:p>
    <w:p w14:paraId="60FF3BE6" w14:textId="0EB872CC"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599" w:name="ver_30052620"/>
      <w:bookmarkEnd w:id="599"/>
    </w:p>
    <w:p w14:paraId="3AA9DFB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2.3.2.2.2.4. Monitoreo al cumplimiento de los requisitos respecto de la libertad. La Agencia Colombiana para la Reintegración de Personas y Grupos Alzados en Armas monitoreará el cumplimiento por parte de los desmovilizados de los requisitos establecidos en los artículos 6°, 7° y 8° de la Ley 1424 de 2010 con posterioridad a la concesión del beneficio respectivo. </w:t>
      </w:r>
    </w:p>
    <w:p w14:paraId="4BA6DA54" w14:textId="2F4E5C94"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00" w:name="ver_30052621"/>
      <w:bookmarkEnd w:id="600"/>
    </w:p>
    <w:p w14:paraId="5B12AC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2.3.2.2.2.5. Revocatoria de los beneficios contemplados en el artículo 2.3.2.2.2.1 del presente Título. Cuando el desmovilizado haya sido beneficiario de la decisión judicial de suspender la orden de captura o abstenerse de librarla, o prescindir de la imposición de la medida de aseguramiento o revocarla si ya hubiere sido impuesta, según sea el caso, la Agencia Colombiana para la Reintegración de Personas y Grupos Alzados en Armas solicitará su revocatoria a la autoridad judicial correspondiente, cuando se presente cualquiera de las siguientes circunstancias: </w:t>
      </w:r>
    </w:p>
    <w:p w14:paraId="766C7D6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13A2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Pérdida de beneficios del proceso de reintegración social y económica, de conformidad con las normas que lo rigen. </w:t>
      </w:r>
    </w:p>
    <w:p w14:paraId="7B547A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F1134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Condena por delitos dolosos cometidos con posterioridad a la fecha de su desmovilización. </w:t>
      </w:r>
    </w:p>
    <w:p w14:paraId="257E86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0477D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Condena por delitos distintos a los contemplados en el artículo 1° de la Ley 1424 de 2010 cometidos durante y con ocasión de su pertenencia al grupo armado al margen de la ley. </w:t>
      </w:r>
    </w:p>
    <w:p w14:paraId="0076A2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483D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No participación en los procedimientos adelantados por el Centro de Memoria Histórica, cuando el desmovilizado hubiere sido convocado y se demuestre su renuencia, salvo que medien circunstancias de fuerza mayor. </w:t>
      </w:r>
    </w:p>
    <w:p w14:paraId="087680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3C22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Para efectos de la solicitud de revocatoria ante la autoridad judicial, el Centro de Memoria Histórica certificará ante la Agencia Colombiana para la Reintegración de Personas y Grupos Alzados en Armas la circunstancia de que trata el numeral 4 del presente artículo. </w:t>
      </w:r>
    </w:p>
    <w:p w14:paraId="4283172F" w14:textId="6C426D75"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01" w:name="ver_30052622"/>
      <w:bookmarkEnd w:id="601"/>
    </w:p>
    <w:p w14:paraId="3A1D36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2.3.2.2.2.6. Revocatoria de la suspensión de la ejecución de la pena. Cuando el desmovilizado haya sido beneficiario de la suspensión condicional de la ejecución de la pena, la Agencia Colombiana para la Reintegración de Personas y Grupos Alzados en Armas solicitará su revocatoria a la autoridad judicial correspondiente, cuando se presente cualquiera de las siguientes circunstancias: </w:t>
      </w:r>
    </w:p>
    <w:p w14:paraId="0DC555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7633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Pérdida de beneficios del proceso de reintegración social y económica, de conformidad con las normas que lo rigen. </w:t>
      </w:r>
    </w:p>
    <w:p w14:paraId="5F9572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34450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Condena por delitos dolosos cometidos con posterioridad a la fecha de su desmovilización. </w:t>
      </w:r>
    </w:p>
    <w:p w14:paraId="6EE390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2152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Condena por delitos distintos a los contemplados en el artículo 1° de la Ley 1424 de 2010 cometidos durante y con ocasión de su pertenencia al grupo armado al margen de la ley. </w:t>
      </w:r>
    </w:p>
    <w:p w14:paraId="3877F6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2A8F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Incumplimiento de las actividades de servicio social con las comunidades receptoras. </w:t>
      </w:r>
    </w:p>
    <w:p w14:paraId="14E16B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E2B1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No participación en los procedimientos adelantados por el Centro de Memoria Histórica, cuando el desmovilizado hubiere sido convocado y se demuestre su renuencia, salvo que medien circunstancias de fuerza mayor. </w:t>
      </w:r>
    </w:p>
    <w:p w14:paraId="61BB90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B5D6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Incumplimiento de la obligación de indemnizar a las víctimas en el evento en que esta haya sido fijada en la sentencia y siempre que se haya probado la capacidad económica del desmovilizado para hacerlo. </w:t>
      </w:r>
    </w:p>
    <w:p w14:paraId="21F6E7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82D47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Mala conducta del desmovilizado en el marco de su proceso de reintegración. </w:t>
      </w:r>
    </w:p>
    <w:p w14:paraId="1C2FB8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CB052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Para efectos de la solicitud de revocatoria ante la autoridad judicial, el Centro de Memoria Histórica certificará ante la Agencia Colombiana para la Reintegración de Personas y Grupos Alzados en Armas la circunstancia de que trata el numeral 5 del presente artículo. </w:t>
      </w:r>
    </w:p>
    <w:p w14:paraId="76CD60B7" w14:textId="4B6E1D96"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02" w:name="ver_30052623"/>
      <w:bookmarkEnd w:id="602"/>
    </w:p>
    <w:p w14:paraId="400435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2.3.2.2.2.7. Revocatoria de oficio. En cualquier caso, la autoridad judicial podrá, de oficio, revocar los beneficios concedidos, de hallar probado que el desmovilizado incumplió cualquiera de los requisitos exigidos en los artículos 6° y 7° de la Ley 1424 de 2010. </w:t>
      </w:r>
    </w:p>
    <w:p w14:paraId="7C838F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E219B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(Decreto 2601 de 2011, artículo 14; modificado por el Decreto 4800 de 2011, artículo 190)  </w:t>
      </w:r>
    </w:p>
    <w:p w14:paraId="4A45BE0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03" w:name="ver_30052624"/>
      <w:bookmarkEnd w:id="603"/>
    </w:p>
    <w:p w14:paraId="7098D6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2.3.2.2.2.8. Suspensión de los beneficios. La autoridad judicial competente de oficio, o a solicitud de la Agencia Colombiana para la Reintegración de Personas y Grupos Alzados en Armas, suspenderá preventivamente la atribución de los beneficios contemplados en los artículos 6° y 7° de la Ley 1424 de 2010 cuando verifique que el desmovilizado presente cualquiera de las siguientes circunstancias: </w:t>
      </w:r>
    </w:p>
    <w:p w14:paraId="326549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BD48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Registro de anotaciones por la investigación de delitos dolosos cometidos con posterioridad a la fecha de la desmovilización. </w:t>
      </w:r>
    </w:p>
    <w:p w14:paraId="6290B2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2177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Registro de anotaciones por delitos distintos a los contemplados en el artículo 1° de la Ley 1424 de 2010 cometidos durante y con ocasión de su pertenencia al grupo armado al margen de la ley. </w:t>
      </w:r>
    </w:p>
    <w:p w14:paraId="730448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67B7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Cuando la sentencia en firme sea absolutoria, la Agencia Colombiana para la Reintegración de Personas y Grupos Alzados en Armas solicitará a la autoridad judicial correspondiente la reactivación del beneficio al que haya lugar. </w:t>
      </w:r>
    </w:p>
    <w:p w14:paraId="53F999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12780C"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04" w:name="ver_30052625"/>
      <w:bookmarkEnd w:id="604"/>
      <w:r w:rsidRPr="00562064">
        <w:rPr>
          <w:rFonts w:ascii="Arial" w:eastAsia="Times New Roman" w:hAnsi="Arial" w:cs="Arial"/>
          <w:b/>
          <w:bCs/>
          <w:color w:val="000000" w:themeColor="text1"/>
          <w:lang w:eastAsia="es-CO"/>
        </w:rPr>
        <w:t>Sección 3</w:t>
      </w:r>
    </w:p>
    <w:p w14:paraId="7B944936"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Otras disposiciones</w:t>
      </w:r>
    </w:p>
    <w:p w14:paraId="02C9893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05" w:name="ver_30052626"/>
      <w:bookmarkEnd w:id="605"/>
    </w:p>
    <w:p w14:paraId="08A0D7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2.3.2.2.3.1. Deber de información sobre la resolución de situación jurídica y las condenas. Las autoridades judiciales que resuelvan la concesión de los beneficios contemplados en los artículos 6° y 7° de la Ley 1424 de 2010, comunicarán a la Agencia Colombiana para la Reintegración de Personas y Grupos Alzados en Armas, el contenido de las respectivas providencias en un término razonable. </w:t>
      </w:r>
    </w:p>
    <w:p w14:paraId="1D8838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67D5F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06" w:name="ver_30052627"/>
      <w:bookmarkEnd w:id="606"/>
    </w:p>
    <w:p w14:paraId="088944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2.3.2.2.3.2. Trámite prioritario de solicitudes. Las entidades judiciales y administrativas que deban proveer información a la Agencia Colombiana para la Reintegración de Personas y Grupos Alzados en Armas, relacionada con las disposiciones del presente Capítulo, deberán tramitar los requerimientos de información de manera prioritaria. </w:t>
      </w:r>
    </w:p>
    <w:p w14:paraId="151504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F9400F"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07" w:name="ver_30167980"/>
      <w:bookmarkEnd w:id="607"/>
      <w:r w:rsidRPr="00562064">
        <w:rPr>
          <w:rFonts w:ascii="Arial" w:eastAsia="Times New Roman" w:hAnsi="Arial" w:cs="Arial"/>
          <w:b/>
          <w:bCs/>
          <w:color w:val="000000" w:themeColor="text1"/>
          <w:lang w:eastAsia="es-CO"/>
        </w:rPr>
        <w:t>CAPÍTULO 3. INGRESO AL PROCESO DE REINTEGRACIÓN DE LAS PERSONAS DESMOVILIZADAS POSTULADAS A LA LEY 975 DE 2005 QUE OBTENGAN LA LIBERTAD EN EL MARCO DE LAS MEDIDAS ESTABLECIDAS EN LA LEY 1820 DE 2016”</w:t>
      </w:r>
    </w:p>
    <w:p w14:paraId="04ECECB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08" w:name="ver_30167981"/>
      <w:bookmarkEnd w:id="608"/>
    </w:p>
    <w:p w14:paraId="1040E4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2.3.2.3.1. Ingreso al proceso de reintegración. Las personas desmovilizadas postuladas a la Ley 975 de 2005, que recobren su libertad por la concesión de alguno de los beneficios de la Ley 1820 de 2016, podrán ingresar al proceso de reintegración que implementa la Agencia para la Reincorporación y la Normalización (ARN), siempre y cuando hayan suscrito el Acta Formal de Compromiso ante la Jurisdicción Especial para la Paz (JEP), en los términos dispuestos en la Ley 1820 de 2016 y el Decreto-ley 277 de 2017.  </w:t>
      </w:r>
    </w:p>
    <w:p w14:paraId="249802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98F5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Efectuado el ingreso al proceso de reintegración, la persona en proceso de reintegración deberá acreditar el cumplimiento de los requisitos y actividades que disponga la Jurisdicción Especial para la Paz (JEP), so pena de configurarse como una causal de pérdida de beneficios del proceso de reintegración.  </w:t>
      </w:r>
    </w:p>
    <w:p w14:paraId="651BB2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A1E5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Agencia para la Reincorporación y la Normalización ajustará los procedimientos que permitan el acceso a los beneficios del proceso de reintegración, de conformidad con lo dispuesto en el presente artículo.  </w:t>
      </w:r>
    </w:p>
    <w:p w14:paraId="47FE51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0647742"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09" w:name="ver_30187615"/>
      <w:bookmarkStart w:id="610" w:name="ver_30187616"/>
      <w:bookmarkEnd w:id="609"/>
      <w:bookmarkEnd w:id="610"/>
      <w:r w:rsidRPr="00562064">
        <w:rPr>
          <w:rFonts w:ascii="Arial" w:eastAsia="Times New Roman" w:hAnsi="Arial" w:cs="Arial"/>
          <w:b/>
          <w:bCs/>
          <w:color w:val="000000" w:themeColor="text1"/>
          <w:lang w:eastAsia="es-CO"/>
        </w:rPr>
        <w:t>CAPÍTULO 4</w:t>
      </w:r>
    </w:p>
    <w:p w14:paraId="693FE2C9"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BENEFICIOS DE LA REINCORPORACIÓN DE LAS FARC-EP A LA VIDA CIVIL EN LO ECONÓMICO Y LO SOCIAL</w:t>
      </w:r>
    </w:p>
    <w:p w14:paraId="4B45126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p>
    <w:p w14:paraId="33E0408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2.3.2.4.1.Beneficios de la reincorporación de las FARC-EP a la vida civil en lo económico y lo social. La Agencia para la Reincorporación y la Normalización (ARN), atendiendo las recomendaciones del Consejo Nacional de Reincorporación (CNR), mediante acto administrativo señalará las características y condiciones necesarias para el acceso a los beneficios económicos establecidos en el Decreto-ley 899 de 2017, de conformidad con los límites allí señalados y lo dispuesto en el presente capítulo.  </w:t>
      </w:r>
    </w:p>
    <w:p w14:paraId="3D17601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69EB38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11" w:name="ver_30187617"/>
      <w:bookmarkEnd w:id="611"/>
    </w:p>
    <w:p w14:paraId="0159ED95" w14:textId="528B1A6D"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Artículo2.3.2.4.2.Condiciones. Los beneficios económicos establecidos en el Decreto-ley 899 de 2017 se otorgarán a los ex integrantes de las FARC-EP acreditados por la Oficina del Alto Comisionado para la Paz, en los términos señalados en el artículo 2° del Decreto-ley 899 de 2017, que se encuentren cumpliendo su ruta educativa, así como el proceso de formación para el trabajo, el desarrollo y ejecución de proyectos productivos, y que estén bajo acompañamiento psicosocial, en caso de ser requerido, en el marco de la ruta de reincorporación individual y colectiva.  </w:t>
      </w:r>
    </w:p>
    <w:p w14:paraId="3D81A57C" w14:textId="77777777" w:rsidR="002F0391" w:rsidRPr="00562064" w:rsidRDefault="002F0391" w:rsidP="00143180">
      <w:pPr>
        <w:spacing w:after="0" w:line="254" w:lineRule="atLeast"/>
        <w:jc w:val="both"/>
        <w:rPr>
          <w:rFonts w:ascii="Arial" w:eastAsia="Times New Roman" w:hAnsi="Arial" w:cs="Arial"/>
          <w:color w:val="000000" w:themeColor="text1"/>
          <w:lang w:eastAsia="es-CO"/>
        </w:rPr>
      </w:pPr>
    </w:p>
    <w:p w14:paraId="5FC4C551"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12" w:name="ver_30105556"/>
      <w:bookmarkEnd w:id="612"/>
      <w:r w:rsidRPr="00562064">
        <w:rPr>
          <w:rFonts w:ascii="Arial" w:eastAsia="Times New Roman" w:hAnsi="Arial" w:cs="Arial"/>
          <w:b/>
          <w:bCs/>
          <w:color w:val="000000" w:themeColor="text1"/>
          <w:lang w:eastAsia="es-CO"/>
        </w:rPr>
        <w:t>PARTE 4</w:t>
      </w:r>
    </w:p>
    <w:p w14:paraId="1AD2A233"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ESPECÍFICAS ALUSIVAS A LA AGENCIA</w:t>
      </w:r>
    </w:p>
    <w:p w14:paraId="1DA535FA"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NACIONAL INMOBILIARIA VIRGILIO BARCO VARGAS</w:t>
      </w:r>
    </w:p>
    <w:p w14:paraId="3AC678D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13" w:name="ver_30105558"/>
      <w:bookmarkStart w:id="614" w:name="ver_30105557"/>
      <w:bookmarkEnd w:id="613"/>
    </w:p>
    <w:p w14:paraId="6B1798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2.4.1 Objeto. La Parte 4 de Libro 2 del presente decreto compila las disposiciones reglamentarias expedidas por el señor Presidente de la República en ejercicio del numeral 11 de artículo 189 de la Constitución Política que regulan, en lo pertinente, la actividad de la Agencia Nacional Inmobiliaria Virgilio Barco Vargas </w:t>
      </w:r>
    </w:p>
    <w:p w14:paraId="033D1F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6AA7A6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5271AA4"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15" w:name="ver_30052630"/>
      <w:bookmarkEnd w:id="614"/>
      <w:bookmarkEnd w:id="615"/>
      <w:r w:rsidRPr="00562064">
        <w:rPr>
          <w:rFonts w:ascii="Arial" w:eastAsia="Times New Roman" w:hAnsi="Arial" w:cs="Arial"/>
          <w:b/>
          <w:bCs/>
          <w:color w:val="000000" w:themeColor="text1"/>
          <w:lang w:eastAsia="es-CO"/>
        </w:rPr>
        <w:t>Título 1</w:t>
      </w:r>
    </w:p>
    <w:p w14:paraId="4835A8DF"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Empresa Nacional de Renovación y Desarrollo Urbano, Virgilio Barco Vargas, S. A. S. – EVB S.A.S.-</w:t>
      </w:r>
    </w:p>
    <w:p w14:paraId="4D9C3BB1"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1</w:t>
      </w:r>
    </w:p>
    <w:p w14:paraId="7DAAD67B"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Proyecto de desarrollo y renovación urbana del Centro Administrativo Nacional (CAN)</w:t>
      </w:r>
    </w:p>
    <w:p w14:paraId="1DF31D1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16" w:name="ver_30052631"/>
      <w:bookmarkEnd w:id="616"/>
    </w:p>
    <w:p w14:paraId="12AF4D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2.4.1.1.1. Objeto. El presente capítulo tiene como objeto establecer el alcance y los grados de intervención en el área del proyecto de desarrollo y renovación urbana del Centro Administrativo Nacional (CAN), con observancia de las competencias de Bogotá, D. C. </w:t>
      </w:r>
    </w:p>
    <w:p w14:paraId="6A3A1B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A39C62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17" w:name="ver_30052632"/>
      <w:bookmarkEnd w:id="617"/>
    </w:p>
    <w:p w14:paraId="257411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2.4.1.1.2. Alcance y grados de intervención. Se establecen dos grados de intervención a cargo de la Empresa Nacional de Renovación y Desarrollo Urbano, Virgilio Barco Vargas, S. A. S., EVB S.A.S., de conformidad con las normas distritales aplicables así: </w:t>
      </w:r>
    </w:p>
    <w:p w14:paraId="70DF79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5162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En los barrios La Esmeralda y Salitre El Greco las intervenciones se circunscribirán en forma exclusiva a las necesarias para mitigar los impactos negativos que el proyecto CAN pudiera generar. En especial, las intervenciones se concentrarán en la articulación y la transición de usos con las demás zonas del proyecto CAN; </w:t>
      </w:r>
    </w:p>
    <w:p w14:paraId="75331F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5C5F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b) En las demás zonas del proyecto, la Empresa Nacional de Renovación y Desarrollo Urbano, Virgilio Barco Vargas, S. A. S., EVB S. A. S., adelantará intervenciones de renovación y desarrollo urbano. </w:t>
      </w:r>
    </w:p>
    <w:p w14:paraId="03B83A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1807E0F"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18" w:name="ver_30052633"/>
      <w:bookmarkEnd w:id="618"/>
      <w:r w:rsidRPr="00562064">
        <w:rPr>
          <w:rFonts w:ascii="Arial" w:eastAsia="Times New Roman" w:hAnsi="Arial" w:cs="Arial"/>
          <w:b/>
          <w:bCs/>
          <w:color w:val="000000" w:themeColor="text1"/>
          <w:lang w:eastAsia="es-CO"/>
        </w:rPr>
        <w:t>Capítulo 2</w:t>
      </w:r>
    </w:p>
    <w:p w14:paraId="5970C549"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Vinculación gestión y ejecución de los proyectos a cargo de la EVB S.A.S.</w:t>
      </w:r>
    </w:p>
    <w:p w14:paraId="564D786E"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19" w:name="ver_30105560"/>
      <w:bookmarkStart w:id="620" w:name="ver_30105559"/>
      <w:bookmarkEnd w:id="619"/>
    </w:p>
    <w:p w14:paraId="2FDCEAC4" w14:textId="1637548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2.4.1.2.1. Objeto. El presente capítulo tiene como objeto reglamentar los mecanismos de participación de las entidades públicas en la gestión y ejecución de los proyectos a cargo de la Agencia Nacional Inmobiliaria Virgilio Barco Vargas.”.  </w:t>
      </w:r>
    </w:p>
    <w:p w14:paraId="4927407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21" w:name="ver_30105562"/>
      <w:bookmarkEnd w:id="620"/>
      <w:bookmarkEnd w:id="621"/>
    </w:p>
    <w:p w14:paraId="01DFDD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2.4.1.2.2. Alcance. Las entidades públicas están facultadas, para aportar recursos y bienes para adquirir derechos de participación patrimonial en proyectos que adelante la Agencia Nacional Inmobiliaria Virgilio Barco Vargas.”.  </w:t>
      </w:r>
    </w:p>
    <w:p w14:paraId="20B833EE" w14:textId="55ACE84F" w:rsidR="002F0391"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22" w:name="ver_30105563"/>
      <w:bookmarkEnd w:id="622"/>
    </w:p>
    <w:p w14:paraId="6FD5F6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2.4.1.2.3. Mecanismos de participación en los proyectos. Para la gestión de los proyectos a cargo de la Agencia Nacional Inmobiliaria Virgilio Barco Vargas, las entidades públicas pueden hacer uso de los siguientes mecanismos: </w:t>
      </w:r>
    </w:p>
    <w:p w14:paraId="7E640C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52C8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Contratos o convenios interadministrativos. Las entidades públicas del orden nacional y territorial pueden suscribir contratos o convenios interadministrativos con la Agencia Nacional Inmobiliaria Virgilio Barco Vargas, con el objeto de gestionar sedes administrativas en el marco de los proyectos a su cargo. </w:t>
      </w:r>
    </w:p>
    <w:p w14:paraId="05E3F1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4A2A1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Mediante estos contratos o convenios se puede pactar la participación patrimonial en los proyectos a cargo de la Agencia Nacional Inmobiliaria Virgilio Barco Vargas, a través de la transferencia de la propiedad y posesión de los bienes inmuebles que se encuentren en las áreas de dichos proyectos y/o de la entrega de los recursos apropiados cuyo objeto se refiera a inversión en infraestructura de sedes administrativas, en las modalidades de adquisición de terrenos o edificaciones o construcción de edificaciones. Una vez la Agencia Nacional Inmobiliaria Virgilio Barco Vargas reciba los aportes y los entregue al patrimonio autónomo de la fiducia que se constituya para su administración, las entidades públicas aportantes adquieren el derecho fiduciario de beneficiarias. </w:t>
      </w:r>
    </w:p>
    <w:p w14:paraId="3E24983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F089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Fiducia mercantil. Las personas jurídicas, Nación, departamentos, distritos, municipios, y áreas metropolitanas, bajo la autorización del artículo 121 de la Ley 1450 de 2011, pueden vincularse como fideicomitentes beneficiarios, en las fiducias que la Agencia Nacional Inmobiliaria Virgilio Barco Vargas estructure para sus proyectos. De esta manera, se coordina la gestión, se administran los bienes y recursos de cada proyecto en forma separada y se llevan a cabo las actuaciones profesionales necesarias por parte de la Agencia Nacional Inmobiliaria Virgilio Barco Vargas, para desarrollar sedes administrativas que requieran las entidades públicas beneficiarias, dentro del límite de los recursos administrados. </w:t>
      </w:r>
    </w:p>
    <w:p w14:paraId="52C9FA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989B1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Los bienes y recursos que reciba la Agencia Nacional Inmobiliaria Virgilio Barco Vargas de las entidades públicas, destinados a adquirir derechos de participación patrimonial en los proyectos que adelante, se administrarán hasta tanto cumplan con el objeto mismo del gasto en los patrimonios autónomos de la fiduciaria seleccionada de conformidad con los principios que rigen la contratación pública. Los rendimientos que se generen se administrarán y destinarán al mismo fin del aporte inicial. En consecuencia, con la vinculación de los recursos al patrimonio constituido mediante fiducia mercantil y la adquisición del correlativo derecho fiduciario a favor de la entidad pública aportante como beneficiaria, se entiende ejecutado el presupuesto de la respectiva entidad. </w:t>
      </w:r>
    </w:p>
    <w:p w14:paraId="225C85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868C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2º. La Agencia Nacional Inmobiliaria Virgilio Barco Vargas determinará en cada caso el o los mecanismos de participación que permitirán adelantar los respectivos proyectos”. </w:t>
      </w:r>
    </w:p>
    <w:p w14:paraId="0EC601D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41A9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2045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43205E8"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23" w:name="ver_30105564"/>
      <w:bookmarkEnd w:id="623"/>
    </w:p>
    <w:p w14:paraId="7E1957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2.4.1.2.4. Control y seguimiento. El Departamento Nacional de Planeación exigirá a los órganos y entidades del orden Nacional, para la aprobación y registro de los proyectos de inversión en el Banco de Proyectos, el concepto previo favorable de la Agencia Nacional Inmobiliaria Virgilio Barco Vargas, cuando se trate de proyectos situados en la ciudad de Bogotá, relacionados con la adquisición de terrenos o la construcción o adquisición de edificaciones para sedes administrativas”.  </w:t>
      </w:r>
    </w:p>
    <w:p w14:paraId="2D45126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DBE6F9D"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24" w:name="ver_30105565"/>
      <w:bookmarkEnd w:id="624"/>
      <w:r w:rsidRPr="00562064">
        <w:rPr>
          <w:rFonts w:ascii="Arial" w:eastAsia="Times New Roman" w:hAnsi="Arial" w:cs="Arial"/>
          <w:b/>
          <w:bCs/>
          <w:color w:val="000000" w:themeColor="text1"/>
          <w:lang w:eastAsia="es-CO"/>
        </w:rPr>
        <w:t>Capítulo 3</w:t>
      </w:r>
    </w:p>
    <w:p w14:paraId="7DCC9766"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Régimen de transición de la Agencia Nacional Inmobiliaria Virgilio Barco Vargas</w:t>
      </w:r>
    </w:p>
    <w:p w14:paraId="2CD91B3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25" w:name="ver_30105566"/>
      <w:bookmarkEnd w:id="625"/>
    </w:p>
    <w:p w14:paraId="1FF4F9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2.4.1.3.1. Transición. Hasta tanto se adopte la estructura y planta de personal de la Agencia Nacional Inmobiliaria Virgilio Barco Vargas, la entidad continuará rigiéndose en materia de personal y órganos de dirección por lo señalado en el Decreto ley 4184 de 2011.  </w:t>
      </w:r>
    </w:p>
    <w:p w14:paraId="141271A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9F6C2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materia presupuestal, contable y de tesorería la Agencia continuará rigiéndose, hasta el 31 de diciembre de 2015, por las normas aplicables a la Empresa Nacional de Renovación y Desarrollo Urbano Virgilio Barco Vargas, S.A.S., EVB S.A.S., de conformidad con la ley de creación”.  </w:t>
      </w:r>
    </w:p>
    <w:p w14:paraId="59044B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4CB0D2B" w14:textId="77777777" w:rsidR="00E475BF" w:rsidRPr="00562064" w:rsidRDefault="00E475BF" w:rsidP="002F0391">
      <w:pPr>
        <w:spacing w:after="0" w:line="254" w:lineRule="atLeast"/>
        <w:jc w:val="center"/>
        <w:rPr>
          <w:rFonts w:ascii="Arial" w:eastAsia="Times New Roman" w:hAnsi="Arial" w:cs="Arial"/>
          <w:b/>
          <w:bCs/>
          <w:color w:val="000000" w:themeColor="text1"/>
          <w:lang w:eastAsia="es-CO"/>
        </w:rPr>
      </w:pPr>
    </w:p>
    <w:p w14:paraId="38B1496F"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26" w:name="ver_30130391"/>
      <w:bookmarkEnd w:id="626"/>
      <w:r w:rsidRPr="00562064">
        <w:rPr>
          <w:rFonts w:ascii="Arial" w:eastAsia="Times New Roman" w:hAnsi="Arial" w:cs="Arial"/>
          <w:b/>
          <w:bCs/>
          <w:color w:val="000000" w:themeColor="text1"/>
          <w:lang w:eastAsia="es-CO"/>
        </w:rPr>
        <w:t>PARTE 5</w:t>
      </w:r>
    </w:p>
    <w:p w14:paraId="045AFE3F"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BIENES INCLUIDOS EN EL INVENTARIO PREVISTO EN EL DECRETO LEY 903 DE 2017</w:t>
      </w:r>
    </w:p>
    <w:p w14:paraId="31D85EF9"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27" w:name="ver_30130392"/>
      <w:bookmarkEnd w:id="627"/>
      <w:r w:rsidRPr="00562064">
        <w:rPr>
          <w:rFonts w:ascii="Arial" w:eastAsia="Times New Roman" w:hAnsi="Arial" w:cs="Arial"/>
          <w:b/>
          <w:bCs/>
          <w:color w:val="000000" w:themeColor="text1"/>
          <w:lang w:eastAsia="es-CO"/>
        </w:rPr>
        <w:t>TÍTULO 1</w:t>
      </w:r>
    </w:p>
    <w:p w14:paraId="54C0571D" w14:textId="681D677E"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RECEPCIÓN, ADMINISTRACIÓN, MECANISMOS Y TÉRMINOS PARA PERMITIR LA TRANSFERENCIA DE LOS BIENES AL PATRIMONIO AUTÓNOMO DE ACUERDO CON LO ESTABLECIDO EN EL DECRETO LEY 903 DE 2017 Y EL DECRETO 1407 DE 2017</w:t>
      </w:r>
    </w:p>
    <w:p w14:paraId="71DAD98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28" w:name="ver_30130393"/>
      <w:bookmarkEnd w:id="628"/>
    </w:p>
    <w:p w14:paraId="73D7589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2.5.1.1. Objeto. El presente decreto tiene como objeto reglamentar en conjunto con el Decreto 1407 de 2017 los mecanismos de administración que permitan a la Sociedad de Activos Especiales (SAE) S.A.S. la gestión de los bienes incluidos en el inventario previsto en el Decreto Ley 903 de 2017, que hayan sido entregados voluntariamente y sin oposición y sobre los cuales no pesen limitaciones al derecho de dominio ni gravámenes.  </w:t>
      </w:r>
    </w:p>
    <w:p w14:paraId="2A5CFFD9" w14:textId="62DDA23D"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29" w:name="ver_30130394"/>
      <w:bookmarkEnd w:id="629"/>
    </w:p>
    <w:p w14:paraId="4CCFEB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2.5.1.2. Transferencia de los bienes monetizados y no monetizados al patrimonio autónomo. Una vez se cree el Patrimonio Autónomo de que trata el Decreto Ley 903 de 2017, los bienes monetizados y no monetizados recibidos por entrega voluntaria de sus propietarios y/o poseedores y/o tenedores y/u ocupantes, sin limitaciones al derecho de dominio ni gravámenes, y sin oposiciones, que no sean susceptibles de registro, serán transferidos mediante acto administrativo expedido por la SAE S.A.S. Aquellos bienes susceptibles de registro, si bien serán recibidos física y materialmente por la (SAE) S.A.S., solo serán transferidos formalmente al patrimonio autónomo atendiendo las reglas contenidas en el artículo 2.5.1.8 del presente decreto.  </w:t>
      </w:r>
    </w:p>
    <w:p w14:paraId="5F7E9B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D57D6B" w14:textId="20BB6402"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Aquellos bienes que no sean entregados voluntariamente por sus propietarios y/o poseedores y/o tenedores y/u ocupantes, o sobre los cuales pesen limitaciones al derecho de dominio o gravámenes, o frente a los cuales se presenten oposiciones, se sujetarán para su transferencia al patrimonio autónomo al procedimiento que establezca la ley. </w:t>
      </w:r>
    </w:p>
    <w:p w14:paraId="5F8CA3A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30" w:name="ver_30130395"/>
      <w:bookmarkEnd w:id="630"/>
    </w:p>
    <w:p w14:paraId="316F095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2.5.1.3. Presupuesto de administración. Para el cumplimiento de las funciones asignadas a la (SAE) S.A.S. en virtud del Decreto Ley 903 y sus decretos reglamentarios, la (SAE) S.A.S. podrá sufragar todos los gastos necesarios para la recepción, administración, saneamiento y alistamiento, sostenimiento y disposición de los bienes inventariados por las FARC EP, incluyendo los gastos necesarios para la constitución y funcionamiento del Patrimonio Autónomo de que trata el artículo 3º del Decreto Ley 903 de 2017 con cargo a los recursos del Frisco, para lo cual SAE, previa aprobación del Consejo Nacional de Estupefacientes deberá modificar su presupuesto. </w:t>
      </w:r>
    </w:p>
    <w:p w14:paraId="20850AD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31" w:name="ver_30130396"/>
      <w:bookmarkEnd w:id="631"/>
    </w:p>
    <w:p w14:paraId="2AFCCD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2.5.1.4. Exclusión del Patrimonio Autónomo. Luego de la suscripción del acta de materialización de entrega, de acuerdo con el cronograma que acuerde la SAE S.A.S. con los ex integrantes de las FARC-EP designados para el efecto, la SAE S.A.S. caracterizará los bienes para determinar la viabilidad de la transferencia de estos al Patrimonio Autónomo, proceso en el cual determinará si alguno de los bienes debe ser excluido del patrimonio autónomo por encontrarse en alguna de las siguientes situaciones:  </w:t>
      </w:r>
    </w:p>
    <w:p w14:paraId="3F54CB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Bienes que no tengan vocación reparadora por no tener potencial de monetiza</w:t>
      </w:r>
      <w:r w:rsidRPr="00562064">
        <w:rPr>
          <w:rFonts w:ascii="Arial" w:eastAsia="Times New Roman" w:hAnsi="Arial" w:cs="Arial"/>
          <w:color w:val="000000" w:themeColor="text1"/>
          <w:lang w:eastAsia="es-CO"/>
        </w:rPr>
        <w:softHyphen/>
        <w:t>ción.  </w:t>
      </w:r>
    </w:p>
    <w:p w14:paraId="32FE16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Bienes baldíos, de uso público, fiscales, o los demás previstos en el artículo 63 de la Constitución.  </w:t>
      </w:r>
    </w:p>
    <w:p w14:paraId="58BB8E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5A95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Una vez la SAE S.A.S. realice la caracterización de cada bien, y determine que no se encuentra en las hipótesis de los numerales 1 y 2 del presente artículo, deberá publicar sendos avisos en medios de comunicación de amplia circulación nacional y local, para permitir la intervención de terceros que consideren tener derechos sobre cada bien.  </w:t>
      </w:r>
    </w:p>
    <w:p w14:paraId="642209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8CB9F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Para atender los casos en que se concreta el numeral 1 del presente artículo, la SAE S.A.S. presentará para aprobación de la Comisión Transitoria los lineamientos generales de destrucción, chatarrización o donación a entidades públicas de los bienes, de conformidad con los parámetros establecidos en el artículo 6° numeral 4 del Decreto 1407 de 2017. Una vez aprobados los lineamientos, se entenderá autorizada la SAE S.A.S. para tomar las medidas correspondientes.  </w:t>
      </w:r>
    </w:p>
    <w:p w14:paraId="069F76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8578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En el caso de concretarse la tipología de que trata el numeral 2 del presente artículo, se informará a las autoridades competentes de acuerdo con la naturaleza del bien para que proceda a la recepción.  </w:t>
      </w:r>
    </w:p>
    <w:p w14:paraId="516CFD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369B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Los bienes excluidos de que trata este artículo, aunque no ingresen al patrimonio autónomo, se registrarán en el sistema de control adoptado, con la anotación correspondiente.  </w:t>
      </w:r>
    </w:p>
    <w:p w14:paraId="12EBC0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5130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4°. En el caso de que alguno de los bienes incluidos en el inventario esté vinculado a un proceso judicial de extinción de dominio, de Justicia y Paz, o de restitución de tierras, y haya sido entregado voluntariamente y sin oposiciones, no será susceptible de ingresar al patrimonio autónomo hasta que la ley disponga el procedimiento pertinente y disponga sobre la operación del fuero de atracción. Sin embargo, la SAE S.A.S. lo recibirá y registrará en el sistema de control adoptado con la anotación pertinente, manteniendo la potestad de administrarlo sin enajenarlo. En cualquier caso, la SAE S.A.S., como administrador, informará inmediatamente del hecho al juez competente, para que adopte en el marco de sus competencias las medidas pertinentes a la recepción del bien, o a la adopción de una medida cautelar, si fuere el caso. La SAE S.A.S. hará entrega del bien a dicho juez junto con sus frutos y previo descuento de los gastos de administración, mientras la ley dispone sobre la operación del fuero de atracción.  </w:t>
      </w:r>
    </w:p>
    <w:p w14:paraId="13E8D63D" w14:textId="4FF8630A"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32" w:name="ver_30130397"/>
      <w:bookmarkEnd w:id="632"/>
    </w:p>
    <w:p w14:paraId="666F9D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2.5.1.5. Mecanismos de administración. La SAE S.A.S. administrará los bienes de acuerdo con los distintos mecanismos establecidos en la Metodología de Administración de los Bienes del Frisco con el fin de procurar que los bienes sean o continúen siendo productivos y evitar que su conservación y custodia genere erogaciones para el presupuesto público. Dentro de los mecanismos, la SAE S.A.S. podrá celebrar cualquier acto y/o contrato que permita una eficiente administración de los bienes y recursos.  </w:t>
      </w:r>
    </w:p>
    <w:p w14:paraId="62E8F3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C254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Metodología de Administración es el conjunto de procedimientos internos propios para la administración de los Bienes del Frisco, los cuales son desarrollados por el Administrador del Frisco.  </w:t>
      </w:r>
    </w:p>
    <w:p w14:paraId="431E83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B5574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En la Metodología de Administración se podrá adicionar un capítulo de administración especial relativo a los bienes a los cuales este decreto hace referencia o se efectuarán los ajustes e inclusiones a los procedimientos existentes.  </w:t>
      </w:r>
    </w:p>
    <w:p w14:paraId="2F1145EC" w14:textId="06FC46F6"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33" w:name="ver_30130406"/>
      <w:bookmarkEnd w:id="633"/>
    </w:p>
    <w:p w14:paraId="44B440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2.5.1.6. Medida de administración. Para los bienes inventariados sujetos a registro, la SAE S.A.S. expedirá acto administrativo mediante el cual asume la administración de los mismos, el cual deberá ser inscrito ante las autoridades de registro competentes. La inscripción del acto administrativo tiene como finalidad darle publicidad a la vinculación del bien en el inventario de las FARC-EP.  </w:t>
      </w:r>
    </w:p>
    <w:p w14:paraId="0B7A2920" w14:textId="173AF40E"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34" w:name="ver_30130398"/>
      <w:bookmarkEnd w:id="634"/>
    </w:p>
    <w:p w14:paraId="688859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2.5.1.7. Enajenación de bienes. La SAE S.A.S. podrá enajenar los bienes de que trata este decreto. La enajenación se realizará mediante los mecanismos de comercialización dispuestos para los bienes del Frisco en el Decreto 2136 de 2015 y en las hipótesis y bajo las condiciones del Decreto 1407 de 2017, en lo aplicable.  </w:t>
      </w:r>
    </w:p>
    <w:p w14:paraId="50D8B31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35" w:name="ver_30130400"/>
      <w:bookmarkEnd w:id="635"/>
    </w:p>
    <w:p w14:paraId="245C30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2.5.1.8. Transferencia de dominio al Patrimonio Autónomo. La transferencia de dominio al Patrimonio Autónomo se efectuará dependiendo de la naturaleza de los bienes. En tratándose de bienes no sujetos a registro, la transferencia de dominio se realizará mediante acto administrativo expedido por la SAE S.A.S.  </w:t>
      </w:r>
    </w:p>
    <w:p w14:paraId="7FB059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6498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bienes sujetos a registro, en la diligencia de entrega material, los propietarios manifestarán su intención de declarar la transferencia de dominio a favor del Estado. Dicha manifestación deberá concretarse en un documento debidamente suscrito por el propietario y el representante legal de la SAE S.A.S.  </w:t>
      </w:r>
    </w:p>
    <w:p w14:paraId="4D42D1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730B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el marco de sus funciones, el Ministerio Público podrá intervenir en las diferentes fases del procedimiento con el fin de garantizar los derechos y garantías fundamentales.  </w:t>
      </w:r>
    </w:p>
    <w:p w14:paraId="338A41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F2F0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SAE S.A.S. expedirá Acto Administrativo, de conformidad con el artículo 4° de la Ley 1579 de 2012, en el que recoja la declaración voluntaria del titular que hace entrega del bien. Este acto servirá de título traslaticio de dominio a favor de la Nación, representada por la SAE S.A.S. como administradora del Patrimonio Autónomo en virtud del Decreto 1407 de 2017, el cual será remitido por la SAE S.A.S. a las autoridades encargadas del registro quienes deberán darle prelación dentro de sus trámites.  </w:t>
      </w:r>
    </w:p>
    <w:p w14:paraId="57EF1B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FDF6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En los casos en que se evidencien anotaciones en el certificado de tradición de los bienes que impidan o limiten la transferencia de dominio a favor del Estado, se deberá remitir al proceso de normalización que para el efecto disponga el marco legal.  </w:t>
      </w:r>
    </w:p>
    <w:p w14:paraId="4BE59A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60894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Cuando no haya entrega voluntaria del bien o se presenten oposiciones a su entrega, se deberá surtir el trámite del proceso que para el efecto disponga la ley.  </w:t>
      </w:r>
    </w:p>
    <w:p w14:paraId="0C8037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E96B5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estos eventos, la SAE S.A.S. efectuará la anotación correspondiente en el sistema de control adoptado, con el fin de garantizar la administración y seguimiento hasta tanto se defina su situación por la autoridad competente.  </w:t>
      </w:r>
    </w:p>
    <w:p w14:paraId="21C62374" w14:textId="208E1FE9"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36" w:name="ver_30130401"/>
      <w:bookmarkEnd w:id="636"/>
    </w:p>
    <w:p w14:paraId="494ACF1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2.5.1.9. Gestiones necesarias de la Superintendencia de Notariado y Registro y las Oficinas de Registro de Instrumentos Públicos. La Superintendencia de Notariado y Registro deberá:  </w:t>
      </w:r>
    </w:p>
    <w:p w14:paraId="55F776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19581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Generar la instrucción de creación del código registral y especificación para la Resolución de la medida de administración de la SAE S.A.S. de los bienes incluidos en el inventario entregado por las FARC-EP.  </w:t>
      </w:r>
    </w:p>
    <w:p w14:paraId="2F8F01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34B0D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Generar la instrucción de creación del código registral y especificación para el documento que servirá de título traslaticio de dominio a favor del Estado - SAE S.A.S. en virtud del Decreto Ley 903 de 2017, y  </w:t>
      </w:r>
    </w:p>
    <w:p w14:paraId="2C720B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2428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Adoptar todas las demás medidas que estime necesarias, observando prioritariamente las que solicite la SAE S.A.S.  </w:t>
      </w:r>
    </w:p>
    <w:p w14:paraId="3C3D02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A1BFBCF" w14:textId="2A315519"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37" w:name="ver_30166151"/>
      <w:bookmarkStart w:id="638" w:name="ver_30130403"/>
      <w:bookmarkEnd w:id="637"/>
      <w:r w:rsidRPr="00562064">
        <w:rPr>
          <w:rFonts w:ascii="Arial" w:eastAsia="Times New Roman" w:hAnsi="Arial" w:cs="Arial"/>
          <w:color w:val="000000" w:themeColor="text1"/>
          <w:lang w:eastAsia="es-CO"/>
        </w:rPr>
        <w:br/>
      </w:r>
    </w:p>
    <w:p w14:paraId="0E97F7CA" w14:textId="77777777" w:rsidR="00E475BF" w:rsidRPr="00562064" w:rsidRDefault="00E475BF" w:rsidP="00143180">
      <w:pPr>
        <w:spacing w:after="0" w:line="254" w:lineRule="atLeast"/>
        <w:ind w:left="25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2.5.1.10. Divisas, oro, plata, platino, joyas y piedras preciosas. La SAE S.A.S., en su condición de administrador de divisas, podrá enajenarlas a los intermediarios del mercado cambiado o entregarlas al Banco de la República para su depósito en custodia o enajenación. La SAE S.A.S., en su condición de administrador de oro, plata, platino, joyas y piedras preciosas podrá constituir depósitos en custodia en el Banco de la República de estos activos.  </w:t>
      </w:r>
    </w:p>
    <w:p w14:paraId="7709ADB6" w14:textId="77777777" w:rsidR="00E475BF" w:rsidRPr="00562064" w:rsidRDefault="00E475BF" w:rsidP="00143180">
      <w:pPr>
        <w:spacing w:after="0" w:line="254" w:lineRule="atLeast"/>
        <w:ind w:left="25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5A1B33" w14:textId="77777777" w:rsidR="00E475BF" w:rsidRPr="00562064" w:rsidRDefault="00E475BF" w:rsidP="00143180">
      <w:pPr>
        <w:spacing w:after="0" w:line="254" w:lineRule="atLeast"/>
        <w:ind w:left="252"/>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estos efectos la SAE S.A.S. suscribirá con el Banco de la República convenio interadministrativo en el que se establezcan, entre otros, su naturaleza, objeto, los términos, plazos, oportunidad, condiciones y procedimientos aplicables. </w:t>
      </w:r>
    </w:p>
    <w:p w14:paraId="1C3399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28ECC1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39" w:name="ver_30130404"/>
      <w:bookmarkEnd w:id="638"/>
      <w:bookmarkEnd w:id="639"/>
    </w:p>
    <w:p w14:paraId="3B376E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2.5.1.11. Delegación. Autorícese al Departamento Administrativo de Presidencia de la República para que delegue las funciones asignadas en el artículo 3° del Decreto Ley 903 de 2017.  </w:t>
      </w:r>
    </w:p>
    <w:p w14:paraId="58A0E6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8F7D9DD"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40" w:name="ver_30130405"/>
      <w:bookmarkEnd w:id="640"/>
    </w:p>
    <w:p w14:paraId="076DD6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2.5.1.12. Vigencia y derogatorias. El presente decreto rige a partir de su publicación y deroga expresamente el artículo 10 del Decreto 1407 de 2017 y las demás normas que le sean contrarias.  </w:t>
      </w:r>
    </w:p>
    <w:p w14:paraId="2D035939" w14:textId="5E020761"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7482B6C5" w14:textId="77777777" w:rsidR="00E475BF" w:rsidRPr="00B6584E" w:rsidRDefault="00E475BF" w:rsidP="002F0391">
      <w:pPr>
        <w:spacing w:after="0" w:line="293" w:lineRule="atLeast"/>
        <w:jc w:val="center"/>
        <w:rPr>
          <w:rFonts w:ascii="Arial" w:eastAsia="Times New Roman" w:hAnsi="Arial" w:cs="Arial"/>
          <w:b/>
          <w:bCs/>
          <w:color w:val="000000" w:themeColor="text1"/>
          <w:lang w:val="pt-BR" w:eastAsia="es-CO"/>
        </w:rPr>
      </w:pPr>
      <w:bookmarkStart w:id="641" w:name="ver_30209009"/>
      <w:bookmarkEnd w:id="641"/>
      <w:r w:rsidRPr="00B6584E">
        <w:rPr>
          <w:rFonts w:ascii="Arial" w:eastAsia="Times New Roman" w:hAnsi="Arial" w:cs="Arial"/>
          <w:b/>
          <w:bCs/>
          <w:color w:val="000000" w:themeColor="text1"/>
          <w:lang w:val="pt-BR" w:eastAsia="es-CO"/>
        </w:rPr>
        <w:t>PARTE 6</w:t>
      </w:r>
    </w:p>
    <w:p w14:paraId="55AAA651" w14:textId="77777777" w:rsidR="00E475BF" w:rsidRPr="00B6584E" w:rsidRDefault="00E475BF" w:rsidP="002F0391">
      <w:pPr>
        <w:spacing w:after="0" w:line="293" w:lineRule="atLeast"/>
        <w:jc w:val="center"/>
        <w:rPr>
          <w:rFonts w:ascii="Arial" w:eastAsia="Times New Roman" w:hAnsi="Arial" w:cs="Arial"/>
          <w:b/>
          <w:bCs/>
          <w:color w:val="000000" w:themeColor="text1"/>
          <w:lang w:val="pt-BR" w:eastAsia="es-CO"/>
        </w:rPr>
      </w:pPr>
      <w:r w:rsidRPr="00B6584E">
        <w:rPr>
          <w:rFonts w:ascii="Arial" w:eastAsia="Times New Roman" w:hAnsi="Arial" w:cs="Arial"/>
          <w:b/>
          <w:bCs/>
          <w:color w:val="000000" w:themeColor="text1"/>
          <w:lang w:val="pt-BR" w:eastAsia="es-CO"/>
        </w:rPr>
        <w:t>TÍTULO I</w:t>
      </w:r>
    </w:p>
    <w:p w14:paraId="0EBB49EB" w14:textId="77777777" w:rsidR="00E475BF" w:rsidRPr="00B6584E" w:rsidRDefault="00E475BF" w:rsidP="002F0391">
      <w:pPr>
        <w:spacing w:after="0" w:line="293" w:lineRule="atLeast"/>
        <w:jc w:val="center"/>
        <w:rPr>
          <w:rFonts w:ascii="Arial" w:eastAsia="Times New Roman" w:hAnsi="Arial" w:cs="Arial"/>
          <w:b/>
          <w:bCs/>
          <w:color w:val="000000" w:themeColor="text1"/>
          <w:lang w:val="pt-BR" w:eastAsia="es-CO"/>
        </w:rPr>
      </w:pPr>
      <w:r w:rsidRPr="00B6584E">
        <w:rPr>
          <w:rFonts w:ascii="Arial" w:eastAsia="Times New Roman" w:hAnsi="Arial" w:cs="Arial"/>
          <w:b/>
          <w:bCs/>
          <w:color w:val="000000" w:themeColor="text1"/>
          <w:lang w:val="pt-BR" w:eastAsia="es-CO"/>
        </w:rPr>
        <w:t>CAPÍTULO I</w:t>
      </w:r>
    </w:p>
    <w:p w14:paraId="420F83B4" w14:textId="77777777" w:rsidR="00E475BF" w:rsidRPr="00B6584E" w:rsidRDefault="00E475BF" w:rsidP="002F0391">
      <w:pPr>
        <w:spacing w:after="0" w:line="293" w:lineRule="atLeast"/>
        <w:jc w:val="center"/>
        <w:rPr>
          <w:rFonts w:ascii="Arial" w:eastAsia="Times New Roman" w:hAnsi="Arial" w:cs="Arial"/>
          <w:b/>
          <w:bCs/>
          <w:color w:val="000000" w:themeColor="text1"/>
          <w:lang w:val="pt-BR" w:eastAsia="es-CO"/>
        </w:rPr>
      </w:pPr>
      <w:r w:rsidRPr="00B6584E">
        <w:rPr>
          <w:rFonts w:ascii="Arial" w:eastAsia="Times New Roman" w:hAnsi="Arial" w:cs="Arial"/>
          <w:b/>
          <w:bCs/>
          <w:color w:val="000000" w:themeColor="text1"/>
          <w:lang w:val="pt-BR" w:eastAsia="es-CO"/>
        </w:rPr>
        <w:t>DEFINICIONES</w:t>
      </w:r>
    </w:p>
    <w:p w14:paraId="70513047" w14:textId="77777777" w:rsidR="00E475BF" w:rsidRPr="00B6584E" w:rsidRDefault="00E475BF" w:rsidP="00143180">
      <w:pPr>
        <w:spacing w:after="0" w:line="240" w:lineRule="auto"/>
        <w:jc w:val="both"/>
        <w:rPr>
          <w:rFonts w:ascii="Arial" w:eastAsia="Times New Roman" w:hAnsi="Arial" w:cs="Arial"/>
          <w:color w:val="000000" w:themeColor="text1"/>
          <w:lang w:val="pt-BR" w:eastAsia="es-CO"/>
        </w:rPr>
      </w:pPr>
      <w:bookmarkStart w:id="642" w:name="ver_30209010"/>
      <w:bookmarkEnd w:id="642"/>
    </w:p>
    <w:p w14:paraId="610DDEB7" w14:textId="4DC3EC92"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2.6.1.1.1. Planes Especiales de Intervención Integral (PEII). Los Planes Especiales de Intervención Integral son instrumentos de acción unificada, interagencial, coordinada, sostenida e integral del Estado. </w:t>
      </w:r>
    </w:p>
    <w:p w14:paraId="08B67722"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43" w:name="ver_30209011"/>
      <w:bookmarkEnd w:id="643"/>
    </w:p>
    <w:p w14:paraId="6BA73BE4" w14:textId="6AD37888"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2.6.1.1.2. Acción Unificada. Es la acción de las entidades y organismos estatales bajo una sola estrategia, definida en cada PEII. </w:t>
      </w:r>
    </w:p>
    <w:p w14:paraId="7B9D4B9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44" w:name="ver_30209012"/>
      <w:bookmarkEnd w:id="644"/>
    </w:p>
    <w:p w14:paraId="5C6A42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2.6.1.1.3. Acción Coordinada. Es la unidad de esfuerzo de las instituciones públicas, el sector privado, Ja cooperación internacional, las autoridades regionales y ^ locales y las comunidades para la realización de los objetivos de cada PEII. </w:t>
      </w:r>
    </w:p>
    <w:p w14:paraId="738F26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33FEF1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45" w:name="ver_30209013"/>
      <w:bookmarkEnd w:id="645"/>
    </w:p>
    <w:p w14:paraId="36C3FC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2.6.1.1.4. Acción Interagencial. Es la articulación y cooperación de todas las instituciones públicas en el ámbito de sus competencias, para asegurar el cumplimiento de los objetivos de cada PEII. </w:t>
      </w:r>
    </w:p>
    <w:p w14:paraId="3E2A7A1A" w14:textId="6FB76CBD" w:rsidR="00E475BF" w:rsidRPr="00562064" w:rsidRDefault="00E475BF" w:rsidP="002F0391">
      <w:pPr>
        <w:spacing w:after="0" w:line="254" w:lineRule="atLeast"/>
        <w:jc w:val="both"/>
        <w:rPr>
          <w:rFonts w:ascii="Arial" w:eastAsia="Times New Roman" w:hAnsi="Arial" w:cs="Arial"/>
          <w:color w:val="000000" w:themeColor="text1"/>
          <w:lang w:eastAsia="es-CO"/>
        </w:rPr>
      </w:pPr>
    </w:p>
    <w:p w14:paraId="7E9B0F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2.6.1.1.5. Acción Sostenida. Es la gestión permanente de las instituciones públicas en el territorio para el cumplimiento de los objetivos de cada PEII. </w:t>
      </w:r>
    </w:p>
    <w:p w14:paraId="1DAB12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4D6FA4D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46" w:name="ver_30209015"/>
      <w:bookmarkEnd w:id="646"/>
    </w:p>
    <w:p w14:paraId="4F132B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2.6.1.1.6. Acción Integral. Es la intervención en el ámbito económico, social, cultural, ambiental, y en los demás que sean necesarios, para el logro de los objetivos de cada PEII. </w:t>
      </w:r>
    </w:p>
    <w:p w14:paraId="2D8A59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05C7F39"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47" w:name="ver_30209016"/>
      <w:bookmarkEnd w:id="647"/>
      <w:r w:rsidRPr="00562064">
        <w:rPr>
          <w:rFonts w:ascii="Arial" w:eastAsia="Times New Roman" w:hAnsi="Arial" w:cs="Arial"/>
          <w:b/>
          <w:bCs/>
          <w:color w:val="000000" w:themeColor="text1"/>
          <w:lang w:eastAsia="es-CO"/>
        </w:rPr>
        <w:t>CAPÍTULO II</w:t>
      </w:r>
    </w:p>
    <w:p w14:paraId="57898A8B"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DE LAS ZONAS ESTRATÉGICAS DE INTERVENCIÓN INTEGRAL</w:t>
      </w:r>
    </w:p>
    <w:p w14:paraId="3256E16C"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48" w:name="ver_30209017"/>
      <w:bookmarkEnd w:id="648"/>
    </w:p>
    <w:p w14:paraId="4A12C97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2.6.1.2.1. Declaración de las Zonas Estratégicas de Intervención Integral (ZEII). El Consejo de Seguridad Nacional podrá declarar Zonas Estratégicas de Intervención Integral ZEII, atendiendo aspectos, tales como: </w:t>
      </w:r>
    </w:p>
    <w:p w14:paraId="4DC6F2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5BB5DF"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Intereses nacionales. </w:t>
      </w:r>
    </w:p>
    <w:p w14:paraId="2D5D0B19"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7F84D0"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Espacios vacíos de institucionalidad o con precaria institucionalidad. </w:t>
      </w:r>
    </w:p>
    <w:p w14:paraId="68170B62"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71C970D"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Altos índices de criminalidad. </w:t>
      </w:r>
    </w:p>
    <w:p w14:paraId="7EDBAF80"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E8C346"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Déficit en el goce de derechos y necesidad de medidas reforzadas de protección a la población. </w:t>
      </w:r>
    </w:p>
    <w:p w14:paraId="18984559"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A936E8"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índices de necesidades básicas insatisfechas, pobreza extrema y alta presencia de población víctima de la violencia. </w:t>
      </w:r>
    </w:p>
    <w:p w14:paraId="0AAC3861"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FB8967"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Amenaza al agua, la biodiversidad y el medio ambiente. </w:t>
      </w:r>
    </w:p>
    <w:p w14:paraId="4BD2F5AE"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27F610"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Áreas de frontera. </w:t>
      </w:r>
    </w:p>
    <w:p w14:paraId="5317CC8E"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0F5075"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Amenazas a la integridad del territorio. </w:t>
      </w:r>
    </w:p>
    <w:p w14:paraId="0D8E6F6D"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C5550B0"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Economías ilícitas. </w:t>
      </w:r>
    </w:p>
    <w:p w14:paraId="60052A3B"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31FF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Una Zona Estratégica de Intervención Integral se activará con la aprobación del respectivo Plan Especial de Intervención Integral (PEII), por parte del Consejo de Seguridad Nacional. </w:t>
      </w:r>
    </w:p>
    <w:p w14:paraId="362041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855EA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49" w:name="ver_30209018"/>
      <w:bookmarkEnd w:id="649"/>
    </w:p>
    <w:p w14:paraId="578BEB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2.6.1.2.2. Integración de los Planes Especiales de Intervención Integral. Cada PEII estará integrado por: </w:t>
      </w:r>
    </w:p>
    <w:p w14:paraId="2DDC5A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79A1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Plan de aceleración de PDET, para hacer efectiva la prioridad de la prestación de servicios sociales. </w:t>
      </w:r>
    </w:p>
    <w:p w14:paraId="4A483B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1141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Plan de medidas reforzadas de protección a la población, en el marco de la com</w:t>
      </w:r>
      <w:r w:rsidRPr="00562064">
        <w:rPr>
          <w:rFonts w:ascii="Arial" w:eastAsia="Times New Roman" w:hAnsi="Arial" w:cs="Arial"/>
          <w:color w:val="000000" w:themeColor="text1"/>
          <w:lang w:eastAsia="es-CO"/>
        </w:rPr>
        <w:softHyphen/>
        <w:t>petencia constitucional de las Fuerzas Militares y la Policía Nacional. </w:t>
      </w:r>
    </w:p>
    <w:p w14:paraId="40FC1D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31100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Plan de fortalecimiento del Estado social de derecho, conforme a las normas constitucionales que regulan el orden público y la administración de justicia. </w:t>
      </w:r>
    </w:p>
    <w:p w14:paraId="5E3F52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574C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caso de que se identifique la necesidad de una intervención no contemplada en el PDET, esta hará parte del respectivo PEII pero no podrá financiarse con cargo a los recursos destinados para la financiación del PDET. </w:t>
      </w:r>
    </w:p>
    <w:p w14:paraId="36290F6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4113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los casos de impacto directo en comunidades étnicas y de conformidad con la jurisprudencia de la Corte Constitucional, se llevará a cabo la consulta previa que se requiera para la ejecución de los componentes de los planes que correspondan. </w:t>
      </w:r>
    </w:p>
    <w:p w14:paraId="3BA62A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B30A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544DC7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50" w:name="ver_30209019"/>
      <w:bookmarkEnd w:id="650"/>
    </w:p>
    <w:p w14:paraId="1DCA3E6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2.6.1.2.3. Planes de Respuesta Inmediata. En el marco de la intervención integral, en las ZEII se podrán desarrollar Planes de Respuesta Inmediata con el fin de atender la problemática económica, social, ambiental y de seguridad. Los recursos asignados para estos Planes se ejecutarán conforme al Decreto 1438 de 2019. Estos Planes serán aprobados en cuanto a sus componentes generales de intervención y objetivos por el Consejo de Seguridad Nacional. El plan para la ejecución de los recursos será presentado al Comité Ejecutivo ZEII por el Director del Fondo de Programas Especiales para la Paz para su aprobación, así como aquellos cambios que se requieran para atender el propósito de los Planes, garantizando principios de transparencia y eficacia. </w:t>
      </w:r>
    </w:p>
    <w:p w14:paraId="72C813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C5EC82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51" w:name="ver_30209020"/>
      <w:bookmarkEnd w:id="651"/>
    </w:p>
    <w:p w14:paraId="0B307A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2.6.1.2.4. Financiación de la prestación de servicios sociales. El Fondo de Programas Especiales para la Paz podrá, de manera excepcional y transitoria, financiar la prestación de servicios sociales de salud o educación de manera directa mientras los municipios o entidades del orden nacional destinan los recursos para garantizar su prestación o están en capacidad de hacerlo. </w:t>
      </w:r>
    </w:p>
    <w:p w14:paraId="5DE97C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006952A"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52" w:name="ver_30209021"/>
      <w:bookmarkEnd w:id="652"/>
    </w:p>
    <w:p w14:paraId="779556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2.6.1.2.5. Elaboración de los Planes Especiales de Intervención Integral (PEII). Los Planes Especiales de Intervención Integral, PEII, se elaboran interagencialmente bajo la coordinación del Consejo de Seguridad Nacional, a partir de los resultados de los procesos participativos de los Planes de Acción para la Transformación Regional (PATR). </w:t>
      </w:r>
    </w:p>
    <w:p w14:paraId="371343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0626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Cuando una ZEII coincida con municipios PDET, el PEII deberá elaborarse con la participación de la Consejería Presidencial para la Estabilización y la Consolidación, o quien haga sus veces. </w:t>
      </w:r>
    </w:p>
    <w:p w14:paraId="7BF7BD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2033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PEII se diseñarán de manera diferenciada para cada una de las Zonas Estratégicas de Intervención Integral y contendrán los componentes técnicos y de gestión interagencial. </w:t>
      </w:r>
    </w:p>
    <w:p w14:paraId="706DF13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4CC9C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PDET serán la base del diseño de los PEII. Cada PEII priorizará y acelerará la implementación de componentes PDET con criterio de seguridad multidimensional. Dichos planes deberán determinar las intervenciones, la secuencia de las mismas, los lugares en que se realizarán y la forma en que se llevarán a cabo para el logro de los objetivos propuestos. La priorización para acelerar la implementación de componentes PDET en las ZEII no suspende la ejecución de los restantes componentes. </w:t>
      </w:r>
    </w:p>
    <w:p w14:paraId="78A0D2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B5A3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virtud del mandato legal de la acción unificada, coordinada, interagencial, sostenida e integral, cualquier intervención de instituciones del Gobierno nacional que no esté contemplada en los PEII, deberá ser autorizada por el Comité Estratégico de las ZEII, una vez el Comité Ejecutivo de las ZEII verifique su articulación a la estrategia única adoptada para cada zona. </w:t>
      </w:r>
    </w:p>
    <w:p w14:paraId="6F5E66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382DD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 anterior sin perjuicio del cumplimiento del programa de reparación administrativa, planes de retorno y planes de reparación colectiva, así como cualquier ayuda humanitaria que requiera adelantar el Gobierno en el respectivo territorio. </w:t>
      </w:r>
    </w:p>
    <w:p w14:paraId="1E7A91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33E5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nivel departamental y municipal, las gobernaciones, alcaldías y las autoridades </w:t>
      </w:r>
      <w:r w:rsidRPr="00562064">
        <w:rPr>
          <w:rFonts w:ascii="Arial" w:eastAsia="Times New Roman" w:hAnsi="Arial" w:cs="Arial"/>
          <w:color w:val="000000" w:themeColor="text1"/>
          <w:u w:val="single"/>
          <w:lang w:eastAsia="es-CO"/>
        </w:rPr>
        <w:t>étnicas</w:t>
      </w:r>
      <w:r w:rsidRPr="00562064">
        <w:rPr>
          <w:rFonts w:ascii="Arial" w:eastAsia="Times New Roman" w:hAnsi="Arial" w:cs="Arial"/>
          <w:color w:val="000000" w:themeColor="text1"/>
          <w:lang w:eastAsia="es-CO"/>
        </w:rPr>
        <w:t>, en el marco de su autonomía, contribuirán a la materialización de los PEII. </w:t>
      </w:r>
    </w:p>
    <w:p w14:paraId="64F854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5C1A1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2F3F7AE4"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53" w:name="ver_30209022"/>
      <w:bookmarkEnd w:id="653"/>
    </w:p>
    <w:p w14:paraId="315A4D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2.6.1.2.6. Gerencia. La gerencia de los Planes Especiales de Intervención Integral, PEII, estará a cargo del Departamento Administrativo para la Prosperidad Social. La Consejería Presidencial para la Seguridad Nacional brindará el acompañamiento acorde con sus funciones. </w:t>
      </w:r>
    </w:p>
    <w:p w14:paraId="70687F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DF09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ejercicio de esta gerencia, el Departamento Administrativo para la Prosperidad Social deberá hacer la articulación interagencial, podrá requerir informes a las entidades con responsabilidad en la ejecución de los PEII y podrá hacer recomendaciones a los Comités Estratégico y Ejecutivo de las ZEII, al igual que adoptar todas las decisiones necesarias para llevar a cabo la implementación de los PEII, en el marco definido en este decreto. </w:t>
      </w:r>
    </w:p>
    <w:p w14:paraId="4E6A8D1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8B377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64E996CF"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54" w:name="ver_30209023"/>
      <w:bookmarkEnd w:id="654"/>
      <w:r w:rsidRPr="00562064">
        <w:rPr>
          <w:rFonts w:ascii="Arial" w:eastAsia="Times New Roman" w:hAnsi="Arial" w:cs="Arial"/>
          <w:b/>
          <w:bCs/>
          <w:color w:val="000000" w:themeColor="text1"/>
          <w:lang w:eastAsia="es-CO"/>
        </w:rPr>
        <w:t>CAPÍTULO III</w:t>
      </w:r>
    </w:p>
    <w:p w14:paraId="704B8113"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ARTICULACIÓN INSTITUCIONAL PARA LAS ZONAS ESTRATÉGICAS DE INTERVENCIÓN INTEGRAL (ZEII)</w:t>
      </w:r>
    </w:p>
    <w:p w14:paraId="7373F135"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55" w:name="ver_30209024"/>
      <w:bookmarkEnd w:id="655"/>
    </w:p>
    <w:p w14:paraId="41F96E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2.6.1.3.1. Comité Estratégico ZEII. Créese a instancia del Consejo de Seguridad Nacional el Comité Estratégico de las ZEII, con el fin de establecer las acciones para la implementación los Planes Especiales de Intervención Integral. </w:t>
      </w:r>
    </w:p>
    <w:p w14:paraId="19055C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DB635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Comité estará integrado por: </w:t>
      </w:r>
    </w:p>
    <w:p w14:paraId="5223F3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47B0A0"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El Presidente de la República o su delegado, quien lo presidirá </w:t>
      </w:r>
    </w:p>
    <w:p w14:paraId="014FCB3C"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347FDB"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Ministro del Interior </w:t>
      </w:r>
    </w:p>
    <w:p w14:paraId="1219E435"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5476A3"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El Ministro de Hacienda y Crédito Público </w:t>
      </w:r>
    </w:p>
    <w:p w14:paraId="7157F339"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61AD1C2"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El Ministro de Defensa Nacional </w:t>
      </w:r>
    </w:p>
    <w:p w14:paraId="5DEDE9A6"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296DE8"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El Ministro de Agricultura y Desarrollo Rural </w:t>
      </w:r>
    </w:p>
    <w:p w14:paraId="4F6A26A3"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590E63"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El Ministro de Transporté </w:t>
      </w:r>
    </w:p>
    <w:p w14:paraId="1189B745"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B489A98"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El Ministro de Justicia y del Derecho </w:t>
      </w:r>
    </w:p>
    <w:p w14:paraId="5B5FB2D3"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5C415E"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El Ministro de Educación </w:t>
      </w:r>
    </w:p>
    <w:p w14:paraId="4B44582A"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F712C3"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El Ministro de Salud </w:t>
      </w:r>
    </w:p>
    <w:p w14:paraId="7C977710"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BF91CE"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El Ministro de Minas y Energía </w:t>
      </w:r>
    </w:p>
    <w:p w14:paraId="25496261"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4FF537"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El Ministro de Ambiente y Desarrollo Sostenible </w:t>
      </w:r>
    </w:p>
    <w:p w14:paraId="157EE785"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84970F"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El Director del Departamento Administrativo de la Presidencia de la República </w:t>
      </w:r>
    </w:p>
    <w:p w14:paraId="39A3E7B3"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FCA248"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El Director General del Departamento para la Prosperidad Social </w:t>
      </w:r>
    </w:p>
    <w:p w14:paraId="79EA7F57"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4242EFB"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El Director del Departamento Nacional de Planeación </w:t>
      </w:r>
    </w:p>
    <w:p w14:paraId="6B2B2F1E"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BB8D3A"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El Comandante General de las Fuerzas Militares </w:t>
      </w:r>
    </w:p>
    <w:p w14:paraId="2025E9AD"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825235"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16. El Director General de la Policía Nacional </w:t>
      </w:r>
    </w:p>
    <w:p w14:paraId="4798BC94"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87673C"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17. El Consejero Presidencial para la Estabilización y la Consolidación </w:t>
      </w:r>
    </w:p>
    <w:p w14:paraId="6A905118"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D83FFED"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18. El Consejero Presidencial para la Seguridad Nacional </w:t>
      </w:r>
    </w:p>
    <w:p w14:paraId="0BFE0AC1"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BEF57EB"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19. El Alto Comisionado para la Paz </w:t>
      </w:r>
    </w:p>
    <w:p w14:paraId="180CA8FE"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8BBCADA"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20. El Consejero Presidencial para la Gestión y el Cumplimiento </w:t>
      </w:r>
    </w:p>
    <w:p w14:paraId="1761D7FA"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FA74FF0"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 Director de la Agencia de Renovación del Territorio </w:t>
      </w:r>
    </w:p>
    <w:p w14:paraId="70B273EA"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915CE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El Comité Estratégico de las ZEII se reunirá ordinariamente cada cuatro meses, previa convocatoria a través de la Secretaría Técnica. Las reuniones ordinarias deberán ser presenciales. De cada sesión se levantará un acta en la que se indique, entre otro, los compromisos y plazos para su cumplimiento. </w:t>
      </w:r>
    </w:p>
    <w:p w14:paraId="248D72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7FCC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Comité Estratégico, por intermedio de la Secretaría Técnica, podrá invitar, según el tema a tratar, a cualquier otro servidor público, a miembros del sector privado, organizaciones de la sociedad civil, de la academia o de la comunidad internacional. </w:t>
      </w:r>
    </w:p>
    <w:p w14:paraId="7EC272F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C172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Director de la Unidad de Restitución de Tierras, el Director de la Agencia Nacional de Tierras, el Director de la Agencia de Desarrollo Rural y el Director de la Unidad de Atención y Reparación a las Víctimas serán invitados permanentes con voz pero sin voto. </w:t>
      </w:r>
    </w:p>
    <w:p w14:paraId="0C5E13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0F33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Fiscal General de la Nación, el Procurador General de la Nación, el Defensor del Pueblo, el Contralor General de la República y el Presidente del Consejo Superior de la Judicatura serán invitados permanentes al Comité Estratégico de las ZEII, con el fin de articular de forma coordinada y sostenida los esfuerzos encaminados a lograr el control institucional y la legalidad en esas zonas. </w:t>
      </w:r>
    </w:p>
    <w:p w14:paraId="323476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1B0E6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La Consejería Presidencial para la Seguridad Nacional o quien haga sus veces, ejercerá la Secretaría Técnica del Comité Estratégico ZEII. Dicha Consejería, en coordinación con el Departamento Administrativo para la Prosperidad Social, se encargará de hacer seguimiento a la implementación de los Planes Especiales de Intervención Integral en las ZEII. Igualmente será la encargada de la gestión documental del proceso. </w:t>
      </w:r>
    </w:p>
    <w:p w14:paraId="791FE897" w14:textId="70577DEB"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56" w:name="ver_30209025"/>
      <w:bookmarkEnd w:id="656"/>
    </w:p>
    <w:p w14:paraId="582AD5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2.6.1.3.2. Funciones del Comité Estratégico de las ZEII. Son funciones del Comité Estratégico de las ZEII: </w:t>
      </w:r>
    </w:p>
    <w:p w14:paraId="7E44D8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2C496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Adoptar las decisiones que permitan implementar la acción unificada, coordina</w:t>
      </w:r>
      <w:r w:rsidRPr="00562064">
        <w:rPr>
          <w:rFonts w:ascii="Arial" w:eastAsia="Times New Roman" w:hAnsi="Arial" w:cs="Arial"/>
          <w:color w:val="000000" w:themeColor="text1"/>
          <w:lang w:eastAsia="es-CO"/>
        </w:rPr>
        <w:softHyphen/>
        <w:t>da, interagencial, sostenida e integral del Estado en las ZEII. </w:t>
      </w:r>
    </w:p>
    <w:p w14:paraId="680835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F593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Hacer seguimiento a los avances de los PEII y tomar las medidas de control para el logro de los objetivos propuestos. </w:t>
      </w:r>
    </w:p>
    <w:p w14:paraId="712767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C3B5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Establecer directrices y lineamientos para el funcionamiento de los Comités Eje</w:t>
      </w:r>
      <w:r w:rsidRPr="00562064">
        <w:rPr>
          <w:rFonts w:ascii="Arial" w:eastAsia="Times New Roman" w:hAnsi="Arial" w:cs="Arial"/>
          <w:color w:val="000000" w:themeColor="text1"/>
          <w:lang w:eastAsia="es-CO"/>
        </w:rPr>
        <w:softHyphen/>
        <w:t>cutivo y Territoriales ZEII. </w:t>
      </w:r>
    </w:p>
    <w:p w14:paraId="620D07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F236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Focalizar los recursos para el cumplimiento de los objetivos de cada PEII. </w:t>
      </w:r>
    </w:p>
    <w:p w14:paraId="6F3391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657B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Conformar grupos interdisciplinarios de los diferentes sectores administrativos que hacen parte del Comité para impulsar los asuntos que les sean encomenda</w:t>
      </w:r>
      <w:r w:rsidRPr="00562064">
        <w:rPr>
          <w:rFonts w:ascii="Arial" w:eastAsia="Times New Roman" w:hAnsi="Arial" w:cs="Arial"/>
          <w:color w:val="000000" w:themeColor="text1"/>
          <w:lang w:eastAsia="es-CO"/>
        </w:rPr>
        <w:softHyphen/>
        <w:t>dos, con funcionarios representantes de cada una de las carteras o entidades, que se consideren necesarias para el diseño y ejecución de los PEII. Para este efecto, cada entidad designará un funcionario de alto nivel con dedicación exclusiva; estos funcionarios servirán de enlace con los directivos y funcionarios de su en</w:t>
      </w:r>
      <w:r w:rsidRPr="00562064">
        <w:rPr>
          <w:rFonts w:ascii="Arial" w:eastAsia="Times New Roman" w:hAnsi="Arial" w:cs="Arial"/>
          <w:color w:val="000000" w:themeColor="text1"/>
          <w:lang w:eastAsia="es-CO"/>
        </w:rPr>
        <w:softHyphen/>
        <w:t>tidad, con el fin de garantizar la ejecución de los compromisos sectoriales en el marco de la ejecución de los PEII. Asimismo, participarán en las reuniones y comités directivos del sector o ministerio al que pertenecen, de modo que a nivel interno se haga seguimiento al cumplimiento de los compromisos misionales y presupuestales establecidos en los PEII y cuando sea necesario promover los ajus</w:t>
      </w:r>
      <w:r w:rsidRPr="00562064">
        <w:rPr>
          <w:rFonts w:ascii="Arial" w:eastAsia="Times New Roman" w:hAnsi="Arial" w:cs="Arial"/>
          <w:color w:val="000000" w:themeColor="text1"/>
          <w:lang w:eastAsia="es-CO"/>
        </w:rPr>
        <w:softHyphen/>
        <w:t>tes sectoriales respectivos. </w:t>
      </w:r>
    </w:p>
    <w:p w14:paraId="5846F8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5B2D1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Las demás inherentes al cumplimiento de sus funciones. </w:t>
      </w:r>
    </w:p>
    <w:p w14:paraId="280B45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7169A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La Secretaría Técnica elaborará y presentará un informe ejecutivo mensual al señor Presidente de la República, en el que se indique el estado de avance y cumplimiento de las tareas y compromisos dispuestos en el marco del Comité Estratégico de las ZEII, por parte de cada una de las instituciones del orden nacional. </w:t>
      </w:r>
    </w:p>
    <w:p w14:paraId="40EF66E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4BF5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El Comité Estratégico de las ZEII sesionará de manera extraordinaria las veces que sea necesario por citación de la Secretaría Técnica. </w:t>
      </w:r>
    </w:p>
    <w:p w14:paraId="6C2093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8D32E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3°. La participación de los miembros del Comité Estratégico de las ZEII es i indelegable. </w:t>
      </w:r>
    </w:p>
    <w:p w14:paraId="2ED8DF1B" w14:textId="67869B40"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57" w:name="ver_30209026"/>
      <w:bookmarkEnd w:id="657"/>
    </w:p>
    <w:p w14:paraId="50F3DC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2.6.1.3.3. Comité Ejecutivo ZEII. Créase el Comité Ejecutivo ZEII que tendrá por objeto adoptar las acciones necesarias que permitan materializar las decisiones, directrices y recomendaciones impartidas por el Comité Estratégico de las ZEII, para la implementación de los PEII. </w:t>
      </w:r>
    </w:p>
    <w:p w14:paraId="36598F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D6EF2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Comité estará integrado por: </w:t>
      </w:r>
    </w:p>
    <w:p w14:paraId="64A115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C60FB6"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Consejero Presidencial para la Seguridad Nacional, quien lo presidirá. </w:t>
      </w:r>
    </w:p>
    <w:p w14:paraId="53556207"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9E8721"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Consejero Presidencial para la Estabilización y la Consolidación. </w:t>
      </w:r>
    </w:p>
    <w:p w14:paraId="15B2B5A3"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3EEEDFC"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Consejero Presidencial para las Comunicaciones. </w:t>
      </w:r>
    </w:p>
    <w:p w14:paraId="002C7FC4"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62E43EA"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Alto Comisionado para la Paz. </w:t>
      </w:r>
    </w:p>
    <w:p w14:paraId="77F04D4F"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D2CE1A"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Director del Departamento Administrativo para la Prosperidad Social. </w:t>
      </w:r>
    </w:p>
    <w:p w14:paraId="2A39A5C5"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09946BE"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Viceministro para las Políticas y los Asuntos Internacionales del Ministerio de Defensa Nacional. </w:t>
      </w:r>
    </w:p>
    <w:p w14:paraId="133BA824"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AE1AA2"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Jefe de Estado Mayor Conjunto de las Fuerzas Militares. </w:t>
      </w:r>
    </w:p>
    <w:p w14:paraId="1C40AEFB"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858143"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Subdirector General de la Policía Nacional. </w:t>
      </w:r>
    </w:p>
    <w:p w14:paraId="34BCDC61"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5F4496"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Subdirector Territorial del Departamento Nacional de Planeación. </w:t>
      </w:r>
    </w:p>
    <w:p w14:paraId="7DD7160A"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F757EE2"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10. Director de la Unidad Especial Administrativa de Parques Nacionales. </w:t>
      </w:r>
    </w:p>
    <w:p w14:paraId="19918AAE"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82023C"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Director de la Unidad de Información y Análisis Financiero. </w:t>
      </w:r>
    </w:p>
    <w:p w14:paraId="399CAD83"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AB93BDA"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Secretario de Transparencia de la Presidencia de la República. </w:t>
      </w:r>
    </w:p>
    <w:p w14:paraId="3F39FC0D"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87611B"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Director del Fondo de Programas Especiales para la Paz. </w:t>
      </w:r>
    </w:p>
    <w:p w14:paraId="1AA50F3E"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468D79"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Director de la Agencia de Renovación del Territorio. </w:t>
      </w:r>
    </w:p>
    <w:p w14:paraId="32AE2D87" w14:textId="77777777" w:rsidR="00E475BF" w:rsidRPr="00562064" w:rsidRDefault="00E475BF" w:rsidP="00143180">
      <w:pPr>
        <w:spacing w:after="0" w:line="254" w:lineRule="atLeast"/>
        <w:ind w:left="708"/>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1574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El Comité Ejecutivo de las ZEII se reunirá de manera ordinaria trimestralmente, previa convocatoria de la Secretaría Técnica, sin perjuicio de que se reúna de manera extraordinaria cuando sea necesario. Las reuniones ordinarias deberán ser presenciales e indelegables. De cada sesión se levantará un acta que indique entre otros, los compromisos adquiridos y los plazos de ejecución. </w:t>
      </w:r>
    </w:p>
    <w:p w14:paraId="551C7D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0D3F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Consejero Presidencial para la Seguridad Nacional podrá invitar, según el tema a tratar, a cualquier otro servidor público, o particular, miembro del sector privado, organizaciones de la sociedad civil, de la academia o de la comunidad internacional. </w:t>
      </w:r>
    </w:p>
    <w:p w14:paraId="3459E2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514B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2°. El Comité Ejecutivo de las ZEII contará con una Secretaría Técnica permanente que será ejercida por la Consejería Presidencial para la Seguridad Nacional. </w:t>
      </w:r>
    </w:p>
    <w:p w14:paraId="1002C22C" w14:textId="31FEE242"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58" w:name="ver_30209037"/>
      <w:bookmarkEnd w:id="658"/>
    </w:p>
    <w:p w14:paraId="54DFDC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2.6.1.3.4. Funciones del Comité Ejecutivo de las ZEII. Son funciones del Comité Ejecutivo de las ZEII: </w:t>
      </w:r>
    </w:p>
    <w:p w14:paraId="2B2AC91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3702C4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Formular recomendaciones al Comité Estratégico de las ZEII relacionadas con la implementación de los PEII. </w:t>
      </w:r>
    </w:p>
    <w:p w14:paraId="2160565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7DE50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Impulsar el cumplimiento de los compromisos de cada entidad participante en la ejecución de los PEII. </w:t>
      </w:r>
    </w:p>
    <w:p w14:paraId="76C438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CA211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Articular las acciones de las instituciones del Gobierno en todos los niveles, el sector privado y la comunidad internacional, que permitan la debida implementa</w:t>
      </w:r>
      <w:r w:rsidRPr="00562064">
        <w:rPr>
          <w:rFonts w:ascii="Arial" w:eastAsia="Times New Roman" w:hAnsi="Arial" w:cs="Arial"/>
          <w:color w:val="000000" w:themeColor="text1"/>
          <w:lang w:eastAsia="es-CO"/>
        </w:rPr>
        <w:softHyphen/>
        <w:t>ción de los PEII, entre ellas, focalizar proyectos, inversiones y programas coordi</w:t>
      </w:r>
      <w:r w:rsidRPr="00562064">
        <w:rPr>
          <w:rFonts w:ascii="Arial" w:eastAsia="Times New Roman" w:hAnsi="Arial" w:cs="Arial"/>
          <w:color w:val="000000" w:themeColor="text1"/>
          <w:lang w:eastAsia="es-CO"/>
        </w:rPr>
        <w:softHyphen/>
        <w:t>nados, interagenciales, sostenidos e integrales del Estado en las ZEII. </w:t>
      </w:r>
    </w:p>
    <w:p w14:paraId="456537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7023A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Solicitar información a las entidades responsables que participan en la ejecución de los PEII, para verificar el cumplimiento a la ejecución de las partidas que fue</w:t>
      </w:r>
      <w:r w:rsidRPr="00562064">
        <w:rPr>
          <w:rFonts w:ascii="Arial" w:eastAsia="Times New Roman" w:hAnsi="Arial" w:cs="Arial"/>
          <w:color w:val="000000" w:themeColor="text1"/>
          <w:lang w:eastAsia="es-CO"/>
        </w:rPr>
        <w:softHyphen/>
        <w:t>ron incluidas en los presupuestos, conforme a la priorización y prevalencia de la inversión en las ZEII, según los PEII. </w:t>
      </w:r>
    </w:p>
    <w:p w14:paraId="0B7BA3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14ABD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Verificar el cumplimiento de los compromisos, tareas y de la gestión de cada en</w:t>
      </w:r>
      <w:r w:rsidRPr="00562064">
        <w:rPr>
          <w:rFonts w:ascii="Arial" w:eastAsia="Times New Roman" w:hAnsi="Arial" w:cs="Arial"/>
          <w:color w:val="000000" w:themeColor="text1"/>
          <w:lang w:eastAsia="es-CO"/>
        </w:rPr>
        <w:softHyphen/>
        <w:t>tidad. </w:t>
      </w:r>
    </w:p>
    <w:p w14:paraId="4B571A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79E7F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Proponer al Comité Estratégico mecanismos para la transparencia y rendición de cuentas de la ejecución de los PEII. </w:t>
      </w:r>
    </w:p>
    <w:p w14:paraId="4680B8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39F0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Las demás inherentes al cumplimiento de sus funciones. </w:t>
      </w:r>
    </w:p>
    <w:p w14:paraId="70C3EA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1287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Para efecto del cumplimiento de las funciones descritas, por conducto de la Secretaría Técnica se podrá requerir a las entidades que participan en la ejecución de los PEII, los informes oficiales de cumplimiento pertinentes, que deberán ser entregados dentro de los cinco (5) días hábiles siguientes a su solicitud. </w:t>
      </w:r>
    </w:p>
    <w:p w14:paraId="68B0900A" w14:textId="5C3FF813"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59" w:name="ver_30209027"/>
      <w:bookmarkEnd w:id="659"/>
    </w:p>
    <w:p w14:paraId="5892C9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2.6.1.3.5. Comité Territorial de las ZEII. En cada ZEII se conformará un Comité Territorial, como una instancia permanente que permita la acción unificada, coordinada, interagencial, sostenida e integral, para la implementación del correspondiente PEII. </w:t>
      </w:r>
    </w:p>
    <w:p w14:paraId="125620C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33A2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Comité estará integrado por: </w:t>
      </w:r>
    </w:p>
    <w:p w14:paraId="10F36A9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4BC8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Un Consejero Presidencial o alto funcionario de Gobierno, delegado por el Presi</w:t>
      </w:r>
      <w:r w:rsidRPr="00562064">
        <w:rPr>
          <w:rFonts w:ascii="Arial" w:eastAsia="Times New Roman" w:hAnsi="Arial" w:cs="Arial"/>
          <w:color w:val="000000" w:themeColor="text1"/>
          <w:lang w:eastAsia="es-CO"/>
        </w:rPr>
        <w:softHyphen/>
        <w:t>dente de la República, quien lo liderará. </w:t>
      </w:r>
    </w:p>
    <w:p w14:paraId="27669D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B927C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Un representante o delegado de la Consejería Presidencial para la Seguridad Na</w:t>
      </w:r>
      <w:r w:rsidRPr="00562064">
        <w:rPr>
          <w:rFonts w:ascii="Arial" w:eastAsia="Times New Roman" w:hAnsi="Arial" w:cs="Arial"/>
          <w:color w:val="000000" w:themeColor="text1"/>
          <w:lang w:eastAsia="es-CO"/>
        </w:rPr>
        <w:softHyphen/>
        <w:t>cional. </w:t>
      </w:r>
    </w:p>
    <w:p w14:paraId="28383A1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1A3A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Un representante o delegado del Departamento Administrativo para la Prosperi</w:t>
      </w:r>
      <w:r w:rsidRPr="00562064">
        <w:rPr>
          <w:rFonts w:ascii="Arial" w:eastAsia="Times New Roman" w:hAnsi="Arial" w:cs="Arial"/>
          <w:color w:val="000000" w:themeColor="text1"/>
          <w:lang w:eastAsia="es-CO"/>
        </w:rPr>
        <w:softHyphen/>
        <w:t>dad Social, quien ejercerá la Secretaría Técnica. </w:t>
      </w:r>
    </w:p>
    <w:p w14:paraId="5936FA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26DB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Un representante o delegado de la Consejería Presidencial para la Estabilización y Consolidación. </w:t>
      </w:r>
    </w:p>
    <w:p w14:paraId="46B0F5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D656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El comandante militar designado por el Comando General de las Fuerzas Mi</w:t>
      </w:r>
      <w:r w:rsidRPr="00562064">
        <w:rPr>
          <w:rFonts w:ascii="Arial" w:eastAsia="Times New Roman" w:hAnsi="Arial" w:cs="Arial"/>
          <w:color w:val="000000" w:themeColor="text1"/>
          <w:lang w:eastAsia="es-CO"/>
        </w:rPr>
        <w:softHyphen/>
        <w:t>litares. </w:t>
      </w:r>
    </w:p>
    <w:p w14:paraId="72D036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8CBA0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El comandante policial designado por la Dirección de la Policía Nacional. </w:t>
      </w:r>
    </w:p>
    <w:p w14:paraId="76DD8BD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C4990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Un delegado de la Agencia de Renovación del Territorio. </w:t>
      </w:r>
    </w:p>
    <w:p w14:paraId="1D2C80C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557D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Parágrafo 1°. En el marco de la acción unificada, coordinada, interagencial, sostenida e integral del Estado, los titulares de los Gobiernos departamentales, municipales y autoridades étnicas podrán ser invitados al Comité Territorial de la ZEII, así como las demás autoridades concernidas en los PEII. </w:t>
      </w:r>
    </w:p>
    <w:p w14:paraId="13D17E8F" w14:textId="757802BC"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60" w:name="ver_30209028"/>
      <w:bookmarkEnd w:id="660"/>
    </w:p>
    <w:p w14:paraId="180DDBA3" w14:textId="77777777" w:rsidR="002F0391" w:rsidRPr="00562064" w:rsidRDefault="002F0391" w:rsidP="002F0391">
      <w:pPr>
        <w:spacing w:after="0" w:line="254" w:lineRule="atLeast"/>
        <w:jc w:val="both"/>
        <w:rPr>
          <w:rFonts w:ascii="Arial" w:eastAsia="Times New Roman" w:hAnsi="Arial" w:cs="Arial"/>
          <w:color w:val="000000" w:themeColor="text1"/>
          <w:lang w:eastAsia="es-CO"/>
        </w:rPr>
      </w:pPr>
    </w:p>
    <w:p w14:paraId="66F0DF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2.6.1.3.6. Funciones del Comité Territorial de las ZEII. Son funciones de cada Comité Territorial de las ZEII: </w:t>
      </w:r>
    </w:p>
    <w:p w14:paraId="41C5DF7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1A89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Liderar la acción unificada, coordinada, interagencial, sostenida e integral del Estado para la implementación de los PEII. </w:t>
      </w:r>
    </w:p>
    <w:p w14:paraId="181DF4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284A0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Participar en la elaboración del Plan Especial de Intervención Integral PEII. </w:t>
      </w:r>
    </w:p>
    <w:p w14:paraId="34AD98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BEA2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Ejecutar las directrices del Comité Estratégico de las ZEII y del Comité Ejecutivo de las ZEII, en el marco de los Planes Especiales de Intervención Integral. </w:t>
      </w:r>
    </w:p>
    <w:p w14:paraId="665EE6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B1B8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Presentar informes al Comité Estratégico de las ZEII, sobre el avance de los PEII. </w:t>
      </w:r>
    </w:p>
    <w:p w14:paraId="7A03AB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D3AF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Coordinar la implementación de los PEII con los Gobiernos departamentales y municipales, manteniendo interlocución permanente con los líderes locales y la ciudadanía en general. </w:t>
      </w:r>
    </w:p>
    <w:p w14:paraId="48F5A35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8798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Proponer ajustes ante el Comité Ejecutivo de las ZEII para mejorar el proceso de implementación de los Planes Especiales de Intervención Integral </w:t>
      </w:r>
    </w:p>
    <w:p w14:paraId="770438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FAB7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Realizar una audiencia anual de rendición de cuentas, con participación de todas las autoridades y de la comunidad. </w:t>
      </w:r>
    </w:p>
    <w:p w14:paraId="6857718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DAAE6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8. Establecer mecanismos que propicien la participación de las comunidades en la ejecución de las intervenciones en la prestación de servicios sociales, junto con la actuación de las demás entidades previstas en el PEII. </w:t>
      </w:r>
    </w:p>
    <w:p w14:paraId="2049D3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B55EC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9. Las demás inherentes al cumplimiento de sus funciones. </w:t>
      </w:r>
    </w:p>
    <w:p w14:paraId="3A6173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CBFC10" w14:textId="245A227B"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091AA50"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61" w:name="ver_30209029"/>
      <w:bookmarkEnd w:id="661"/>
      <w:r w:rsidRPr="00562064">
        <w:rPr>
          <w:rFonts w:ascii="Arial" w:eastAsia="Times New Roman" w:hAnsi="Arial" w:cs="Arial"/>
          <w:b/>
          <w:bCs/>
          <w:color w:val="000000" w:themeColor="text1"/>
          <w:lang w:eastAsia="es-CO"/>
        </w:rPr>
        <w:t>CAPÍTULO IV</w:t>
      </w:r>
    </w:p>
    <w:p w14:paraId="0F3F70E5"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VARIAS</w:t>
      </w:r>
    </w:p>
    <w:p w14:paraId="531E43A1"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62" w:name="ver_30209030"/>
      <w:bookmarkEnd w:id="662"/>
    </w:p>
    <w:p w14:paraId="4B1563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2.6.1.4.1. Priorización de los Planes Especiales de Intervención Integral. En el marco de las obligaciones de fortalecimiento del Estado social de derecho, la prioridad en la prestación de los servicios sociales y de medidas reforzadas de protección a la población en las Zonas Estratégicas de Intervención Integral (ZEII), el Gobierno nacional focalizará la gestión de sus planes y la ejecución de sus recursos de manera prioritaria y prevalente, en los territorios declarados como ZEII, para dar cumplimiento a los objetivos de los Planes Especiales de Intervención Integral.  </w:t>
      </w:r>
    </w:p>
    <w:p w14:paraId="0EA3D5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todo caso, los recursos que se destinen a la financiación de las ZEII, no podrán comprometer los recursos definidos por el Plan Marco de Implementación para los PDET.  </w:t>
      </w:r>
    </w:p>
    <w:p w14:paraId="7D947DA8" w14:textId="30E9A12D"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63" w:name="ver_30209031"/>
      <w:bookmarkEnd w:id="663"/>
    </w:p>
    <w:p w14:paraId="44A59F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2.6.1.4.2. Herramientas para la Planeación y la Articulación. Para cada vigencia fiscal, durante el primer mes del año, las entidades del nivel nacional informarán al Departamento Administrativo para la Prosperidad Social y a la Consejería Presidencial para la Seguridad Nacional, los componentes de la intervención y los recursos destinados al cumplimiento de los Planes Especiales de Intervención Integral. De igual manera, deberán informar qué otras intervenciones llevarán a cabo durante el año en las zonas ZEII. </w:t>
      </w:r>
    </w:p>
    <w:p w14:paraId="20E89D4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CFF42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2.6.1.4.3. Articulación con la Cooperación Internacional. El Ministerio de Relaciones Exteriores, con el acompañamiento de la Agencia para la Cooperación Internacional y la Consejería Presidencial para la Seguridad Nacional, será el responsable del componente internacional de la estrategia de las ZEII, para lo cual: </w:t>
      </w:r>
    </w:p>
    <w:p w14:paraId="37B2C5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5D476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Mantendrá informada a la comunidad internacional sobre los avances en la con</w:t>
      </w:r>
      <w:r w:rsidRPr="00562064">
        <w:rPr>
          <w:rFonts w:ascii="Arial" w:eastAsia="Times New Roman" w:hAnsi="Arial" w:cs="Arial"/>
          <w:color w:val="000000" w:themeColor="text1"/>
          <w:lang w:eastAsia="es-CO"/>
        </w:rPr>
        <w:softHyphen/>
        <w:t>secución de los objetivos de la estrategia. </w:t>
      </w:r>
    </w:p>
    <w:p w14:paraId="758973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1432AF" w14:textId="3BE6C374" w:rsidR="00E475BF" w:rsidRPr="00562064" w:rsidRDefault="00E475BF" w:rsidP="002F0391">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Señalará las prioridades de cooperación internacional en el marco de la ejecución de los PEII. </w:t>
      </w:r>
      <w:bookmarkStart w:id="664" w:name="ver_30209033"/>
      <w:bookmarkEnd w:id="664"/>
    </w:p>
    <w:p w14:paraId="1EE51EBF" w14:textId="77777777" w:rsidR="002F0391" w:rsidRPr="00562064" w:rsidRDefault="002F0391" w:rsidP="002F0391">
      <w:pPr>
        <w:spacing w:after="0" w:line="254" w:lineRule="atLeast"/>
        <w:jc w:val="both"/>
        <w:rPr>
          <w:rFonts w:ascii="Arial" w:eastAsia="Times New Roman" w:hAnsi="Arial" w:cs="Arial"/>
          <w:color w:val="000000" w:themeColor="text1"/>
          <w:lang w:eastAsia="es-CO"/>
        </w:rPr>
      </w:pPr>
    </w:p>
    <w:p w14:paraId="2BE924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2.6.1.4.5. Priorización de proyectos en las Zonas Estratégicas de Intervención Integral. Teniendo en cuenta que las zonas ZEII son prioridad para la prestación de servicios sociales, los proyectos que hagan parte de los PEII, una vez presentados por los municipios a las entidades del Gobierno nacional, deberán ser objeto de evaluación, aprobación y ejecución inmediata. Dichos proyectos sólo requerirán el cumplimiento de los requisitos exigidos para su aprobación, y en ningún caso deberán someterse a concurso con proyectos de los demás municipios del país. </w:t>
      </w:r>
    </w:p>
    <w:p w14:paraId="2A3CC7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B82E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prioridad para la prestación de los servicios sociales en las zonas ZEII, obliga a las entidades del orden nacional a dar prelación a la inversión y ejecución de los proyectos que hagan parte de los PEII. </w:t>
      </w:r>
    </w:p>
    <w:p w14:paraId="4CE61C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B24906"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65" w:name="ver_30209034"/>
      <w:bookmarkEnd w:id="665"/>
    </w:p>
    <w:p w14:paraId="0DA858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2.6.1.4.6. Priorización de inversión del Fondo Nacional de Seguridad y Convivencia Ciudadana. El Fondo Nacional de Seguridad y Convivencia Ciudadana, (Fonsecon) priorizará la inversión de sus recursos en las Zonas Estratégicas de Intervención Integral. </w:t>
      </w:r>
    </w:p>
    <w:p w14:paraId="0E5AE0B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0C4F41A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66" w:name="ver_30209035"/>
      <w:bookmarkEnd w:id="666"/>
    </w:p>
    <w:p w14:paraId="57953E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2.6.1.4.7. Articulación con el Sector Privado. La Consejería Presidencial para la Competitividad y la Gestión Pública - Privada será la responsable de la coordinación con el sector privado para el cumplimiento de los PEII. </w:t>
      </w:r>
    </w:p>
    <w:p w14:paraId="0D16BE0D" w14:textId="21568FF8" w:rsidR="00E475BF" w:rsidRPr="00562064" w:rsidRDefault="00E475BF" w:rsidP="00143180">
      <w:pPr>
        <w:spacing w:after="0" w:line="254" w:lineRule="atLeast"/>
        <w:jc w:val="both"/>
        <w:rPr>
          <w:rFonts w:ascii="Arial" w:eastAsia="Times New Roman" w:hAnsi="Arial" w:cs="Arial"/>
          <w:color w:val="000000" w:themeColor="text1"/>
          <w:lang w:eastAsia="es-CO"/>
        </w:rPr>
      </w:pPr>
    </w:p>
    <w:p w14:paraId="3C85AEBF"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67" w:name="ver_30209036"/>
      <w:bookmarkEnd w:id="667"/>
    </w:p>
    <w:p w14:paraId="6F8DAD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2.6.1.4.8. Asignación de bienes. Bajo los sistemas de administración de la Ley 1708 de 2014, las normas que la modifiquen o adicionen, y sus decretos reglamentarios, el consejero Presidencial o alto funcionario de Gobierno del respectivo Comité Territorial podrá solicitar a la Sociedad de Activos Específicos, SAE, la asignación de bienes a las entidades pertinentes para el cumplimiento de los objetivos del PEII.  </w:t>
      </w:r>
    </w:p>
    <w:p w14:paraId="295178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57D17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571EAF"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bookmarkStart w:id="668" w:name="ver_30052638"/>
      <w:bookmarkEnd w:id="668"/>
      <w:r w:rsidRPr="00562064">
        <w:rPr>
          <w:rFonts w:ascii="Arial" w:eastAsia="Times New Roman" w:hAnsi="Arial" w:cs="Arial"/>
          <w:b/>
          <w:bCs/>
          <w:color w:val="000000" w:themeColor="text1"/>
          <w:lang w:eastAsia="es-CO"/>
        </w:rPr>
        <w:t>LIBRO 3</w:t>
      </w:r>
    </w:p>
    <w:p w14:paraId="5440D958"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DISPOSICIONES FINALES</w:t>
      </w:r>
    </w:p>
    <w:p w14:paraId="56DEE088" w14:textId="77777777" w:rsidR="00E475BF" w:rsidRPr="00562064" w:rsidRDefault="00E475BF" w:rsidP="002F0391">
      <w:pPr>
        <w:spacing w:after="0"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PARTE 1</w:t>
      </w:r>
    </w:p>
    <w:p w14:paraId="3F5899E6" w14:textId="77777777" w:rsidR="00E475BF" w:rsidRPr="00562064" w:rsidRDefault="00E475BF" w:rsidP="002F0391">
      <w:pPr>
        <w:spacing w:line="293"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DEROGATORIA Y VIGENCIA</w:t>
      </w:r>
    </w:p>
    <w:p w14:paraId="4514D3E3"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69" w:name="ver_30052639"/>
      <w:bookmarkEnd w:id="669"/>
    </w:p>
    <w:p w14:paraId="4B11824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3.1.1. Derogatoria Integral. Este decreto regula íntegramente las materias contempladas en él. Por consiguiente, de conformidad con el artículo 3° de la Ley 153 de 1887, quedan derogadas todas las disposiciones de naturaleza reglamentaria relativas al sector Presidencia de la República que versan sobre las mismas materias, con excepción, exclusivamente, de los siguientes asuntos: </w:t>
      </w:r>
    </w:p>
    <w:p w14:paraId="79C0D82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32417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No quedan cobijados por la derogatoria anterior los decretos relativos a la creación y conformación de comisiones intersectoriales, comisiones interinstitucionales, consejos, comités, sistemas administrativos y demás asuntos relacionados con la estructura, configuración y conformación de las entidades y organismos del sector administrativo. </w:t>
      </w:r>
    </w:p>
    <w:p w14:paraId="01073E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E5BE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Tampoco quedan cobijados por la derogatoria anterior los decretos que desarrollan leyes marco. </w:t>
      </w:r>
    </w:p>
    <w:p w14:paraId="41CC7B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CB32C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Igualmente, quedan excluidas de esta derogatoria las normas de naturaleza reglamentaria de este sector administrativo que, a la fecha de expedición del presente decreto, se encuentren suspendidas por la Jurisdicción Contencioso Administrativa, las cuales serán compiladas en este decreto, en caso de recuperar su eficacia jurídica. </w:t>
      </w:r>
    </w:p>
    <w:p w14:paraId="60B68DA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6648AF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actos administrativos expedidos con fundamento en las disposiciones compiladas en el presente decreto mantendrán su vigencia y ejecutoriedad bajo el entendido de que sus fundamentos jurídicos permanecen en el presente decreto compilatorio. </w:t>
      </w:r>
    </w:p>
    <w:p w14:paraId="6A3517E0" w14:textId="77777777" w:rsidR="00E475BF" w:rsidRPr="00562064" w:rsidRDefault="00E475BF" w:rsidP="00143180">
      <w:pPr>
        <w:spacing w:after="0" w:line="240" w:lineRule="auto"/>
        <w:jc w:val="both"/>
        <w:rPr>
          <w:rFonts w:ascii="Arial" w:eastAsia="Times New Roman" w:hAnsi="Arial" w:cs="Arial"/>
          <w:color w:val="000000" w:themeColor="text1"/>
          <w:lang w:eastAsia="es-CO"/>
        </w:rPr>
      </w:pPr>
      <w:bookmarkStart w:id="670" w:name="ver_30052640"/>
      <w:bookmarkEnd w:id="670"/>
    </w:p>
    <w:p w14:paraId="11E1D1E8" w14:textId="649D0ED8"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Artículo 3.1.2 Vigencia. El presente decreto rige a partir de su publicación en el Diario Oficial.</w:t>
      </w:r>
    </w:p>
    <w:p w14:paraId="1F3E697B" w14:textId="784F5B6B" w:rsidR="00E475BF" w:rsidRPr="00562064" w:rsidRDefault="00E475BF" w:rsidP="0019502C">
      <w:pPr>
        <w:spacing w:after="0" w:line="254" w:lineRule="atLeast"/>
        <w:jc w:val="center"/>
        <w:rPr>
          <w:rFonts w:ascii="Arial" w:eastAsia="Times New Roman" w:hAnsi="Arial" w:cs="Arial"/>
          <w:b/>
          <w:bCs/>
          <w:color w:val="000000" w:themeColor="text1"/>
          <w:lang w:eastAsia="es-CO"/>
        </w:rPr>
      </w:pPr>
      <w:bookmarkStart w:id="671" w:name="ver_30052641"/>
      <w:bookmarkEnd w:id="671"/>
    </w:p>
    <w:p w14:paraId="38615000" w14:textId="177307BE"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Publíquese y cúmplase.</w:t>
      </w:r>
    </w:p>
    <w:p w14:paraId="0846F24F" w14:textId="32FCBED8"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24CA802A" w14:textId="25322E80"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Dado en Bogotá, D. C., a 26 de mayo de 2015.</w:t>
      </w:r>
    </w:p>
    <w:p w14:paraId="07A39F55" w14:textId="112EA9A9"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2B242BB7" w14:textId="462F84F9"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JUAN MANUEL SANTOS CALDERÓN</w:t>
      </w:r>
    </w:p>
    <w:p w14:paraId="25ADC8EC" w14:textId="280D105C"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1701DD7A" w14:textId="18397357"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El Director del Departamento Administrativo de la Presidencia de la República,</w:t>
      </w:r>
    </w:p>
    <w:p w14:paraId="3D9A5FB2" w14:textId="6F0A82E1" w:rsidR="00E475BF" w:rsidRPr="00B6584E" w:rsidRDefault="00E475BF" w:rsidP="0019502C">
      <w:pPr>
        <w:spacing w:after="0" w:line="254" w:lineRule="atLeast"/>
        <w:jc w:val="center"/>
        <w:rPr>
          <w:rFonts w:ascii="Arial" w:eastAsia="Times New Roman" w:hAnsi="Arial" w:cs="Arial"/>
          <w:b/>
          <w:bCs/>
          <w:color w:val="000000" w:themeColor="text1"/>
          <w:lang w:val="pt-BR" w:eastAsia="es-CO"/>
        </w:rPr>
      </w:pPr>
      <w:r w:rsidRPr="00B6584E">
        <w:rPr>
          <w:rFonts w:ascii="Arial" w:eastAsia="Times New Roman" w:hAnsi="Arial" w:cs="Arial"/>
          <w:b/>
          <w:bCs/>
          <w:color w:val="000000" w:themeColor="text1"/>
          <w:lang w:val="pt-BR" w:eastAsia="es-CO"/>
        </w:rPr>
        <w:t>Néstor Humberto Martínez Neira.</w:t>
      </w:r>
    </w:p>
    <w:p w14:paraId="6656095A" w14:textId="77777777" w:rsidR="00E475BF" w:rsidRPr="00B6584E" w:rsidRDefault="00E475BF" w:rsidP="00143180">
      <w:pPr>
        <w:spacing w:after="0" w:line="240" w:lineRule="auto"/>
        <w:jc w:val="both"/>
        <w:rPr>
          <w:rFonts w:ascii="Arial" w:eastAsia="Times New Roman" w:hAnsi="Arial" w:cs="Arial"/>
          <w:color w:val="000000" w:themeColor="text1"/>
          <w:lang w:val="pt-BR" w:eastAsia="es-CO"/>
        </w:rPr>
      </w:pPr>
      <w:bookmarkStart w:id="672" w:name="ver_30106738"/>
      <w:bookmarkEnd w:id="672"/>
    </w:p>
    <w:p w14:paraId="0DB1ABCC" w14:textId="77777777" w:rsidR="00E475BF" w:rsidRPr="00B6584E" w:rsidRDefault="00E475BF" w:rsidP="00143180">
      <w:pPr>
        <w:spacing w:after="0" w:line="254" w:lineRule="atLeast"/>
        <w:jc w:val="both"/>
        <w:rPr>
          <w:rFonts w:ascii="Arial" w:eastAsia="Times New Roman" w:hAnsi="Arial" w:cs="Arial"/>
          <w:color w:val="000000" w:themeColor="text1"/>
          <w:lang w:val="pt-BR" w:eastAsia="es-CO"/>
        </w:rPr>
      </w:pPr>
      <w:r w:rsidRPr="00B6584E">
        <w:rPr>
          <w:rFonts w:ascii="Arial" w:eastAsia="Times New Roman" w:hAnsi="Arial" w:cs="Arial"/>
          <w:color w:val="000000" w:themeColor="text1"/>
          <w:lang w:val="pt-BR" w:eastAsia="es-CO"/>
        </w:rPr>
        <w:t>ANEXO 1 </w:t>
      </w:r>
    </w:p>
    <w:p w14:paraId="74186C60" w14:textId="77777777" w:rsidR="00E475BF" w:rsidRPr="00B6584E" w:rsidRDefault="00E475BF" w:rsidP="00143180">
      <w:pPr>
        <w:spacing w:after="0" w:line="254" w:lineRule="atLeast"/>
        <w:jc w:val="both"/>
        <w:rPr>
          <w:rFonts w:ascii="Arial" w:eastAsia="Times New Roman" w:hAnsi="Arial" w:cs="Arial"/>
          <w:color w:val="000000" w:themeColor="text1"/>
          <w:lang w:val="pt-BR" w:eastAsia="es-CO"/>
        </w:rPr>
      </w:pPr>
      <w:r w:rsidRPr="00B6584E">
        <w:rPr>
          <w:rFonts w:ascii="Arial" w:eastAsia="Times New Roman" w:hAnsi="Arial" w:cs="Arial"/>
          <w:color w:val="000000" w:themeColor="text1"/>
          <w:lang w:val="pt-BR" w:eastAsia="es-CO"/>
        </w:rPr>
        <w:t>  </w:t>
      </w:r>
    </w:p>
    <w:p w14:paraId="680292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MANUAL PARA LA ELABORACIÓN DE TEXTOS NORMATIVOS - PROYECTOS DE DECRETO Y RESOLUCIÓN </w:t>
      </w:r>
    </w:p>
    <w:p w14:paraId="45C349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E4B7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PRESENTACIÓN </w:t>
      </w:r>
    </w:p>
    <w:p w14:paraId="345B19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5E70A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principios de seguridad e igualdad jurídica, así como los que orientan la función administrativa, exigen que las normas jurídicas sean claras y accesibles para todos. De otra manera, no es posible que los ciudadanos y los agentes políticos y económicos conozcan con certeza el alcance de sus deberes y derechos. </w:t>
      </w:r>
    </w:p>
    <w:p w14:paraId="2B8F59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56BE7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Esta exigencia impone, a su vez, la sujeción a parámetros claros de técnica normativa que permitan transmitir con suficiencia el contenido de las disposiciones jurídicas. Los parámetros de técnica normativa ofrecen criterios técnicos que buscan garantizar la producción de textos normativos inteligibles y sencillos, sin perjuicio de su corrección jurídica. </w:t>
      </w:r>
    </w:p>
    <w:p w14:paraId="0799C2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BDC4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producción de normas claras y sencillas mejora la gobernabilidad y permite a las autoridades públicas ejercer sus competencias en los estrictos marcos de la legalidad. Así, la calidad normativa del sistema jurídico se erige, también, como garantía ciudadana contra la arbitrariedad. </w:t>
      </w:r>
    </w:p>
    <w:p w14:paraId="7B2B25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4A81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Este Manual ofrece instrumentos de apoyo para la redacción de normas jurídicas que no solo deben ser observados por las autoridades del Ejecutivo nacional, sino que pueden favorecer la calidad regulatoria de toda autoridad que ejerza tal competencia en el marco de su propia jurisdicción. </w:t>
      </w:r>
    </w:p>
    <w:p w14:paraId="6248C2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69F1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MANUAL PARA LA ELABORACIÓN DE TEXTOS NORMATIVOS, PROYECTOS DE DECRETO Y RESOLUCIÓN </w:t>
      </w:r>
    </w:p>
    <w:p w14:paraId="276991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F72E4E" w14:textId="014BED60"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I</w:t>
      </w:r>
    </w:p>
    <w:p w14:paraId="00B83431" w14:textId="58DE2443"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35B6E4B6" w14:textId="5D21F482"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Finalidad</w:t>
      </w:r>
    </w:p>
    <w:p w14:paraId="4470FA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D4E8F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directrices de técnica normativa previstas en este Manual buscan racionalizar la expedición de decretos y resoluciones; dotar de seguridad jurídica a sus destinatarios; evitar la dispersión y proliferación normativa, y optimizar los recursos físicos y humanos utilizados para esa actividad, con el propósito de construir un ordenamiento jurídico eficaz, coherente y estructurado a partir de preceptos normativos correctamente formulados. </w:t>
      </w:r>
    </w:p>
    <w:p w14:paraId="09E3FF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D1E2E9" w14:textId="7AAE002E"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II</w:t>
      </w:r>
    </w:p>
    <w:p w14:paraId="30FAB2F4" w14:textId="0049E691"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1CAFF7DC" w14:textId="2E1EF3E9"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Etapa previa</w:t>
      </w:r>
    </w:p>
    <w:p w14:paraId="25C475C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E66E3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expedición de un decreto o resolución debe ser producto de un proceso de formación. En la producción de normas jurídicas deberán agotarse las siguientes etapas: </w:t>
      </w:r>
    </w:p>
    <w:p w14:paraId="2F1F0C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53125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PLANEACIÓN: Dada la trascendencia que tiene el Derecho para la vida social, deben adoptarse previsiones que hagan de la redacción de las normas un ejercicio metódico y no simplemente el acto material de llenar una hoja de papel con unas palabras escogidas al azar. De esta manera, antes de iniciar el proceso de elaboración de una norma, será de utilidad contestar el siguiente cuestionario: </w:t>
      </w:r>
    </w:p>
    <w:p w14:paraId="597128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2611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¿Cuál es la finalidad de la norma que se va a expedir (Escoja UNA sola finalidad). </w:t>
      </w:r>
    </w:p>
    <w:p w14:paraId="006868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7535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Identifique la problemática y el objetivo que persigue la emisión de la norma. </w:t>
      </w:r>
    </w:p>
    <w:p w14:paraId="6B9BC4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DF30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¿Existe alguna norma vigente que regule el mismo tema Sí____ (pase a la pregunta 4). No____ (pase a la pregunta 6). </w:t>
      </w:r>
    </w:p>
    <w:p w14:paraId="7A59A4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BF646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Si ya existe una norma, explique por qué resulta insuficiente. </w:t>
      </w:r>
    </w:p>
    <w:p w14:paraId="11FF8C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3C32B6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Si ya existe una norma que regule el mismo tema, especifique según sea el caso si el proyecto: </w:t>
      </w:r>
    </w:p>
    <w:p w14:paraId="4163B3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E652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5.1. Deroga __ </w:t>
      </w:r>
    </w:p>
    <w:p w14:paraId="2700A1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E3BF1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5.2. Modifica __ </w:t>
      </w:r>
    </w:p>
    <w:p w14:paraId="3C9CB3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A225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5.3. Sustituye __ </w:t>
      </w:r>
    </w:p>
    <w:p w14:paraId="018F5A0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7D43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5.4. Es nuevo __ </w:t>
      </w:r>
    </w:p>
    <w:p w14:paraId="279E6B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38698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 contesta 5.1., 5.2. o 5.3., identifique la norma correspondiente, fecha de expedición y vigencia; </w:t>
      </w:r>
    </w:p>
    <w:p w14:paraId="5DA39C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8B972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Indique la(s) disposición (es) de orden constitucional o legal que otorga la competencia para expedir el Decreto o resolución; si no existe, no podrá seguir adelante con el trámite de elaboración del texto normativo. </w:t>
      </w:r>
    </w:p>
    <w:p w14:paraId="2D5D7DC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AF81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resultado de este cuestionario debe ponerse en conocimiento del jefe de la entidad para que autorice la iniciación del trámite de elaboración del proyecto de decreto o resolución. A partir de ello, se deberá establecer un plan de trabajo para el efecto y se asignarán responsabilidades para cada una de las etapas que a continuación se mencionan. </w:t>
      </w:r>
    </w:p>
    <w:p w14:paraId="460CCF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48B30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Como parte del proceso de planeación normativa, las entidades deben contar, además, con un Plan de Producción Normativa que defina las prioridades reglamentarias de mediano y largo plazo, y en el que se incluyan las disposiciones que previsiblemente deben expedirse, sea porque se trate de normas que emanan regularmente de la entidad o porque corresponden a compromisos regulatorios impuestos por el legislador o en desarrollo de políticas públicas. </w:t>
      </w:r>
    </w:p>
    <w:p w14:paraId="1ACC9A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543F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DEFINICIONES PREVIAS  </w:t>
      </w:r>
    </w:p>
    <w:p w14:paraId="591C4E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EF1A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 Definir el propósito que se quiere materializar con la norma (¿para qué ): Un propósito preciso y claro es el mejor instrumento de quien redacta una norma para alcanzar el objetivo de la misma. Para ello habrá que definir lo que se quiere y qué hará el destinatario con las disposiciones contenidas en el texto del documento normativo a crear. </w:t>
      </w:r>
    </w:p>
    <w:p w14:paraId="48E1A6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3ACB91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 Identificar al destinatario de la norma (¿a quién se aplica ): El conocimiento del destinatario del decreto o resolución facilita el uso del lenguaje adecuado a los propósitos de la disposición. </w:t>
      </w:r>
    </w:p>
    <w:p w14:paraId="6446465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04F8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ESTUDIOS DE IMPACTO (¿qué impacto se espera obtener ): Todo decreto o resolución produce, en principio, un impacto en el ámbito jurídico, económico e incluso ambiental. Por tanto, será necesario realizar un Estudio de Impacto Normativo con el fin de determinar la necesidad de expedir, modificar o derogar una normatividad. </w:t>
      </w:r>
    </w:p>
    <w:p w14:paraId="14C12D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FA17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estudio de impacto normativo es una herramienta fundamental para procurar una mejora sustancial en los decretos y resoluciones que se pretendan expedir a partir de la implementación del presente Manual, y contendrá: </w:t>
      </w:r>
    </w:p>
    <w:p w14:paraId="025352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8AE72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3.1. Oportunidad del proyecto: El estudio sobre la oportunidad del proyecto identificará los objetivos de la propuesta, el análisis de las alternativas existentes, tanto normativas como de cualquier otra naturaleza, todo con el fin de sustentar la necesidad de su expedición. </w:t>
      </w:r>
    </w:p>
    <w:p w14:paraId="58D21C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9C7C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3.2.Impacto jurídico: El objeto de este estudio es garantizar la coherencia del ordenamiento jurídico, así como evitar problemas de interpretación y aplicación de los preceptos normativos que se proyectan frente a las disposiciones vigentes. </w:t>
      </w:r>
    </w:p>
    <w:p w14:paraId="0155634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CD8D5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el efecto, el estudio de impacto del proyecto debe observar los siguientes principios jurídicos fundamentales: </w:t>
      </w:r>
    </w:p>
    <w:p w14:paraId="3FB3ABC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D0E1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3.2.1. Supremacía constitucional y jerarquía normativa: La Constitución es la norma de normas e implica que toda actuación que se adelante está sometida a esta. La Constitución establece el sistema de fuentes del derecho y sirve de sustento al orden jurídico, por lo que toda norma jurídica, para su validez, debe estar fundada en la Constitución Política de Colombia. </w:t>
      </w:r>
    </w:p>
    <w:p w14:paraId="6A56BD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9EF2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este contexto, en la elaboración de todo decreto o resolución debe tenerse en cuenta el respeto a la dignidad humana y la garantía de los derechos y libertades fundamentales previstos en la Constitución. </w:t>
      </w:r>
    </w:p>
    <w:p w14:paraId="18C1C9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5E7A7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3.2.2. Legalidad: Implica el sometimiento de las autoridades a la totalidad del sistema normativo y la plena juridicidad de la actuación administrativa. Debe recordarse que los servidores públicos son responsables por infringir la Constitución y las leyes, y por omisión o extralimitación en el ejercicio de sus funciones. </w:t>
      </w:r>
    </w:p>
    <w:p w14:paraId="0C8E24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40E4A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el caso de las autoridades públicas el principio de legalidad y el deber de obediencia al ordenamiento jurídico constituyen además un presupuesto fundamental para el ejercicio de sus competencias, por lo que quien proyecta una norma jurídica debe señalar las atribuciones constitucionales y las facultades legales que sirven de sustento para su expedición. </w:t>
      </w:r>
    </w:p>
    <w:p w14:paraId="7357A73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B774B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3.2.3. Seguridad jurídica: Es la cualidad del ordenamiento jurídico que produce certeza y confianza en el ciudadano sobre lo que constituye Derecho en cada momento y sobre lo que previsiblemente lo será en el futuro. </w:t>
      </w:r>
    </w:p>
    <w:p w14:paraId="0D04D1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D366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 anterior implica para el redactor del proyecto de decreto o resolución el conocimiento inequívoco de lo que se pretende con lo proyectado, lo que se puede hacer o exigir y sobre su alcance, así como las modificaciones sobre la situación jurídica que la disposición causará sobre los particulares considerando las normas preexistentes. </w:t>
      </w:r>
    </w:p>
    <w:p w14:paraId="24FF44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0560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atención a este principio, quien proyecte el decreto o resolución deberá hacer un estudio sobre la vigencia y derogatoria que se producirá con su expedición. </w:t>
      </w:r>
    </w:p>
    <w:p w14:paraId="194DD4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E4E06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Igualmente, involucra la carga de claridad y precisión en la redacción, con el fin de que no haya nada oscuro, incierto o arbitrario en la idea que se formule, para que los destinatarios conozcan y entiendan sin ambigüedades las consecuencias de su cumplimiento o contravención. </w:t>
      </w:r>
    </w:p>
    <w:p w14:paraId="3C822E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2F95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3.2.4. Reserva de ley: Se entiende por este principio la potestad que tiene el Poder Legislativo de regular ciertas materias por sí mismo, mediante ley y, en consecuencia, la prohibición que tiene el Ejecutivo para su regulación mediante actos administrativos. </w:t>
      </w:r>
    </w:p>
    <w:p w14:paraId="61818B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1DE91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3.2.5. Eficacia o efectividad: Significa que el decreto o resolución deben ser idóneos para regular la realidad en ellos descrita y, por tanto, producir los efectos jurídicos que, con su emisión, fueron proyectados. </w:t>
      </w:r>
    </w:p>
    <w:p w14:paraId="127CA4D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CB803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 conformidad con lo anterior, el estudio de impacto y viabilidad jurídica del proyecto deberá contener, al menos, los siguientes elementos: </w:t>
      </w:r>
    </w:p>
    <w:p w14:paraId="640301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5F0E7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Análisis de las normas que otorgan para la expedición del decreto o resolución, en especial de las atribuciones constitucionales o facultades legales del Presidente de la República. </w:t>
      </w:r>
    </w:p>
    <w:p w14:paraId="73BB6E7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8A50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La vigencia de la ley a reglamentar. </w:t>
      </w:r>
    </w:p>
    <w:p w14:paraId="6D4ACC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A25F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Listado de las disposiciones derogadas, subrogadas, modificadas, adicionadas o sustituidas, si alguno o algunos de estos efectos se produce con la expedición del decreto o resolución. </w:t>
      </w:r>
    </w:p>
    <w:p w14:paraId="1530DF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EFC24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Cuando se vaya a reglamentar una materia o modificar la reglamentación vigente, se deberá verificar que se incluyan todos los aspectos necesarios para evitar modificaciones o correcciones posteriores que se hubieren podido prever. </w:t>
      </w:r>
    </w:p>
    <w:p w14:paraId="7A0195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9D893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En caso de que dentro del año inmediatamente anterior ya se hubiere reglamentado la misma materia, se deberán explicar las razones para expedir un nuevo decreto o resolución, y el impacto que ello podría tener en la seguridad jurídica de los destinatarios. </w:t>
      </w:r>
    </w:p>
    <w:p w14:paraId="749F541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F68DD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3.3. Impacto económico: En los eventos en que la naturaleza del decreto o resolución así lo amerite, deberá señalar el impacto económico, que contemplará la posibilidad de proporcionar a los destinatarios tiempo y medios suficientes para adaptarse a las nuevas condiciones que se dicten para el ejercicio de derechos y obligaciones. </w:t>
      </w:r>
    </w:p>
    <w:p w14:paraId="1500A3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7F16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3.4. Impacto presupuestal: Según el caso, se deberán identificar los costos fiscales del proyecto normativo y la fuente para la financiación de dicho costo. En este caso, el proyecto será conciliado con el Ministerio de Hacienda y Crédito Público. </w:t>
      </w:r>
    </w:p>
    <w:p w14:paraId="2A84CF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40D6B0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Finalmente, cuando se requiera, deberá elaborarse un estudio de impacto ambiental y ecológico, y si llegare a ser del caso, sobre el patrimonio cultural de la Nación. </w:t>
      </w:r>
    </w:p>
    <w:p w14:paraId="51CF0E4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62CE59"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4. VERIFICACIÓN Y MEMORIA JUSTIFICATIVA  </w:t>
      </w:r>
    </w:p>
    <w:p w14:paraId="5C92F4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A8F6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jefe de la oficina jurídica de la entidad u organismo deberá verificar el cumplimiento de los pasos y requisitos contemplados en la etapa previa. Realizada dicha verificación, solicitará autorización al Ministro o Director de Departamento Administrativo para iniciar la etapa de redacción del decreto o resolución. </w:t>
      </w:r>
    </w:p>
    <w:p w14:paraId="4916C7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9FEE9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insumos generados en la etapa previa, en particular, el Estudio de Impacto Normativo, servirán no solo para la redacción del decreto o resolución sino para la elaboración de la memoria justificativa que deberá acompañarse a todo proyecto de decreto o resolución que sea sometido a la firma del Presidente de la República. </w:t>
      </w:r>
    </w:p>
    <w:p w14:paraId="134C7553" w14:textId="74800410"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773DBC61" w14:textId="6E28E0E8"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III</w:t>
      </w:r>
    </w:p>
    <w:p w14:paraId="1670BD2B" w14:textId="3149114E"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7E15CBB2" w14:textId="5B299BE6"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Etapa de redacción</w:t>
      </w:r>
    </w:p>
    <w:p w14:paraId="25346A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F597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Después de planear el contenido y recabar la información necesaria para desarrollar las ideas generadas y convertirlas en decreto o resolución, comenzará la etapa de redacción, para lo cual resulta recomendable seguir una estructura mínima que permita materializar una secuencia idónea desde el punto de vista de la técnica normativa. </w:t>
      </w:r>
    </w:p>
    <w:p w14:paraId="76B483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61F88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ESTRUCTURA NORMATIVA  </w:t>
      </w:r>
    </w:p>
    <w:p w14:paraId="02B461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1202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Todo proyecto de decreto o resolución deberá contar con la siguiente estructura: </w:t>
      </w:r>
    </w:p>
    <w:p w14:paraId="16F11EA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30A8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Encabezado. </w:t>
      </w:r>
    </w:p>
    <w:p w14:paraId="54AEE9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53478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Epígrafe. </w:t>
      </w:r>
    </w:p>
    <w:p w14:paraId="590C45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6C648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Competencia - Atribuciones Constitucionales o facultades legales. </w:t>
      </w:r>
    </w:p>
    <w:p w14:paraId="3FD94E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EB63C9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Parte considerativa o motiva. </w:t>
      </w:r>
    </w:p>
    <w:p w14:paraId="003FE3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197C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Parte dispositiva. </w:t>
      </w:r>
    </w:p>
    <w:p w14:paraId="22D8B12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1055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1.6. Anexos. </w:t>
      </w:r>
    </w:p>
    <w:p w14:paraId="039C66B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1D1F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contenido de cada uno de los apartados anteriores debe ser el siguiente: </w:t>
      </w:r>
    </w:p>
    <w:p w14:paraId="5250FA8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7A718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1.1. Encabezado: Contendrá la denominación del acto utilizando las palabras en mayúsculas: “DECRETO” o “RESOLUCIÓN”, expresión que constituye el nombre oficial del mismo y que permitirá su rápida identificación. </w:t>
      </w:r>
    </w:p>
    <w:p w14:paraId="305962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22DF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Seguidamente se dejará un espacio suficiente para el número y la fecha de expedición. </w:t>
      </w:r>
    </w:p>
    <w:p w14:paraId="04F33EC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BC77A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 Epígrafe: Constituye el título del decreto o resolución. Sirve para indicar brevemente una idea del contenido o tema. El epígrafe cumplirá con la siguiente técnica normativa: </w:t>
      </w:r>
    </w:p>
    <w:p w14:paraId="13479C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D38DE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1.2.1. Indicar el objeto sobre el cual trata el contenido de la norma. </w:t>
      </w:r>
    </w:p>
    <w:p w14:paraId="49AD99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3E419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1.2.2. Corto y preciso, subsiguiente al encabezado del decreto o resolución. </w:t>
      </w:r>
    </w:p>
    <w:p w14:paraId="00A6DC1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564B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1.2.3. Único para cada decreto o resolución, es decir, el título del acto debe ser diferente de los títulos de otros actos vigentes. </w:t>
      </w:r>
    </w:p>
    <w:p w14:paraId="358DE7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FE847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1.2.4. No inducir a error sobre el contenido de la parte dispositiva. Debe dar una idea lo más clara posible del contenido del acto. </w:t>
      </w:r>
    </w:p>
    <w:p w14:paraId="2D1DE3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C034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1.3. Competencia: Deberá indicarse las disposiciones de orden constitucional o legal que asignan la competencia para expedir el decreto o resolución. </w:t>
      </w:r>
    </w:p>
    <w:p w14:paraId="5E9DB4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2E07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Cuando se citen normas de distinta jerarquía, deberán mencionarse en primer lugar las constitucionales y luego las legales, citando cronológicamente de la más antigua a la nueva. </w:t>
      </w:r>
    </w:p>
    <w:p w14:paraId="77DE8F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2A50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 el fundamento jurídico es un cuerpo normativo (Constitución Política, Ley 489, etc.), la cita global de este se acompañará de la fórmula “y, en particular,” seguido del artículo pertinente. Ejemplo: “El Presidente de la República de Colombia, en uso de sus atribuciones constitucionales, y en particular, las previstas en el artículo 189, numeral 11. …”.  </w:t>
      </w:r>
    </w:p>
    <w:p w14:paraId="6268F9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37460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 Parte considerativa o motiva: Se identificará con la palabra en mayúsculas “CONSIDERANDO”, y continúa con párrafos formados por una o por varias frases completas. Se formula de modo no imperativo ya que no debe confundirse con la parte dispositiva. </w:t>
      </w:r>
    </w:p>
    <w:p w14:paraId="1385BD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C889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acápite de los considerandos contiene la motivación del acto administrativo y se ubica entre la competencia y la parte dispositiva. La motivación consistirá en una breve explicación de los antecedentes y las necesidades que llevaron a la elaboración del proyecto de decreto o resolución a efectos de justificar su expedición, cuando a ello haya lugar. </w:t>
      </w:r>
    </w:p>
    <w:p w14:paraId="0451CB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FF837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1.4.1. Si bien no existen fórmulas sacramentales que indiquen el contenido de la parte motiva, es recomendable que se incluyan, cuando a ello haya lugar, al menos, los siguientes puntos: </w:t>
      </w:r>
    </w:p>
    <w:p w14:paraId="7562467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6370B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1.4.1.1. Exposición concisa de los elementos de hecho y de derecho que se han tomado en consideración; </w:t>
      </w:r>
    </w:p>
    <w:p w14:paraId="18BAF2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6E3E6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1.4.1.2. Si resultare necesario recordar el contexto histórico del acto, el relato seguirá el orden cronológico de los hechos; </w:t>
      </w:r>
    </w:p>
    <w:p w14:paraId="00028B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B3E2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1.4.1.3. La justificación del contenido material del proyecto, que corresponde al conjunto de argumentos políticos, económicos, jurídicos o de cualquier orden que sirvan de soporte a la iniciativa; </w:t>
      </w:r>
    </w:p>
    <w:p w14:paraId="1BF208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3DBAF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1.4.1.4. Los objetivos que pretenden lograrse; </w:t>
      </w:r>
    </w:p>
    <w:p w14:paraId="6E39AD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5C4F48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1.4.1.5. La indicación de que se cumplió con el requisito de la consulta, cuando el ordenamiento jurídico lo exija; </w:t>
      </w:r>
    </w:p>
    <w:p w14:paraId="5FE609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0D3C5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1.4.1.6. Los considerandos deben guardar relación con la parte dispositiva; su orden debe corresponder en la medida de lo posible al de las decisiones que motivan; </w:t>
      </w:r>
    </w:p>
    <w:p w14:paraId="71D176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BA22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1.4.1.7. No es necesario justificar individualmente cada disposición. De ser posible, se recomienda motivar la derogatoria o la supresión; </w:t>
      </w:r>
    </w:p>
    <w:p w14:paraId="7ECE152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0D93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1.4.1.8. La conclusión de que, por lo tanto, es necesario u oportuno adoptar las medidas contempladas en la parte dispositiva. </w:t>
      </w:r>
    </w:p>
    <w:p w14:paraId="7AD1B0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76A1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1.4.2. Ahora, en virtud a que los considerandos han de constituir una verdadera motivación, deberán evitarse las siguientes prácticas: </w:t>
      </w:r>
    </w:p>
    <w:p w14:paraId="3712E74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B3FB9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1.4.2.1. Salvo que sea estrictamente necesario, no debe incluirse la cita de los fundamentos jurídicos del acto, los cuales deben figurar en la competencia, o la repetición del fragmento de la disposición citada como base jurídica del acto que confiere la competencia para actuar; </w:t>
      </w:r>
    </w:p>
    <w:p w14:paraId="06BB74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839E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1.4.2.2. Los considerandos son inútiles o no responden a su finalidad cuando se limitan a anunciar el objeto del texto o a reproducir o incluso parafrasear sus disposiciones, sin indicar en ellos los motivos; </w:t>
      </w:r>
    </w:p>
    <w:p w14:paraId="3457C1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5A411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1.4.2.3. Deben rechazarse los considerandos que simplemente declaran la conveniencia de adoptar disposiciones, sin indicar las razones que las justifican; </w:t>
      </w:r>
    </w:p>
    <w:p w14:paraId="22531B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489E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1.4.2.4. Es necesario evitar que la motivación de un acto se realice, aunque solo sea parcialmente, mediante una simple remisión a la motivación de otro acto (lo que en los manuales de técnica legislativa se conoce como “motivaciones cruzadas”).  </w:t>
      </w:r>
    </w:p>
    <w:p w14:paraId="21E5DB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2792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conclusión, la parte motiva es de suma importancia para comprender el proyecto, legitimarlo y fundarlo adecuadamente para facilitar su aplicación y divulgación. Además, constituye una herramienta de singular importancia en la interpretación de la norma. </w:t>
      </w:r>
    </w:p>
    <w:p w14:paraId="2B251D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F006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1.4.3. En relación con los decretos reglamentarios que en adelante se expidan, estos deberán seguir incluyendo el apartado de Considerandos, no obstante que su destino sea la incorporación en los decretos únicos reglamentarios. Aunque los considerandos no se incorporan textualmente en los decretos únicos, sí constituyen parte integrante de las normas compiladas. </w:t>
      </w:r>
    </w:p>
    <w:p w14:paraId="183E22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2C12C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Por demás, el hecho de que los considerandos de cada decreto reglamentario no se transcriban en el decreto único correspondiente no quiere decir que no puedan ser consultados de manera individual, en el texto de cada decreto. De todos modos, siguen siendo la motivación del acto administrativo y una ayuda interpretativa fundamental para establecer los alcances y legitimidad de la norma. </w:t>
      </w:r>
    </w:p>
    <w:p w14:paraId="67D724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A1C3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 Parte dispositiva: Es la parte normativa del acto. Comenzará con las palabras en mayúsculas “DECRETA” o “RESUELVE”, según se trate de decretos o resoluciones. Está compuesta de artículos agrupados eventualmente en títulos, capítulos, secciones y, si es el caso, de anexos. </w:t>
      </w:r>
    </w:p>
    <w:p w14:paraId="2FE86C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86B9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parte dispositiva se expresa en prescripciones que deben ir directamente al objetivo, esto es, la producción de efectos jurídicos, o a su creación, modificación o extinción. </w:t>
      </w:r>
    </w:p>
    <w:p w14:paraId="059A1B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2713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parte dispositiva de un acto vinculante no debe contener: </w:t>
      </w:r>
    </w:p>
    <w:p w14:paraId="6A11DD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A6D82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Disposiciones carentes de carácter normativo, tales como manifestaciones de deseos o declaraciones políticas; </w:t>
      </w:r>
    </w:p>
    <w:p w14:paraId="662EB3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BB4C4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Enunciados que reproduzcan o parafraseen pasajes o artículos de otras normas jurídicas o confirmen la vigencia de las mismas; </w:t>
      </w:r>
    </w:p>
    <w:p w14:paraId="3469D3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EC46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Disposiciones que no hacen más que anunciar el contenido de otros artículos o que no añaden nada a la norma. Una estructura de este tipo crea confusión en cuanto a la verdadera base jurídica para una medida de ejecución futura: ¿es el artículo el que contiene la referencia, o el artículo al cual se hace referencia Ejemplo de esta mala práctica es la siguiente: “con el fin de cumplir con el objetivo de este decreto, las autoridades adoptarán las medidas previstas en el Título 1 ibídem”;  </w:t>
      </w:r>
    </w:p>
    <w:p w14:paraId="354D5B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ABFE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Enunciados que repiten el título del acto. Incluso cuando no pueda evitarse la utilización de los términos que forman parte del título del acto (por ejemplo, en el artículo que define el objeto y el alcance del acto), es necesario que haya un valor agregado, es decir, una mayor especificación de los parámetros del texto. De lo contrario, estas disposiciones quedarían desprovistas de contenido normativo y se corre el riesgo, además, de crear una confusión en cuanto a los derechos y obligaciones consagrados por el acto. </w:t>
      </w:r>
    </w:p>
    <w:p w14:paraId="28527E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D2D06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1.5.1. Estructura de la parte dispositiva: Con el propósito de lograr claridad y coherencia en la parte dispositiva, esta se redactará, en la medida de lo posible, conforme a una estructura modelo que incluya “DISPOSICIONES GENERALES” (objeto y ámbito de aplicación, cuando la comprensión de la norma así lo exija), “DISPOSICIONES PRINCIPALES” (parte sustancial y parte procedimental, según el caso) y “DISPOSICIONES FINALES” (normas transitorias, vigencias y derogatorias). </w:t>
      </w:r>
    </w:p>
    <w:p w14:paraId="559298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F8E0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1.5.1.1.Disposiciones generales: Se ubican al comienzo de la parte dispositiva y comprenden: </w:t>
      </w:r>
    </w:p>
    <w:p w14:paraId="2DC472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5953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1.5.1.1.1.Objeto: Es sobre lo que versa la norma; explica el porqué o para qué de esta. Es inútil si solo constituye una perífrasis del título. Por el contrario, puede proporcionar al destinatario elementos que no se habrán incluido en el título por un deseo de concisión, pero que le permiten comprobar, a primera vista, si el acto le afecta o no. </w:t>
      </w:r>
    </w:p>
    <w:p w14:paraId="51F417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36D3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1.5.1.1.2. Ámbito de aplicación: Designa las categorías de situaciones de hecho o de derecho y las personas o entidades a las que se aplica el acto. </w:t>
      </w:r>
    </w:p>
    <w:p w14:paraId="7E5FD0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D0676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1.5.1.2.Disposiciones principales: Desarrollan el objeto de la norma y su forma. Se modulará en función del objetivo que se persiga y el grado de complejidad del sistema previsto. Según tales circunstancias, podría tener una parte sustancial y otra procedimental. </w:t>
      </w:r>
    </w:p>
    <w:p w14:paraId="221B74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42885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1.5.1.3.Disposiciones finales: Deberá utilizarse un criterio restrictivo en la elaboración de la parte final. Salvo que se trate de preceptos que no puedan ubicarse en las disposiciones principales, porque perjudicarían la coherencia y unidad interna del proyecto, las disposiciones finales solo incluirán: </w:t>
      </w:r>
    </w:p>
    <w:p w14:paraId="1D75BC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8C523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1.5.1.3.1. Normas transitorias: Tienen como objetivo prever el tránsito de una situación jurídica dada, a una situación jurídica nueva, que es creada o modificada por virtud de la vigencia de la norma. Es necesario utilizar un lenguaje, y sobre todo mencionar fechas, que no dejen lugar a dudas respecto al período en el que la antigua normativa, o una parte de esta, siguen siendo aplicables de manera residual, una vez que el nuevo sistema haya entrado en vigencia. </w:t>
      </w:r>
    </w:p>
    <w:p w14:paraId="4DE8E2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4E96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Debe tenerse especial cuidado en no incluir normas permanentes en el artículo correspondiente a normas transitorias. </w:t>
      </w:r>
    </w:p>
    <w:p w14:paraId="33E4BE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6C1EB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1.5.1.3.2. Derogatoria: Es la cesación de la vigencia de la norma que se produce en virtud de una norma posterior (norma derogatoria). Cuando se trate de un acto de carácter general, se deberán indicar las disposiciones que sean derogadas, subrogadas, modificadas, adicionadas o sustituidas, si alguno de estos efectos se produce por la vigencia de la nueva norma. </w:t>
      </w:r>
    </w:p>
    <w:p w14:paraId="73E34E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553B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Cuando se trate de una modificación el artículo correspondiente tendrá la siguiente estructura tipo: </w:t>
      </w:r>
    </w:p>
    <w:p w14:paraId="4AE592E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44276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“Artículo___ Modificación del artículo ___ del decreto ___ de ___ </w:t>
      </w:r>
    </w:p>
    <w:p w14:paraId="64CD9A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AD6A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artículo ___ del decreto ___ de ___ quedará así: </w:t>
      </w:r>
    </w:p>
    <w:p w14:paraId="1DEA2B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819D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___. (Título). (Nuevo texto)”. </w:t>
      </w:r>
    </w:p>
    <w:p w14:paraId="7695A7D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554CF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virtud del principio de jerarquía, la norma derogatoria debe ser de un rango igual o superior de la norma derogada (Ej.: un decreto reglamentario no tiene la virtualidad de derogar una ley); una norma de inferior jerarquía jamás puede prevalecer y, por tanto, tampoco derogar una norma superior. </w:t>
      </w:r>
    </w:p>
    <w:p w14:paraId="717629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1372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Todo proyecto de decreto de contenido general debe indicar las disposiciones derogadas, subrogadas, modificadas, adicionadas o sustituidas. Por consiguiente, los decretos reglamentarios que en adelante se expidan no podrán incluir la expresión “este decreto deroga todas las disposiciones que resulten contrarias” u otras expresiones equivalentes. </w:t>
      </w:r>
    </w:p>
    <w:p w14:paraId="4E208BE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A531A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Justamente, el objetivo de la expedición de los Decretos Únicos Reglamentarios es permitir la identificación precisa de la regulación que deja de existir. </w:t>
      </w:r>
    </w:p>
    <w:p w14:paraId="496FC2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F8907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derogación de artículos, secciones, capítulos, títulos y partes completos de los decretos únicos reglamentarios es perfectamente posible. No obstante, dicha derogación no exige una nueva enumeración de las secciones, capítulos, etc., que conservan su vigencia. </w:t>
      </w:r>
    </w:p>
    <w:p w14:paraId="26F761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B68BCF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Así, por ejemplo, si el nuevo decreto pretende derogar el capítulo 1 de un título que contiene varios capítulos, los capítulos restantes no deben reenumerarse. El capítulo derogado debe quedar vacío, para evitar el traumatismo que conllevaría volver a enumerar el resto de la normativa. </w:t>
      </w:r>
    </w:p>
    <w:p w14:paraId="7C26566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CC8A7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seguridad jurídica exige que las normas que componen los decretos únicos reglamentarios conserven indefinidamente su numeración inicial. Esto garantiza que sean memorizadas y reconocibles permanente. </w:t>
      </w:r>
    </w:p>
    <w:p w14:paraId="72E8351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48BE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1.5.1.3.3. Vigencia: Indica la fecha a partir de la cual la norma integra o hace parte del ordenamiento jurídico, así como, eventualmente, el periodo en el cual será aplicable (Ej.: “Hasta el 31 de diciembre de 20___”). Salvo que la ley prevea expresamente lo contrario, el artículo final de cualquier decreto reglamentario o resolución deberá disponer que regirá desde la fecha de su expedición, comunicación o publicación. </w:t>
      </w:r>
    </w:p>
    <w:p w14:paraId="6EBFCDA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411AC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artículo de vigencia de un decreto reglamentario que pretenda expedirse no debe numerarse con el formato de los artículos de los decretos únicos reglamentarios, pues no es objeto de compilación. En este sentido, la norma de vigencia debe tener la nominación ordinaria. </w:t>
      </w:r>
    </w:p>
    <w:p w14:paraId="0FADAE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0457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Ejemplo: </w:t>
      </w:r>
    </w:p>
    <w:p w14:paraId="629225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BAA28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1º. Vigencia y Derogatorias. El presente Decreto rige a partir de su publicación y deroga íntegramente el Capítulo 3 del Título 5 de la Parte 2 del Libro 2 del Decreto 1080 de 2015, Decreto Único Reglamentario del Sector Cultura”. </w:t>
      </w:r>
    </w:p>
    <w:p w14:paraId="69DC38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6CAA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1.5.1.3.4. Expedición y firma(s): Datos de la dependencia o entidad que lo expide, nombre completo, cargo y firma del Ministro o Director de Departamento Administrativo. </w:t>
      </w:r>
    </w:p>
    <w:p w14:paraId="23D4C2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43FC4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1.5.2. División interna de un proyecto normativo: Las partes de un texto normativo deben organizarse sistemáticamente. La parte dispositiva se subdividirá en artículos y, según su extensión y complejidad, en títulos, capítulos y secciones. </w:t>
      </w:r>
    </w:p>
    <w:p w14:paraId="0D587AD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66CFD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1.5.2.1. Subdivisión. Los títulos, capítulos y secciones se identificarán con mayúsculas sostenidas centradas, se numerarán en arábigos y deberán llevar título en negrilla. A manera de ejemplo se tiene: </w:t>
      </w:r>
    </w:p>
    <w:p w14:paraId="6E57DC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B6BAB1" w14:textId="664EBA18"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“TÍTULO 1</w:t>
      </w:r>
    </w:p>
    <w:p w14:paraId="6C24DB5C" w14:textId="75460800"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5D004810" w14:textId="1AADEDAD"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ORGANIZACIÓN Y FUNCIONAMIENTO</w:t>
      </w:r>
    </w:p>
    <w:p w14:paraId="6ED98086" w14:textId="1D83BB20"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29249868" w14:textId="61AE73B8"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1</w:t>
      </w:r>
    </w:p>
    <w:p w14:paraId="7BF78DD7" w14:textId="7C9A436A"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63097CEB" w14:textId="45193716"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Nivel nacional</w:t>
      </w:r>
    </w:p>
    <w:p w14:paraId="7E0A4179" w14:textId="73633150"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6A7EB3B1" w14:textId="3F67C099"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19C08D81" w14:textId="0A549536"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0B015F8A" w14:textId="69ECF41C"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Entidades cabezas de sector administrativo</w:t>
      </w:r>
    </w:p>
    <w:p w14:paraId="4EBAE4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CFC7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1.5.2.2. Numeración. Los artículos se enumerarán en cardinales arábigos y deberán llevar título. Tras la palabra en negrilla, el cardinal arábigo, seguido de punto y un espacio, sin subrayado, ni cursiva; a continuación, en cursiva y negrilla, el título del artículo en minúscula, salvo la letra inicial, y un punto final. (Ej.: “Artículo 2°. Ámbito de aplicación”.). </w:t>
      </w:r>
    </w:p>
    <w:p w14:paraId="2816BC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37B1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criterios fundamentales para la redacción y división de un artículo son: cada artículo, un tema; cada inciso, un enunciado; cada enunciado, una idea. </w:t>
      </w:r>
    </w:p>
    <w:p w14:paraId="72A189B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2D01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apartes de un mismo artículo se denominan incisos, menos los que estén enumerados, los cuales se distinguen por su número y hacen parte del inciso que les precede. No es conveniente que un artículo tenga más de cuatro incisos. </w:t>
      </w:r>
    </w:p>
    <w:p w14:paraId="6BADEA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16BBE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los artículos que contengan listas, conviene diferenciar cada elemento de la lista con números (numerales). Tales subdivisiones, en el caso de ser necesario, iniciarán con cardinales arábigos (“1., 2., 3...”) y, excepcionalmente, cuando sea necesaria una nueva subdivisión, se identificarán tantos decimales como sea necesario (“1.1., 1.2., 1.3. (...) 1.1.1., 1.1.2., etc.”.).  </w:t>
      </w:r>
    </w:p>
    <w:p w14:paraId="2533748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0ADA5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artículos de los decretos únicos reglamentarios se enumerarán en cardinales arábigos y deberán llevar título. Deben elaborarse en letra Arial 12 e imprimirse en papel tamaño oficio. </w:t>
      </w:r>
    </w:p>
    <w:p w14:paraId="356791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3572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el sistema de numeración de los decretos únicos reglamentarios - ej.: “Artículo 2.2.3.5.1.6.”, el primer número designa al libro, y los subsiguientes, en su orden, a la parte, el título, el capítulo, la sección o el artículo, según el caso. </w:t>
      </w:r>
    </w:p>
    <w:p w14:paraId="5A7E0C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0C4A5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1.6. Anexos: Su utilidad consiste en que ellos contienen elementos técnicos, guías, planos, relaciones de bienes o personas, que resulta difícil incluir en la parte dispositiva. Si la norma lleva anexos, en la parte dispositiva deberá indicarse con claridad, en el lugar oportuno y con una remisión específica, el vínculo que existe entre las disposiciones y el anexo. </w:t>
      </w:r>
    </w:p>
    <w:p w14:paraId="0309CD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A21C3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 son varios anexos, la palabra anexo irá seguida del ordinal arábigo que le corresponda (1, 2, 3...), por ejemplo, “para el cumplimiento de lo dispuesto en este decreto (o resolución), deberán observase los requisitos del Anexo 1”. </w:t>
      </w:r>
    </w:p>
    <w:p w14:paraId="6C493F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10BBF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anexos deberán ubicarse a continuación de las firmas del acto normativo. </w:t>
      </w:r>
    </w:p>
    <w:p w14:paraId="4ACD07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B542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1.7.Reglas propias de los decretos únicos reglamentarios. Cuando hayan de expedirse normas que afecten la estructura de un decreto único deberán observarse los siguientes parámetros. </w:t>
      </w:r>
    </w:p>
    <w:p w14:paraId="62B490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42676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1.7.1.Adición de disposiciones a los decretos únicos reglamentarios. En aquellos casos en que las disposiciones del decreto reglamentario pretendan incorporarse como normativa novedosa, esto es, adicionar un decreto único reglamentario, aquel deberá indicar el lugar exacto en donde debe insertarse. </w:t>
      </w:r>
    </w:p>
    <w:p w14:paraId="12A894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85E7F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este sentido, todo decreto deberá señalar el libro, la parte, el título, el capítulo, la sección o el (los) artículo(s) del Decreto Único Reglamentario que se desea agregar. </w:t>
      </w:r>
    </w:p>
    <w:p w14:paraId="0C5CD28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062F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Ejemplo: </w:t>
      </w:r>
    </w:p>
    <w:p w14:paraId="68610D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49B39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1°. Adiciónese el Capítulo 5 al Título 6 de la Parte 2 del Libro 2 del Decreto 1080 de 2015, Decreto Único Reglamentario del Sector Cultura, en los siguientes términos. </w:t>
      </w:r>
    </w:p>
    <w:p w14:paraId="1C7BCB2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2C5CAC" w14:textId="425DB88E"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5</w:t>
      </w:r>
    </w:p>
    <w:p w14:paraId="44EC085A" w14:textId="207DE605"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2E0944AE" w14:textId="18EE1DC5"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Derecho de Participación</w:t>
      </w:r>
    </w:p>
    <w:p w14:paraId="349C94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06B6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2.2.6.5.1. Contenido de los derechos de participación. Los autores de obras de arte gráficas o plásticas, tales como los cuadros, collages, pinturas, dibujos, grabados, estampas, litografías, esculturas, tapices, cerámicas, objetos de cristal, fotografías y piezas de vídeo arte, tendrán derecho a percibir del vendedor una participación en el precio de toda reventa que de las mismas se realice tras la primera cesión realizada por el autor. </w:t>
      </w:r>
    </w:p>
    <w:p w14:paraId="7A932C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B2E77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2.2.6.5.2. Umbral de aplicación. El derecho de participación de los autores nacerá cuando el precio de la reventa sea igual o superior a un millón de pesos, excluidos los impuestos, por obra vendida o conjunto concebido con carácter unitario”. </w:t>
      </w:r>
    </w:p>
    <w:p w14:paraId="40BCA3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FEBB4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 Adiciónese un artículo al Capítulo 5 del Título 6 de la Parte 2 del Libro 2 del Decreto 1080 de 2015, Decreto Único Reglamentario del sector administrativo de cultura, en los siguientes términos. </w:t>
      </w:r>
    </w:p>
    <w:p w14:paraId="3065E3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D5B4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2.2.6.5.3. Responsabilidad solidaria. Los profesionales del mercado del arte que intervengan en las reventas sujetas al derecho de participación conforme al artículo 2.4.7.2.2., responderán solidariamente con el vendedor del pago del derecho”. </w:t>
      </w:r>
    </w:p>
    <w:p w14:paraId="548761F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8C5191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1.7.2. Modificación de disposiciones de los decretos únicos reglamentarios. En caso de que el decreto reglamentario pretenda modificar normas específicas de un decreto único reglamentario, deberá indicarse con exactitud la norma que se modifica. </w:t>
      </w:r>
    </w:p>
    <w:p w14:paraId="6C61611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D5F3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este sentido, el nuevo decreto debe precisar de manera inequívoca el (los) artículo(s) que desea modificar. </w:t>
      </w:r>
    </w:p>
    <w:p w14:paraId="20DF57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338F5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Ejemplo: </w:t>
      </w:r>
    </w:p>
    <w:p w14:paraId="2B410D6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ABE7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l°. Modifíquese el Capítulo 29 del Título 2 de la Parte 2 del Libro 2 del Decreto Único Reglamentario del sector Comercio, Industria y Turismo, Decreto 1074 de 2015, el cual quedará así: </w:t>
      </w:r>
    </w:p>
    <w:p w14:paraId="52EB9D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3F97355" w14:textId="01F8BAC7"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29</w:t>
      </w:r>
    </w:p>
    <w:p w14:paraId="03CA4F43" w14:textId="3E221E37"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034F667B" w14:textId="3DEDE71E"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Prácticas restrictivas de la competencia</w:t>
      </w:r>
    </w:p>
    <w:p w14:paraId="181B2573" w14:textId="6AC85126"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6478590F" w14:textId="21DE042F"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Sección 1</w:t>
      </w:r>
    </w:p>
    <w:p w14:paraId="77FD92B3" w14:textId="5D534FC5"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55F1DFB4" w14:textId="60282A75"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Régimen de beneficios por colaboración</w:t>
      </w:r>
    </w:p>
    <w:p w14:paraId="3B1FCDD7" w14:textId="7FF1A7F0"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4E2875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2.2.2.29.1.1. Objeto. El presente Capítulo establece las condiciones y la forma en que la Superintendencia de Industria y Comercio, en desarrollo del artículo 14 de la Ley 1340 de 2009, concederá beneficios a las personas naturales y jurídicas que colaboren en la detección y represión de acuerdos restrictivos de la libre competencia, en los que hubieran participado en su condición de agentes del mercado o facilitadores. </w:t>
      </w:r>
    </w:p>
    <w:p w14:paraId="0133FC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686C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2.2.2.29.1.2. Definiciones. Para los efectos del presente Capítulo se observarán las siguientes definiciones: </w:t>
      </w:r>
    </w:p>
    <w:p w14:paraId="3B05B8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85639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Instigador o promotor. Es la persona que mediante coacción o grave amenaza induzca a otra u otras a iniciar un acuerdo restrictivo de la libre competencia, siempre que dicha coacción o grave amenaza permanezca durante la ejecución del acuerdo y resulte determinante en la conducta de las empresas involucradas. (...)”. </w:t>
      </w:r>
    </w:p>
    <w:p w14:paraId="49499E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86297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1.7.3. Derogatoria de disposiciones de los decretos únicos reglamentarios. En caso de que el decreto reglamentario pretenda suprimir normas específicas de un decreto único reglamentario, deberá indicarse con exactitud la(s) norma(s) que se deroga(n). </w:t>
      </w:r>
    </w:p>
    <w:p w14:paraId="694CAD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D9D39B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este sentido, el nuevo decreto debe precisar de manera inequívoca el artículo que desea derogar. </w:t>
      </w:r>
    </w:p>
    <w:p w14:paraId="53BB36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14BE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Ejemplo: </w:t>
      </w:r>
    </w:p>
    <w:p w14:paraId="46EF50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E24E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X. Derogatoria. Deróguese el Capítulo 3 del Título 5 de la Parte 2 del Libro 2 del Decreto 1080 de 2015, Decreto Único Reglamentario del Sector Cultura. </w:t>
      </w:r>
    </w:p>
    <w:p w14:paraId="35E360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E9B34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Artículo XX. Derogatoria. Deróguese el artículo 2.4.3.6.2 del Decreto 1080 de 2015, Decreto Único Reglamentario del Sector Cultura”. </w:t>
      </w:r>
    </w:p>
    <w:p w14:paraId="168EDC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B08E9B"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2. PARÁMETROS DOCUMENTALES  </w:t>
      </w:r>
    </w:p>
    <w:p w14:paraId="6D5B81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7CAB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proyectos de normatividad se proyectarán de acuerdo con los siguientes parámetros o especificaciones documentales: </w:t>
      </w:r>
    </w:p>
    <w:p w14:paraId="4BDDDB4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932F8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2.1. Deben elaborarse en letra Arial 12 e imprimirse en papel blanco tamaño oficio. Tienen definidos los siguientes márgenes: Superior, 3 cm; inferior, 3 cm; lateral derecho, 2 cm y, lateral izquierdo, 3 cm. </w:t>
      </w:r>
    </w:p>
    <w:p w14:paraId="5365FE0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D020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2.2. Deben tener impresos el Escudo de la República de Colombia y el nombre del Ministerio o Departamento Administrativo de origen. </w:t>
      </w:r>
    </w:p>
    <w:p w14:paraId="6D78B8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B39F5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2.3. En el caso de decretos y de resoluciones debe utilizarse un marco que delimite su contenido. </w:t>
      </w:r>
    </w:p>
    <w:p w14:paraId="09940E1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ECC9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2.4. El texto del documento debe distribuirse en forma tal que haga compatibles su óptima presentación y el ahorro de espacio y papel, con su manejo, distribución y archivo. </w:t>
      </w:r>
    </w:p>
    <w:p w14:paraId="09F211C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A155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2.5. Cuando el proyecto de decreto o resolución conste de varias hojas, estas deberán numerarse bajo el formato página “x de y”, y en el encabezamiento de cada una de ellas deberá transcribirse el epígrafe en su totalidad. </w:t>
      </w:r>
    </w:p>
    <w:p w14:paraId="1651C8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8E876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2.6. La hoja final del documento, en la cual vaya la firma del Presidente de la República no podrá ir en blanco y deberá contener una parte sustancial del articulado, además de ir acompañada de la firma de por lo menos un Ministro o Director de Departamento Administrativo. Cuando sean varios Ministros quienes suscriben el acto, se tendrá en cuenta la precedencia establecida en la ley. </w:t>
      </w:r>
    </w:p>
    <w:p w14:paraId="28ED29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5443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2.7. Cuando el proyecto vaya a ser suscrito por un empleado público encargado de las funciones del despacho de un Ministro o Director de Departamento Administrativo, por ausencia temporal o definitiva del titular, deberá expresarse la denominación del cargo del cual es titular, seguida de las funciones encargadas. </w:t>
      </w:r>
    </w:p>
    <w:p w14:paraId="14BD01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ED9C81"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3. REGLAS MÍNIMAS DE REDACCIÓN  </w:t>
      </w:r>
    </w:p>
    <w:p w14:paraId="0399C0C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8569C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Toda norma deberá ser redactada siguiendo el principio de CLARIDAD SEMÁNTICA, en un lenguaje que sus destinatarios puedan entender, evitando que el lenguaje induzca a error. </w:t>
      </w:r>
    </w:p>
    <w:p w14:paraId="65390A0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42BA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Las normas deberán formularse de manera clara, sencilla, precisa y concisa: </w:t>
      </w:r>
    </w:p>
    <w:p w14:paraId="130B31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8930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Clara, de fácil comprensión, desprovista de equívocos; inteligible, fácil de comprender. </w:t>
      </w:r>
    </w:p>
    <w:p w14:paraId="3D03EE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DCF2C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Sencilla, desprovista de elementos superfluos; expresa naturalmente los conceptos. </w:t>
      </w:r>
    </w:p>
    <w:p w14:paraId="695A99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3C2A2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Precisa, rigurosamente exactos; no dejará lugar a dudas en el lector. </w:t>
      </w:r>
    </w:p>
    <w:p w14:paraId="6CD08E8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F9239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Concisa, brevedad y economía de medios en el modo de expresar un concepto con exactitud. </w:t>
      </w:r>
    </w:p>
    <w:p w14:paraId="4BD741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BFBAFE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El contenido debe ser tan homogéneo como sea posible: El ámbito de aplicación debe respetarse en el conjunto del acto. Los derechos y obligaciones no deben sobrepasar el ámbito definido por dicho acto, ni extenderse a ámbitos diferentes. Los derechos y obligaciones deben ser coherentes entre sí y no contradecirse. </w:t>
      </w:r>
    </w:p>
    <w:p w14:paraId="2198AC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91CAF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Deben evitarse los artículos y las frases demasiado extensos: Cada artículo debe contener una única norma o regla. Su estructura debe ser lo más sencilla posible. </w:t>
      </w:r>
    </w:p>
    <w:p w14:paraId="5C74D9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9BF17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frases deben limitarse a la expresión de una única idea, mientras que el artículo agrupa un conjunto de ideas que deben tener un nexo lógico entre sí. </w:t>
      </w:r>
    </w:p>
    <w:p w14:paraId="02E3833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2ECC9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texto debe contener subdivisiones fácilmente asimilables en función de la progresión del argumento, ya que un bloque de texto demasiado compacto provoca un efecto de rechazo, tanto óptico como intelectual. Esta distribución no debe dar lugar, empero, a una desmembración artificial y abusiva de la frase. </w:t>
      </w:r>
    </w:p>
    <w:p w14:paraId="376BD2B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E7F8B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4. No es necesario para la interpretación, ni deseable para la claridad, que un único artículo agote todo un tema objeto de regulación. Es preferible tratar el tema por medio de varios artículos agrupados en un mismo capítulo. </w:t>
      </w:r>
    </w:p>
    <w:p w14:paraId="3E23F33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43695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5. Conviene evitar artículos de estructura demasiado compleja. Los proyectos y propuestas de actos serán objeto, a lo largo del proceso de adopción, de deliberaciones y negociaciones que, en la mayoría de los casos, darán lugar a más adiciones y precisiones. Las modificaciones posteriores del acto, a menudo numerosas, se incorporarán con dificultad a artículos ya sobrecargados. </w:t>
      </w:r>
    </w:p>
    <w:p w14:paraId="3D1E510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17A58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 Con el fin de facilitar la comprensión y la interpretación de un acto normativo, es necesario velar por la coherencia del texto. Hay que distinguir entre la coherencia formal que se refiere únicamente a los aspectos de la terminología, y la coherencia en cuanto al fondo en sentido más amplio, que se refiere a la lógica del conjunto del acto. </w:t>
      </w:r>
    </w:p>
    <w:p w14:paraId="59351A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47B6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6.1. Coherencia formal:  </w:t>
      </w:r>
    </w:p>
    <w:p w14:paraId="0B43CA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C5DC2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6.1.1. La coherencia terminológica significa que es necesario utilizar los mismos términos para expresar los mismos conceptos y que no deben utilizarse términos idénticos para expresar conceptos diferentes. El objetivo consiste en eliminar toda ambigüedad, contradicción o duda en cuanto al significado de un concepto. Por tanto, el mismo término debe utilizarse de manera uniforme para decir la misma cosa, debiendo elegirse otro término para expresar un concepto diferente. </w:t>
      </w:r>
    </w:p>
    <w:p w14:paraId="3B9A90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39A76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6.1.2. Es necesario emplear los términos en su acepción usual. Si una misma palabra tiene un sentido diferente en el lenguaje jurídico y en el lenguaje corriente o técnico, la frase debe redactarse de modo que se evite cualquier equívoco. </w:t>
      </w:r>
    </w:p>
    <w:p w14:paraId="47B196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DAB77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6.2. Coherencia en cuanto al fondo:  </w:t>
      </w:r>
    </w:p>
    <w:p w14:paraId="1BBDA49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55F92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6.2.1. El contenido del propio acto no debe contener contradicciones. </w:t>
      </w:r>
    </w:p>
    <w:p w14:paraId="4E8E41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269D1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6.2.2. Las definiciones deben respetarse en el conjunto, por lo que hay que utilizar las definiciones de manera uniforme y el contenido no debe apartarse de las definiciones dadas. </w:t>
      </w:r>
    </w:p>
    <w:p w14:paraId="70A162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3E9DF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7. En atención a que el castellano es el idioma oficial de la República de Colombia, los elementos lingüísticos que se usarán para la redacción de las normas corresponderán a ese idioma. </w:t>
      </w:r>
    </w:p>
    <w:p w14:paraId="4F3E46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32FD483" w14:textId="74C48F6E"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IV</w:t>
      </w:r>
    </w:p>
    <w:p w14:paraId="7CF8607B" w14:textId="33BF68DF"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5F9A460B" w14:textId="5126FADE"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Etapa de publicidad, revisión y consulta</w:t>
      </w:r>
    </w:p>
    <w:p w14:paraId="3C7DFB79" w14:textId="5F72F7E7"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482524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1. Publicidad  </w:t>
      </w:r>
    </w:p>
    <w:p w14:paraId="54048FF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1515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ministerios y departamentos administrativos deberán tener a disposición del público, a través de medios impresos o electrónicos de que dispongan la información sobre proyectos específicos de regulación antes de su expedición. </w:t>
      </w:r>
    </w:p>
    <w:p w14:paraId="19EDB19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C1DD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Sin perjuicio del uso de los demás medios que se consideren necesarios para dar a conocer el proyecto a los sectores interesados, el respectivo texto deberá estar disponible en el sitio web del Ministerio o Departamento Administrativo interesado en expedir el decreto o resolución. </w:t>
      </w:r>
    </w:p>
    <w:p w14:paraId="7E4BBE4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CEA9F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2. Revisión  </w:t>
      </w:r>
    </w:p>
    <w:p w14:paraId="255B47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9CDA4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proyectos de decreto y resolución deben someterse a revisiones exhaustivas, no obstante su correcta redacción. El fin de la revisión del documento es depurar el contenido, organizar mejor las ideas, simplificar las oraciones, precisar la información, corregir la ortografía o eliminar errores que pudieron haber pasado desapercibidos al redactor. </w:t>
      </w:r>
    </w:p>
    <w:p w14:paraId="212A14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661A56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Será responsabilidad de la Oficina Jurídica de cada Ministerio o Departamento Administrativo revisar los proyectos de decreto y resoluciones de carácter general que deban someterse a la firma del Presidente de la República, antes de su remisión a la Secretaría Jurídica del Departamento Administrativo de la Presidencia de la República. </w:t>
      </w:r>
    </w:p>
    <w:p w14:paraId="4B143D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88882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remisión del proyecto deberá realizarla el Secretario General del Ministerio o del Departamento Administrativo. Una vez el proyecto ha sido radicado en la Secretaría Jurídica del Departamento Administrativo de la Presidencia de la República esta podrá hacer las observaciones e indicar las modificaciones a que hubiere lugar. </w:t>
      </w:r>
    </w:p>
    <w:p w14:paraId="2ADD32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E2EC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tiempos de remisión deberán acogerse a los lineamientos fijados en la Directiva Presidencial número 26 del 5 de diciembre de 2011 o la que la modifique o sustituya. </w:t>
      </w:r>
    </w:p>
    <w:p w14:paraId="5696454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EDA4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Salvo casos de urgencia o necesidad debidamente justificados o en los eventos de estados de excepción, el proyecto que no reúna los requisitos establecidos en el presente título o que no esté acompañado de la memoria, estudios técnicos o anexos necesarios en cada caso, será devuelto por la Secretaría Jurídica del Departamento Administrativo de la Presidencia de la República al Ministerio o Departamento Administrativo que elaboró el proyecto para que se hagan los ajustes del caso o se adicione la información que corresponda. </w:t>
      </w:r>
    </w:p>
    <w:p w14:paraId="00C886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CDF5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3. Consulta  </w:t>
      </w:r>
    </w:p>
    <w:p w14:paraId="233EF0D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AACD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Cuando la Constitución o la ley así lo ordenen deberán realizarse las consultas en ellas señaladas, caso en el cual el proyecto de Decreto o Resolución deberá acompañarse también de la constancia que acredite que se ha cumplido dicho trámite. </w:t>
      </w:r>
    </w:p>
    <w:p w14:paraId="739D51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54FCD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Cumplidas las etapas previstas en este Manual, y si así lo estima pertinente el Ministro o Director del Departamento Administrativo responsable, podrá elevarse ante la Sala de Consulta y Servicio Civil del Consejo de Estado, consulta sobre el contenido del proyecto o sus alcances. </w:t>
      </w:r>
    </w:p>
    <w:p w14:paraId="117BF740" w14:textId="589D5047"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5BC90A85" w14:textId="261D9B32"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V</w:t>
      </w:r>
    </w:p>
    <w:p w14:paraId="4AA579F7" w14:textId="58D79A1D"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4944D6EA" w14:textId="62403947"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Etapa de expedición</w:t>
      </w:r>
    </w:p>
    <w:p w14:paraId="70F5B53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D35A9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publicidad no solo es principio rector del Estado Social de Derecho, sino de la función administrativa, y permite a las personas conocer el contenido de los proyectos de acto y de los actos proferidos por los órganos y autoridades estatales. </w:t>
      </w:r>
    </w:p>
    <w:p w14:paraId="2EA794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F0A12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Igualmente, la certeza y seguridad jurídicas exigen que las personas puedan conocer, no solo de la existencia y vigencia de los mandatos dictados por dichos órganos y autoridades estatales, sino, en especial, del contenido de las decisiones por ellos adoptadas, para lo cual, su expedición, comunicación o publicación se constituye en los presupuestos básicos de su vigencia y oponibilidad, mediante los instrumentos creados con tal fin. </w:t>
      </w:r>
    </w:p>
    <w:p w14:paraId="4363B0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7C11BD" w14:textId="54E24477"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CAPÍTULO VI</w:t>
      </w:r>
    </w:p>
    <w:p w14:paraId="4CC16629" w14:textId="076963BF" w:rsidR="00E475BF" w:rsidRPr="00562064" w:rsidRDefault="00E475BF" w:rsidP="0019502C">
      <w:pPr>
        <w:spacing w:after="0" w:line="254" w:lineRule="atLeast"/>
        <w:jc w:val="center"/>
        <w:rPr>
          <w:rFonts w:ascii="Arial" w:eastAsia="Times New Roman" w:hAnsi="Arial" w:cs="Arial"/>
          <w:b/>
          <w:bCs/>
          <w:color w:val="000000" w:themeColor="text1"/>
          <w:lang w:eastAsia="es-CO"/>
        </w:rPr>
      </w:pPr>
    </w:p>
    <w:p w14:paraId="32791F51" w14:textId="71245A0B" w:rsidR="00E475BF" w:rsidRPr="00562064" w:rsidRDefault="00E475BF" w:rsidP="0019502C">
      <w:pPr>
        <w:spacing w:after="0" w:line="254" w:lineRule="atLeast"/>
        <w:jc w:val="center"/>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Archivo</w:t>
      </w:r>
    </w:p>
    <w:p w14:paraId="6BB339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5C0ED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antecedentes y memorias utilizados en la preparación de los proyectos deberán ser archivados por cada entidad con el fin de disponer de documentación organizada que permita la recuperación de la información institucional, su uso en el servicio al ciudadano y como fuente de las decisiones adoptadas”. </w:t>
      </w:r>
    </w:p>
    <w:p w14:paraId="21107D1E" w14:textId="1A9F5906" w:rsidR="00E475BF" w:rsidRPr="00562064" w:rsidRDefault="00E475BF" w:rsidP="0019502C">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bookmarkStart w:id="673" w:name="ver_30052642"/>
      <w:bookmarkEnd w:id="673"/>
    </w:p>
    <w:p w14:paraId="109C99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B107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Anexo 2 </w:t>
      </w:r>
    </w:p>
    <w:p w14:paraId="3C6CD6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667EC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Decreto Reglamentario Único del Sector Presidencia de la República </w:t>
      </w:r>
    </w:p>
    <w:p w14:paraId="151B39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082FB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ESTRATEGIAS PARA LA CONSTRUCCIÓN DEL PLAN ANTICORRUPCIÓN Y DE ATENCIÓN AL CIUDADANO </w:t>
      </w:r>
    </w:p>
    <w:p w14:paraId="4BF730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04A2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Anexo 3 </w:t>
      </w:r>
    </w:p>
    <w:p w14:paraId="7DD859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ECD53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Decreto Reglamentario Único del Sector Presidencia de la República </w:t>
      </w:r>
    </w:p>
    <w:p w14:paraId="6BBD69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C794328" w14:textId="284EE770"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771B36D2" wp14:editId="7D90DE38">
            <wp:extent cx="4951732" cy="6288406"/>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98">
                      <a:extLst>
                        <a:ext uri="{28A0092B-C50C-407E-A947-70E740481C1C}">
                          <a14:useLocalDpi xmlns:a14="http://schemas.microsoft.com/office/drawing/2010/main" val="0"/>
                        </a:ext>
                      </a:extLst>
                    </a:blip>
                    <a:stretch>
                      <a:fillRect/>
                    </a:stretch>
                  </pic:blipFill>
                  <pic:spPr>
                    <a:xfrm>
                      <a:off x="0" y="0"/>
                      <a:ext cx="4951732" cy="6288406"/>
                    </a:xfrm>
                    <a:prstGeom prst="rect">
                      <a:avLst/>
                    </a:prstGeom>
                  </pic:spPr>
                </pic:pic>
              </a:graphicData>
            </a:graphic>
          </wp:inline>
        </w:drawing>
      </w:r>
      <w:r w:rsidRPr="7B83C8A6">
        <w:rPr>
          <w:rFonts w:ascii="Arial" w:eastAsia="Times New Roman" w:hAnsi="Arial" w:cs="Arial"/>
          <w:color w:val="000000" w:themeColor="text1"/>
          <w:lang w:eastAsia="es-CO"/>
        </w:rPr>
        <w:t> </w:t>
      </w:r>
    </w:p>
    <w:p w14:paraId="331244F3" w14:textId="2111A3D3"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6A131CA2" wp14:editId="10C3BBC1">
            <wp:extent cx="4951732" cy="6288406"/>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99">
                      <a:extLst>
                        <a:ext uri="{28A0092B-C50C-407E-A947-70E740481C1C}">
                          <a14:useLocalDpi xmlns:a14="http://schemas.microsoft.com/office/drawing/2010/main" val="0"/>
                        </a:ext>
                      </a:extLst>
                    </a:blip>
                    <a:stretch>
                      <a:fillRect/>
                    </a:stretch>
                  </pic:blipFill>
                  <pic:spPr>
                    <a:xfrm>
                      <a:off x="0" y="0"/>
                      <a:ext cx="4951732" cy="6288406"/>
                    </a:xfrm>
                    <a:prstGeom prst="rect">
                      <a:avLst/>
                    </a:prstGeom>
                  </pic:spPr>
                </pic:pic>
              </a:graphicData>
            </a:graphic>
          </wp:inline>
        </w:drawing>
      </w:r>
      <w:r w:rsidRPr="7B83C8A6">
        <w:rPr>
          <w:rFonts w:ascii="Arial" w:eastAsia="Times New Roman" w:hAnsi="Arial" w:cs="Arial"/>
          <w:color w:val="000000" w:themeColor="text1"/>
          <w:lang w:eastAsia="es-CO"/>
        </w:rPr>
        <w:t> </w:t>
      </w:r>
    </w:p>
    <w:p w14:paraId="5EEBFBF0" w14:textId="3F051191"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7A3E66EA" wp14:editId="7863622C">
            <wp:extent cx="4959984" cy="628840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00">
                      <a:extLst>
                        <a:ext uri="{28A0092B-C50C-407E-A947-70E740481C1C}">
                          <a14:useLocalDpi xmlns:a14="http://schemas.microsoft.com/office/drawing/2010/main" val="0"/>
                        </a:ext>
                      </a:extLst>
                    </a:blip>
                    <a:stretch>
                      <a:fillRect/>
                    </a:stretch>
                  </pic:blipFill>
                  <pic:spPr>
                    <a:xfrm>
                      <a:off x="0" y="0"/>
                      <a:ext cx="4959984" cy="6288406"/>
                    </a:xfrm>
                    <a:prstGeom prst="rect">
                      <a:avLst/>
                    </a:prstGeom>
                  </pic:spPr>
                </pic:pic>
              </a:graphicData>
            </a:graphic>
          </wp:inline>
        </w:drawing>
      </w:r>
      <w:r w:rsidRPr="7B83C8A6">
        <w:rPr>
          <w:rFonts w:ascii="Arial" w:eastAsia="Times New Roman" w:hAnsi="Arial" w:cs="Arial"/>
          <w:color w:val="000000" w:themeColor="text1"/>
          <w:lang w:eastAsia="es-CO"/>
        </w:rPr>
        <w:t> </w:t>
      </w:r>
    </w:p>
    <w:p w14:paraId="1E2D01FA" w14:textId="313A98B0"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46FF06B5" wp14:editId="41F2DE56">
            <wp:extent cx="4942840" cy="27343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01">
                      <a:extLst>
                        <a:ext uri="{28A0092B-C50C-407E-A947-70E740481C1C}">
                          <a14:useLocalDpi xmlns:a14="http://schemas.microsoft.com/office/drawing/2010/main" val="0"/>
                        </a:ext>
                      </a:extLst>
                    </a:blip>
                    <a:stretch>
                      <a:fillRect/>
                    </a:stretch>
                  </pic:blipFill>
                  <pic:spPr>
                    <a:xfrm>
                      <a:off x="0" y="0"/>
                      <a:ext cx="4942840" cy="2734310"/>
                    </a:xfrm>
                    <a:prstGeom prst="rect">
                      <a:avLst/>
                    </a:prstGeom>
                  </pic:spPr>
                </pic:pic>
              </a:graphicData>
            </a:graphic>
          </wp:inline>
        </w:drawing>
      </w:r>
      <w:r w:rsidRPr="7B83C8A6">
        <w:rPr>
          <w:rFonts w:ascii="Arial" w:eastAsia="Times New Roman" w:hAnsi="Arial" w:cs="Arial"/>
          <w:color w:val="000000" w:themeColor="text1"/>
          <w:lang w:eastAsia="es-CO"/>
        </w:rPr>
        <w:t> </w:t>
      </w:r>
    </w:p>
    <w:p w14:paraId="3FB19ADA" w14:textId="3111F1D9"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40B13694" wp14:editId="168FBC1B">
            <wp:extent cx="4942840" cy="623697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02">
                      <a:extLst>
                        <a:ext uri="{28A0092B-C50C-407E-A947-70E740481C1C}">
                          <a14:useLocalDpi xmlns:a14="http://schemas.microsoft.com/office/drawing/2010/main" val="0"/>
                        </a:ext>
                      </a:extLst>
                    </a:blip>
                    <a:stretch>
                      <a:fillRect/>
                    </a:stretch>
                  </pic:blipFill>
                  <pic:spPr>
                    <a:xfrm>
                      <a:off x="0" y="0"/>
                      <a:ext cx="4942840" cy="6236972"/>
                    </a:xfrm>
                    <a:prstGeom prst="rect">
                      <a:avLst/>
                    </a:prstGeom>
                  </pic:spPr>
                </pic:pic>
              </a:graphicData>
            </a:graphic>
          </wp:inline>
        </w:drawing>
      </w:r>
      <w:r w:rsidRPr="7B83C8A6">
        <w:rPr>
          <w:rFonts w:ascii="Arial" w:eastAsia="Times New Roman" w:hAnsi="Arial" w:cs="Arial"/>
          <w:color w:val="000000" w:themeColor="text1"/>
          <w:lang w:eastAsia="es-CO"/>
        </w:rPr>
        <w:t> </w:t>
      </w:r>
    </w:p>
    <w:p w14:paraId="1B8E7E88" w14:textId="59DB7172"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6987AA06" wp14:editId="6711EB0D">
            <wp:extent cx="4951732" cy="6236972"/>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03">
                      <a:extLst>
                        <a:ext uri="{28A0092B-C50C-407E-A947-70E740481C1C}">
                          <a14:useLocalDpi xmlns:a14="http://schemas.microsoft.com/office/drawing/2010/main" val="0"/>
                        </a:ext>
                      </a:extLst>
                    </a:blip>
                    <a:stretch>
                      <a:fillRect/>
                    </a:stretch>
                  </pic:blipFill>
                  <pic:spPr>
                    <a:xfrm>
                      <a:off x="0" y="0"/>
                      <a:ext cx="4951732" cy="6236972"/>
                    </a:xfrm>
                    <a:prstGeom prst="rect">
                      <a:avLst/>
                    </a:prstGeom>
                  </pic:spPr>
                </pic:pic>
              </a:graphicData>
            </a:graphic>
          </wp:inline>
        </w:drawing>
      </w:r>
      <w:r w:rsidRPr="7B83C8A6">
        <w:rPr>
          <w:rFonts w:ascii="Arial" w:eastAsia="Times New Roman" w:hAnsi="Arial" w:cs="Arial"/>
          <w:color w:val="000000" w:themeColor="text1"/>
          <w:lang w:eastAsia="es-CO"/>
        </w:rPr>
        <w:t> </w:t>
      </w:r>
    </w:p>
    <w:p w14:paraId="4498D902" w14:textId="7D08F364"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1492955A" wp14:editId="0E4111B8">
            <wp:extent cx="4986022" cy="6306187"/>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04">
                      <a:extLst>
                        <a:ext uri="{28A0092B-C50C-407E-A947-70E740481C1C}">
                          <a14:useLocalDpi xmlns:a14="http://schemas.microsoft.com/office/drawing/2010/main" val="0"/>
                        </a:ext>
                      </a:extLst>
                    </a:blip>
                    <a:stretch>
                      <a:fillRect/>
                    </a:stretch>
                  </pic:blipFill>
                  <pic:spPr>
                    <a:xfrm>
                      <a:off x="0" y="0"/>
                      <a:ext cx="4986022" cy="6306187"/>
                    </a:xfrm>
                    <a:prstGeom prst="rect">
                      <a:avLst/>
                    </a:prstGeom>
                  </pic:spPr>
                </pic:pic>
              </a:graphicData>
            </a:graphic>
          </wp:inline>
        </w:drawing>
      </w:r>
      <w:r w:rsidRPr="7B83C8A6">
        <w:rPr>
          <w:rFonts w:ascii="Arial" w:eastAsia="Times New Roman" w:hAnsi="Arial" w:cs="Arial"/>
          <w:color w:val="000000" w:themeColor="text1"/>
          <w:lang w:eastAsia="es-CO"/>
        </w:rPr>
        <w:t> </w:t>
      </w:r>
    </w:p>
    <w:p w14:paraId="36CA0502" w14:textId="54CD0DB0"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56786A1F" wp14:editId="00971A28">
            <wp:extent cx="4986022" cy="6297294"/>
            <wp:effectExtent l="0" t="0" r="508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5">
                      <a:extLst>
                        <a:ext uri="{28A0092B-C50C-407E-A947-70E740481C1C}">
                          <a14:useLocalDpi xmlns:a14="http://schemas.microsoft.com/office/drawing/2010/main" val="0"/>
                        </a:ext>
                      </a:extLst>
                    </a:blip>
                    <a:stretch>
                      <a:fillRect/>
                    </a:stretch>
                  </pic:blipFill>
                  <pic:spPr>
                    <a:xfrm>
                      <a:off x="0" y="0"/>
                      <a:ext cx="4986022" cy="6297294"/>
                    </a:xfrm>
                    <a:prstGeom prst="rect">
                      <a:avLst/>
                    </a:prstGeom>
                  </pic:spPr>
                </pic:pic>
              </a:graphicData>
            </a:graphic>
          </wp:inline>
        </w:drawing>
      </w:r>
      <w:r w:rsidRPr="7B83C8A6">
        <w:rPr>
          <w:rFonts w:ascii="Arial" w:eastAsia="Times New Roman" w:hAnsi="Arial" w:cs="Arial"/>
          <w:color w:val="000000" w:themeColor="text1"/>
          <w:lang w:eastAsia="es-CO"/>
        </w:rPr>
        <w:t> </w:t>
      </w:r>
    </w:p>
    <w:p w14:paraId="7F2EEB0D" w14:textId="55BF731D"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648C0B97" wp14:editId="23892890">
            <wp:extent cx="4986022" cy="6297294"/>
            <wp:effectExtent l="0" t="0" r="508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6">
                      <a:extLst>
                        <a:ext uri="{28A0092B-C50C-407E-A947-70E740481C1C}">
                          <a14:useLocalDpi xmlns:a14="http://schemas.microsoft.com/office/drawing/2010/main" val="0"/>
                        </a:ext>
                      </a:extLst>
                    </a:blip>
                    <a:stretch>
                      <a:fillRect/>
                    </a:stretch>
                  </pic:blipFill>
                  <pic:spPr>
                    <a:xfrm>
                      <a:off x="0" y="0"/>
                      <a:ext cx="4986022" cy="6297294"/>
                    </a:xfrm>
                    <a:prstGeom prst="rect">
                      <a:avLst/>
                    </a:prstGeom>
                  </pic:spPr>
                </pic:pic>
              </a:graphicData>
            </a:graphic>
          </wp:inline>
        </w:drawing>
      </w:r>
      <w:r w:rsidRPr="7B83C8A6">
        <w:rPr>
          <w:rFonts w:ascii="Arial" w:eastAsia="Times New Roman" w:hAnsi="Arial" w:cs="Arial"/>
          <w:color w:val="000000" w:themeColor="text1"/>
          <w:lang w:eastAsia="es-CO"/>
        </w:rPr>
        <w:t> </w:t>
      </w:r>
    </w:p>
    <w:p w14:paraId="45FC3CF2" w14:textId="74D4CC86"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6BA58202" wp14:editId="7FAC45B6">
            <wp:extent cx="4986022" cy="6297294"/>
            <wp:effectExtent l="0" t="0" r="508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07">
                      <a:extLst>
                        <a:ext uri="{28A0092B-C50C-407E-A947-70E740481C1C}">
                          <a14:useLocalDpi xmlns:a14="http://schemas.microsoft.com/office/drawing/2010/main" val="0"/>
                        </a:ext>
                      </a:extLst>
                    </a:blip>
                    <a:stretch>
                      <a:fillRect/>
                    </a:stretch>
                  </pic:blipFill>
                  <pic:spPr>
                    <a:xfrm>
                      <a:off x="0" y="0"/>
                      <a:ext cx="4986022" cy="6297294"/>
                    </a:xfrm>
                    <a:prstGeom prst="rect">
                      <a:avLst/>
                    </a:prstGeom>
                  </pic:spPr>
                </pic:pic>
              </a:graphicData>
            </a:graphic>
          </wp:inline>
        </w:drawing>
      </w:r>
      <w:r w:rsidRPr="7B83C8A6">
        <w:rPr>
          <w:rFonts w:ascii="Arial" w:eastAsia="Times New Roman" w:hAnsi="Arial" w:cs="Arial"/>
          <w:color w:val="000000" w:themeColor="text1"/>
          <w:lang w:eastAsia="es-CO"/>
        </w:rPr>
        <w:t> </w:t>
      </w:r>
    </w:p>
    <w:p w14:paraId="78BAE70D" w14:textId="7766844B"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477984FB" wp14:editId="144B9CA0">
            <wp:extent cx="4986022" cy="6297294"/>
            <wp:effectExtent l="0" t="0" r="508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8">
                      <a:extLst>
                        <a:ext uri="{28A0092B-C50C-407E-A947-70E740481C1C}">
                          <a14:useLocalDpi xmlns:a14="http://schemas.microsoft.com/office/drawing/2010/main" val="0"/>
                        </a:ext>
                      </a:extLst>
                    </a:blip>
                    <a:stretch>
                      <a:fillRect/>
                    </a:stretch>
                  </pic:blipFill>
                  <pic:spPr>
                    <a:xfrm>
                      <a:off x="0" y="0"/>
                      <a:ext cx="4986022" cy="6297294"/>
                    </a:xfrm>
                    <a:prstGeom prst="rect">
                      <a:avLst/>
                    </a:prstGeom>
                  </pic:spPr>
                </pic:pic>
              </a:graphicData>
            </a:graphic>
          </wp:inline>
        </w:drawing>
      </w:r>
      <w:r w:rsidRPr="7B83C8A6">
        <w:rPr>
          <w:rFonts w:ascii="Arial" w:eastAsia="Times New Roman" w:hAnsi="Arial" w:cs="Arial"/>
          <w:color w:val="000000" w:themeColor="text1"/>
          <w:lang w:eastAsia="es-CO"/>
        </w:rPr>
        <w:t> </w:t>
      </w:r>
    </w:p>
    <w:p w14:paraId="353EE771" w14:textId="1A5D448D"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1BEF6D93" wp14:editId="52D30A22">
            <wp:extent cx="4986022" cy="6297294"/>
            <wp:effectExtent l="0" t="0" r="508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9">
                      <a:extLst>
                        <a:ext uri="{28A0092B-C50C-407E-A947-70E740481C1C}">
                          <a14:useLocalDpi xmlns:a14="http://schemas.microsoft.com/office/drawing/2010/main" val="0"/>
                        </a:ext>
                      </a:extLst>
                    </a:blip>
                    <a:stretch>
                      <a:fillRect/>
                    </a:stretch>
                  </pic:blipFill>
                  <pic:spPr>
                    <a:xfrm>
                      <a:off x="0" y="0"/>
                      <a:ext cx="4986022" cy="6297294"/>
                    </a:xfrm>
                    <a:prstGeom prst="rect">
                      <a:avLst/>
                    </a:prstGeom>
                  </pic:spPr>
                </pic:pic>
              </a:graphicData>
            </a:graphic>
          </wp:inline>
        </w:drawing>
      </w:r>
      <w:r w:rsidRPr="7B83C8A6">
        <w:rPr>
          <w:rFonts w:ascii="Arial" w:eastAsia="Times New Roman" w:hAnsi="Arial" w:cs="Arial"/>
          <w:color w:val="000000" w:themeColor="text1"/>
          <w:lang w:eastAsia="es-CO"/>
        </w:rPr>
        <w:t> </w:t>
      </w:r>
    </w:p>
    <w:p w14:paraId="4941AE7F" w14:textId="5F31E328"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4B4B5274" wp14:editId="0B8BAE9A">
            <wp:extent cx="4986022" cy="6297294"/>
            <wp:effectExtent l="0" t="0" r="508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0">
                      <a:extLst>
                        <a:ext uri="{28A0092B-C50C-407E-A947-70E740481C1C}">
                          <a14:useLocalDpi xmlns:a14="http://schemas.microsoft.com/office/drawing/2010/main" val="0"/>
                        </a:ext>
                      </a:extLst>
                    </a:blip>
                    <a:stretch>
                      <a:fillRect/>
                    </a:stretch>
                  </pic:blipFill>
                  <pic:spPr>
                    <a:xfrm>
                      <a:off x="0" y="0"/>
                      <a:ext cx="4986022" cy="6297294"/>
                    </a:xfrm>
                    <a:prstGeom prst="rect">
                      <a:avLst/>
                    </a:prstGeom>
                  </pic:spPr>
                </pic:pic>
              </a:graphicData>
            </a:graphic>
          </wp:inline>
        </w:drawing>
      </w:r>
      <w:r w:rsidRPr="7B83C8A6">
        <w:rPr>
          <w:rFonts w:ascii="Arial" w:eastAsia="Times New Roman" w:hAnsi="Arial" w:cs="Arial"/>
          <w:color w:val="000000" w:themeColor="text1"/>
          <w:lang w:eastAsia="es-CO"/>
        </w:rPr>
        <w:t> </w:t>
      </w:r>
    </w:p>
    <w:p w14:paraId="77D00CCF" w14:textId="3A997E26"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23A712DF" wp14:editId="5A3902A0">
            <wp:extent cx="4986022" cy="6297294"/>
            <wp:effectExtent l="0" t="0" r="508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1">
                      <a:extLst>
                        <a:ext uri="{28A0092B-C50C-407E-A947-70E740481C1C}">
                          <a14:useLocalDpi xmlns:a14="http://schemas.microsoft.com/office/drawing/2010/main" val="0"/>
                        </a:ext>
                      </a:extLst>
                    </a:blip>
                    <a:stretch>
                      <a:fillRect/>
                    </a:stretch>
                  </pic:blipFill>
                  <pic:spPr>
                    <a:xfrm>
                      <a:off x="0" y="0"/>
                      <a:ext cx="4986022" cy="6297294"/>
                    </a:xfrm>
                    <a:prstGeom prst="rect">
                      <a:avLst/>
                    </a:prstGeom>
                  </pic:spPr>
                </pic:pic>
              </a:graphicData>
            </a:graphic>
          </wp:inline>
        </w:drawing>
      </w:r>
      <w:r w:rsidRPr="7B83C8A6">
        <w:rPr>
          <w:rFonts w:ascii="Arial" w:eastAsia="Times New Roman" w:hAnsi="Arial" w:cs="Arial"/>
          <w:color w:val="000000" w:themeColor="text1"/>
          <w:lang w:eastAsia="es-CO"/>
        </w:rPr>
        <w:t> </w:t>
      </w:r>
    </w:p>
    <w:p w14:paraId="038856C4" w14:textId="1D6B552F"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5B8BA99C" wp14:editId="6FE0EB7E">
            <wp:extent cx="4986022" cy="6297294"/>
            <wp:effectExtent l="0" t="0" r="508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2">
                      <a:extLst>
                        <a:ext uri="{28A0092B-C50C-407E-A947-70E740481C1C}">
                          <a14:useLocalDpi xmlns:a14="http://schemas.microsoft.com/office/drawing/2010/main" val="0"/>
                        </a:ext>
                      </a:extLst>
                    </a:blip>
                    <a:stretch>
                      <a:fillRect/>
                    </a:stretch>
                  </pic:blipFill>
                  <pic:spPr>
                    <a:xfrm>
                      <a:off x="0" y="0"/>
                      <a:ext cx="4986022" cy="6297294"/>
                    </a:xfrm>
                    <a:prstGeom prst="rect">
                      <a:avLst/>
                    </a:prstGeom>
                  </pic:spPr>
                </pic:pic>
              </a:graphicData>
            </a:graphic>
          </wp:inline>
        </w:drawing>
      </w:r>
      <w:r>
        <w:br/>
      </w:r>
      <w:r>
        <w:rPr>
          <w:noProof/>
        </w:rPr>
        <w:drawing>
          <wp:inline distT="0" distB="0" distL="0" distR="0" wp14:anchorId="17F6B325" wp14:editId="16D76004">
            <wp:extent cx="4986022" cy="6297294"/>
            <wp:effectExtent l="0" t="0" r="508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3">
                      <a:extLst>
                        <a:ext uri="{28A0092B-C50C-407E-A947-70E740481C1C}">
                          <a14:useLocalDpi xmlns:a14="http://schemas.microsoft.com/office/drawing/2010/main" val="0"/>
                        </a:ext>
                      </a:extLst>
                    </a:blip>
                    <a:stretch>
                      <a:fillRect/>
                    </a:stretch>
                  </pic:blipFill>
                  <pic:spPr>
                    <a:xfrm>
                      <a:off x="0" y="0"/>
                      <a:ext cx="4986022" cy="6297294"/>
                    </a:xfrm>
                    <a:prstGeom prst="rect">
                      <a:avLst/>
                    </a:prstGeom>
                  </pic:spPr>
                </pic:pic>
              </a:graphicData>
            </a:graphic>
          </wp:inline>
        </w:drawing>
      </w:r>
      <w:r w:rsidRPr="7B83C8A6">
        <w:rPr>
          <w:rFonts w:ascii="Arial" w:eastAsia="Times New Roman" w:hAnsi="Arial" w:cs="Arial"/>
          <w:color w:val="000000" w:themeColor="text1"/>
          <w:lang w:eastAsia="es-CO"/>
        </w:rPr>
        <w:t> </w:t>
      </w:r>
    </w:p>
    <w:p w14:paraId="20755088" w14:textId="38DCA957"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6E435460" wp14:editId="0604B74C">
            <wp:extent cx="4986022" cy="6297294"/>
            <wp:effectExtent l="0" t="0" r="508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4">
                      <a:extLst>
                        <a:ext uri="{28A0092B-C50C-407E-A947-70E740481C1C}">
                          <a14:useLocalDpi xmlns:a14="http://schemas.microsoft.com/office/drawing/2010/main" val="0"/>
                        </a:ext>
                      </a:extLst>
                    </a:blip>
                    <a:stretch>
                      <a:fillRect/>
                    </a:stretch>
                  </pic:blipFill>
                  <pic:spPr>
                    <a:xfrm>
                      <a:off x="0" y="0"/>
                      <a:ext cx="4986022" cy="6297294"/>
                    </a:xfrm>
                    <a:prstGeom prst="rect">
                      <a:avLst/>
                    </a:prstGeom>
                  </pic:spPr>
                </pic:pic>
              </a:graphicData>
            </a:graphic>
          </wp:inline>
        </w:drawing>
      </w:r>
      <w:r w:rsidRPr="7B83C8A6">
        <w:rPr>
          <w:rFonts w:ascii="Arial" w:eastAsia="Times New Roman" w:hAnsi="Arial" w:cs="Arial"/>
          <w:color w:val="000000" w:themeColor="text1"/>
          <w:lang w:eastAsia="es-CO"/>
        </w:rPr>
        <w:t> </w:t>
      </w:r>
    </w:p>
    <w:p w14:paraId="4F9F3524" w14:textId="6BD4DD91"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2808E116" wp14:editId="57E9DCB8">
            <wp:extent cx="4977130" cy="62884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5">
                      <a:extLst>
                        <a:ext uri="{28A0092B-C50C-407E-A947-70E740481C1C}">
                          <a14:useLocalDpi xmlns:a14="http://schemas.microsoft.com/office/drawing/2010/main" val="0"/>
                        </a:ext>
                      </a:extLst>
                    </a:blip>
                    <a:stretch>
                      <a:fillRect/>
                    </a:stretch>
                  </pic:blipFill>
                  <pic:spPr>
                    <a:xfrm>
                      <a:off x="0" y="0"/>
                      <a:ext cx="4977130" cy="6288406"/>
                    </a:xfrm>
                    <a:prstGeom prst="rect">
                      <a:avLst/>
                    </a:prstGeom>
                  </pic:spPr>
                </pic:pic>
              </a:graphicData>
            </a:graphic>
          </wp:inline>
        </w:drawing>
      </w:r>
      <w:r w:rsidRPr="7B83C8A6">
        <w:rPr>
          <w:rFonts w:ascii="Arial" w:eastAsia="Times New Roman" w:hAnsi="Arial" w:cs="Arial"/>
          <w:color w:val="000000" w:themeColor="text1"/>
          <w:lang w:eastAsia="es-CO"/>
        </w:rPr>
        <w:t> </w:t>
      </w:r>
    </w:p>
    <w:p w14:paraId="29C687B6" w14:textId="6ECFEE51"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77AFC65B" wp14:editId="156CF674">
            <wp:extent cx="4977130" cy="62712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6">
                      <a:extLst>
                        <a:ext uri="{28A0092B-C50C-407E-A947-70E740481C1C}">
                          <a14:useLocalDpi xmlns:a14="http://schemas.microsoft.com/office/drawing/2010/main" val="0"/>
                        </a:ext>
                      </a:extLst>
                    </a:blip>
                    <a:stretch>
                      <a:fillRect/>
                    </a:stretch>
                  </pic:blipFill>
                  <pic:spPr>
                    <a:xfrm>
                      <a:off x="0" y="0"/>
                      <a:ext cx="4977130" cy="6271262"/>
                    </a:xfrm>
                    <a:prstGeom prst="rect">
                      <a:avLst/>
                    </a:prstGeom>
                  </pic:spPr>
                </pic:pic>
              </a:graphicData>
            </a:graphic>
          </wp:inline>
        </w:drawing>
      </w:r>
      <w:r w:rsidRPr="7B83C8A6">
        <w:rPr>
          <w:rFonts w:ascii="Arial" w:eastAsia="Times New Roman" w:hAnsi="Arial" w:cs="Arial"/>
          <w:color w:val="000000" w:themeColor="text1"/>
          <w:lang w:eastAsia="es-CO"/>
        </w:rPr>
        <w:t> </w:t>
      </w:r>
    </w:p>
    <w:p w14:paraId="40511E98" w14:textId="7DF8A1ED"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2D598832" wp14:editId="116CBA2F">
            <wp:extent cx="4977130" cy="62712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7">
                      <a:extLst>
                        <a:ext uri="{28A0092B-C50C-407E-A947-70E740481C1C}">
                          <a14:useLocalDpi xmlns:a14="http://schemas.microsoft.com/office/drawing/2010/main" val="0"/>
                        </a:ext>
                      </a:extLst>
                    </a:blip>
                    <a:stretch>
                      <a:fillRect/>
                    </a:stretch>
                  </pic:blipFill>
                  <pic:spPr>
                    <a:xfrm>
                      <a:off x="0" y="0"/>
                      <a:ext cx="4977130" cy="6271262"/>
                    </a:xfrm>
                    <a:prstGeom prst="rect">
                      <a:avLst/>
                    </a:prstGeom>
                  </pic:spPr>
                </pic:pic>
              </a:graphicData>
            </a:graphic>
          </wp:inline>
        </w:drawing>
      </w:r>
      <w:r w:rsidRPr="7B83C8A6">
        <w:rPr>
          <w:rFonts w:ascii="Arial" w:eastAsia="Times New Roman" w:hAnsi="Arial" w:cs="Arial"/>
          <w:color w:val="000000" w:themeColor="text1"/>
          <w:lang w:eastAsia="es-CO"/>
        </w:rPr>
        <w:t> </w:t>
      </w:r>
    </w:p>
    <w:p w14:paraId="030F8005" w14:textId="39B5501B"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5ECAB8CF" wp14:editId="7A9C5AC4">
            <wp:extent cx="4977130" cy="62712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8">
                      <a:extLst>
                        <a:ext uri="{28A0092B-C50C-407E-A947-70E740481C1C}">
                          <a14:useLocalDpi xmlns:a14="http://schemas.microsoft.com/office/drawing/2010/main" val="0"/>
                        </a:ext>
                      </a:extLst>
                    </a:blip>
                    <a:stretch>
                      <a:fillRect/>
                    </a:stretch>
                  </pic:blipFill>
                  <pic:spPr>
                    <a:xfrm>
                      <a:off x="0" y="0"/>
                      <a:ext cx="4977130" cy="6271262"/>
                    </a:xfrm>
                    <a:prstGeom prst="rect">
                      <a:avLst/>
                    </a:prstGeom>
                  </pic:spPr>
                </pic:pic>
              </a:graphicData>
            </a:graphic>
          </wp:inline>
        </w:drawing>
      </w:r>
      <w:r w:rsidRPr="7B83C8A6">
        <w:rPr>
          <w:rFonts w:ascii="Arial" w:eastAsia="Times New Roman" w:hAnsi="Arial" w:cs="Arial"/>
          <w:color w:val="000000" w:themeColor="text1"/>
          <w:lang w:eastAsia="es-CO"/>
        </w:rPr>
        <w:t> </w:t>
      </w:r>
    </w:p>
    <w:p w14:paraId="04AEE848" w14:textId="51B14CD4"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2220C474" wp14:editId="597E2D6D">
            <wp:extent cx="4977130" cy="62712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9">
                      <a:extLst>
                        <a:ext uri="{28A0092B-C50C-407E-A947-70E740481C1C}">
                          <a14:useLocalDpi xmlns:a14="http://schemas.microsoft.com/office/drawing/2010/main" val="0"/>
                        </a:ext>
                      </a:extLst>
                    </a:blip>
                    <a:stretch>
                      <a:fillRect/>
                    </a:stretch>
                  </pic:blipFill>
                  <pic:spPr>
                    <a:xfrm>
                      <a:off x="0" y="0"/>
                      <a:ext cx="4977130" cy="6271262"/>
                    </a:xfrm>
                    <a:prstGeom prst="rect">
                      <a:avLst/>
                    </a:prstGeom>
                  </pic:spPr>
                </pic:pic>
              </a:graphicData>
            </a:graphic>
          </wp:inline>
        </w:drawing>
      </w:r>
      <w:r w:rsidRPr="7B83C8A6">
        <w:rPr>
          <w:rFonts w:ascii="Arial" w:eastAsia="Times New Roman" w:hAnsi="Arial" w:cs="Arial"/>
          <w:color w:val="000000" w:themeColor="text1"/>
          <w:lang w:eastAsia="es-CO"/>
        </w:rPr>
        <w:t> </w:t>
      </w:r>
    </w:p>
    <w:p w14:paraId="4511C8EE" w14:textId="3CAB6A31"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5E1D5527" wp14:editId="15C58E8B">
            <wp:extent cx="4986022" cy="6271262"/>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0">
                      <a:extLst>
                        <a:ext uri="{28A0092B-C50C-407E-A947-70E740481C1C}">
                          <a14:useLocalDpi xmlns:a14="http://schemas.microsoft.com/office/drawing/2010/main" val="0"/>
                        </a:ext>
                      </a:extLst>
                    </a:blip>
                    <a:stretch>
                      <a:fillRect/>
                    </a:stretch>
                  </pic:blipFill>
                  <pic:spPr>
                    <a:xfrm>
                      <a:off x="0" y="0"/>
                      <a:ext cx="4986022" cy="6271262"/>
                    </a:xfrm>
                    <a:prstGeom prst="rect">
                      <a:avLst/>
                    </a:prstGeom>
                  </pic:spPr>
                </pic:pic>
              </a:graphicData>
            </a:graphic>
          </wp:inline>
        </w:drawing>
      </w:r>
      <w:r w:rsidRPr="7B83C8A6">
        <w:rPr>
          <w:rFonts w:ascii="Arial" w:eastAsia="Times New Roman" w:hAnsi="Arial" w:cs="Arial"/>
          <w:color w:val="000000" w:themeColor="text1"/>
          <w:lang w:eastAsia="es-CO"/>
        </w:rPr>
        <w:t> </w:t>
      </w:r>
    </w:p>
    <w:p w14:paraId="56563AD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51BA2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PLAN ESTRATÉGICO PARA EL ARCHIPIÉLAGO DE SAN ANDRÉS, PROVIDENCIA Y SANTA CATALINA </w:t>
      </w:r>
    </w:p>
    <w:p w14:paraId="50378BE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E0016B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TABLA DE CONTENIDO </w:t>
      </w:r>
    </w:p>
    <w:p w14:paraId="6473F1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F71F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PLAN ESTRATÉGICO PARA EL ARCHIPIÉLAGO DE SAN ANDRÉS, PROVIDENCIA Y SANTA CATALINA </w:t>
      </w:r>
    </w:p>
    <w:p w14:paraId="7970787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CB4A05"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INTRODUCCIÓN </w:t>
      </w:r>
    </w:p>
    <w:p w14:paraId="13E39057"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  </w:t>
      </w:r>
    </w:p>
    <w:p w14:paraId="1C250A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ANTECEDENTES </w:t>
      </w:r>
    </w:p>
    <w:p w14:paraId="5400B5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3EC7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Transporte, Infraestructura y turismo </w:t>
      </w:r>
    </w:p>
    <w:p w14:paraId="15815C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ED5C9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Pesca y Acuicultura </w:t>
      </w:r>
    </w:p>
    <w:p w14:paraId="0A9009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BD591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Soberanía y Seguridad </w:t>
      </w:r>
    </w:p>
    <w:p w14:paraId="4510B6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2ACEB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Cultura, Deporte y Educación </w:t>
      </w:r>
    </w:p>
    <w:p w14:paraId="5E493C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B2AF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Habitabilidad </w:t>
      </w:r>
    </w:p>
    <w:p w14:paraId="73F841B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FD216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Empleo </w:t>
      </w:r>
    </w:p>
    <w:p w14:paraId="2AF7613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59F51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Desarrollo Empresarial </w:t>
      </w:r>
    </w:p>
    <w:p w14:paraId="691C59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F9BF3F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PROGRAMAS Y PROYECTOS ESTRATÉGICOS </w:t>
      </w:r>
    </w:p>
    <w:p w14:paraId="1CEAF5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D0F8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Transporte, Infraestructura y Turismo </w:t>
      </w:r>
    </w:p>
    <w:p w14:paraId="77D30C7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9352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Pesca y Acuicultura </w:t>
      </w:r>
    </w:p>
    <w:p w14:paraId="0CD6CDE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A4D1E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Soberanía y Seguridad </w:t>
      </w:r>
    </w:p>
    <w:p w14:paraId="7916833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FB469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Cultura, Educación y Empleo </w:t>
      </w:r>
    </w:p>
    <w:p w14:paraId="7749374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DA5A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Habitabilidad </w:t>
      </w:r>
    </w:p>
    <w:p w14:paraId="29CF24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BB75E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Desarrollo Empresarial </w:t>
      </w:r>
    </w:p>
    <w:p w14:paraId="54A69F2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73416D3"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INTRODUCCIÓN:  </w:t>
      </w:r>
    </w:p>
    <w:p w14:paraId="445C61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26F4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Desde el primer mandato del Presidente Juan Manuel Santos, las entidades del nivel nacional comenzaron a formular e implementar nuevos programas y proyectos con el ánimo de promover el desarrollo sostenible del Archipiélago de San Andrés, Providencia y Santa Catalina, los cuales se han consagrado dentro de los Planes Nacionales de Desarrollo “Prosperidad para Todos” 2010-2014 y en el Plan de Desarrollo “Todos por un Nuevo País” 2014-2018 que está en elaboración. </w:t>
      </w:r>
    </w:p>
    <w:p w14:paraId="1C8D45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2BA248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 partir del fallo proferido por la Corte Internacional de Justicia de La Haya el 19 de noviembre de 2012, el Gobierno de Colombia, en coordinación con los gobiernos locales de San Andrés y Providencia, y de sus habitantes, inició la formulación e implementación de acciones adicionales y complementarias que conformarían el Plan para San Andrés, Providencia y Santa Catalina, los cuales ya han empezado a reflejar sus resultados positivos en el Archipiélago. </w:t>
      </w:r>
    </w:p>
    <w:p w14:paraId="6A173A7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82A935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Entre 2003 y 2010 el departamento recibió inversiones aproximadas por $560.000 millones de pesos. Entre 2011 y 2014 todas estas inversiones ascendieron aproximadamente a $1.270.000 millones1. El apoyo brindado por el Gobierno nacional al Archipiélago de San Andrés, Providencia y Santa Catalina, ha sido, y seguirá siendo, financiado con recursos provenientes principalmente tanto del presupuesto de los Ministerios como de la Subcuenta San Andrés, Providencia y Santa Catalina del Fondo Nacional de Gestión del Riesgo de Desastres, y de la operación de crédito negociada con el Banco Interamericano de Desarrollo, a través de la cual se destinarán U$70 millones de dólares para los componentes de Desarrollo Urbano Integral, Provisión y acceso a agua y saneamiento, Mejora de la infraestructura costera, Desarrollo económico local y Modernización de la gestión institucional y fiscal. </w:t>
      </w:r>
    </w:p>
    <w:p w14:paraId="3464301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961CB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objeto principal del Plan para San Andrés, Providencia y Santa Catalina se ha fundamentado en el fortalecimiento de la capacidad del Archipiélago para alcanzar un desarrollo sostenible y armónico a mediano y largo plazo mediante el desarrollo socioeconómico de todas las potencialidades del territorio insular, en un ejercicio participativo con los gobiernos locales y la comunidad. </w:t>
      </w:r>
    </w:p>
    <w:p w14:paraId="53D7F54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EE8FD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mencionado Plan ha sido, y deberá seguir siendo, una política integral, en lo que se refiere a recursos marinos y costeros (pesca y cultivos de especies marinas), servicios básicos, salud, cultura, educación y preservación y utilización sostenible de los recursos naturales, la biodiversidad, el medio físico y el paisaje, destacando la condición de Reserva de Biosfera según designación de Unesco. Por lo tanto, se debe continuar abordando de manera diferencial el desarrollo de San Andrés, de Providencia y de Santa Catalina, ya que los asuntos poblacionales, culturales, sociales y económicos son distintos. </w:t>
      </w:r>
    </w:p>
    <w:p w14:paraId="6B4A94B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391D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Es necesario resaltar que el Plan en cuestión ha sido producto de diferentes encuentros con las autoridades locales y demás actores de la región, en los que, desde un principio y de manera sucesiva, se han identificado una serie de acciones prioritarias, muchas ya ejecutadas, que guían la actuación del Gobierno nacional en el departamento. </w:t>
      </w:r>
    </w:p>
    <w:p w14:paraId="551D835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845BE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Es oportuno destacar los encuentros sostenidos con el Presidente Juan Manuel Santos, con el ex Vicepresidente Angelino Garzón, con el Vicepresidente Germán Vargas, con los Secretarios Generales de la Presidencia de la República (doctor Juan Mesa y doctora María Lorena Gutiérrez) y con varios de los Ministros del Gabinete, escenarios en los cuales han surgido peticiones puntuales por parte de la comunidad y de los gobiernos locales, de las cuales una gran mayoría están contempladas en el Plan de Desarrollo Departamental. En ese sentido, se han sostenido, entre otros, los siguientes encuentros: </w:t>
      </w:r>
    </w:p>
    <w:p w14:paraId="56992A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D01582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Acuerdo para la Prosperidad en San Andrés: 1° de octubre 2011. </w:t>
      </w:r>
    </w:p>
    <w:p w14:paraId="479FCB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851A67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Consejo de Ministros en San Andrés: 16 de julio 2012. </w:t>
      </w:r>
    </w:p>
    <w:p w14:paraId="4F6BD17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64F787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Diálogo Social con la Vicepresidencia de la República: 16 y 17 de noviembre 2012. </w:t>
      </w:r>
    </w:p>
    <w:p w14:paraId="61CDCDA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F56E70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Reuniones con el Presidente Santos, gobierno local y comunidad: 19 y 20 de noviembre de 2012. </w:t>
      </w:r>
    </w:p>
    <w:p w14:paraId="33E967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34C5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Consejo de Ministros en Providencia y reuniones del Presidente Santos con el Gobierno Local y comunidad: 5 de diciembre de 2012. </w:t>
      </w:r>
    </w:p>
    <w:p w14:paraId="2F76D5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E234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Jornada de radio con el Presidente Santos y la comunidad de San Andrés: 21 de diciembre de 2012. </w:t>
      </w:r>
    </w:p>
    <w:p w14:paraId="0CF1F15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8C37A1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Visita del Presidente Santos, reuniones con gobierno local y comunidad e inauguración de sede del Icetex: 18 de febrero de 2013. </w:t>
      </w:r>
    </w:p>
    <w:p w14:paraId="3E2F40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5C2F7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Visita del Vicepresidente Angelino Garzón, reunión con la Gobernadora y la comunidad: 9 de marzo de 2013. </w:t>
      </w:r>
    </w:p>
    <w:p w14:paraId="13AC63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763D4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Visita del Presidente Santos: agosto 23 de 2013. </w:t>
      </w:r>
    </w:p>
    <w:p w14:paraId="2BDC72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14A7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Consejo de Ministros en San Andrés: 17 de marzo de 2014. </w:t>
      </w:r>
    </w:p>
    <w:p w14:paraId="0A6B999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CF034D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Visita del Vicepresidente Germán Vargas Lleras: 26 de septiembre de 2014. </w:t>
      </w:r>
    </w:p>
    <w:p w14:paraId="0628B13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222736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Visita del Presidente Santos: noviembre 18 de 2014. </w:t>
      </w:r>
    </w:p>
    <w:p w14:paraId="5EB1FE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8304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encuentros con los raizales y pescadores, el trabajo de una mesa institucional, una mesa jurídica y una mesa de población vulnerable, entre otras, también han permitido construir propuestas normativas, de política pública y de gestión de acuerdo a las necesidades de la población, las cuales han sido recogidas dentro del Plan San Andrés, Providencia y Santa Catalina que ha venido ejecutando el Gobierno nacional desde el actual Gobierno. </w:t>
      </w:r>
    </w:p>
    <w:p w14:paraId="563ED66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3B37D6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consecuencia, este decreto, del cual es parte integral este documento anexo, presenta en sus antecedentes los aspectos más relevantes de la realidad socioeconómica del Archipiélago en diferentes sectores, así como las medidas que ha adoptado el Gobierno nacional con el propósito de enmendar las respectivas deficiencias que han afectado al Archipiélago. En la segunda y última parte de este anexo, se enuncian los programas y proyectos dirigidos a solucionar las necesidades más apremiantes del Archipiélago que aún requieren del apoyo del Gobierno nacional para el desarrollo integral y sostenible de esa región, y que podrán ser financiados parcial o integralmente con cargo a la Subcuenta Archipiélago de San Andrés, Providencia y Santa Catalina en el Fondo de Gestión del Riesgo de Desastres, sin perjuicio de los demás programas y proyectos que se formulen por los respectivos sectores. </w:t>
      </w:r>
    </w:p>
    <w:p w14:paraId="57DE2E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1AEE2E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Por otra parte, el Gobierno nacional por la importancia ambiental y sociocultural del Archipiélago, asumió la responsabilidad y el compromiso internacional de protegerlo como Reserva de Biosfera y Áreas Marinas Protegidas. Es un reconocimiento al valor de la conservación de la biodiversidad del 75% de los arrecifes coralinos del país en el mar Caribe como potencial para contribuir al sostenimiento de la prosperidad y el bienestar de la economía nacional y regional, especialmente por su condición de Archipiélago oceánico aislado. </w:t>
      </w:r>
    </w:p>
    <w:p w14:paraId="2D427A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A6DD2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este sentido la Reserva de Biosfera Seaflower constituye para la nación colombiana y, especialmente, para la comunidad raizal, patrimonio natural y cultural de la humanidad. Por lo tanto, los programas y proyectos que se han adelantado en el Archipiélago han contado con los presupuestos necesarios para la conservación del ambiente, como un criterio esencial de desarrollo sostenible. Es así como el Gobierno nacional, en conjunto con Coralina, la Gobernación, la Alcaldía y la comunidad, emprendió un proceso de fortalecimiento de la reserva de biosfera, con el fin de que todos los sectores desplieguen las acciones pertinentes para su implementación, garantizando mayores oportunidades y opciones económicas para definir sus estándares de calidad de vida y bienestar. </w:t>
      </w:r>
    </w:p>
    <w:p w14:paraId="1236584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E4B9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ANTECEDENTES </w:t>
      </w:r>
    </w:p>
    <w:p w14:paraId="66B83DBE"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  </w:t>
      </w:r>
    </w:p>
    <w:p w14:paraId="4525872D"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TRANSPORTE, INFRAESTRUCTURA Y TURISMO  </w:t>
      </w:r>
    </w:p>
    <w:p w14:paraId="4BBFAB6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3206BE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Departamento Archipiélago de San Andrés, Providencia y Santa Catalina aún tiene deficiencias subsanables que siguen requiriendo de la intervención del Gobierno nacional en lo relacionado con el transporte aéreo, marítimo y terrestre. </w:t>
      </w:r>
    </w:p>
    <w:p w14:paraId="5DD79D8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3C361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Desde el comienzo del Gobierno del Presidente Juan Manuel Santos, el Gobierno nacional ha adelantado varios proyectos en materia de transporte terrestre, tales como el mantenimiento y rehabilitación de la circunvalar de la Isla de San Andrés con una inversión de $35.308 millones de pesos, así como el mantenimiento y rehabilitación de la circunvalar de la Isla de Providencia con una inversión de $18.286 millones de pesos, las cuales se encuentran en un avance de 93% y 100% respectivamente2. Adicionalmente, el Gobierno Nacional ha invertido $8.930 millones de pesos en la construcción y rehabilitación de vías terciarias en San Andrés, entre muchos otros proyectados financiados por la nación en esta materia. </w:t>
      </w:r>
    </w:p>
    <w:p w14:paraId="698D637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02E08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Durante el 2013, el Departamento Nacional de Planeación, en conjunto con las autoridades locales, actualizó el Plan de Movilidad del Archipiélago, el cual no había sido actualizado desde el año 2007. Dicho Plan plantea una ruta detallada que articula el incremento de la población con las demandas y dinámicas de movilidad propias de la isla. </w:t>
      </w:r>
    </w:p>
    <w:p w14:paraId="30FB88E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C0ADF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Una de las principales conclusiones del Plan de Movilidad es que San Andrés requiere un fortalecimiento institucional para atender la reorganización del transporte público, el mejoramiento de las condiciones de circulación y la protección del medio ambiente. Lo anterior, con el propósito de contar con mejor accesibilidad y movilidad, propendiendo por la seguridad vial en el tránsito, reduciendo el número de accidentes y de fatalidades. </w:t>
      </w:r>
    </w:p>
    <w:p w14:paraId="46DE833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15DC9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cuanto a transporte marítimo, Invías suscribió el convenio para la ejecución de las obras de dragado del canal de acceso al puerto de San Andrés con la Gobernación de San Andrés por valor de $19.600 millones de pesos. También se suscribió un contrato entre las mismas partes para las obras de dragado del canal de acceso al puerto de Providencia por un valor de $9.595 millones de pesos. Actualmente, se están adelantando los procesos de consulta previa de los dos dragados que deberían estar protocolizados durante el primer trimestre de 2015. </w:t>
      </w:r>
    </w:p>
    <w:p w14:paraId="6600586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4C418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cuanto al transporte aéreo, es fundamental que los aeropuertos tanto de San Andrés como de Providencia tengan los estándares de seguridad requeridos internacionalmente y tengan la capacidad de manejar un alto número de pasajeros. En esa medida, actualmente se está adelantando el proceso de consulta previa (que tuvo apertura el 15 de diciembre de 2014) para adelantar el proyecto de modernización y ampliación del Aeropuerto Gustavo Rojas Pinilla de la isla de San Andrés, con el fin de mejorar las condiciones de seguridad de los vuelos nacionales e internacionales. Además, se está adelantando el proceso de Preconsulta Previa para el proyecto de Ampliación de la Pista y Plataforma del Aeropuerto El Embrujo de Providencia. </w:t>
      </w:r>
    </w:p>
    <w:p w14:paraId="267BD22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392B4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Por otra parte, se identifican ciertos potenciales al desarrollo del Archipiélago, como lo son: el mejoramiento de los servicios públicos de aseo, acueducto y alcantarillado, así como del manejo de residuos; las telecomunicaciones y la energía. En concordancia, todavía es posible superar algunas deficiencias en la infraestructura turística y en la calidad de la prestación de servicios turísticos. </w:t>
      </w:r>
    </w:p>
    <w:p w14:paraId="673D52B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69A81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materia de turismo, importante fuente de empleo en la isla, en 2014 se presentó un crecimiento del 21.32% frente al 2013 en el número de turistas extranjeros no residentes. En cuanto a los pasajeros nacionales, en 2014 se presentó un crecimiento del 5.92% frente al 20133. </w:t>
      </w:r>
    </w:p>
    <w:p w14:paraId="6055E2B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9E8084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aumento en la cantidad de turistas que visitan la isla redunda en la creación de empleo para el departamento y en la ocupación no solo de los hoteles de cadena sino de las posadas nativas. El Gobierno nacional desde 2013 ha apoyado la demanda de tiquetes aéreos y marítimos entre San Andrés y Providencia con el fin de facilitar la movilidad de las familias raizales y de promover el turismo, produciendo resultados beneficiosos para las islas. Se cuenta con una oportunidad para explotar el turismo ecológico que permita posicionar al departamento como un destino responsable con el medio ambiente. </w:t>
      </w:r>
    </w:p>
    <w:p w14:paraId="359399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75161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Se están adelantando proyectos como el del Muelle Turístico de los Lancheros y Plataforma de muelle en Johnny Cay por valor de $5.200 millones de pesos, así como la construcción de la primera etapa del Sendero al Peak en Providencia. También se construyó un SPA en Providencia cuya dotación está próxima a ser entregada y se han llevado a cabo concesiones como la efectuada por el Ministerio de Comercio, Industria y Turismo en la que se aportó el lote (avaluado aproximadamente en $18 mil millones de pesos) en el que se ubica el Hotel Isleño y Centro de Convenciones San Andrés, entre otros proyectos que han sido apoyados por el Gobierno nacional y que benefician directamente el turismo en el Archipiélago. </w:t>
      </w:r>
    </w:p>
    <w:p w14:paraId="78DE93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DD9191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Igualmente se viene adelantando un proyecto con National Geographic y el Banco Interamericano de Desarrollo para fomentar el turismo ecológico en el Archipiélago. Esto resulta de gran importancia dada la alta dependencia de la economía del Archipiélago del turismo que valore la conservación, la cultura raizal y el medio ambiente. Para aprovechar este potencial, se requiere adelantar políticas adicionales para fortalecer aún más la infraestructura turística de las islas, y para poder atender una demanda creciente. Igualmente, se requiere fortalecer el plan de fomento y asesoría para el mejoramiento y la construcción de posadas nativas que ofrezcan alojamiento de buena calidad. </w:t>
      </w:r>
    </w:p>
    <w:p w14:paraId="5CA40CF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C929E33" w14:textId="190181E0"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PESCA Y ACUICULTURA </w:t>
      </w:r>
    </w:p>
    <w:p w14:paraId="3FCBDA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780DA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cuanto a la pesca, el Gobierno de Juan Manuel Santos ha puesto en marcha diferentes programas que benefician directamente al Archipiélago. En la Isla de Providencia se está ejecutando actualmente un programa piloto de maricultura con pescadores (ahora acuicultores) artesanales, como una forma alternativa de garantizarles ingresos ininterrumpidamente. Se otorgaron subsidios a los pescadores artesanales del Archipiélago con el fin de promover la pesca como una de las actividades más relevantes dentro de las islas, y se expidió una póliza de seguro que protegía a los pescadores industriales por daños en el casco de las embarcaciones, así como por pérdida o sustracción de la carga obtenida durante sus faenas. Además, se puso en marcha un proyecto productivo con pescadores que trabajaban en embarcaciones industriales que dejaron de pescar en Colombia, a través del cual se fomenta su asociatividad y se fortalece su capacidad emprendedora. </w:t>
      </w:r>
    </w:p>
    <w:p w14:paraId="3AB12B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9E8E57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el Archipiélago existen 1.763 pescadores artesanales, de los cuales 1.373 se encuentran en San Andrés y 390 en Providencia, con 270 embarcaciones artesanales, de las cuales 169 están en San Andrés y 101 en Providencia y Santa Catalina. Existen 42 embarcaciones industriales registradas pero solo 14 de ellas están operando. Hay, además, 13 empresas de pesca industrial operando5. Las principales especies obtenidas mediante la pesca tradicional son las especies demersales (o de fondo), las cuales son de importancia comercial en la región, entre las que se encuentran los jureles (caragidae), el pelao (balistidae), el dorado (coryphaenidae), los roncos y la margarita (haemulidae), el pargo (lutjanidae), las sierras y atunes (scombridae), las barracudas (sphyraenidae), los meros y chemas (serranidae), el marlín (Makaira sp.), así como el caracol (molusca) y la langosta (crustáceo). La principal especie obtenida mediante la pesca industrial es la langosta espinosa (Panulirus argus), pues la pesquería de caracol pala (Strombus gigas), fue cerrada desde el año 2010 y solo se abrió para aprovechamiento por parte de los pescadores artesanales a partir de 2013 en el área de Cayo Serrana. </w:t>
      </w:r>
    </w:p>
    <w:p w14:paraId="36B7788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79756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Según los registros del Sistema de Información Pesquera Departamental, entre los años 2004 y 2011 el promedio de la pesca en el Archipiélago de San Andrés, Providencia y Santa Catalina, incluyendo la artesanal y la industrial, alcanzó aproximadamente 652 toneladas/año de pescado y 120 toneladas/año de langosta6. El pescado es utilizado para comercio local entre un 15% y un 20%, y el resto es para el mercado nacional. La langosta y el caracol son exportados, generando así ingresos entre $8 y 15 millones de dólares al año para este Archipiélago. </w:t>
      </w:r>
    </w:p>
    <w:p w14:paraId="43EF20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AFB3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Aun cuando se mantienen niveles buenos de pesca, es importante promover iniciativas en materia de maricultura y acuaponía en San Andrés y Providencia que fortalezcan los proyectos que ya están en curso, como una alternativa a la actividad extractiva pesquera que mejore, o en su defecto sostenga, los ingresos de los pescadores de las islas en épocas de veda o escasez del recurso. Este tipo de proyectos, adicionalmente, contribuye a mejorar las condiciones de seguridad alimentaria del departamento a través de prácticas amigables con el medio ambiente. </w:t>
      </w:r>
    </w:p>
    <w:p w14:paraId="3A8ED37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4526C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Al mismo tiempo, es importante poner en marcha el Terminal Pesquero Artesanal de San Andrés, con el propósito de seguir mejorando las condiciones para el desembarco, alistamiento y transformación de los productos pesqueros de todos los pescadores de la isla, lo cual está en concordancia con la construcción de la nueva cooperativa de pescadores de El Cove. </w:t>
      </w:r>
    </w:p>
    <w:p w14:paraId="392B348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98B9927"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SOBERANÍA Y SEGURIDAD  </w:t>
      </w:r>
    </w:p>
    <w:p w14:paraId="0B7F53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EA5947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Gobierno está comprometido con la defensa de la soberanía nacional y con la protección de todos los habitantes y turistas de San Andrés, Providencia y Santa Catalina. En esa medida se han puesto en marcha programas como la Escuela de Policía Raizal que ya está capacitando a su segundo cohorte y cuyo tercer curso está próximo a comenzar. </w:t>
      </w:r>
    </w:p>
    <w:p w14:paraId="213CC9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413EF7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Adicionalmente, la Armada Nacional ha vigilado continuamente nuestro mar para garantizar la seguridad de los pescadores que desarrollan su actividad en esa área. Actualmente, en las zonas marítimas de los cayos no se cuenta con plataformas sobre las cuales se puedan disponer estaciones de guardacostas para investigación científica y reparación de embarcaciones de diferente naturaleza, entre otros fines navales, lo cual es prioritario para el Archipiélago. </w:t>
      </w:r>
    </w:p>
    <w:p w14:paraId="7BD75F1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6880B4"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CULTURA, DEPORTE Y EDUCACIÓN  </w:t>
      </w:r>
    </w:p>
    <w:p w14:paraId="141E307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5360C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Frente a la educación del Archipiélago, según el último Registro Poblacional7 efectuado en la isla, la tasa de analfabetismo para los mayores de 15 años del Departamento Archipiélago (3.5%) es la más baja del país (9.1%) y el nivel de estudios alcanzado por los habitantes del Archipiélago (10.24 años) es más alto que el que se observó a nivel nacional (8.6 años), con los datos de la Encuesta de Calidad de Vida (2012). No obstante, persisten carencias relacionadas con la calidad, pertinencia, permanencia, resultados, habilidades de pensamiento crítico, capacidad de análisis e información8. </w:t>
      </w:r>
    </w:p>
    <w:p w14:paraId="657B87E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1A95A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Teniendo en cuenta la necesidad de mejorar la calidad y la infraestructura, el Gobierno nacional invirtió en infraestructura y dotación educativa más de $6.750 millones de pesos en 2014. Por otra parte, para garantizar un mayor acceso a educación superior, en 2013 el Gobierno nacional, a través del Icetex, ofreció 700 créditos condonables para pregrado y posgrado para estudiantes del Archipiélago. Además, y teniendo en cuenta el potencial bilingüe del departamento se puso en marcha en 2013 un programa de inmersión en inglés para docentes de todo el país que se capacitan en San And rés y Providencia. En 2013 se beneficiaron 357 docentes y se vincularon a 59 posadas nativas y a 33 trasportadores locales. En 2014 se benefició a 368 docentes de básica y media del nivel B1 (preintermedio) al nivel de competencias B2 (intermedio) dentro del programa de formación. Por otra parte, está en ejecución un proyecto con la Primera Iglesia Bautista del departamento para promover la enseñanza y aprendizaje del kriol, de manera que se proteja la identidad cultural del Archipiélago. </w:t>
      </w:r>
    </w:p>
    <w:p w14:paraId="49ECA3A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64F12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Gobierno nacional continuará apoyando la educación del Archipiélago, respetando y promoviendo la diversidad cultural, para contribuir a mejorar las deficiencias que aún se presentan en ese sector. Se ha establecido, de acuerdo a las necesidades de la Secretaría de Educación de la Gobernación de ese departamento, que los estudiantes no cuentan con los currículos de primaria y secundaria en inglés estándar, lo que dificulta el aprendizaje de los estudiantes cuya lengua materna no es el español. En adición, muchos de los docentes de primaria en las islas no tienen los niveles de comunicación en inglés estándar que se requieren para ser buenos modelos para sus estudiantes, y no cuentan con la suficiente preparación para enseñar asignaturas en inglés. En esa medida, intervenciones para mejorar el bilingüismo son fundamentales. </w:t>
      </w:r>
    </w:p>
    <w:p w14:paraId="7273D1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32C9E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cultura en el departamento también se ha visto beneficiada por el apoyo del Gobierno nacional a través de la implementación de programas enfocados al fortalecimiento de la industria musical, a la recuperación de escenarios culturales como el Teatro Midnight Dream de Providencia, la construcción del Centro de Producción de Contenidos Culturales en Providencia y la realización de una primera residencia artística en ese municipio, entre otros. </w:t>
      </w:r>
    </w:p>
    <w:p w14:paraId="1779625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BE63E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Adicionalmente, entre 2011 y 2014 se apoyaron financieramente 73 proyectos por un total de $1.479 millones de pesos a través del Programa Nacional de Concertación del Ministerio de Cultura, que han beneficiado, en promedio cada año, a más de 24.000 personas en procesos de formación artística, en la realización de festivales y fiestas tradicionales, y en la apertura y consolidación de espacios para el fortalecimiento cultural del departamento. Se ha contribuido también a la generación de empleos en el departamento con un promedio de 540 empleos indirectos generados por año, incidiendo así en la sostenibilidad de los procesos culturales de las islas. Se resalta de manera especial el apoyo al Sunset Fest de Providencia (anteriormente Rainbow Fest) que había sido suspendido por falta de recursos. Igualmente, se destinaron recursos para la dotación de la Casa de la Cultura de Providencia, para la construcción de la Casa de la Cultura de la Loma en San Andrés y para la Casa Lúdica en San Andrés, con una inversión superior a los $3.500 millones. </w:t>
      </w:r>
    </w:p>
    <w:p w14:paraId="710B1C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24528A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materia deportiva, el Gobierno nacional, a través de Coldeportes, financió la construcción de un estadio de béisbol para niños, cuya inversión supera los $1.000 millones de pesos. También se llevaron a cabo los Juegos de Mar y Playa en 2013, con una inversión de $3.335 millones de pesos, los cuales contaron con la participación de más de 1.000 deportistas en 10 disciplinas deportivas. De igual manera, se crearon las condiciones para la realización de los 1° Juegos Deportivos del Caribe Colombiano, los cuales se llevarán a cabo en 2015, cuya inversión proyectada es de $14.600 millones de pesos y en los cuales se espera contar con la participación de más de 1.700 deportistas. </w:t>
      </w:r>
    </w:p>
    <w:p w14:paraId="4235E9A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952B5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sectores de cultura y deporte funcionan como una herramienta de desarrollo social que busca el aprovechamiento del tiempo libre de niños, niñas y jóvenes y que a su vez previene que estos sean reclutados por grupos delincuenciales. En este sentido, en adición a los programas que actualmente se desarrollan, o se han desarrollado, con la colaboración del Gobierno nacional, aún existe espacio para mejorar la infraestructura deportiva y el fomento del deporte y recreación en las islas y fortalecer la industria cultural así como para promover el rescate del patrimonio material y arquitectónico de las islas, su folclore y riqueza. </w:t>
      </w:r>
    </w:p>
    <w:p w14:paraId="651AB07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BEFF3B5"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HABITABILIDAD </w:t>
      </w:r>
    </w:p>
    <w:p w14:paraId="4F654EFB"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  </w:t>
      </w:r>
    </w:p>
    <w:p w14:paraId="7C93C00F"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1. VIVIENDA  </w:t>
      </w:r>
    </w:p>
    <w:p w14:paraId="4B3BE73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42265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Según proyecciones del DANE, para el 20109, la población del Archipiélago de San Andrés, Providencia y Santa Catalina asciende a 73.320 habitantes (93,2% ubicada en San Andrés y el 6,8% en Providencia), lo que representa, en promedio, 3.7 personas por hogar. Según el Censo General 2005, el 74% de la población de San Andrés se localizaba en la cabecera, el 12,6% en los centros poblados de La Loma (12,3%) y San Luis (0,3%), y el 13,5% restante estaba dispersa en la zona rural. Por su parte, en Providencia el 41,9% vive en la cabecera, el 53% en los centros poblados de San Felipe (11,3%), Rocky Point (10,4%), Bottom House (17,4%), Fresh Water Bay (3,3%), South West Bay (10,6%) y el 5% restante dispersa en la zona rural. </w:t>
      </w:r>
    </w:p>
    <w:p w14:paraId="469F998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3D0F9A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Las condiciones habitacionales han mejorado como consecuencia de la intervención estatal, pero aún se requiere de una mayor inversión. El censo DANE 2005 estableció que 79.9% de los hogares reportaron un déficit cualitativo (71.8%) o cuantitativo (8.1%)10 y 93% de los hogares urbanos habitaban viviendas con déficit de algún tipo de servicio básico Adicionalmente, se estima que en la isla de San Andrés existen 33 zonas subnormales que albergan alrededor de 13.000 personas, de las cuales el 24% vive en tugurios, 45% en viviendas semiconsolidadas y 31% en viviendas con clasificación consolidado y semiconsolidado11 (CREPAD, 2011). </w:t>
      </w:r>
    </w:p>
    <w:p w14:paraId="330644F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28FEAA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gran mayoría de viviendas han sido construidas sobre lotes en calidad de arrendamiento (33% en San Andrés y 12% en Providencia); a partir de allí se estima un déficit de vivienda de aproximadamente 1.820 unidades por hacinamiento, más un déficit de vivienda nueva en todos los estratos que supera las 1.200 unidades de vivienda12. </w:t>
      </w:r>
    </w:p>
    <w:p w14:paraId="3628FFD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EC0E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el caso particular de Providencia, de acuerdo al Plan de Desarrollo Municipal, conforme al censo 2005, el municipio presentaba un déficit cualitativo de vivienda del 63,6%. Es decir, que alrededor de 813 hogares que habitaban en viviendas particulares requerían de una nueva vivienda o mejoramiento o ampliación de la unidad habitacional en la cual vivían. De este total de hogares, 515 hogares (63.4%) con asentamiento se ubican en la cabecera del municipio y 298 (36.6%) hogares en el resto del municipio. </w:t>
      </w:r>
    </w:p>
    <w:p w14:paraId="43E61FB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E5A82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Atendiendo esta situación, en 2013 se asignaron 170 subsidios para mejoramiento de vivienda (de un total de 240 cupos) para el proyecto denominado San Andrés Living Island for All, con una inversión de $2.003 millones de pesos. Su ejecución está pendiente de que la Gobernación gestione un operador para el proyecto. Además, teniendo en cuenta los altos costos de construcción en el departamento, se aumentó el valor máximo de la vivienda de interés prioritario de 70 a 100 smlmv mediante el decreto número 2490 del 6 de diciembre de 2012. A su vez, el valor del subsidio familiar de vivienda para ese departamento fue reglamentado en la resolución número 470 de 2013 del Ministerio de Vivienda, Ciudad y Territorio, el cual es de 22 smlmv para las modalidades de mejoramiento, construcción en sitio propio o adquisición de vivienda. </w:t>
      </w:r>
    </w:p>
    <w:p w14:paraId="2157A5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A79878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Gobierno nacional ha identificado la pertinencia de apoyar programas de construcción y mejoramiento de vivienda que contribuya a solventar la situación antes descrita. Es importante que los programas que se lleven a cabo permitan el acceso preferencial de la población raizal a los beneficios. </w:t>
      </w:r>
    </w:p>
    <w:p w14:paraId="6350F373"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  </w:t>
      </w:r>
    </w:p>
    <w:p w14:paraId="33985F77"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2. SERVICIOS PÚBLICOS DOMICILIARIOS  </w:t>
      </w:r>
    </w:p>
    <w:p w14:paraId="779326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2BA2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La mayoría de las viviendas cuentan con el servicio de energía eléctrica y recolección de residuos sólidos. En cuanto al servicio de acueducto, San Andrés tiene cobertura del 56% y una continuidad en las zonas hotelera, ari eBay y San Luis de 24 horas al día; en zona residencial 12 horas al día, y en el resto del territorio se presentan bajas continuidades. Por otra parte, la calidad del agua suministrada es apta para consumo humano; sin embargo, se presentan falencias en términos administrativos, comerciales, financieros y operativos. Respecto al servicio de alcantarillado la Isla de San Andrés cuenta con una cobertura del 33%, pero se estima que un 84% de la población utiliza pozos sépticos o bajamar. </w:t>
      </w:r>
    </w:p>
    <w:p w14:paraId="1C10627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9E559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Con relación a las islas de Providencia y Santa Catalina, presenta cobertura de acueducto del 60% pero con algún nivel de riesgo en la calidad del agua suministrada; y el servicio se presta durante 8 horas cada 15 días y se complementa a través de carrotanques. </w:t>
      </w:r>
    </w:p>
    <w:p w14:paraId="4446139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F6B49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Respecto a saneamiento de excretas y aguas residuales el 97% de la población de estas islas utiliza pozos sépticos o bajamares. </w:t>
      </w:r>
    </w:p>
    <w:p w14:paraId="61F90AD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A20B30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Respecto al servicio público de aseo, se ha logrado mejorar la continuidad y cobertura de las actividades de recolección y transporte de residuos, así como en la disposición final mediante la optimización de la operación del Relleno Sanitario Magic Garden. Sin embargo, es necesario avanzar en la puesta en funcionamiento y operación continua de la Planta de Aprovechamiento de Residuos (RSU) con la cual se espera disminuir la presión sobre el relleno sanitario y generar a partir de los residuos como un valor agregado. </w:t>
      </w:r>
    </w:p>
    <w:p w14:paraId="4380780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8A24C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Actualmente, se vienen desarrollando esfuerzos importantes en materia de inversión y aseguramiento, con el fin de mejorar la calidad, cobertura y sostenibilidad de los servicios de acueducto, alcantarillado y aseo en estos municipios. Es así como, en la isla de San Andrés se está adelantando la construcción del Sistema de Alcantarillado Sanitario del Distrito número 4 con una inversión de $28.387 millones de pesos ($24.039 aporte de la nación y $4.347 del Plan Departamental de Agua) que amplía la cobertura del sistema de alcantarillado sanitario en la isla al 100% en el sector Natania, beneficiando aproximadamente 5.300 hogares. En Providencia se está construyendo el sistema de acueducto por un valor de $17.882 millones con recursos del Gobierno nacional, beneficiando a 1.300 habitantes, aumentando la cobertura del 60% al 100%. </w:t>
      </w:r>
    </w:p>
    <w:p w14:paraId="78B2880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419D0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 bien los resultados en materia de servicio de energía eléctrica y recolección de basuras parecen positivos por su alta cobertura, existen varios factores que se deben revisar para garantizar la sostenibilidad de los modelos. Respecto al servicio de energía, la nación, a través del Ministerio de Minas y Energía, ha realizado un esfuerzo para brindar a la población del Archipiélago un servicio de electricidad comparable al de ciudades intermedias del Sistema Interconectado Nacional (SIN), para lo cual constituyó un Área de Servicio Exclusivo (ASE), entregando en concesión la prestación del servicio en dicha área, para lo cual el Concesionario adelanta las actividades de generación, transmisión, distribución y comercialización de energía eléctrica. </w:t>
      </w:r>
    </w:p>
    <w:p w14:paraId="1D73160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20290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Sin embargo, esto ha representado un costo significativo para el Gobierno nacional, que en promedio aporta COP $75.000 millones al año (en 2014 se destinaron aproximadamente $86.000 millones de pesos para cubrir subsidios13), con el fin de equilibrar el costo real de la prestación del servicio con las tarifas que se cobran al usuario, pues, a diferencia del resto del país (donde solo los estratos 1 y 2 reciben subsidios por parte de la nación), en las Zonas No Interconectadas, especialmente en el Archipiélago de San Andrés, Providencia y Santa Catalina, todos los estratos socioeconómicos y el resto de usuarios (hotelero, industrial, entre otros) son subsidiados en un consumo de hasta 800 kWh/mes, (en el resto del país esa cifra corresponde a 173 kWh/mes para usuarios de estratos 1 y 2 situados a alturas menores a 1.000 metros sobre el nivel del mar-msnm y 130 kWh/mes para alturas superiores a 1.000 msnm). La sostenibilidad del Archipiélago depende, en gran medida, del uso de energías renovables de mínimo impacto ambiental, por lo cual es importante adelantar proyectos en este sentido. </w:t>
      </w:r>
    </w:p>
    <w:p w14:paraId="63D4189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AC0212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No obstante, dentro de las obligaciones derivadas del Contrato de Concesión del ASE San Andrés, el Concesionario debe adelantar la construcción de un Parque de Generación Eólica capaz de generar como mínimo 7.5 megavatios – (7.5 MW), lo cual se encuentra en etapa de consulta previa con las comunidades raizales. </w:t>
      </w:r>
    </w:p>
    <w:p w14:paraId="17C5069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9AFA3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Por su parte, en el servicio de recolección de basuras, se ha logrado una continuidad óptima, sin embargo, persisten retos relacionados con su disposición final. En la actualidad, los desechos de la isla de San Andrés se trasladan al Relleno Sanitario Magic Garden, en donde se deben separar y clasificar para recuperar eficientemente una variedad de materiales y usarlos nuevamente. </w:t>
      </w:r>
    </w:p>
    <w:p w14:paraId="607DF9A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BDE73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Para Providencia, el PGIRS UTP (Plan de Gestión Integral de Residuos Sólidos – Universidad Tecnológica de Pereira) 2006 identificó 73 botaderos a cielo abierto y no existen unidades de aprovechamiento de residuos sólidos. Utilizar el suelo para este fin presenta un riesgo para la calidad de las aguas subterráneas, el estado de los recursos naturales y la conservación de ecosistemas. Adicionalmente, el área territorial de las islas es limitada y por tanto, no se pueden expandir los rellenos indefinidamente. </w:t>
      </w:r>
    </w:p>
    <w:p w14:paraId="000E33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BD7CB4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Adicionalmente con recursos asignados por el Gobierno nacional – Ministerio de Minas y Energía, por intermedio del Fondo de Apoyo Financiero para las Zonas No Interconectadas (Fazni), se construyó la Planta de Generación con Residuos Sólidos Urbanos (RSU) cuya finalidad inicial es la de generar un megavatio (1 MW). </w:t>
      </w:r>
    </w:p>
    <w:p w14:paraId="609DD468" w14:textId="0E202534" w:rsidR="00E475BF" w:rsidRPr="00562064" w:rsidRDefault="54892A18" w:rsidP="00143180">
      <w:pPr>
        <w:spacing w:after="0" w:line="254" w:lineRule="atLeast"/>
        <w:jc w:val="both"/>
        <w:rPr>
          <w:rFonts w:ascii="Arial" w:eastAsia="Times New Roman" w:hAnsi="Arial" w:cs="Arial"/>
          <w:color w:val="000000" w:themeColor="text1"/>
          <w:lang w:eastAsia="es-CO"/>
        </w:rPr>
      </w:pPr>
      <w:r>
        <w:rPr>
          <w:noProof/>
        </w:rPr>
        <w:drawing>
          <wp:inline distT="0" distB="0" distL="0" distR="0" wp14:anchorId="2658B028" wp14:editId="1DAC53E3">
            <wp:extent cx="4192270" cy="20961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1">
                      <a:extLst>
                        <a:ext uri="{28A0092B-C50C-407E-A947-70E740481C1C}">
                          <a14:useLocalDpi xmlns:a14="http://schemas.microsoft.com/office/drawing/2010/main" val="0"/>
                        </a:ext>
                      </a:extLst>
                    </a:blip>
                    <a:stretch>
                      <a:fillRect/>
                    </a:stretch>
                  </pic:blipFill>
                  <pic:spPr>
                    <a:xfrm>
                      <a:off x="0" y="0"/>
                      <a:ext cx="4192270" cy="2096135"/>
                    </a:xfrm>
                    <a:prstGeom prst="rect">
                      <a:avLst/>
                    </a:prstGeom>
                  </pic:spPr>
                </pic:pic>
              </a:graphicData>
            </a:graphic>
          </wp:inline>
        </w:drawing>
      </w:r>
      <w:r w:rsidRPr="7B83C8A6">
        <w:rPr>
          <w:rFonts w:ascii="Arial" w:eastAsia="Times New Roman" w:hAnsi="Arial" w:cs="Arial"/>
          <w:color w:val="000000" w:themeColor="text1"/>
          <w:lang w:eastAsia="es-CO"/>
        </w:rPr>
        <w:t> </w:t>
      </w:r>
    </w:p>
    <w:p w14:paraId="21EA860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D258C9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Fuente: DANE RP 2013. </w:t>
      </w:r>
    </w:p>
    <w:p w14:paraId="649078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EMPLEO </w:t>
      </w:r>
    </w:p>
    <w:p w14:paraId="1577C79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mercado laboral del departamento se ha caracterizado por registrar dinámicas positivas en los últimos años en comparación con el resto del país. La tasa de desempleo es una de las más bajas de Colombia y de acuerdo a los datos de la Gran Encuesta Integrada de Hogares (GEIH) del DANE, que corresponden al periodo septiembre de 2013 a febrero de 2014, esta se ubicó en 8% frente a un promedio en 23 ciudades del país de 11.2%. Aun cuando la tasa de desempleo es sustancialmente menor que en el resto del país, se presenta un fenómeno de informalidad laboral que se convierte en un reto hacia el futuro. De acuerdo con la Encuesta de Calidad de Vida de 2012, alrededor del 30% de la población ocupada trabaja en actividades de comercio, en mayor medida en comercio al por menor. Otro 20% de los ocupados se dedica a actividades relacionadas con hotelería y restaurantes. El sector administración pública, defensa y seguridad social emplea a 6.53% de la población ocupada. </w:t>
      </w:r>
    </w:p>
    <w:p w14:paraId="2F30A1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A80E2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Gobierno nacional tomó la determinación de poner en marcha programas estratégicos adicionales de creación de empleo en ese departamento con el objetivo de ofrecer alternativas de trabajo calificado para los habitantes de las islas que conforman el Archipiélago, entendiendo trabajo calificado como más trabajo de calidad para esa población. De esa manera, se pretende continuar fomentando el establecimiento de empresas y negocios que aprovechen las ventajas competitivas en el departamento, en materia de capital humano. Un aliado fundamental para las iniciativas de creación de empleo en el departamento es el Sena con políticas enfocadas a la formación y capacitación para el trabajo, que les permita contar con los conocimientos, habilidades y aptitudes para el desarrollo de los mencionados servicios. </w:t>
      </w:r>
    </w:p>
    <w:p w14:paraId="053528C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369E59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En este contexto, se identificó la oportunidad de fomentar el desarrollo de actividades empresariales, tales como el BPO (Business Processing Outsourcing – Tercerización de Servicios) que, por sus características, sean lo suficientemente flexibles para adaptarse a las condiciones sociales y económicas del departamento y que sean coherentes con la tendencia mundial de desarrollar servicios tecnológicos con fines de comunicación. En Colombia, el sector de BPO es un alto generador de empleo (alrededor de 80.000 puestos de trabajo en 2011) y ventas por cerca de US1.000 millones (también en 2011)14. Además, este sector ha presentado un crecimiento en el país del 61% en los últimos cuatro años15. </w:t>
      </w:r>
    </w:p>
    <w:p w14:paraId="709A558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BD118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El departamento cuenta con una ventaja comparativa importante para la puesta en marcha de este tipo de industria: por una parte, las empresas nuevas que se instalen en ese departamento pueden ser objeto de una serie de beneficios tributarios derivados de lo establecido en la Ley 47 de 1993 y en artículo 150 de la Ley 1607 de 2012; por otra parte, las características propias de estas islas facilitan la actividad laboral en este sector, toda vez que gran parte del capital humano disponible es trilingüe (español, inglés y kriol) y, en esa medida, requiere de una menor capacitación para iniciar la prestación del servicio. </w:t>
      </w:r>
    </w:p>
    <w:p w14:paraId="4F987BD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7D3C1B2"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DESARROLLO EMPRESARIAL  </w:t>
      </w:r>
    </w:p>
    <w:p w14:paraId="01BA944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DD7D7C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Se ha realizado la implementación de la propuesta de fortalecimiento de las capacidades estratégicas, de articulación y de gestión de la Comisión Regional de Competitividad de San Andrés, Providencia y Santa Catalina (CRC); la región implementó una ruta competitiva en el sector de turismo de naturaleza, como apuesta productiva del departamento. Se cuenta con el Centro de Servicios MiCITio de San Andrés, para atención integral a empresarios y emprendedores, adaptando la metodología Small Business Development Center (SBDC) de los Estados Unidos. Esta iniciativa permite conectar las empresas de la isla a la red de negocios de las Américas a través de la plataforma SBDCGLOBAL.COM. Por parte, el Gobierno nacional contrató un curso de nivelación y mejoramiento de procesos productivos para actores del sector textil confección. Como resultado se graduaron 38 personas y se elaboró la colección Seaflower de ropa de mar y playa con 60 piezas. </w:t>
      </w:r>
    </w:p>
    <w:p w14:paraId="0C7E325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05EB309"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PROGRAMAS Y PROYECTOS ESTRATÉGICOS  </w:t>
      </w:r>
    </w:p>
    <w:p w14:paraId="2C0742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8667C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Con fundamento en el anterior diagnóstico, el Gobierno nacional ha identificado, entre otros, los siguientes proyectos para realizar o continuar ejecutando, según el caso particular, en el Departamento Archipiélago de San Andrés, Providencia y Santa Catalina. </w:t>
      </w:r>
    </w:p>
    <w:p w14:paraId="1846EE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449643F"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TRANSPORTE, INFRAESTRUCTURA Y TURISMO  </w:t>
      </w:r>
    </w:p>
    <w:p w14:paraId="3E97B6C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D4BCDB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Fortalecer las capacidades institucionales para gestión del turismo, </w:t>
      </w:r>
      <w:r w:rsidRPr="00562064">
        <w:rPr>
          <w:rFonts w:ascii="Arial" w:eastAsia="Times New Roman" w:hAnsi="Arial" w:cs="Arial"/>
          <w:color w:val="000000" w:themeColor="text1"/>
          <w:lang w:eastAsia="es-CO"/>
        </w:rPr>
        <w:t>mediante vinculación a circuitos del Caribe y organismos internacionales de gestión. </w:t>
      </w:r>
    </w:p>
    <w:p w14:paraId="402045D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23365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Generar mecanismos de movilidad entre las islas de San Andrés y Providencia</w:t>
      </w:r>
      <w:r w:rsidRPr="00562064">
        <w:rPr>
          <w:rFonts w:ascii="Arial" w:eastAsia="Times New Roman" w:hAnsi="Arial" w:cs="Arial"/>
          <w:color w:val="000000" w:themeColor="text1"/>
          <w:lang w:eastAsia="es-CO"/>
        </w:rPr>
        <w:t>, en particular para el transporte marítimo de pasajeros y carga, con el propósito de que la conectividad sea más segura, más frecuente y en mayores cantidades, y que reduzca las tarifas que actualmente deben asumir los turistas y los residentes, en especial la comunidad raizal. </w:t>
      </w:r>
    </w:p>
    <w:p w14:paraId="2EE7C80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F0642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Culminar obras de infraestructura turística en curso </w:t>
      </w:r>
      <w:r w:rsidRPr="00562064">
        <w:rPr>
          <w:rFonts w:ascii="Arial" w:eastAsia="Times New Roman" w:hAnsi="Arial" w:cs="Arial"/>
          <w:color w:val="000000" w:themeColor="text1"/>
          <w:lang w:eastAsia="es-CO"/>
        </w:rPr>
        <w:t>como la renovación del muelle El Cove, renovación del Fisherman Place, Sendero al Peak, muelle Lancheros, muelle Jhonny Cay, provisión de cámaras hiperbáricas de San Andrés y Providencia, entre otros. </w:t>
      </w:r>
    </w:p>
    <w:p w14:paraId="7D3F99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C036CF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Incentivar la generación de nuevas rutas aéreas y marítimas para transporte de carga y pasajeros </w:t>
      </w:r>
      <w:r w:rsidRPr="00562064">
        <w:rPr>
          <w:rFonts w:ascii="Arial" w:eastAsia="Times New Roman" w:hAnsi="Arial" w:cs="Arial"/>
          <w:color w:val="000000" w:themeColor="text1"/>
          <w:lang w:eastAsia="es-CO"/>
        </w:rPr>
        <w:t>con el continente colombiano, Centroamérica y el Caribe. </w:t>
      </w:r>
    </w:p>
    <w:p w14:paraId="7A78AC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28189F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Consolidar productos turísticos especializados que se encuentran en franco crecimiento </w:t>
      </w:r>
      <w:r w:rsidRPr="00562064">
        <w:rPr>
          <w:rFonts w:ascii="Arial" w:eastAsia="Times New Roman" w:hAnsi="Arial" w:cs="Arial"/>
          <w:color w:val="000000" w:themeColor="text1"/>
          <w:lang w:eastAsia="es-CO"/>
        </w:rPr>
        <w:t>como turismo de naturaleza, turismo cultural, turismo de reuniones, turismo de salud y bienestar y turismo náutico y de cruceros. Así mismo, continuar con la promoción y difusión del destino a nivel nacional e internacional por medio de diseño, producción y emisión de campañas, divulgación del destino en el marco de eventos. </w:t>
      </w:r>
    </w:p>
    <w:p w14:paraId="3E96F7F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0B4794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Facilitar y promover la suscripción de APP para inversión en infraestructura turística</w:t>
      </w:r>
      <w:r w:rsidRPr="00562064">
        <w:rPr>
          <w:rFonts w:ascii="Arial" w:eastAsia="Times New Roman" w:hAnsi="Arial" w:cs="Arial"/>
          <w:color w:val="000000" w:themeColor="text1"/>
          <w:lang w:eastAsia="es-CO"/>
        </w:rPr>
        <w:t>. </w:t>
      </w:r>
    </w:p>
    <w:p w14:paraId="669D9DD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7BE17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Generar un esquema de renovación del parque automotor de transporte público en sistemas ecoamigables</w:t>
      </w:r>
      <w:r w:rsidRPr="00562064">
        <w:rPr>
          <w:rFonts w:ascii="Arial" w:eastAsia="Times New Roman" w:hAnsi="Arial" w:cs="Arial"/>
          <w:color w:val="000000" w:themeColor="text1"/>
          <w:lang w:eastAsia="es-CO"/>
        </w:rPr>
        <w:t>, con líneas blandas de financiación. </w:t>
      </w:r>
    </w:p>
    <w:p w14:paraId="62A7D2F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5B55CDC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Generar incentivos al emprendimiento de crecimiento verde en turismo</w:t>
      </w:r>
      <w:r w:rsidRPr="00562064">
        <w:rPr>
          <w:rFonts w:ascii="Arial" w:eastAsia="Times New Roman" w:hAnsi="Arial" w:cs="Arial"/>
          <w:color w:val="000000" w:themeColor="text1"/>
          <w:lang w:eastAsia="es-CO"/>
        </w:rPr>
        <w:t>. </w:t>
      </w:r>
    </w:p>
    <w:p w14:paraId="05C37ED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7E6DA00"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PESCA Y ACUICULTURA  </w:t>
      </w:r>
    </w:p>
    <w:p w14:paraId="2E45F3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C8F535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Terminal Pesquero Artesanal: </w:t>
      </w:r>
      <w:r w:rsidRPr="00562064">
        <w:rPr>
          <w:rFonts w:ascii="Arial" w:eastAsia="Times New Roman" w:hAnsi="Arial" w:cs="Arial"/>
          <w:color w:val="000000" w:themeColor="text1"/>
          <w:lang w:eastAsia="es-CO"/>
        </w:rPr>
        <w:t>ante la necesidad de contar con un centro de producción pesquero que permita conservar la cadena de frío y, posteriormente, facilite la comercialización al público, se pondrá en marcha el Terminal Pesquero Artesanal, cuyo objetivo es la adecuación de una infraestructura que cuente con los servicios de apoyo requeridos para el desarrollo de su actividad de manera sostenible, rentable y organizada. </w:t>
      </w:r>
    </w:p>
    <w:p w14:paraId="317C7DA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FED5C1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Programa Integral de Desarrollo Rural para Providencia y Santa Catalina </w:t>
      </w:r>
      <w:r w:rsidRPr="00562064">
        <w:rPr>
          <w:rFonts w:ascii="Arial" w:eastAsia="Times New Roman" w:hAnsi="Arial" w:cs="Arial"/>
          <w:color w:val="000000" w:themeColor="text1"/>
          <w:lang w:eastAsia="es-CO"/>
        </w:rPr>
        <w:t>(acuaponía, maricultura, zoocría, turismo rural, entre otros) dirigido a pescadores artesanales y agricultores del municipio, teniendo en cuenta que el campo y el mar son recursos estratégicos con gran potencial para reducir la pobreza y contribuir al desarrollo del turismo local y regional. </w:t>
      </w:r>
    </w:p>
    <w:p w14:paraId="1FF2B1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9CD2D4"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SOBERANÍA Y SEGURIDAD  </w:t>
      </w:r>
    </w:p>
    <w:p w14:paraId="6750ED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6B1435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Construir la infraestructura terrestre y marítima necesaria con el propósito de salvaguardar la soberanía nacional y mejorar las condiciones de seguridad </w:t>
      </w:r>
      <w:r w:rsidRPr="00562064">
        <w:rPr>
          <w:rFonts w:ascii="Arial" w:eastAsia="Times New Roman" w:hAnsi="Arial" w:cs="Arial"/>
          <w:color w:val="000000" w:themeColor="text1"/>
          <w:lang w:eastAsia="es-CO"/>
        </w:rPr>
        <w:t>en el Archipiélago, y, con el mismo fin, se elaborarán los programas de seguridad y convivencia ciudadana que sean requeridos. </w:t>
      </w:r>
    </w:p>
    <w:p w14:paraId="79714B2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A5CFC40"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CULTURA, EDUCACIÓN Y EMPLEO  </w:t>
      </w:r>
    </w:p>
    <w:p w14:paraId="2C45D81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E7F2CE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CULTURA:  </w:t>
      </w:r>
    </w:p>
    <w:p w14:paraId="3FEAE8F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1F760E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Desarrollar una estrategia para fortalecer la industria musical en el Archipiélago</w:t>
      </w:r>
      <w:r w:rsidRPr="00562064">
        <w:rPr>
          <w:rFonts w:ascii="Arial" w:eastAsia="Times New Roman" w:hAnsi="Arial" w:cs="Arial"/>
          <w:color w:val="000000" w:themeColor="text1"/>
          <w:lang w:eastAsia="es-CO"/>
        </w:rPr>
        <w:t>, y para la dotación y sostenimiento de espacios como estudio de grabación o laboratorio con herramientas audiodigitales y de formación en producción de contenidos culturales y multimedia. Además se fomentará y apoyará la realización de residencias artísticas en las islas. </w:t>
      </w:r>
    </w:p>
    <w:p w14:paraId="7A4C973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7510B8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Apoyar la gestión de archivo del Archipiélago: </w:t>
      </w:r>
      <w:r w:rsidRPr="00562064">
        <w:rPr>
          <w:rFonts w:ascii="Arial" w:eastAsia="Times New Roman" w:hAnsi="Arial" w:cs="Arial"/>
          <w:color w:val="000000" w:themeColor="text1"/>
          <w:lang w:eastAsia="es-CO"/>
        </w:rPr>
        <w:t>apoyar a la Gobernación en el proyecto de construcción del archivo del departamento. </w:t>
      </w:r>
    </w:p>
    <w:p w14:paraId="2B33A33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708594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Construcción de la casa de cultura de North End</w:t>
      </w:r>
      <w:r w:rsidRPr="00562064">
        <w:rPr>
          <w:rFonts w:ascii="Arial" w:eastAsia="Times New Roman" w:hAnsi="Arial" w:cs="Arial"/>
          <w:color w:val="000000" w:themeColor="text1"/>
          <w:lang w:eastAsia="es-CO"/>
        </w:rPr>
        <w:t>, construcción de una galería, salones para música, salones para artes plásticas, pintura, entre otros. </w:t>
      </w:r>
    </w:p>
    <w:p w14:paraId="1655E7C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8A8FE2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Apoyar la construcción de una Casa de la Juventud en el Departamento</w:t>
      </w:r>
      <w:r w:rsidRPr="00562064">
        <w:rPr>
          <w:rFonts w:ascii="Arial" w:eastAsia="Times New Roman" w:hAnsi="Arial" w:cs="Arial"/>
          <w:color w:val="000000" w:themeColor="text1"/>
          <w:lang w:eastAsia="es-CO"/>
        </w:rPr>
        <w:t>: iniciativa de la Gobernación del Archipiélago para contar con espacios adecuados para el desarrollo de sus jóvenes. </w:t>
      </w:r>
    </w:p>
    <w:p w14:paraId="062A0D1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645ABD6"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EDUCACIÓN, FORMACIÓN PARA EL TRABAJO Y EMPLEO  </w:t>
      </w:r>
    </w:p>
    <w:p w14:paraId="09DE013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E177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Fortalecimiento de la Educación Superior en el Archipiélago. </w:t>
      </w:r>
      <w:r w:rsidRPr="00562064">
        <w:rPr>
          <w:rFonts w:ascii="Arial" w:eastAsia="Times New Roman" w:hAnsi="Arial" w:cs="Arial"/>
          <w:color w:val="000000" w:themeColor="text1"/>
          <w:lang w:eastAsia="es-CO"/>
        </w:rPr>
        <w:t>Apoyar Instituciones de Educación Superior de las Islas con el ánimo de fortalecerlas en áreas específicas como la enseñanza del inglés estándar, así como en la enseñanza de asuntos del medio ambiente, u otras que tengan especial importancia en el Archipiélago. </w:t>
      </w:r>
    </w:p>
    <w:p w14:paraId="78C4288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853AF2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Fortalecimiento del acceso, permanencia y pertinencia de la oferta de educación superior para el Archipiélago. </w:t>
      </w:r>
      <w:r w:rsidRPr="00562064">
        <w:rPr>
          <w:rFonts w:ascii="Arial" w:eastAsia="Times New Roman" w:hAnsi="Arial" w:cs="Arial"/>
          <w:color w:val="000000" w:themeColor="text1"/>
          <w:lang w:eastAsia="es-CO"/>
        </w:rPr>
        <w:t>Se pretende formular proyectos para la formación de licenciados en áreas específicas, cursos de fundamentación en áreas básicas y competencias universitarias. Diseño de estrategias para el acceso y permanencia en la educación superior. </w:t>
      </w:r>
    </w:p>
    <w:p w14:paraId="5D73BC4B"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C0B618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El diseño de un currículo integral en inglés estándar para primaria</w:t>
      </w:r>
      <w:r w:rsidRPr="00562064">
        <w:rPr>
          <w:rFonts w:ascii="Arial" w:eastAsia="Times New Roman" w:hAnsi="Arial" w:cs="Arial"/>
          <w:color w:val="000000" w:themeColor="text1"/>
          <w:lang w:eastAsia="es-CO"/>
        </w:rPr>
        <w:t>, que incluya la enseñanza de inglés, matemáticas, ciencias naturales, entre otros. Será un diseño que contemple la implementación gradual por niveles y asignaturas, e incluya los criterios para la selección de materiales educativos, teniendo en cuenta el contexto cultural y educativo particular de las islas. </w:t>
      </w:r>
    </w:p>
    <w:p w14:paraId="1BA8B76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28FE77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Formulación de un programa integral de formación de los docentes de primaria</w:t>
      </w:r>
      <w:r w:rsidRPr="00562064">
        <w:rPr>
          <w:rFonts w:ascii="Arial" w:eastAsia="Times New Roman" w:hAnsi="Arial" w:cs="Arial"/>
          <w:color w:val="000000" w:themeColor="text1"/>
          <w:lang w:eastAsia="es-CO"/>
        </w:rPr>
        <w:t>. La definición del programa de formación de docentes se realizará considerando la prioridad de necesidades y la priorización de niveles. El plan de formación debe considerar una formación in situ y la posibilidad de establecer un plan de incentivos docentes, que permita que un grupo tenga la posibilidad de realizar pasantías cortas en un país anglófono. </w:t>
      </w:r>
    </w:p>
    <w:p w14:paraId="55AEC6C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D0C62E9"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Programas de inmersión en inglés estándar en el Departamento Archipiélago de San Andrés, Providencia y Santa Catalina</w:t>
      </w:r>
      <w:r w:rsidRPr="00562064">
        <w:rPr>
          <w:rFonts w:ascii="Arial" w:eastAsia="Times New Roman" w:hAnsi="Arial" w:cs="Arial"/>
          <w:color w:val="000000" w:themeColor="text1"/>
          <w:lang w:eastAsia="es-CO"/>
        </w:rPr>
        <w:t>. Serán ofrecidos a los docentes de inglés del sector oficial de diferentes entidades territoriales, según las necesidades que se identifiquen. Permitirá fortalecer la capacidad de las islas para continuar ofreciendo el programa. </w:t>
      </w:r>
    </w:p>
    <w:p w14:paraId="4F3B5B5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332BD22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Implementar los proyectos de aprendizaje-enseñanza del Kriol</w:t>
      </w:r>
      <w:r w:rsidRPr="00562064">
        <w:rPr>
          <w:rFonts w:ascii="Arial" w:eastAsia="Times New Roman" w:hAnsi="Arial" w:cs="Arial"/>
          <w:color w:val="000000" w:themeColor="text1"/>
          <w:lang w:eastAsia="es-CO"/>
        </w:rPr>
        <w:t>. En articulación con los sectores de cultura y educación, se pretende fortalecer la identidad cultural del raizal, mediante el uso escrito y hablado de la lengua nativa. </w:t>
      </w:r>
    </w:p>
    <w:p w14:paraId="3329E8D4"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9D5CB8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Los siguientes proyectos planteados en este capítulo fueron establecidos por otras entidades del gobierno, pero se podrán articular con el Ministerio de Educación Nacional sin que esto implique una actuación directa por parte de ese Ministerio. </w:t>
      </w:r>
    </w:p>
    <w:p w14:paraId="49ED006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3683B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Proyecto de la Escuela Taller. </w:t>
      </w:r>
      <w:r w:rsidRPr="00562064">
        <w:rPr>
          <w:rFonts w:ascii="Arial" w:eastAsia="Times New Roman" w:hAnsi="Arial" w:cs="Arial"/>
          <w:color w:val="000000" w:themeColor="text1"/>
          <w:lang w:eastAsia="es-CO"/>
        </w:rPr>
        <w:t>En aras de articular la cultura y el patrimonio inmaterial, el emprendimiento, la formación para el trabajo y el desarrollo humano para proponer alternativas de desarrollo social y económico de San Andrés y Providencia, se busca consolidar un centro de formación y producción artística y cultural bajo el esquema de Escuela Taller –Herramientas de Paz– o particularmente, se busca implementar este esquema a través de procesos de formación y producción artística, con especial atención en oficios tradicionales. Para esto, se busca efectuar las adecuaciones y construcciones necesarias para el funcionamiento de la Escuela, de manera que se cumplan los estándares requeridos dentro del proceso de formación artística y con espacios adecuados para la oferta de bienes y servicios complementarios. </w:t>
      </w:r>
    </w:p>
    <w:p w14:paraId="5A687B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564D2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Apoyar la formación de personal y la adecuación de infraestructura para servicios de Business Processing Outsourcing (BPO) en el departamento de San Andrés, Providencia y Santa Catalina</w:t>
      </w:r>
      <w:r w:rsidRPr="00562064">
        <w:rPr>
          <w:rFonts w:ascii="Arial" w:eastAsia="Times New Roman" w:hAnsi="Arial" w:cs="Arial"/>
          <w:color w:val="000000" w:themeColor="text1"/>
          <w:lang w:eastAsia="es-CO"/>
        </w:rPr>
        <w:t>. El Gobierno nacional, a través del Sena, estructurará el proyecto de formación de personal para servicios de Business Processing Outsourcing en el departamento. </w:t>
      </w:r>
    </w:p>
    <w:p w14:paraId="37F81CE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4798B55"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Fomento de alternativas de empleabilidad y emprendimiento </w:t>
      </w:r>
      <w:r w:rsidRPr="00562064">
        <w:rPr>
          <w:rFonts w:ascii="Arial" w:eastAsia="Times New Roman" w:hAnsi="Arial" w:cs="Arial"/>
          <w:color w:val="000000" w:themeColor="text1"/>
          <w:lang w:eastAsia="es-CO"/>
        </w:rPr>
        <w:t>para la población de las islas de San Andrés, Providencia y Santa Catalina a través, entre otros, de la industria de servicio BPO para generar empleos e ingresos en esas islas. </w:t>
      </w:r>
    </w:p>
    <w:p w14:paraId="05E30550"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14F81D6"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b/>
          <w:bCs/>
          <w:color w:val="000000" w:themeColor="text1"/>
          <w:lang w:eastAsia="es-CO"/>
        </w:rPr>
        <w:t>HABITABILIDAD</w:t>
      </w:r>
      <w:r w:rsidRPr="00562064">
        <w:rPr>
          <w:rFonts w:ascii="Arial" w:eastAsia="Times New Roman" w:hAnsi="Arial" w:cs="Arial"/>
          <w:color w:val="000000" w:themeColor="text1"/>
          <w:lang w:eastAsia="es-CO"/>
        </w:rPr>
        <w:t>  </w:t>
      </w:r>
    </w:p>
    <w:p w14:paraId="1234DC4A"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0F3CB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Construcción y/o mejoramiento de viviendas </w:t>
      </w:r>
      <w:r w:rsidRPr="00562064">
        <w:rPr>
          <w:rFonts w:ascii="Arial" w:eastAsia="Times New Roman" w:hAnsi="Arial" w:cs="Arial"/>
          <w:color w:val="000000" w:themeColor="text1"/>
          <w:lang w:eastAsia="es-CO"/>
        </w:rPr>
        <w:t>localizadas tanto en suelo urbano como rural, en San Andrés y en Providencia, para el beneficio de población residente vulnerable. </w:t>
      </w:r>
    </w:p>
    <w:p w14:paraId="73E393D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CABC79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Brindar asistencia técnica y apoyo financiero para mejorar la cobertura, calidad y continuidad de los servicios de agua potable y saneamiento básico</w:t>
      </w:r>
      <w:r w:rsidRPr="00562064">
        <w:rPr>
          <w:rFonts w:ascii="Arial" w:eastAsia="Times New Roman" w:hAnsi="Arial" w:cs="Arial"/>
          <w:color w:val="000000" w:themeColor="text1"/>
          <w:lang w:eastAsia="es-CO"/>
        </w:rPr>
        <w:t>, con un enfoque de sostenibilidad que incluya fortalecimiento de las capacidades institucionales, operativas y de planeación. </w:t>
      </w:r>
    </w:p>
    <w:p w14:paraId="6515E5D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4205E07"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Apoyar las actividades de tipo técnico, operativo, jurídico y/o financiero para articular las actividades de recolección y transporte selectivo con la operación del relleno sanitario</w:t>
      </w:r>
      <w:r w:rsidRPr="00562064">
        <w:rPr>
          <w:rFonts w:ascii="Arial" w:eastAsia="Times New Roman" w:hAnsi="Arial" w:cs="Arial"/>
          <w:color w:val="000000" w:themeColor="text1"/>
          <w:lang w:eastAsia="es-CO"/>
        </w:rPr>
        <w:t>, incluyendo la extracción y adecuación de los residuos dispuestos en el mismo, para lograr la óptima operación de la planta RSU para la generación de energía. </w:t>
      </w:r>
    </w:p>
    <w:p w14:paraId="38C3E6F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4E817DCE"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Programa de transición a energías renovables. </w:t>
      </w:r>
      <w:r w:rsidRPr="00562064">
        <w:rPr>
          <w:rFonts w:ascii="Arial" w:eastAsia="Times New Roman" w:hAnsi="Arial" w:cs="Arial"/>
          <w:color w:val="000000" w:themeColor="text1"/>
          <w:lang w:eastAsia="es-CO"/>
        </w:rPr>
        <w:t>Se culminará el diseño de un programa de eficiencia energética para el departamento de manera que la matriz energética del departamento tenga un mayor contenido de energías renovables. </w:t>
      </w:r>
    </w:p>
    <w:p w14:paraId="58C4386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7AB3B455" w14:textId="77777777" w:rsidR="00E475BF" w:rsidRPr="00562064" w:rsidRDefault="00E475BF" w:rsidP="00143180">
      <w:pPr>
        <w:spacing w:after="0" w:line="254" w:lineRule="atLeast"/>
        <w:jc w:val="both"/>
        <w:rPr>
          <w:rFonts w:ascii="Arial" w:eastAsia="Times New Roman" w:hAnsi="Arial" w:cs="Arial"/>
          <w:b/>
          <w:bCs/>
          <w:color w:val="000000" w:themeColor="text1"/>
          <w:lang w:eastAsia="es-CO"/>
        </w:rPr>
      </w:pPr>
      <w:r w:rsidRPr="00562064">
        <w:rPr>
          <w:rFonts w:ascii="Arial" w:eastAsia="Times New Roman" w:hAnsi="Arial" w:cs="Arial"/>
          <w:b/>
          <w:bCs/>
          <w:color w:val="000000" w:themeColor="text1"/>
          <w:lang w:eastAsia="es-CO"/>
        </w:rPr>
        <w:t>DESARROLLO EMPRESARIAL  </w:t>
      </w:r>
    </w:p>
    <w:p w14:paraId="5B1A0B9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13AF96C"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Brindar acompañamiento a la Comisión Regional de Competitividad de San Andrés </w:t>
      </w:r>
      <w:r w:rsidRPr="00562064">
        <w:rPr>
          <w:rFonts w:ascii="Arial" w:eastAsia="Times New Roman" w:hAnsi="Arial" w:cs="Arial"/>
          <w:color w:val="000000" w:themeColor="text1"/>
          <w:lang w:eastAsia="es-CO"/>
        </w:rPr>
        <w:t>en la identificación y estructuración de proyectos de alto impacto regional, y su presentación ante entidades financiadoras, y en promover la articulación de instancias, programas e instrumentos del Sector Comercio, Industria y Turismo para apoyar el aumento de la productividad y mejoramiento de la competitividad regional. </w:t>
      </w:r>
    </w:p>
    <w:p w14:paraId="1E7F50BF"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15495ED2"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Realizar las convocatorias a través del Fondo de Modernización e Innovación para las Mipymes </w:t>
      </w:r>
      <w:r w:rsidRPr="00562064">
        <w:rPr>
          <w:rFonts w:ascii="Arial" w:eastAsia="Times New Roman" w:hAnsi="Arial" w:cs="Arial"/>
          <w:color w:val="000000" w:themeColor="text1"/>
          <w:lang w:eastAsia="es-CO"/>
        </w:rPr>
        <w:t>para el fortalecimiento e incremento de la productividad de las Mipymes del Archipiélago. </w:t>
      </w:r>
    </w:p>
    <w:p w14:paraId="3AC750F1"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0B78FF4D"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Fortalecer las capacidades productivas de las islas, </w:t>
      </w:r>
      <w:r w:rsidRPr="00562064">
        <w:rPr>
          <w:rFonts w:ascii="Arial" w:eastAsia="Times New Roman" w:hAnsi="Arial" w:cs="Arial"/>
          <w:color w:val="000000" w:themeColor="text1"/>
          <w:lang w:eastAsia="es-CO"/>
        </w:rPr>
        <w:t>mediante la capacitación en modelos asociativos y definición de modelo de negocio e implementar talleres para capacitación, entrenamiento y producción. </w:t>
      </w:r>
    </w:p>
    <w:p w14:paraId="3BE6E6F8"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24378233" w14:textId="77777777"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r w:rsidRPr="00562064">
        <w:rPr>
          <w:rFonts w:ascii="Arial" w:eastAsia="Times New Roman" w:hAnsi="Arial" w:cs="Arial"/>
          <w:color w:val="000000" w:themeColor="text1"/>
          <w:u w:val="single"/>
          <w:lang w:eastAsia="es-CO"/>
        </w:rPr>
        <w:t>Fortalecer y volver competitivos los procesos productivos del sector textil confección</w:t>
      </w:r>
      <w:r w:rsidRPr="00562064">
        <w:rPr>
          <w:rFonts w:ascii="Arial" w:eastAsia="Times New Roman" w:hAnsi="Arial" w:cs="Arial"/>
          <w:color w:val="000000" w:themeColor="text1"/>
          <w:lang w:eastAsia="es-CO"/>
        </w:rPr>
        <w:t>. </w:t>
      </w:r>
    </w:p>
    <w:p w14:paraId="3CA902B0" w14:textId="1B6FC185" w:rsidR="00E475BF" w:rsidRPr="00562064" w:rsidRDefault="00E475BF" w:rsidP="00143180">
      <w:pPr>
        <w:spacing w:after="0" w:line="254" w:lineRule="atLeast"/>
        <w:jc w:val="both"/>
        <w:rPr>
          <w:rFonts w:ascii="Arial" w:eastAsia="Times New Roman" w:hAnsi="Arial" w:cs="Arial"/>
          <w:color w:val="000000" w:themeColor="text1"/>
          <w:lang w:eastAsia="es-CO"/>
        </w:rPr>
      </w:pPr>
      <w:r w:rsidRPr="00562064">
        <w:rPr>
          <w:rFonts w:ascii="Arial" w:eastAsia="Times New Roman" w:hAnsi="Arial" w:cs="Arial"/>
          <w:color w:val="000000" w:themeColor="text1"/>
          <w:lang w:eastAsia="es-CO"/>
        </w:rPr>
        <w:t>  </w:t>
      </w:r>
    </w:p>
    <w:p w14:paraId="6CC8DA59" w14:textId="77777777" w:rsidR="00D667A4" w:rsidRPr="00562064" w:rsidRDefault="00D667A4" w:rsidP="00143180">
      <w:pPr>
        <w:jc w:val="both"/>
        <w:rPr>
          <w:rFonts w:ascii="Arial" w:hAnsi="Arial" w:cs="Arial"/>
          <w:color w:val="000000" w:themeColor="text1"/>
        </w:rPr>
      </w:pPr>
    </w:p>
    <w:sectPr w:rsidR="00D667A4" w:rsidRPr="0056206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D79C5"/>
    <w:multiLevelType w:val="multilevel"/>
    <w:tmpl w:val="994A2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0850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5BF"/>
    <w:rsid w:val="00026F6D"/>
    <w:rsid w:val="000310DF"/>
    <w:rsid w:val="000C2B68"/>
    <w:rsid w:val="00116211"/>
    <w:rsid w:val="00143180"/>
    <w:rsid w:val="00187561"/>
    <w:rsid w:val="0019502C"/>
    <w:rsid w:val="00240DBD"/>
    <w:rsid w:val="00252761"/>
    <w:rsid w:val="00265A19"/>
    <w:rsid w:val="002B4D26"/>
    <w:rsid w:val="002E6650"/>
    <w:rsid w:val="002F0391"/>
    <w:rsid w:val="003F71C3"/>
    <w:rsid w:val="004C2D57"/>
    <w:rsid w:val="0051031E"/>
    <w:rsid w:val="00514691"/>
    <w:rsid w:val="0054633F"/>
    <w:rsid w:val="00562064"/>
    <w:rsid w:val="005D6AC4"/>
    <w:rsid w:val="005E36FC"/>
    <w:rsid w:val="00605E50"/>
    <w:rsid w:val="00632B3E"/>
    <w:rsid w:val="00672867"/>
    <w:rsid w:val="006C4E2B"/>
    <w:rsid w:val="006CE0D4"/>
    <w:rsid w:val="00760882"/>
    <w:rsid w:val="007B0434"/>
    <w:rsid w:val="0087266B"/>
    <w:rsid w:val="00895C6C"/>
    <w:rsid w:val="00916F55"/>
    <w:rsid w:val="00952F95"/>
    <w:rsid w:val="0097339A"/>
    <w:rsid w:val="009A39D6"/>
    <w:rsid w:val="009E2212"/>
    <w:rsid w:val="00A014C2"/>
    <w:rsid w:val="00A161C6"/>
    <w:rsid w:val="00AD3377"/>
    <w:rsid w:val="00B14D8F"/>
    <w:rsid w:val="00B30946"/>
    <w:rsid w:val="00B6584E"/>
    <w:rsid w:val="00BA0F4A"/>
    <w:rsid w:val="00BB76F5"/>
    <w:rsid w:val="00C2020F"/>
    <w:rsid w:val="00C24C6D"/>
    <w:rsid w:val="00C41AC0"/>
    <w:rsid w:val="00D08449"/>
    <w:rsid w:val="00D2582F"/>
    <w:rsid w:val="00D3004F"/>
    <w:rsid w:val="00D3681D"/>
    <w:rsid w:val="00D667A4"/>
    <w:rsid w:val="00DB3B90"/>
    <w:rsid w:val="00DB3F53"/>
    <w:rsid w:val="00DD5703"/>
    <w:rsid w:val="00E300C4"/>
    <w:rsid w:val="00E475BF"/>
    <w:rsid w:val="00E6591C"/>
    <w:rsid w:val="00EB0D1D"/>
    <w:rsid w:val="00EE5A21"/>
    <w:rsid w:val="00F94BAD"/>
    <w:rsid w:val="00FA1331"/>
    <w:rsid w:val="00FC668F"/>
    <w:rsid w:val="00FC77D5"/>
    <w:rsid w:val="00FF226E"/>
    <w:rsid w:val="017FC868"/>
    <w:rsid w:val="026C54AA"/>
    <w:rsid w:val="027B7FF3"/>
    <w:rsid w:val="03E33B7F"/>
    <w:rsid w:val="04572335"/>
    <w:rsid w:val="065B3EC9"/>
    <w:rsid w:val="07BFCC3C"/>
    <w:rsid w:val="087DFA20"/>
    <w:rsid w:val="0941C510"/>
    <w:rsid w:val="09D6498D"/>
    <w:rsid w:val="0AF86AC8"/>
    <w:rsid w:val="0B524592"/>
    <w:rsid w:val="110160AB"/>
    <w:rsid w:val="11347492"/>
    <w:rsid w:val="11D7D420"/>
    <w:rsid w:val="13184312"/>
    <w:rsid w:val="13500DBB"/>
    <w:rsid w:val="13CE566E"/>
    <w:rsid w:val="152CD8E7"/>
    <w:rsid w:val="1A5BC4EA"/>
    <w:rsid w:val="1AA3BD5E"/>
    <w:rsid w:val="1AD58552"/>
    <w:rsid w:val="1C09A81C"/>
    <w:rsid w:val="1E1D3B8A"/>
    <w:rsid w:val="1ECF835C"/>
    <w:rsid w:val="22586AAC"/>
    <w:rsid w:val="22748A77"/>
    <w:rsid w:val="24E1D484"/>
    <w:rsid w:val="2775E888"/>
    <w:rsid w:val="28FB6848"/>
    <w:rsid w:val="2A2B05B4"/>
    <w:rsid w:val="2ABD533E"/>
    <w:rsid w:val="2ADECACB"/>
    <w:rsid w:val="2B50B3BF"/>
    <w:rsid w:val="2C20E55D"/>
    <w:rsid w:val="2E1D20D5"/>
    <w:rsid w:val="2F1798FF"/>
    <w:rsid w:val="301B530A"/>
    <w:rsid w:val="305AA586"/>
    <w:rsid w:val="3096DBE5"/>
    <w:rsid w:val="30D89332"/>
    <w:rsid w:val="34F36590"/>
    <w:rsid w:val="3738386C"/>
    <w:rsid w:val="373F30E5"/>
    <w:rsid w:val="37EA30CE"/>
    <w:rsid w:val="39FB7284"/>
    <w:rsid w:val="3A769183"/>
    <w:rsid w:val="3EDD899F"/>
    <w:rsid w:val="3F214C72"/>
    <w:rsid w:val="4021F312"/>
    <w:rsid w:val="402BA0B5"/>
    <w:rsid w:val="42B18CE1"/>
    <w:rsid w:val="46C5ECB3"/>
    <w:rsid w:val="48F1D432"/>
    <w:rsid w:val="4C1C5B62"/>
    <w:rsid w:val="4C8DC68E"/>
    <w:rsid w:val="4E7D68A8"/>
    <w:rsid w:val="51D6D18B"/>
    <w:rsid w:val="546B6E92"/>
    <w:rsid w:val="54892A18"/>
    <w:rsid w:val="55D6A5AC"/>
    <w:rsid w:val="563D3935"/>
    <w:rsid w:val="579115D2"/>
    <w:rsid w:val="57C2C238"/>
    <w:rsid w:val="581C8E49"/>
    <w:rsid w:val="582315C6"/>
    <w:rsid w:val="59980BFD"/>
    <w:rsid w:val="59A1B8B4"/>
    <w:rsid w:val="5A0CF461"/>
    <w:rsid w:val="5A100C35"/>
    <w:rsid w:val="5A3ACB50"/>
    <w:rsid w:val="5CBA0D9A"/>
    <w:rsid w:val="5D6C3650"/>
    <w:rsid w:val="5F841CF6"/>
    <w:rsid w:val="5F994EB7"/>
    <w:rsid w:val="5FEC946E"/>
    <w:rsid w:val="607FF50B"/>
    <w:rsid w:val="6215B60E"/>
    <w:rsid w:val="64797FBB"/>
    <w:rsid w:val="6761F549"/>
    <w:rsid w:val="677CCF72"/>
    <w:rsid w:val="67D77D75"/>
    <w:rsid w:val="683F8224"/>
    <w:rsid w:val="6931DA3C"/>
    <w:rsid w:val="6A4EF948"/>
    <w:rsid w:val="6AB809F7"/>
    <w:rsid w:val="6B8C5B34"/>
    <w:rsid w:val="6F030F38"/>
    <w:rsid w:val="709E065B"/>
    <w:rsid w:val="730A0621"/>
    <w:rsid w:val="73986AE3"/>
    <w:rsid w:val="746A9C25"/>
    <w:rsid w:val="7486045A"/>
    <w:rsid w:val="74DBAA83"/>
    <w:rsid w:val="76A2C1BD"/>
    <w:rsid w:val="784D1D72"/>
    <w:rsid w:val="7851B5DF"/>
    <w:rsid w:val="7B83C8A6"/>
    <w:rsid w:val="7CF7B5AF"/>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4D31B"/>
  <w15:chartTrackingRefBased/>
  <w15:docId w15:val="{B2DA5803-45BC-4E16-8BC1-C9AFDF93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rsid w:val="00E475B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E475BF"/>
    <w:rPr>
      <w:color w:val="0000FF"/>
      <w:u w:val="single"/>
    </w:rPr>
  </w:style>
  <w:style w:type="character" w:styleId="Hipervnculovisitado">
    <w:name w:val="FollowedHyperlink"/>
    <w:basedOn w:val="Fuentedeprrafopredeter"/>
    <w:uiPriority w:val="99"/>
    <w:semiHidden/>
    <w:unhideWhenUsed/>
    <w:rsid w:val="00E475BF"/>
    <w:rPr>
      <w:color w:val="800080"/>
      <w:u w:val="single"/>
    </w:rPr>
  </w:style>
  <w:style w:type="paragraph" w:styleId="NormalWeb">
    <w:name w:val="Normal (Web)"/>
    <w:basedOn w:val="Normal"/>
    <w:uiPriority w:val="99"/>
    <w:semiHidden/>
    <w:unhideWhenUsed/>
    <w:rsid w:val="00E475B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octoggle">
    <w:name w:val="toctoggle"/>
    <w:basedOn w:val="Fuentedeprrafopredeter"/>
    <w:rsid w:val="00E475BF"/>
  </w:style>
  <w:style w:type="character" w:styleId="Textoennegrita">
    <w:name w:val="Strong"/>
    <w:basedOn w:val="Fuentedeprrafopredeter"/>
    <w:uiPriority w:val="22"/>
    <w:qFormat/>
    <w:rsid w:val="00E475BF"/>
    <w:rPr>
      <w:b/>
      <w:bCs/>
    </w:rPr>
  </w:style>
  <w:style w:type="paragraph" w:customStyle="1" w:styleId="parrafo-division">
    <w:name w:val="parrafo-division"/>
    <w:basedOn w:val="Normal"/>
    <w:rsid w:val="00E475B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E475BF"/>
    <w:rPr>
      <w:i/>
      <w:iCs/>
    </w:rPr>
  </w:style>
  <w:style w:type="paragraph" w:styleId="Prrafodelista">
    <w:name w:val="List Paragraph"/>
    <w:basedOn w:val="Normal"/>
    <w:uiPriority w:val="34"/>
    <w:qFormat/>
    <w:rsid w:val="002F0391"/>
    <w:pPr>
      <w:ind w:left="720"/>
      <w:contextualSpacing/>
    </w:pPr>
  </w:style>
  <w:style w:type="character" w:customStyle="1" w:styleId="normaltextrun">
    <w:name w:val="normaltextrun"/>
    <w:basedOn w:val="Fuentedeprrafopredeter"/>
    <w:rsid w:val="005D6AC4"/>
  </w:style>
  <w:style w:type="character" w:styleId="Mencinsinresolver">
    <w:name w:val="Unresolved Mention"/>
    <w:basedOn w:val="Fuentedeprrafopredeter"/>
    <w:uiPriority w:val="99"/>
    <w:semiHidden/>
    <w:unhideWhenUsed/>
    <w:rsid w:val="00026F6D"/>
    <w:rPr>
      <w:color w:val="605E5C"/>
      <w:shd w:val="clear" w:color="auto" w:fill="E1DFDD"/>
    </w:rPr>
  </w:style>
  <w:style w:type="paragraph" w:styleId="Textodeglobo">
    <w:name w:val="Balloon Text"/>
    <w:basedOn w:val="Normal"/>
    <w:link w:val="TextodegloboCar"/>
    <w:uiPriority w:val="99"/>
    <w:semiHidden/>
    <w:unhideWhenUsed/>
    <w:rsid w:val="008726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26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796941">
      <w:bodyDiv w:val="1"/>
      <w:marLeft w:val="0"/>
      <w:marRight w:val="0"/>
      <w:marTop w:val="0"/>
      <w:marBottom w:val="0"/>
      <w:divBdr>
        <w:top w:val="none" w:sz="0" w:space="0" w:color="auto"/>
        <w:left w:val="none" w:sz="0" w:space="0" w:color="auto"/>
        <w:bottom w:val="none" w:sz="0" w:space="0" w:color="auto"/>
        <w:right w:val="none" w:sz="0" w:space="0" w:color="auto"/>
      </w:divBdr>
    </w:div>
    <w:div w:id="1201629145">
      <w:bodyDiv w:val="1"/>
      <w:marLeft w:val="0"/>
      <w:marRight w:val="0"/>
      <w:marTop w:val="0"/>
      <w:marBottom w:val="0"/>
      <w:divBdr>
        <w:top w:val="none" w:sz="0" w:space="0" w:color="auto"/>
        <w:left w:val="none" w:sz="0" w:space="0" w:color="auto"/>
        <w:bottom w:val="none" w:sz="0" w:space="0" w:color="auto"/>
        <w:right w:val="none" w:sz="0" w:space="0" w:color="auto"/>
      </w:divBdr>
      <w:divsChild>
        <w:div w:id="48847900">
          <w:marLeft w:val="0"/>
          <w:marRight w:val="0"/>
          <w:marTop w:val="0"/>
          <w:marBottom w:val="0"/>
          <w:divBdr>
            <w:top w:val="none" w:sz="0" w:space="0" w:color="auto"/>
            <w:left w:val="none" w:sz="0" w:space="0" w:color="auto"/>
            <w:bottom w:val="none" w:sz="0" w:space="0" w:color="auto"/>
            <w:right w:val="none" w:sz="0" w:space="0" w:color="auto"/>
          </w:divBdr>
          <w:divsChild>
            <w:div w:id="2361686">
              <w:marLeft w:val="0"/>
              <w:marRight w:val="0"/>
              <w:marTop w:val="0"/>
              <w:marBottom w:val="0"/>
              <w:divBdr>
                <w:top w:val="none" w:sz="0" w:space="0" w:color="auto"/>
                <w:left w:val="none" w:sz="0" w:space="0" w:color="auto"/>
                <w:bottom w:val="none" w:sz="0" w:space="0" w:color="auto"/>
                <w:right w:val="none" w:sz="0" w:space="0" w:color="auto"/>
              </w:divBdr>
              <w:divsChild>
                <w:div w:id="2012217401">
                  <w:marLeft w:val="0"/>
                  <w:marRight w:val="0"/>
                  <w:marTop w:val="0"/>
                  <w:marBottom w:val="0"/>
                  <w:divBdr>
                    <w:top w:val="none" w:sz="0" w:space="0" w:color="auto"/>
                    <w:left w:val="none" w:sz="0" w:space="0" w:color="auto"/>
                    <w:bottom w:val="none" w:sz="0" w:space="0" w:color="auto"/>
                    <w:right w:val="none" w:sz="0" w:space="0" w:color="auto"/>
                  </w:divBdr>
                </w:div>
              </w:divsChild>
            </w:div>
            <w:div w:id="6904458">
              <w:marLeft w:val="0"/>
              <w:marRight w:val="0"/>
              <w:marTop w:val="0"/>
              <w:marBottom w:val="0"/>
              <w:divBdr>
                <w:top w:val="none" w:sz="0" w:space="0" w:color="auto"/>
                <w:left w:val="none" w:sz="0" w:space="0" w:color="auto"/>
                <w:bottom w:val="none" w:sz="0" w:space="0" w:color="auto"/>
                <w:right w:val="none" w:sz="0" w:space="0" w:color="auto"/>
              </w:divBdr>
              <w:divsChild>
                <w:div w:id="1192105191">
                  <w:marLeft w:val="0"/>
                  <w:marRight w:val="0"/>
                  <w:marTop w:val="0"/>
                  <w:marBottom w:val="0"/>
                  <w:divBdr>
                    <w:top w:val="none" w:sz="0" w:space="0" w:color="auto"/>
                    <w:left w:val="none" w:sz="0" w:space="0" w:color="auto"/>
                    <w:bottom w:val="none" w:sz="0" w:space="0" w:color="auto"/>
                    <w:right w:val="none" w:sz="0" w:space="0" w:color="auto"/>
                  </w:divBdr>
                </w:div>
              </w:divsChild>
            </w:div>
            <w:div w:id="8414614">
              <w:marLeft w:val="0"/>
              <w:marRight w:val="0"/>
              <w:marTop w:val="0"/>
              <w:marBottom w:val="0"/>
              <w:divBdr>
                <w:top w:val="none" w:sz="0" w:space="0" w:color="auto"/>
                <w:left w:val="none" w:sz="0" w:space="0" w:color="auto"/>
                <w:bottom w:val="none" w:sz="0" w:space="0" w:color="auto"/>
                <w:right w:val="none" w:sz="0" w:space="0" w:color="auto"/>
              </w:divBdr>
              <w:divsChild>
                <w:div w:id="529756885">
                  <w:marLeft w:val="0"/>
                  <w:marRight w:val="0"/>
                  <w:marTop w:val="0"/>
                  <w:marBottom w:val="0"/>
                  <w:divBdr>
                    <w:top w:val="none" w:sz="0" w:space="0" w:color="auto"/>
                    <w:left w:val="none" w:sz="0" w:space="0" w:color="auto"/>
                    <w:bottom w:val="none" w:sz="0" w:space="0" w:color="auto"/>
                    <w:right w:val="none" w:sz="0" w:space="0" w:color="auto"/>
                  </w:divBdr>
                </w:div>
              </w:divsChild>
            </w:div>
            <w:div w:id="8681645">
              <w:marLeft w:val="0"/>
              <w:marRight w:val="0"/>
              <w:marTop w:val="0"/>
              <w:marBottom w:val="0"/>
              <w:divBdr>
                <w:top w:val="none" w:sz="0" w:space="0" w:color="auto"/>
                <w:left w:val="none" w:sz="0" w:space="0" w:color="auto"/>
                <w:bottom w:val="none" w:sz="0" w:space="0" w:color="auto"/>
                <w:right w:val="none" w:sz="0" w:space="0" w:color="auto"/>
              </w:divBdr>
              <w:divsChild>
                <w:div w:id="99181435">
                  <w:marLeft w:val="0"/>
                  <w:marRight w:val="0"/>
                  <w:marTop w:val="0"/>
                  <w:marBottom w:val="0"/>
                  <w:divBdr>
                    <w:top w:val="none" w:sz="0" w:space="0" w:color="auto"/>
                    <w:left w:val="none" w:sz="0" w:space="0" w:color="auto"/>
                    <w:bottom w:val="none" w:sz="0" w:space="0" w:color="auto"/>
                    <w:right w:val="none" w:sz="0" w:space="0" w:color="auto"/>
                  </w:divBdr>
                </w:div>
              </w:divsChild>
            </w:div>
            <w:div w:id="10228293">
              <w:marLeft w:val="0"/>
              <w:marRight w:val="0"/>
              <w:marTop w:val="0"/>
              <w:marBottom w:val="0"/>
              <w:divBdr>
                <w:top w:val="none" w:sz="0" w:space="0" w:color="auto"/>
                <w:left w:val="none" w:sz="0" w:space="0" w:color="auto"/>
                <w:bottom w:val="none" w:sz="0" w:space="0" w:color="auto"/>
                <w:right w:val="none" w:sz="0" w:space="0" w:color="auto"/>
              </w:divBdr>
              <w:divsChild>
                <w:div w:id="233510543">
                  <w:marLeft w:val="0"/>
                  <w:marRight w:val="0"/>
                  <w:marTop w:val="0"/>
                  <w:marBottom w:val="0"/>
                  <w:divBdr>
                    <w:top w:val="none" w:sz="0" w:space="0" w:color="auto"/>
                    <w:left w:val="none" w:sz="0" w:space="0" w:color="auto"/>
                    <w:bottom w:val="none" w:sz="0" w:space="0" w:color="auto"/>
                    <w:right w:val="none" w:sz="0" w:space="0" w:color="auto"/>
                  </w:divBdr>
                </w:div>
              </w:divsChild>
            </w:div>
            <w:div w:id="13196365">
              <w:marLeft w:val="0"/>
              <w:marRight w:val="0"/>
              <w:marTop w:val="300"/>
              <w:marBottom w:val="300"/>
              <w:divBdr>
                <w:top w:val="none" w:sz="0" w:space="0" w:color="auto"/>
                <w:left w:val="none" w:sz="0" w:space="0" w:color="auto"/>
                <w:bottom w:val="none" w:sz="0" w:space="0" w:color="auto"/>
                <w:right w:val="none" w:sz="0" w:space="0" w:color="auto"/>
              </w:divBdr>
            </w:div>
            <w:div w:id="18433781">
              <w:marLeft w:val="0"/>
              <w:marRight w:val="0"/>
              <w:marTop w:val="300"/>
              <w:marBottom w:val="300"/>
              <w:divBdr>
                <w:top w:val="none" w:sz="0" w:space="0" w:color="auto"/>
                <w:left w:val="none" w:sz="0" w:space="0" w:color="auto"/>
                <w:bottom w:val="none" w:sz="0" w:space="0" w:color="auto"/>
                <w:right w:val="none" w:sz="0" w:space="0" w:color="auto"/>
              </w:divBdr>
            </w:div>
            <w:div w:id="19860260">
              <w:marLeft w:val="0"/>
              <w:marRight w:val="0"/>
              <w:marTop w:val="0"/>
              <w:marBottom w:val="0"/>
              <w:divBdr>
                <w:top w:val="none" w:sz="0" w:space="0" w:color="auto"/>
                <w:left w:val="none" w:sz="0" w:space="0" w:color="auto"/>
                <w:bottom w:val="none" w:sz="0" w:space="0" w:color="auto"/>
                <w:right w:val="none" w:sz="0" w:space="0" w:color="auto"/>
              </w:divBdr>
              <w:divsChild>
                <w:div w:id="2048288999">
                  <w:marLeft w:val="0"/>
                  <w:marRight w:val="0"/>
                  <w:marTop w:val="0"/>
                  <w:marBottom w:val="0"/>
                  <w:divBdr>
                    <w:top w:val="none" w:sz="0" w:space="0" w:color="auto"/>
                    <w:left w:val="none" w:sz="0" w:space="0" w:color="auto"/>
                    <w:bottom w:val="none" w:sz="0" w:space="0" w:color="auto"/>
                    <w:right w:val="none" w:sz="0" w:space="0" w:color="auto"/>
                  </w:divBdr>
                </w:div>
              </w:divsChild>
            </w:div>
            <w:div w:id="23990754">
              <w:marLeft w:val="0"/>
              <w:marRight w:val="0"/>
              <w:marTop w:val="0"/>
              <w:marBottom w:val="0"/>
              <w:divBdr>
                <w:top w:val="none" w:sz="0" w:space="0" w:color="auto"/>
                <w:left w:val="none" w:sz="0" w:space="0" w:color="auto"/>
                <w:bottom w:val="none" w:sz="0" w:space="0" w:color="auto"/>
                <w:right w:val="none" w:sz="0" w:space="0" w:color="auto"/>
              </w:divBdr>
              <w:divsChild>
                <w:div w:id="1947345132">
                  <w:marLeft w:val="0"/>
                  <w:marRight w:val="0"/>
                  <w:marTop w:val="0"/>
                  <w:marBottom w:val="0"/>
                  <w:divBdr>
                    <w:top w:val="none" w:sz="0" w:space="0" w:color="auto"/>
                    <w:left w:val="none" w:sz="0" w:space="0" w:color="auto"/>
                    <w:bottom w:val="none" w:sz="0" w:space="0" w:color="auto"/>
                    <w:right w:val="none" w:sz="0" w:space="0" w:color="auto"/>
                  </w:divBdr>
                </w:div>
              </w:divsChild>
            </w:div>
            <w:div w:id="31659317">
              <w:marLeft w:val="0"/>
              <w:marRight w:val="0"/>
              <w:marTop w:val="0"/>
              <w:marBottom w:val="0"/>
              <w:divBdr>
                <w:top w:val="none" w:sz="0" w:space="0" w:color="auto"/>
                <w:left w:val="none" w:sz="0" w:space="0" w:color="auto"/>
                <w:bottom w:val="none" w:sz="0" w:space="0" w:color="auto"/>
                <w:right w:val="none" w:sz="0" w:space="0" w:color="auto"/>
              </w:divBdr>
              <w:divsChild>
                <w:div w:id="951666453">
                  <w:marLeft w:val="0"/>
                  <w:marRight w:val="0"/>
                  <w:marTop w:val="0"/>
                  <w:marBottom w:val="0"/>
                  <w:divBdr>
                    <w:top w:val="none" w:sz="0" w:space="0" w:color="auto"/>
                    <w:left w:val="none" w:sz="0" w:space="0" w:color="auto"/>
                    <w:bottom w:val="none" w:sz="0" w:space="0" w:color="auto"/>
                    <w:right w:val="none" w:sz="0" w:space="0" w:color="auto"/>
                  </w:divBdr>
                </w:div>
              </w:divsChild>
            </w:div>
            <w:div w:id="39092039">
              <w:marLeft w:val="0"/>
              <w:marRight w:val="0"/>
              <w:marTop w:val="300"/>
              <w:marBottom w:val="300"/>
              <w:divBdr>
                <w:top w:val="none" w:sz="0" w:space="0" w:color="auto"/>
                <w:left w:val="none" w:sz="0" w:space="0" w:color="auto"/>
                <w:bottom w:val="none" w:sz="0" w:space="0" w:color="auto"/>
                <w:right w:val="none" w:sz="0" w:space="0" w:color="auto"/>
              </w:divBdr>
            </w:div>
            <w:div w:id="47268464">
              <w:marLeft w:val="0"/>
              <w:marRight w:val="0"/>
              <w:marTop w:val="300"/>
              <w:marBottom w:val="300"/>
              <w:divBdr>
                <w:top w:val="none" w:sz="0" w:space="0" w:color="auto"/>
                <w:left w:val="none" w:sz="0" w:space="0" w:color="auto"/>
                <w:bottom w:val="none" w:sz="0" w:space="0" w:color="auto"/>
                <w:right w:val="none" w:sz="0" w:space="0" w:color="auto"/>
              </w:divBdr>
            </w:div>
            <w:div w:id="49498554">
              <w:marLeft w:val="0"/>
              <w:marRight w:val="0"/>
              <w:marTop w:val="300"/>
              <w:marBottom w:val="300"/>
              <w:divBdr>
                <w:top w:val="none" w:sz="0" w:space="0" w:color="auto"/>
                <w:left w:val="none" w:sz="0" w:space="0" w:color="auto"/>
                <w:bottom w:val="none" w:sz="0" w:space="0" w:color="auto"/>
                <w:right w:val="none" w:sz="0" w:space="0" w:color="auto"/>
              </w:divBdr>
            </w:div>
            <w:div w:id="49884443">
              <w:marLeft w:val="0"/>
              <w:marRight w:val="0"/>
              <w:marTop w:val="0"/>
              <w:marBottom w:val="0"/>
              <w:divBdr>
                <w:top w:val="none" w:sz="0" w:space="0" w:color="auto"/>
                <w:left w:val="none" w:sz="0" w:space="0" w:color="auto"/>
                <w:bottom w:val="none" w:sz="0" w:space="0" w:color="auto"/>
                <w:right w:val="none" w:sz="0" w:space="0" w:color="auto"/>
              </w:divBdr>
              <w:divsChild>
                <w:div w:id="1696811680">
                  <w:marLeft w:val="0"/>
                  <w:marRight w:val="0"/>
                  <w:marTop w:val="0"/>
                  <w:marBottom w:val="0"/>
                  <w:divBdr>
                    <w:top w:val="none" w:sz="0" w:space="0" w:color="auto"/>
                    <w:left w:val="none" w:sz="0" w:space="0" w:color="auto"/>
                    <w:bottom w:val="none" w:sz="0" w:space="0" w:color="auto"/>
                    <w:right w:val="none" w:sz="0" w:space="0" w:color="auto"/>
                  </w:divBdr>
                </w:div>
              </w:divsChild>
            </w:div>
            <w:div w:id="49886126">
              <w:marLeft w:val="0"/>
              <w:marRight w:val="0"/>
              <w:marTop w:val="0"/>
              <w:marBottom w:val="0"/>
              <w:divBdr>
                <w:top w:val="none" w:sz="0" w:space="0" w:color="auto"/>
                <w:left w:val="none" w:sz="0" w:space="0" w:color="auto"/>
                <w:bottom w:val="none" w:sz="0" w:space="0" w:color="auto"/>
                <w:right w:val="none" w:sz="0" w:space="0" w:color="auto"/>
              </w:divBdr>
              <w:divsChild>
                <w:div w:id="1940868845">
                  <w:marLeft w:val="0"/>
                  <w:marRight w:val="0"/>
                  <w:marTop w:val="0"/>
                  <w:marBottom w:val="0"/>
                  <w:divBdr>
                    <w:top w:val="none" w:sz="0" w:space="0" w:color="auto"/>
                    <w:left w:val="none" w:sz="0" w:space="0" w:color="auto"/>
                    <w:bottom w:val="none" w:sz="0" w:space="0" w:color="auto"/>
                    <w:right w:val="none" w:sz="0" w:space="0" w:color="auto"/>
                  </w:divBdr>
                </w:div>
              </w:divsChild>
            </w:div>
            <w:div w:id="52974954">
              <w:marLeft w:val="0"/>
              <w:marRight w:val="0"/>
              <w:marTop w:val="0"/>
              <w:marBottom w:val="0"/>
              <w:divBdr>
                <w:top w:val="none" w:sz="0" w:space="0" w:color="auto"/>
                <w:left w:val="none" w:sz="0" w:space="0" w:color="auto"/>
                <w:bottom w:val="none" w:sz="0" w:space="0" w:color="auto"/>
                <w:right w:val="none" w:sz="0" w:space="0" w:color="auto"/>
              </w:divBdr>
              <w:divsChild>
                <w:div w:id="1688827585">
                  <w:marLeft w:val="0"/>
                  <w:marRight w:val="0"/>
                  <w:marTop w:val="0"/>
                  <w:marBottom w:val="0"/>
                  <w:divBdr>
                    <w:top w:val="none" w:sz="0" w:space="0" w:color="auto"/>
                    <w:left w:val="none" w:sz="0" w:space="0" w:color="auto"/>
                    <w:bottom w:val="none" w:sz="0" w:space="0" w:color="auto"/>
                    <w:right w:val="none" w:sz="0" w:space="0" w:color="auto"/>
                  </w:divBdr>
                </w:div>
              </w:divsChild>
            </w:div>
            <w:div w:id="57288072">
              <w:marLeft w:val="0"/>
              <w:marRight w:val="0"/>
              <w:marTop w:val="0"/>
              <w:marBottom w:val="0"/>
              <w:divBdr>
                <w:top w:val="none" w:sz="0" w:space="0" w:color="auto"/>
                <w:left w:val="none" w:sz="0" w:space="0" w:color="auto"/>
                <w:bottom w:val="none" w:sz="0" w:space="0" w:color="auto"/>
                <w:right w:val="none" w:sz="0" w:space="0" w:color="auto"/>
              </w:divBdr>
              <w:divsChild>
                <w:div w:id="1567767323">
                  <w:marLeft w:val="0"/>
                  <w:marRight w:val="0"/>
                  <w:marTop w:val="0"/>
                  <w:marBottom w:val="0"/>
                  <w:divBdr>
                    <w:top w:val="none" w:sz="0" w:space="0" w:color="auto"/>
                    <w:left w:val="none" w:sz="0" w:space="0" w:color="auto"/>
                    <w:bottom w:val="none" w:sz="0" w:space="0" w:color="auto"/>
                    <w:right w:val="none" w:sz="0" w:space="0" w:color="auto"/>
                  </w:divBdr>
                </w:div>
              </w:divsChild>
            </w:div>
            <w:div w:id="63333242">
              <w:marLeft w:val="0"/>
              <w:marRight w:val="0"/>
              <w:marTop w:val="0"/>
              <w:marBottom w:val="0"/>
              <w:divBdr>
                <w:top w:val="none" w:sz="0" w:space="0" w:color="auto"/>
                <w:left w:val="none" w:sz="0" w:space="0" w:color="auto"/>
                <w:bottom w:val="none" w:sz="0" w:space="0" w:color="auto"/>
                <w:right w:val="none" w:sz="0" w:space="0" w:color="auto"/>
              </w:divBdr>
              <w:divsChild>
                <w:div w:id="466968636">
                  <w:marLeft w:val="0"/>
                  <w:marRight w:val="0"/>
                  <w:marTop w:val="0"/>
                  <w:marBottom w:val="0"/>
                  <w:divBdr>
                    <w:top w:val="none" w:sz="0" w:space="0" w:color="auto"/>
                    <w:left w:val="none" w:sz="0" w:space="0" w:color="auto"/>
                    <w:bottom w:val="none" w:sz="0" w:space="0" w:color="auto"/>
                    <w:right w:val="none" w:sz="0" w:space="0" w:color="auto"/>
                  </w:divBdr>
                </w:div>
              </w:divsChild>
            </w:div>
            <w:div w:id="64768624">
              <w:marLeft w:val="0"/>
              <w:marRight w:val="0"/>
              <w:marTop w:val="0"/>
              <w:marBottom w:val="0"/>
              <w:divBdr>
                <w:top w:val="none" w:sz="0" w:space="0" w:color="auto"/>
                <w:left w:val="none" w:sz="0" w:space="0" w:color="auto"/>
                <w:bottom w:val="none" w:sz="0" w:space="0" w:color="auto"/>
                <w:right w:val="none" w:sz="0" w:space="0" w:color="auto"/>
              </w:divBdr>
              <w:divsChild>
                <w:div w:id="2132240498">
                  <w:marLeft w:val="0"/>
                  <w:marRight w:val="0"/>
                  <w:marTop w:val="0"/>
                  <w:marBottom w:val="0"/>
                  <w:divBdr>
                    <w:top w:val="none" w:sz="0" w:space="0" w:color="auto"/>
                    <w:left w:val="none" w:sz="0" w:space="0" w:color="auto"/>
                    <w:bottom w:val="none" w:sz="0" w:space="0" w:color="auto"/>
                    <w:right w:val="none" w:sz="0" w:space="0" w:color="auto"/>
                  </w:divBdr>
                </w:div>
              </w:divsChild>
            </w:div>
            <w:div w:id="71896679">
              <w:marLeft w:val="0"/>
              <w:marRight w:val="0"/>
              <w:marTop w:val="0"/>
              <w:marBottom w:val="0"/>
              <w:divBdr>
                <w:top w:val="none" w:sz="0" w:space="0" w:color="auto"/>
                <w:left w:val="none" w:sz="0" w:space="0" w:color="auto"/>
                <w:bottom w:val="none" w:sz="0" w:space="0" w:color="auto"/>
                <w:right w:val="none" w:sz="0" w:space="0" w:color="auto"/>
              </w:divBdr>
              <w:divsChild>
                <w:div w:id="1236283939">
                  <w:marLeft w:val="0"/>
                  <w:marRight w:val="0"/>
                  <w:marTop w:val="0"/>
                  <w:marBottom w:val="0"/>
                  <w:divBdr>
                    <w:top w:val="none" w:sz="0" w:space="0" w:color="auto"/>
                    <w:left w:val="none" w:sz="0" w:space="0" w:color="auto"/>
                    <w:bottom w:val="none" w:sz="0" w:space="0" w:color="auto"/>
                    <w:right w:val="none" w:sz="0" w:space="0" w:color="auto"/>
                  </w:divBdr>
                </w:div>
              </w:divsChild>
            </w:div>
            <w:div w:id="73741768">
              <w:marLeft w:val="0"/>
              <w:marRight w:val="0"/>
              <w:marTop w:val="0"/>
              <w:marBottom w:val="0"/>
              <w:divBdr>
                <w:top w:val="none" w:sz="0" w:space="0" w:color="auto"/>
                <w:left w:val="none" w:sz="0" w:space="0" w:color="auto"/>
                <w:bottom w:val="none" w:sz="0" w:space="0" w:color="auto"/>
                <w:right w:val="none" w:sz="0" w:space="0" w:color="auto"/>
              </w:divBdr>
              <w:divsChild>
                <w:div w:id="387653654">
                  <w:marLeft w:val="0"/>
                  <w:marRight w:val="0"/>
                  <w:marTop w:val="0"/>
                  <w:marBottom w:val="0"/>
                  <w:divBdr>
                    <w:top w:val="none" w:sz="0" w:space="0" w:color="auto"/>
                    <w:left w:val="none" w:sz="0" w:space="0" w:color="auto"/>
                    <w:bottom w:val="none" w:sz="0" w:space="0" w:color="auto"/>
                    <w:right w:val="none" w:sz="0" w:space="0" w:color="auto"/>
                  </w:divBdr>
                </w:div>
              </w:divsChild>
            </w:div>
            <w:div w:id="74327839">
              <w:marLeft w:val="0"/>
              <w:marRight w:val="0"/>
              <w:marTop w:val="0"/>
              <w:marBottom w:val="0"/>
              <w:divBdr>
                <w:top w:val="none" w:sz="0" w:space="0" w:color="auto"/>
                <w:left w:val="none" w:sz="0" w:space="0" w:color="auto"/>
                <w:bottom w:val="none" w:sz="0" w:space="0" w:color="auto"/>
                <w:right w:val="none" w:sz="0" w:space="0" w:color="auto"/>
              </w:divBdr>
              <w:divsChild>
                <w:div w:id="108134817">
                  <w:marLeft w:val="0"/>
                  <w:marRight w:val="0"/>
                  <w:marTop w:val="0"/>
                  <w:marBottom w:val="0"/>
                  <w:divBdr>
                    <w:top w:val="none" w:sz="0" w:space="0" w:color="auto"/>
                    <w:left w:val="none" w:sz="0" w:space="0" w:color="auto"/>
                    <w:bottom w:val="none" w:sz="0" w:space="0" w:color="auto"/>
                    <w:right w:val="none" w:sz="0" w:space="0" w:color="auto"/>
                  </w:divBdr>
                </w:div>
              </w:divsChild>
            </w:div>
            <w:div w:id="78334654">
              <w:marLeft w:val="0"/>
              <w:marRight w:val="0"/>
              <w:marTop w:val="0"/>
              <w:marBottom w:val="0"/>
              <w:divBdr>
                <w:top w:val="none" w:sz="0" w:space="0" w:color="auto"/>
                <w:left w:val="none" w:sz="0" w:space="0" w:color="auto"/>
                <w:bottom w:val="none" w:sz="0" w:space="0" w:color="auto"/>
                <w:right w:val="none" w:sz="0" w:space="0" w:color="auto"/>
              </w:divBdr>
              <w:divsChild>
                <w:div w:id="1119492645">
                  <w:marLeft w:val="0"/>
                  <w:marRight w:val="0"/>
                  <w:marTop w:val="0"/>
                  <w:marBottom w:val="0"/>
                  <w:divBdr>
                    <w:top w:val="none" w:sz="0" w:space="0" w:color="auto"/>
                    <w:left w:val="none" w:sz="0" w:space="0" w:color="auto"/>
                    <w:bottom w:val="none" w:sz="0" w:space="0" w:color="auto"/>
                    <w:right w:val="none" w:sz="0" w:space="0" w:color="auto"/>
                  </w:divBdr>
                </w:div>
              </w:divsChild>
            </w:div>
            <w:div w:id="78673333">
              <w:marLeft w:val="0"/>
              <w:marRight w:val="0"/>
              <w:marTop w:val="300"/>
              <w:marBottom w:val="300"/>
              <w:divBdr>
                <w:top w:val="none" w:sz="0" w:space="0" w:color="auto"/>
                <w:left w:val="none" w:sz="0" w:space="0" w:color="auto"/>
                <w:bottom w:val="none" w:sz="0" w:space="0" w:color="auto"/>
                <w:right w:val="none" w:sz="0" w:space="0" w:color="auto"/>
              </w:divBdr>
            </w:div>
            <w:div w:id="83311199">
              <w:marLeft w:val="0"/>
              <w:marRight w:val="0"/>
              <w:marTop w:val="0"/>
              <w:marBottom w:val="0"/>
              <w:divBdr>
                <w:top w:val="none" w:sz="0" w:space="0" w:color="auto"/>
                <w:left w:val="none" w:sz="0" w:space="0" w:color="auto"/>
                <w:bottom w:val="none" w:sz="0" w:space="0" w:color="auto"/>
                <w:right w:val="none" w:sz="0" w:space="0" w:color="auto"/>
              </w:divBdr>
              <w:divsChild>
                <w:div w:id="686558869">
                  <w:marLeft w:val="0"/>
                  <w:marRight w:val="0"/>
                  <w:marTop w:val="0"/>
                  <w:marBottom w:val="0"/>
                  <w:divBdr>
                    <w:top w:val="none" w:sz="0" w:space="0" w:color="auto"/>
                    <w:left w:val="none" w:sz="0" w:space="0" w:color="auto"/>
                    <w:bottom w:val="none" w:sz="0" w:space="0" w:color="auto"/>
                    <w:right w:val="none" w:sz="0" w:space="0" w:color="auto"/>
                  </w:divBdr>
                </w:div>
              </w:divsChild>
            </w:div>
            <w:div w:id="83965798">
              <w:marLeft w:val="0"/>
              <w:marRight w:val="0"/>
              <w:marTop w:val="300"/>
              <w:marBottom w:val="300"/>
              <w:divBdr>
                <w:top w:val="none" w:sz="0" w:space="0" w:color="auto"/>
                <w:left w:val="none" w:sz="0" w:space="0" w:color="auto"/>
                <w:bottom w:val="none" w:sz="0" w:space="0" w:color="auto"/>
                <w:right w:val="none" w:sz="0" w:space="0" w:color="auto"/>
              </w:divBdr>
            </w:div>
            <w:div w:id="85808315">
              <w:marLeft w:val="0"/>
              <w:marRight w:val="0"/>
              <w:marTop w:val="300"/>
              <w:marBottom w:val="300"/>
              <w:divBdr>
                <w:top w:val="none" w:sz="0" w:space="0" w:color="auto"/>
                <w:left w:val="none" w:sz="0" w:space="0" w:color="auto"/>
                <w:bottom w:val="none" w:sz="0" w:space="0" w:color="auto"/>
                <w:right w:val="none" w:sz="0" w:space="0" w:color="auto"/>
              </w:divBdr>
            </w:div>
            <w:div w:id="89276705">
              <w:marLeft w:val="0"/>
              <w:marRight w:val="0"/>
              <w:marTop w:val="0"/>
              <w:marBottom w:val="0"/>
              <w:divBdr>
                <w:top w:val="none" w:sz="0" w:space="0" w:color="auto"/>
                <w:left w:val="none" w:sz="0" w:space="0" w:color="auto"/>
                <w:bottom w:val="none" w:sz="0" w:space="0" w:color="auto"/>
                <w:right w:val="none" w:sz="0" w:space="0" w:color="auto"/>
              </w:divBdr>
              <w:divsChild>
                <w:div w:id="1146122375">
                  <w:marLeft w:val="0"/>
                  <w:marRight w:val="0"/>
                  <w:marTop w:val="0"/>
                  <w:marBottom w:val="0"/>
                  <w:divBdr>
                    <w:top w:val="none" w:sz="0" w:space="0" w:color="auto"/>
                    <w:left w:val="none" w:sz="0" w:space="0" w:color="auto"/>
                    <w:bottom w:val="none" w:sz="0" w:space="0" w:color="auto"/>
                    <w:right w:val="none" w:sz="0" w:space="0" w:color="auto"/>
                  </w:divBdr>
                </w:div>
              </w:divsChild>
            </w:div>
            <w:div w:id="90012624">
              <w:marLeft w:val="0"/>
              <w:marRight w:val="0"/>
              <w:marTop w:val="0"/>
              <w:marBottom w:val="0"/>
              <w:divBdr>
                <w:top w:val="none" w:sz="0" w:space="0" w:color="auto"/>
                <w:left w:val="none" w:sz="0" w:space="0" w:color="auto"/>
                <w:bottom w:val="none" w:sz="0" w:space="0" w:color="auto"/>
                <w:right w:val="none" w:sz="0" w:space="0" w:color="auto"/>
              </w:divBdr>
              <w:divsChild>
                <w:div w:id="651061325">
                  <w:marLeft w:val="0"/>
                  <w:marRight w:val="0"/>
                  <w:marTop w:val="0"/>
                  <w:marBottom w:val="0"/>
                  <w:divBdr>
                    <w:top w:val="none" w:sz="0" w:space="0" w:color="auto"/>
                    <w:left w:val="none" w:sz="0" w:space="0" w:color="auto"/>
                    <w:bottom w:val="none" w:sz="0" w:space="0" w:color="auto"/>
                    <w:right w:val="none" w:sz="0" w:space="0" w:color="auto"/>
                  </w:divBdr>
                </w:div>
              </w:divsChild>
            </w:div>
            <w:div w:id="103811345">
              <w:marLeft w:val="0"/>
              <w:marRight w:val="0"/>
              <w:marTop w:val="0"/>
              <w:marBottom w:val="0"/>
              <w:divBdr>
                <w:top w:val="none" w:sz="0" w:space="0" w:color="auto"/>
                <w:left w:val="none" w:sz="0" w:space="0" w:color="auto"/>
                <w:bottom w:val="none" w:sz="0" w:space="0" w:color="auto"/>
                <w:right w:val="none" w:sz="0" w:space="0" w:color="auto"/>
              </w:divBdr>
              <w:divsChild>
                <w:div w:id="918365687">
                  <w:marLeft w:val="0"/>
                  <w:marRight w:val="0"/>
                  <w:marTop w:val="0"/>
                  <w:marBottom w:val="0"/>
                  <w:divBdr>
                    <w:top w:val="none" w:sz="0" w:space="0" w:color="auto"/>
                    <w:left w:val="none" w:sz="0" w:space="0" w:color="auto"/>
                    <w:bottom w:val="none" w:sz="0" w:space="0" w:color="auto"/>
                    <w:right w:val="none" w:sz="0" w:space="0" w:color="auto"/>
                  </w:divBdr>
                </w:div>
              </w:divsChild>
            </w:div>
            <w:div w:id="105589460">
              <w:marLeft w:val="0"/>
              <w:marRight w:val="0"/>
              <w:marTop w:val="0"/>
              <w:marBottom w:val="0"/>
              <w:divBdr>
                <w:top w:val="none" w:sz="0" w:space="0" w:color="auto"/>
                <w:left w:val="none" w:sz="0" w:space="0" w:color="auto"/>
                <w:bottom w:val="none" w:sz="0" w:space="0" w:color="auto"/>
                <w:right w:val="none" w:sz="0" w:space="0" w:color="auto"/>
              </w:divBdr>
              <w:divsChild>
                <w:div w:id="1207794266">
                  <w:marLeft w:val="0"/>
                  <w:marRight w:val="0"/>
                  <w:marTop w:val="0"/>
                  <w:marBottom w:val="0"/>
                  <w:divBdr>
                    <w:top w:val="none" w:sz="0" w:space="0" w:color="auto"/>
                    <w:left w:val="none" w:sz="0" w:space="0" w:color="auto"/>
                    <w:bottom w:val="none" w:sz="0" w:space="0" w:color="auto"/>
                    <w:right w:val="none" w:sz="0" w:space="0" w:color="auto"/>
                  </w:divBdr>
                </w:div>
              </w:divsChild>
            </w:div>
            <w:div w:id="108359999">
              <w:marLeft w:val="0"/>
              <w:marRight w:val="0"/>
              <w:marTop w:val="300"/>
              <w:marBottom w:val="300"/>
              <w:divBdr>
                <w:top w:val="none" w:sz="0" w:space="0" w:color="auto"/>
                <w:left w:val="none" w:sz="0" w:space="0" w:color="auto"/>
                <w:bottom w:val="none" w:sz="0" w:space="0" w:color="auto"/>
                <w:right w:val="none" w:sz="0" w:space="0" w:color="auto"/>
              </w:divBdr>
            </w:div>
            <w:div w:id="109512428">
              <w:marLeft w:val="0"/>
              <w:marRight w:val="0"/>
              <w:marTop w:val="0"/>
              <w:marBottom w:val="0"/>
              <w:divBdr>
                <w:top w:val="none" w:sz="0" w:space="0" w:color="auto"/>
                <w:left w:val="none" w:sz="0" w:space="0" w:color="auto"/>
                <w:bottom w:val="none" w:sz="0" w:space="0" w:color="auto"/>
                <w:right w:val="none" w:sz="0" w:space="0" w:color="auto"/>
              </w:divBdr>
              <w:divsChild>
                <w:div w:id="873007675">
                  <w:marLeft w:val="0"/>
                  <w:marRight w:val="0"/>
                  <w:marTop w:val="0"/>
                  <w:marBottom w:val="0"/>
                  <w:divBdr>
                    <w:top w:val="none" w:sz="0" w:space="0" w:color="auto"/>
                    <w:left w:val="none" w:sz="0" w:space="0" w:color="auto"/>
                    <w:bottom w:val="none" w:sz="0" w:space="0" w:color="auto"/>
                    <w:right w:val="none" w:sz="0" w:space="0" w:color="auto"/>
                  </w:divBdr>
                </w:div>
              </w:divsChild>
            </w:div>
            <w:div w:id="117260147">
              <w:marLeft w:val="0"/>
              <w:marRight w:val="0"/>
              <w:marTop w:val="0"/>
              <w:marBottom w:val="0"/>
              <w:divBdr>
                <w:top w:val="none" w:sz="0" w:space="0" w:color="auto"/>
                <w:left w:val="none" w:sz="0" w:space="0" w:color="auto"/>
                <w:bottom w:val="none" w:sz="0" w:space="0" w:color="auto"/>
                <w:right w:val="none" w:sz="0" w:space="0" w:color="auto"/>
              </w:divBdr>
              <w:divsChild>
                <w:div w:id="1703287530">
                  <w:marLeft w:val="0"/>
                  <w:marRight w:val="0"/>
                  <w:marTop w:val="0"/>
                  <w:marBottom w:val="0"/>
                  <w:divBdr>
                    <w:top w:val="none" w:sz="0" w:space="0" w:color="auto"/>
                    <w:left w:val="none" w:sz="0" w:space="0" w:color="auto"/>
                    <w:bottom w:val="none" w:sz="0" w:space="0" w:color="auto"/>
                    <w:right w:val="none" w:sz="0" w:space="0" w:color="auto"/>
                  </w:divBdr>
                </w:div>
              </w:divsChild>
            </w:div>
            <w:div w:id="123891050">
              <w:marLeft w:val="0"/>
              <w:marRight w:val="0"/>
              <w:marTop w:val="0"/>
              <w:marBottom w:val="0"/>
              <w:divBdr>
                <w:top w:val="none" w:sz="0" w:space="0" w:color="auto"/>
                <w:left w:val="none" w:sz="0" w:space="0" w:color="auto"/>
                <w:bottom w:val="none" w:sz="0" w:space="0" w:color="auto"/>
                <w:right w:val="none" w:sz="0" w:space="0" w:color="auto"/>
              </w:divBdr>
              <w:divsChild>
                <w:div w:id="410784095">
                  <w:marLeft w:val="0"/>
                  <w:marRight w:val="0"/>
                  <w:marTop w:val="0"/>
                  <w:marBottom w:val="0"/>
                  <w:divBdr>
                    <w:top w:val="none" w:sz="0" w:space="0" w:color="auto"/>
                    <w:left w:val="none" w:sz="0" w:space="0" w:color="auto"/>
                    <w:bottom w:val="none" w:sz="0" w:space="0" w:color="auto"/>
                    <w:right w:val="none" w:sz="0" w:space="0" w:color="auto"/>
                  </w:divBdr>
                </w:div>
              </w:divsChild>
            </w:div>
            <w:div w:id="124350248">
              <w:marLeft w:val="0"/>
              <w:marRight w:val="0"/>
              <w:marTop w:val="0"/>
              <w:marBottom w:val="0"/>
              <w:divBdr>
                <w:top w:val="none" w:sz="0" w:space="0" w:color="auto"/>
                <w:left w:val="none" w:sz="0" w:space="0" w:color="auto"/>
                <w:bottom w:val="none" w:sz="0" w:space="0" w:color="auto"/>
                <w:right w:val="none" w:sz="0" w:space="0" w:color="auto"/>
              </w:divBdr>
              <w:divsChild>
                <w:div w:id="597641988">
                  <w:marLeft w:val="0"/>
                  <w:marRight w:val="0"/>
                  <w:marTop w:val="0"/>
                  <w:marBottom w:val="0"/>
                  <w:divBdr>
                    <w:top w:val="none" w:sz="0" w:space="0" w:color="auto"/>
                    <w:left w:val="none" w:sz="0" w:space="0" w:color="auto"/>
                    <w:bottom w:val="none" w:sz="0" w:space="0" w:color="auto"/>
                    <w:right w:val="none" w:sz="0" w:space="0" w:color="auto"/>
                  </w:divBdr>
                </w:div>
              </w:divsChild>
            </w:div>
            <w:div w:id="125006752">
              <w:marLeft w:val="0"/>
              <w:marRight w:val="0"/>
              <w:marTop w:val="0"/>
              <w:marBottom w:val="0"/>
              <w:divBdr>
                <w:top w:val="none" w:sz="0" w:space="0" w:color="auto"/>
                <w:left w:val="none" w:sz="0" w:space="0" w:color="auto"/>
                <w:bottom w:val="none" w:sz="0" w:space="0" w:color="auto"/>
                <w:right w:val="none" w:sz="0" w:space="0" w:color="auto"/>
              </w:divBdr>
              <w:divsChild>
                <w:div w:id="1379821856">
                  <w:marLeft w:val="0"/>
                  <w:marRight w:val="0"/>
                  <w:marTop w:val="0"/>
                  <w:marBottom w:val="0"/>
                  <w:divBdr>
                    <w:top w:val="none" w:sz="0" w:space="0" w:color="auto"/>
                    <w:left w:val="none" w:sz="0" w:space="0" w:color="auto"/>
                    <w:bottom w:val="none" w:sz="0" w:space="0" w:color="auto"/>
                    <w:right w:val="none" w:sz="0" w:space="0" w:color="auto"/>
                  </w:divBdr>
                </w:div>
              </w:divsChild>
            </w:div>
            <w:div w:id="128208156">
              <w:marLeft w:val="0"/>
              <w:marRight w:val="0"/>
              <w:marTop w:val="0"/>
              <w:marBottom w:val="0"/>
              <w:divBdr>
                <w:top w:val="none" w:sz="0" w:space="0" w:color="auto"/>
                <w:left w:val="none" w:sz="0" w:space="0" w:color="auto"/>
                <w:bottom w:val="none" w:sz="0" w:space="0" w:color="auto"/>
                <w:right w:val="none" w:sz="0" w:space="0" w:color="auto"/>
              </w:divBdr>
              <w:divsChild>
                <w:div w:id="1567297350">
                  <w:marLeft w:val="0"/>
                  <w:marRight w:val="0"/>
                  <w:marTop w:val="0"/>
                  <w:marBottom w:val="0"/>
                  <w:divBdr>
                    <w:top w:val="none" w:sz="0" w:space="0" w:color="auto"/>
                    <w:left w:val="none" w:sz="0" w:space="0" w:color="auto"/>
                    <w:bottom w:val="none" w:sz="0" w:space="0" w:color="auto"/>
                    <w:right w:val="none" w:sz="0" w:space="0" w:color="auto"/>
                  </w:divBdr>
                </w:div>
              </w:divsChild>
            </w:div>
            <w:div w:id="132217916">
              <w:marLeft w:val="0"/>
              <w:marRight w:val="0"/>
              <w:marTop w:val="0"/>
              <w:marBottom w:val="0"/>
              <w:divBdr>
                <w:top w:val="none" w:sz="0" w:space="0" w:color="auto"/>
                <w:left w:val="none" w:sz="0" w:space="0" w:color="auto"/>
                <w:bottom w:val="none" w:sz="0" w:space="0" w:color="auto"/>
                <w:right w:val="none" w:sz="0" w:space="0" w:color="auto"/>
              </w:divBdr>
              <w:divsChild>
                <w:div w:id="365181319">
                  <w:marLeft w:val="0"/>
                  <w:marRight w:val="0"/>
                  <w:marTop w:val="0"/>
                  <w:marBottom w:val="0"/>
                  <w:divBdr>
                    <w:top w:val="none" w:sz="0" w:space="0" w:color="auto"/>
                    <w:left w:val="none" w:sz="0" w:space="0" w:color="auto"/>
                    <w:bottom w:val="none" w:sz="0" w:space="0" w:color="auto"/>
                    <w:right w:val="none" w:sz="0" w:space="0" w:color="auto"/>
                  </w:divBdr>
                </w:div>
              </w:divsChild>
            </w:div>
            <w:div w:id="138351023">
              <w:marLeft w:val="0"/>
              <w:marRight w:val="0"/>
              <w:marTop w:val="300"/>
              <w:marBottom w:val="300"/>
              <w:divBdr>
                <w:top w:val="none" w:sz="0" w:space="0" w:color="auto"/>
                <w:left w:val="none" w:sz="0" w:space="0" w:color="auto"/>
                <w:bottom w:val="none" w:sz="0" w:space="0" w:color="auto"/>
                <w:right w:val="none" w:sz="0" w:space="0" w:color="auto"/>
              </w:divBdr>
            </w:div>
            <w:div w:id="141237433">
              <w:marLeft w:val="0"/>
              <w:marRight w:val="0"/>
              <w:marTop w:val="0"/>
              <w:marBottom w:val="0"/>
              <w:divBdr>
                <w:top w:val="none" w:sz="0" w:space="0" w:color="auto"/>
                <w:left w:val="none" w:sz="0" w:space="0" w:color="auto"/>
                <w:bottom w:val="none" w:sz="0" w:space="0" w:color="auto"/>
                <w:right w:val="none" w:sz="0" w:space="0" w:color="auto"/>
              </w:divBdr>
              <w:divsChild>
                <w:div w:id="131218600">
                  <w:marLeft w:val="0"/>
                  <w:marRight w:val="0"/>
                  <w:marTop w:val="0"/>
                  <w:marBottom w:val="0"/>
                  <w:divBdr>
                    <w:top w:val="none" w:sz="0" w:space="0" w:color="auto"/>
                    <w:left w:val="none" w:sz="0" w:space="0" w:color="auto"/>
                    <w:bottom w:val="none" w:sz="0" w:space="0" w:color="auto"/>
                    <w:right w:val="none" w:sz="0" w:space="0" w:color="auto"/>
                  </w:divBdr>
                </w:div>
              </w:divsChild>
            </w:div>
            <w:div w:id="144975189">
              <w:marLeft w:val="0"/>
              <w:marRight w:val="0"/>
              <w:marTop w:val="0"/>
              <w:marBottom w:val="0"/>
              <w:divBdr>
                <w:top w:val="none" w:sz="0" w:space="0" w:color="auto"/>
                <w:left w:val="none" w:sz="0" w:space="0" w:color="auto"/>
                <w:bottom w:val="none" w:sz="0" w:space="0" w:color="auto"/>
                <w:right w:val="none" w:sz="0" w:space="0" w:color="auto"/>
              </w:divBdr>
              <w:divsChild>
                <w:div w:id="1870601745">
                  <w:marLeft w:val="0"/>
                  <w:marRight w:val="0"/>
                  <w:marTop w:val="0"/>
                  <w:marBottom w:val="0"/>
                  <w:divBdr>
                    <w:top w:val="none" w:sz="0" w:space="0" w:color="auto"/>
                    <w:left w:val="none" w:sz="0" w:space="0" w:color="auto"/>
                    <w:bottom w:val="none" w:sz="0" w:space="0" w:color="auto"/>
                    <w:right w:val="none" w:sz="0" w:space="0" w:color="auto"/>
                  </w:divBdr>
                </w:div>
              </w:divsChild>
            </w:div>
            <w:div w:id="146016262">
              <w:marLeft w:val="0"/>
              <w:marRight w:val="0"/>
              <w:marTop w:val="0"/>
              <w:marBottom w:val="0"/>
              <w:divBdr>
                <w:top w:val="none" w:sz="0" w:space="0" w:color="auto"/>
                <w:left w:val="none" w:sz="0" w:space="0" w:color="auto"/>
                <w:bottom w:val="none" w:sz="0" w:space="0" w:color="auto"/>
                <w:right w:val="none" w:sz="0" w:space="0" w:color="auto"/>
              </w:divBdr>
              <w:divsChild>
                <w:div w:id="1525361303">
                  <w:marLeft w:val="0"/>
                  <w:marRight w:val="0"/>
                  <w:marTop w:val="0"/>
                  <w:marBottom w:val="0"/>
                  <w:divBdr>
                    <w:top w:val="none" w:sz="0" w:space="0" w:color="auto"/>
                    <w:left w:val="none" w:sz="0" w:space="0" w:color="auto"/>
                    <w:bottom w:val="none" w:sz="0" w:space="0" w:color="auto"/>
                    <w:right w:val="none" w:sz="0" w:space="0" w:color="auto"/>
                  </w:divBdr>
                </w:div>
              </w:divsChild>
            </w:div>
            <w:div w:id="146172711">
              <w:marLeft w:val="0"/>
              <w:marRight w:val="0"/>
              <w:marTop w:val="0"/>
              <w:marBottom w:val="0"/>
              <w:divBdr>
                <w:top w:val="none" w:sz="0" w:space="0" w:color="auto"/>
                <w:left w:val="none" w:sz="0" w:space="0" w:color="auto"/>
                <w:bottom w:val="none" w:sz="0" w:space="0" w:color="auto"/>
                <w:right w:val="none" w:sz="0" w:space="0" w:color="auto"/>
              </w:divBdr>
              <w:divsChild>
                <w:div w:id="584847071">
                  <w:marLeft w:val="0"/>
                  <w:marRight w:val="0"/>
                  <w:marTop w:val="0"/>
                  <w:marBottom w:val="0"/>
                  <w:divBdr>
                    <w:top w:val="none" w:sz="0" w:space="0" w:color="auto"/>
                    <w:left w:val="none" w:sz="0" w:space="0" w:color="auto"/>
                    <w:bottom w:val="none" w:sz="0" w:space="0" w:color="auto"/>
                    <w:right w:val="none" w:sz="0" w:space="0" w:color="auto"/>
                  </w:divBdr>
                </w:div>
              </w:divsChild>
            </w:div>
            <w:div w:id="148863484">
              <w:marLeft w:val="0"/>
              <w:marRight w:val="0"/>
              <w:marTop w:val="0"/>
              <w:marBottom w:val="0"/>
              <w:divBdr>
                <w:top w:val="none" w:sz="0" w:space="0" w:color="auto"/>
                <w:left w:val="none" w:sz="0" w:space="0" w:color="auto"/>
                <w:bottom w:val="none" w:sz="0" w:space="0" w:color="auto"/>
                <w:right w:val="none" w:sz="0" w:space="0" w:color="auto"/>
              </w:divBdr>
              <w:divsChild>
                <w:div w:id="2033259275">
                  <w:marLeft w:val="0"/>
                  <w:marRight w:val="0"/>
                  <w:marTop w:val="0"/>
                  <w:marBottom w:val="0"/>
                  <w:divBdr>
                    <w:top w:val="none" w:sz="0" w:space="0" w:color="auto"/>
                    <w:left w:val="none" w:sz="0" w:space="0" w:color="auto"/>
                    <w:bottom w:val="none" w:sz="0" w:space="0" w:color="auto"/>
                    <w:right w:val="none" w:sz="0" w:space="0" w:color="auto"/>
                  </w:divBdr>
                </w:div>
              </w:divsChild>
            </w:div>
            <w:div w:id="152524836">
              <w:marLeft w:val="0"/>
              <w:marRight w:val="0"/>
              <w:marTop w:val="0"/>
              <w:marBottom w:val="0"/>
              <w:divBdr>
                <w:top w:val="none" w:sz="0" w:space="0" w:color="auto"/>
                <w:left w:val="none" w:sz="0" w:space="0" w:color="auto"/>
                <w:bottom w:val="none" w:sz="0" w:space="0" w:color="auto"/>
                <w:right w:val="none" w:sz="0" w:space="0" w:color="auto"/>
              </w:divBdr>
              <w:divsChild>
                <w:div w:id="119694984">
                  <w:marLeft w:val="0"/>
                  <w:marRight w:val="0"/>
                  <w:marTop w:val="0"/>
                  <w:marBottom w:val="0"/>
                  <w:divBdr>
                    <w:top w:val="none" w:sz="0" w:space="0" w:color="auto"/>
                    <w:left w:val="none" w:sz="0" w:space="0" w:color="auto"/>
                    <w:bottom w:val="none" w:sz="0" w:space="0" w:color="auto"/>
                    <w:right w:val="none" w:sz="0" w:space="0" w:color="auto"/>
                  </w:divBdr>
                </w:div>
              </w:divsChild>
            </w:div>
            <w:div w:id="154685240">
              <w:marLeft w:val="0"/>
              <w:marRight w:val="0"/>
              <w:marTop w:val="0"/>
              <w:marBottom w:val="0"/>
              <w:divBdr>
                <w:top w:val="none" w:sz="0" w:space="0" w:color="auto"/>
                <w:left w:val="none" w:sz="0" w:space="0" w:color="auto"/>
                <w:bottom w:val="none" w:sz="0" w:space="0" w:color="auto"/>
                <w:right w:val="none" w:sz="0" w:space="0" w:color="auto"/>
              </w:divBdr>
              <w:divsChild>
                <w:div w:id="1659503800">
                  <w:marLeft w:val="0"/>
                  <w:marRight w:val="0"/>
                  <w:marTop w:val="0"/>
                  <w:marBottom w:val="0"/>
                  <w:divBdr>
                    <w:top w:val="none" w:sz="0" w:space="0" w:color="auto"/>
                    <w:left w:val="none" w:sz="0" w:space="0" w:color="auto"/>
                    <w:bottom w:val="none" w:sz="0" w:space="0" w:color="auto"/>
                    <w:right w:val="none" w:sz="0" w:space="0" w:color="auto"/>
                  </w:divBdr>
                </w:div>
              </w:divsChild>
            </w:div>
            <w:div w:id="156194623">
              <w:marLeft w:val="0"/>
              <w:marRight w:val="0"/>
              <w:marTop w:val="0"/>
              <w:marBottom w:val="0"/>
              <w:divBdr>
                <w:top w:val="none" w:sz="0" w:space="0" w:color="auto"/>
                <w:left w:val="none" w:sz="0" w:space="0" w:color="auto"/>
                <w:bottom w:val="none" w:sz="0" w:space="0" w:color="auto"/>
                <w:right w:val="none" w:sz="0" w:space="0" w:color="auto"/>
              </w:divBdr>
              <w:divsChild>
                <w:div w:id="2004504722">
                  <w:marLeft w:val="0"/>
                  <w:marRight w:val="0"/>
                  <w:marTop w:val="0"/>
                  <w:marBottom w:val="0"/>
                  <w:divBdr>
                    <w:top w:val="none" w:sz="0" w:space="0" w:color="auto"/>
                    <w:left w:val="none" w:sz="0" w:space="0" w:color="auto"/>
                    <w:bottom w:val="none" w:sz="0" w:space="0" w:color="auto"/>
                    <w:right w:val="none" w:sz="0" w:space="0" w:color="auto"/>
                  </w:divBdr>
                </w:div>
              </w:divsChild>
            </w:div>
            <w:div w:id="156531932">
              <w:marLeft w:val="0"/>
              <w:marRight w:val="0"/>
              <w:marTop w:val="300"/>
              <w:marBottom w:val="300"/>
              <w:divBdr>
                <w:top w:val="none" w:sz="0" w:space="0" w:color="auto"/>
                <w:left w:val="none" w:sz="0" w:space="0" w:color="auto"/>
                <w:bottom w:val="none" w:sz="0" w:space="0" w:color="auto"/>
                <w:right w:val="none" w:sz="0" w:space="0" w:color="auto"/>
              </w:divBdr>
            </w:div>
            <w:div w:id="160046422">
              <w:marLeft w:val="0"/>
              <w:marRight w:val="0"/>
              <w:marTop w:val="0"/>
              <w:marBottom w:val="0"/>
              <w:divBdr>
                <w:top w:val="none" w:sz="0" w:space="0" w:color="auto"/>
                <w:left w:val="none" w:sz="0" w:space="0" w:color="auto"/>
                <w:bottom w:val="none" w:sz="0" w:space="0" w:color="auto"/>
                <w:right w:val="none" w:sz="0" w:space="0" w:color="auto"/>
              </w:divBdr>
              <w:divsChild>
                <w:div w:id="1784616615">
                  <w:marLeft w:val="0"/>
                  <w:marRight w:val="0"/>
                  <w:marTop w:val="0"/>
                  <w:marBottom w:val="0"/>
                  <w:divBdr>
                    <w:top w:val="none" w:sz="0" w:space="0" w:color="auto"/>
                    <w:left w:val="none" w:sz="0" w:space="0" w:color="auto"/>
                    <w:bottom w:val="none" w:sz="0" w:space="0" w:color="auto"/>
                    <w:right w:val="none" w:sz="0" w:space="0" w:color="auto"/>
                  </w:divBdr>
                </w:div>
              </w:divsChild>
            </w:div>
            <w:div w:id="160319907">
              <w:marLeft w:val="0"/>
              <w:marRight w:val="0"/>
              <w:marTop w:val="0"/>
              <w:marBottom w:val="0"/>
              <w:divBdr>
                <w:top w:val="none" w:sz="0" w:space="0" w:color="auto"/>
                <w:left w:val="none" w:sz="0" w:space="0" w:color="auto"/>
                <w:bottom w:val="none" w:sz="0" w:space="0" w:color="auto"/>
                <w:right w:val="none" w:sz="0" w:space="0" w:color="auto"/>
              </w:divBdr>
              <w:divsChild>
                <w:div w:id="1244337230">
                  <w:marLeft w:val="0"/>
                  <w:marRight w:val="0"/>
                  <w:marTop w:val="0"/>
                  <w:marBottom w:val="0"/>
                  <w:divBdr>
                    <w:top w:val="none" w:sz="0" w:space="0" w:color="auto"/>
                    <w:left w:val="none" w:sz="0" w:space="0" w:color="auto"/>
                    <w:bottom w:val="none" w:sz="0" w:space="0" w:color="auto"/>
                    <w:right w:val="none" w:sz="0" w:space="0" w:color="auto"/>
                  </w:divBdr>
                </w:div>
              </w:divsChild>
            </w:div>
            <w:div w:id="162549580">
              <w:marLeft w:val="0"/>
              <w:marRight w:val="0"/>
              <w:marTop w:val="300"/>
              <w:marBottom w:val="300"/>
              <w:divBdr>
                <w:top w:val="none" w:sz="0" w:space="0" w:color="auto"/>
                <w:left w:val="none" w:sz="0" w:space="0" w:color="auto"/>
                <w:bottom w:val="none" w:sz="0" w:space="0" w:color="auto"/>
                <w:right w:val="none" w:sz="0" w:space="0" w:color="auto"/>
              </w:divBdr>
            </w:div>
            <w:div w:id="162822057">
              <w:marLeft w:val="0"/>
              <w:marRight w:val="0"/>
              <w:marTop w:val="300"/>
              <w:marBottom w:val="300"/>
              <w:divBdr>
                <w:top w:val="none" w:sz="0" w:space="0" w:color="auto"/>
                <w:left w:val="none" w:sz="0" w:space="0" w:color="auto"/>
                <w:bottom w:val="none" w:sz="0" w:space="0" w:color="auto"/>
                <w:right w:val="none" w:sz="0" w:space="0" w:color="auto"/>
              </w:divBdr>
            </w:div>
            <w:div w:id="166478308">
              <w:marLeft w:val="0"/>
              <w:marRight w:val="0"/>
              <w:marTop w:val="0"/>
              <w:marBottom w:val="0"/>
              <w:divBdr>
                <w:top w:val="none" w:sz="0" w:space="0" w:color="auto"/>
                <w:left w:val="none" w:sz="0" w:space="0" w:color="auto"/>
                <w:bottom w:val="none" w:sz="0" w:space="0" w:color="auto"/>
                <w:right w:val="none" w:sz="0" w:space="0" w:color="auto"/>
              </w:divBdr>
              <w:divsChild>
                <w:div w:id="598754936">
                  <w:marLeft w:val="0"/>
                  <w:marRight w:val="0"/>
                  <w:marTop w:val="0"/>
                  <w:marBottom w:val="0"/>
                  <w:divBdr>
                    <w:top w:val="none" w:sz="0" w:space="0" w:color="auto"/>
                    <w:left w:val="none" w:sz="0" w:space="0" w:color="auto"/>
                    <w:bottom w:val="none" w:sz="0" w:space="0" w:color="auto"/>
                    <w:right w:val="none" w:sz="0" w:space="0" w:color="auto"/>
                  </w:divBdr>
                </w:div>
              </w:divsChild>
            </w:div>
            <w:div w:id="166990248">
              <w:marLeft w:val="0"/>
              <w:marRight w:val="0"/>
              <w:marTop w:val="0"/>
              <w:marBottom w:val="0"/>
              <w:divBdr>
                <w:top w:val="none" w:sz="0" w:space="0" w:color="auto"/>
                <w:left w:val="none" w:sz="0" w:space="0" w:color="auto"/>
                <w:bottom w:val="none" w:sz="0" w:space="0" w:color="auto"/>
                <w:right w:val="none" w:sz="0" w:space="0" w:color="auto"/>
              </w:divBdr>
              <w:divsChild>
                <w:div w:id="68819593">
                  <w:marLeft w:val="0"/>
                  <w:marRight w:val="0"/>
                  <w:marTop w:val="0"/>
                  <w:marBottom w:val="0"/>
                  <w:divBdr>
                    <w:top w:val="none" w:sz="0" w:space="0" w:color="auto"/>
                    <w:left w:val="none" w:sz="0" w:space="0" w:color="auto"/>
                    <w:bottom w:val="none" w:sz="0" w:space="0" w:color="auto"/>
                    <w:right w:val="none" w:sz="0" w:space="0" w:color="auto"/>
                  </w:divBdr>
                </w:div>
              </w:divsChild>
            </w:div>
            <w:div w:id="167136704">
              <w:marLeft w:val="0"/>
              <w:marRight w:val="0"/>
              <w:marTop w:val="0"/>
              <w:marBottom w:val="0"/>
              <w:divBdr>
                <w:top w:val="none" w:sz="0" w:space="0" w:color="auto"/>
                <w:left w:val="none" w:sz="0" w:space="0" w:color="auto"/>
                <w:bottom w:val="none" w:sz="0" w:space="0" w:color="auto"/>
                <w:right w:val="none" w:sz="0" w:space="0" w:color="auto"/>
              </w:divBdr>
              <w:divsChild>
                <w:div w:id="695617635">
                  <w:marLeft w:val="0"/>
                  <w:marRight w:val="0"/>
                  <w:marTop w:val="0"/>
                  <w:marBottom w:val="0"/>
                  <w:divBdr>
                    <w:top w:val="none" w:sz="0" w:space="0" w:color="auto"/>
                    <w:left w:val="none" w:sz="0" w:space="0" w:color="auto"/>
                    <w:bottom w:val="none" w:sz="0" w:space="0" w:color="auto"/>
                    <w:right w:val="none" w:sz="0" w:space="0" w:color="auto"/>
                  </w:divBdr>
                </w:div>
              </w:divsChild>
            </w:div>
            <w:div w:id="169757465">
              <w:marLeft w:val="0"/>
              <w:marRight w:val="0"/>
              <w:marTop w:val="0"/>
              <w:marBottom w:val="0"/>
              <w:divBdr>
                <w:top w:val="none" w:sz="0" w:space="0" w:color="auto"/>
                <w:left w:val="none" w:sz="0" w:space="0" w:color="auto"/>
                <w:bottom w:val="none" w:sz="0" w:space="0" w:color="auto"/>
                <w:right w:val="none" w:sz="0" w:space="0" w:color="auto"/>
              </w:divBdr>
              <w:divsChild>
                <w:div w:id="1079205544">
                  <w:marLeft w:val="0"/>
                  <w:marRight w:val="0"/>
                  <w:marTop w:val="0"/>
                  <w:marBottom w:val="0"/>
                  <w:divBdr>
                    <w:top w:val="none" w:sz="0" w:space="0" w:color="auto"/>
                    <w:left w:val="none" w:sz="0" w:space="0" w:color="auto"/>
                    <w:bottom w:val="none" w:sz="0" w:space="0" w:color="auto"/>
                    <w:right w:val="none" w:sz="0" w:space="0" w:color="auto"/>
                  </w:divBdr>
                </w:div>
              </w:divsChild>
            </w:div>
            <w:div w:id="175852691">
              <w:marLeft w:val="0"/>
              <w:marRight w:val="0"/>
              <w:marTop w:val="300"/>
              <w:marBottom w:val="300"/>
              <w:divBdr>
                <w:top w:val="none" w:sz="0" w:space="0" w:color="auto"/>
                <w:left w:val="none" w:sz="0" w:space="0" w:color="auto"/>
                <w:bottom w:val="none" w:sz="0" w:space="0" w:color="auto"/>
                <w:right w:val="none" w:sz="0" w:space="0" w:color="auto"/>
              </w:divBdr>
            </w:div>
            <w:div w:id="177041441">
              <w:marLeft w:val="0"/>
              <w:marRight w:val="0"/>
              <w:marTop w:val="300"/>
              <w:marBottom w:val="300"/>
              <w:divBdr>
                <w:top w:val="none" w:sz="0" w:space="0" w:color="auto"/>
                <w:left w:val="none" w:sz="0" w:space="0" w:color="auto"/>
                <w:bottom w:val="none" w:sz="0" w:space="0" w:color="auto"/>
                <w:right w:val="none" w:sz="0" w:space="0" w:color="auto"/>
              </w:divBdr>
            </w:div>
            <w:div w:id="184561485">
              <w:marLeft w:val="0"/>
              <w:marRight w:val="0"/>
              <w:marTop w:val="0"/>
              <w:marBottom w:val="0"/>
              <w:divBdr>
                <w:top w:val="none" w:sz="0" w:space="0" w:color="auto"/>
                <w:left w:val="none" w:sz="0" w:space="0" w:color="auto"/>
                <w:bottom w:val="none" w:sz="0" w:space="0" w:color="auto"/>
                <w:right w:val="none" w:sz="0" w:space="0" w:color="auto"/>
              </w:divBdr>
              <w:divsChild>
                <w:div w:id="1983383749">
                  <w:marLeft w:val="0"/>
                  <w:marRight w:val="0"/>
                  <w:marTop w:val="0"/>
                  <w:marBottom w:val="0"/>
                  <w:divBdr>
                    <w:top w:val="none" w:sz="0" w:space="0" w:color="auto"/>
                    <w:left w:val="none" w:sz="0" w:space="0" w:color="auto"/>
                    <w:bottom w:val="none" w:sz="0" w:space="0" w:color="auto"/>
                    <w:right w:val="none" w:sz="0" w:space="0" w:color="auto"/>
                  </w:divBdr>
                </w:div>
              </w:divsChild>
            </w:div>
            <w:div w:id="188875946">
              <w:marLeft w:val="0"/>
              <w:marRight w:val="0"/>
              <w:marTop w:val="0"/>
              <w:marBottom w:val="0"/>
              <w:divBdr>
                <w:top w:val="none" w:sz="0" w:space="0" w:color="auto"/>
                <w:left w:val="none" w:sz="0" w:space="0" w:color="auto"/>
                <w:bottom w:val="none" w:sz="0" w:space="0" w:color="auto"/>
                <w:right w:val="none" w:sz="0" w:space="0" w:color="auto"/>
              </w:divBdr>
              <w:divsChild>
                <w:div w:id="1442795472">
                  <w:marLeft w:val="0"/>
                  <w:marRight w:val="0"/>
                  <w:marTop w:val="0"/>
                  <w:marBottom w:val="0"/>
                  <w:divBdr>
                    <w:top w:val="none" w:sz="0" w:space="0" w:color="auto"/>
                    <w:left w:val="none" w:sz="0" w:space="0" w:color="auto"/>
                    <w:bottom w:val="none" w:sz="0" w:space="0" w:color="auto"/>
                    <w:right w:val="none" w:sz="0" w:space="0" w:color="auto"/>
                  </w:divBdr>
                </w:div>
              </w:divsChild>
            </w:div>
            <w:div w:id="193228822">
              <w:marLeft w:val="0"/>
              <w:marRight w:val="0"/>
              <w:marTop w:val="0"/>
              <w:marBottom w:val="0"/>
              <w:divBdr>
                <w:top w:val="none" w:sz="0" w:space="0" w:color="auto"/>
                <w:left w:val="none" w:sz="0" w:space="0" w:color="auto"/>
                <w:bottom w:val="none" w:sz="0" w:space="0" w:color="auto"/>
                <w:right w:val="none" w:sz="0" w:space="0" w:color="auto"/>
              </w:divBdr>
              <w:divsChild>
                <w:div w:id="684283940">
                  <w:marLeft w:val="0"/>
                  <w:marRight w:val="0"/>
                  <w:marTop w:val="0"/>
                  <w:marBottom w:val="0"/>
                  <w:divBdr>
                    <w:top w:val="none" w:sz="0" w:space="0" w:color="auto"/>
                    <w:left w:val="none" w:sz="0" w:space="0" w:color="auto"/>
                    <w:bottom w:val="none" w:sz="0" w:space="0" w:color="auto"/>
                    <w:right w:val="none" w:sz="0" w:space="0" w:color="auto"/>
                  </w:divBdr>
                </w:div>
              </w:divsChild>
            </w:div>
            <w:div w:id="194081775">
              <w:marLeft w:val="0"/>
              <w:marRight w:val="0"/>
              <w:marTop w:val="0"/>
              <w:marBottom w:val="0"/>
              <w:divBdr>
                <w:top w:val="none" w:sz="0" w:space="0" w:color="auto"/>
                <w:left w:val="none" w:sz="0" w:space="0" w:color="auto"/>
                <w:bottom w:val="none" w:sz="0" w:space="0" w:color="auto"/>
                <w:right w:val="none" w:sz="0" w:space="0" w:color="auto"/>
              </w:divBdr>
              <w:divsChild>
                <w:div w:id="771097664">
                  <w:marLeft w:val="0"/>
                  <w:marRight w:val="0"/>
                  <w:marTop w:val="0"/>
                  <w:marBottom w:val="0"/>
                  <w:divBdr>
                    <w:top w:val="none" w:sz="0" w:space="0" w:color="auto"/>
                    <w:left w:val="none" w:sz="0" w:space="0" w:color="auto"/>
                    <w:bottom w:val="none" w:sz="0" w:space="0" w:color="auto"/>
                    <w:right w:val="none" w:sz="0" w:space="0" w:color="auto"/>
                  </w:divBdr>
                </w:div>
              </w:divsChild>
            </w:div>
            <w:div w:id="198667919">
              <w:marLeft w:val="0"/>
              <w:marRight w:val="0"/>
              <w:marTop w:val="0"/>
              <w:marBottom w:val="0"/>
              <w:divBdr>
                <w:top w:val="none" w:sz="0" w:space="0" w:color="auto"/>
                <w:left w:val="none" w:sz="0" w:space="0" w:color="auto"/>
                <w:bottom w:val="none" w:sz="0" w:space="0" w:color="auto"/>
                <w:right w:val="none" w:sz="0" w:space="0" w:color="auto"/>
              </w:divBdr>
              <w:divsChild>
                <w:div w:id="1124230548">
                  <w:marLeft w:val="0"/>
                  <w:marRight w:val="0"/>
                  <w:marTop w:val="0"/>
                  <w:marBottom w:val="0"/>
                  <w:divBdr>
                    <w:top w:val="none" w:sz="0" w:space="0" w:color="auto"/>
                    <w:left w:val="none" w:sz="0" w:space="0" w:color="auto"/>
                    <w:bottom w:val="none" w:sz="0" w:space="0" w:color="auto"/>
                    <w:right w:val="none" w:sz="0" w:space="0" w:color="auto"/>
                  </w:divBdr>
                </w:div>
              </w:divsChild>
            </w:div>
            <w:div w:id="207491900">
              <w:marLeft w:val="0"/>
              <w:marRight w:val="0"/>
              <w:marTop w:val="0"/>
              <w:marBottom w:val="0"/>
              <w:divBdr>
                <w:top w:val="none" w:sz="0" w:space="0" w:color="auto"/>
                <w:left w:val="none" w:sz="0" w:space="0" w:color="auto"/>
                <w:bottom w:val="none" w:sz="0" w:space="0" w:color="auto"/>
                <w:right w:val="none" w:sz="0" w:space="0" w:color="auto"/>
              </w:divBdr>
              <w:divsChild>
                <w:div w:id="211842553">
                  <w:marLeft w:val="0"/>
                  <w:marRight w:val="0"/>
                  <w:marTop w:val="0"/>
                  <w:marBottom w:val="0"/>
                  <w:divBdr>
                    <w:top w:val="none" w:sz="0" w:space="0" w:color="auto"/>
                    <w:left w:val="none" w:sz="0" w:space="0" w:color="auto"/>
                    <w:bottom w:val="none" w:sz="0" w:space="0" w:color="auto"/>
                    <w:right w:val="none" w:sz="0" w:space="0" w:color="auto"/>
                  </w:divBdr>
                </w:div>
              </w:divsChild>
            </w:div>
            <w:div w:id="207618140">
              <w:marLeft w:val="0"/>
              <w:marRight w:val="0"/>
              <w:marTop w:val="0"/>
              <w:marBottom w:val="0"/>
              <w:divBdr>
                <w:top w:val="none" w:sz="0" w:space="0" w:color="auto"/>
                <w:left w:val="none" w:sz="0" w:space="0" w:color="auto"/>
                <w:bottom w:val="none" w:sz="0" w:space="0" w:color="auto"/>
                <w:right w:val="none" w:sz="0" w:space="0" w:color="auto"/>
              </w:divBdr>
              <w:divsChild>
                <w:div w:id="1586265240">
                  <w:marLeft w:val="0"/>
                  <w:marRight w:val="0"/>
                  <w:marTop w:val="0"/>
                  <w:marBottom w:val="0"/>
                  <w:divBdr>
                    <w:top w:val="none" w:sz="0" w:space="0" w:color="auto"/>
                    <w:left w:val="none" w:sz="0" w:space="0" w:color="auto"/>
                    <w:bottom w:val="none" w:sz="0" w:space="0" w:color="auto"/>
                    <w:right w:val="none" w:sz="0" w:space="0" w:color="auto"/>
                  </w:divBdr>
                </w:div>
              </w:divsChild>
            </w:div>
            <w:div w:id="208690566">
              <w:marLeft w:val="0"/>
              <w:marRight w:val="0"/>
              <w:marTop w:val="0"/>
              <w:marBottom w:val="0"/>
              <w:divBdr>
                <w:top w:val="none" w:sz="0" w:space="0" w:color="auto"/>
                <w:left w:val="none" w:sz="0" w:space="0" w:color="auto"/>
                <w:bottom w:val="none" w:sz="0" w:space="0" w:color="auto"/>
                <w:right w:val="none" w:sz="0" w:space="0" w:color="auto"/>
              </w:divBdr>
              <w:divsChild>
                <w:div w:id="1001543132">
                  <w:marLeft w:val="0"/>
                  <w:marRight w:val="0"/>
                  <w:marTop w:val="0"/>
                  <w:marBottom w:val="0"/>
                  <w:divBdr>
                    <w:top w:val="none" w:sz="0" w:space="0" w:color="auto"/>
                    <w:left w:val="none" w:sz="0" w:space="0" w:color="auto"/>
                    <w:bottom w:val="none" w:sz="0" w:space="0" w:color="auto"/>
                    <w:right w:val="none" w:sz="0" w:space="0" w:color="auto"/>
                  </w:divBdr>
                </w:div>
              </w:divsChild>
            </w:div>
            <w:div w:id="216403063">
              <w:marLeft w:val="0"/>
              <w:marRight w:val="0"/>
              <w:marTop w:val="0"/>
              <w:marBottom w:val="0"/>
              <w:divBdr>
                <w:top w:val="none" w:sz="0" w:space="0" w:color="auto"/>
                <w:left w:val="none" w:sz="0" w:space="0" w:color="auto"/>
                <w:bottom w:val="none" w:sz="0" w:space="0" w:color="auto"/>
                <w:right w:val="none" w:sz="0" w:space="0" w:color="auto"/>
              </w:divBdr>
              <w:divsChild>
                <w:div w:id="1039743791">
                  <w:marLeft w:val="0"/>
                  <w:marRight w:val="0"/>
                  <w:marTop w:val="0"/>
                  <w:marBottom w:val="0"/>
                  <w:divBdr>
                    <w:top w:val="none" w:sz="0" w:space="0" w:color="auto"/>
                    <w:left w:val="none" w:sz="0" w:space="0" w:color="auto"/>
                    <w:bottom w:val="none" w:sz="0" w:space="0" w:color="auto"/>
                    <w:right w:val="none" w:sz="0" w:space="0" w:color="auto"/>
                  </w:divBdr>
                </w:div>
              </w:divsChild>
            </w:div>
            <w:div w:id="217253487">
              <w:marLeft w:val="0"/>
              <w:marRight w:val="0"/>
              <w:marTop w:val="0"/>
              <w:marBottom w:val="0"/>
              <w:divBdr>
                <w:top w:val="none" w:sz="0" w:space="0" w:color="auto"/>
                <w:left w:val="none" w:sz="0" w:space="0" w:color="auto"/>
                <w:bottom w:val="none" w:sz="0" w:space="0" w:color="auto"/>
                <w:right w:val="none" w:sz="0" w:space="0" w:color="auto"/>
              </w:divBdr>
              <w:divsChild>
                <w:div w:id="1429039101">
                  <w:marLeft w:val="0"/>
                  <w:marRight w:val="0"/>
                  <w:marTop w:val="0"/>
                  <w:marBottom w:val="0"/>
                  <w:divBdr>
                    <w:top w:val="none" w:sz="0" w:space="0" w:color="auto"/>
                    <w:left w:val="none" w:sz="0" w:space="0" w:color="auto"/>
                    <w:bottom w:val="none" w:sz="0" w:space="0" w:color="auto"/>
                    <w:right w:val="none" w:sz="0" w:space="0" w:color="auto"/>
                  </w:divBdr>
                </w:div>
              </w:divsChild>
            </w:div>
            <w:div w:id="222915591">
              <w:marLeft w:val="0"/>
              <w:marRight w:val="0"/>
              <w:marTop w:val="0"/>
              <w:marBottom w:val="0"/>
              <w:divBdr>
                <w:top w:val="none" w:sz="0" w:space="0" w:color="auto"/>
                <w:left w:val="none" w:sz="0" w:space="0" w:color="auto"/>
                <w:bottom w:val="none" w:sz="0" w:space="0" w:color="auto"/>
                <w:right w:val="none" w:sz="0" w:space="0" w:color="auto"/>
              </w:divBdr>
              <w:divsChild>
                <w:div w:id="1654210955">
                  <w:marLeft w:val="0"/>
                  <w:marRight w:val="0"/>
                  <w:marTop w:val="0"/>
                  <w:marBottom w:val="0"/>
                  <w:divBdr>
                    <w:top w:val="none" w:sz="0" w:space="0" w:color="auto"/>
                    <w:left w:val="none" w:sz="0" w:space="0" w:color="auto"/>
                    <w:bottom w:val="none" w:sz="0" w:space="0" w:color="auto"/>
                    <w:right w:val="none" w:sz="0" w:space="0" w:color="auto"/>
                  </w:divBdr>
                </w:div>
              </w:divsChild>
            </w:div>
            <w:div w:id="226694661">
              <w:marLeft w:val="0"/>
              <w:marRight w:val="0"/>
              <w:marTop w:val="0"/>
              <w:marBottom w:val="0"/>
              <w:divBdr>
                <w:top w:val="none" w:sz="0" w:space="0" w:color="auto"/>
                <w:left w:val="none" w:sz="0" w:space="0" w:color="auto"/>
                <w:bottom w:val="none" w:sz="0" w:space="0" w:color="auto"/>
                <w:right w:val="none" w:sz="0" w:space="0" w:color="auto"/>
              </w:divBdr>
              <w:divsChild>
                <w:div w:id="1507869157">
                  <w:marLeft w:val="0"/>
                  <w:marRight w:val="0"/>
                  <w:marTop w:val="0"/>
                  <w:marBottom w:val="0"/>
                  <w:divBdr>
                    <w:top w:val="none" w:sz="0" w:space="0" w:color="auto"/>
                    <w:left w:val="none" w:sz="0" w:space="0" w:color="auto"/>
                    <w:bottom w:val="none" w:sz="0" w:space="0" w:color="auto"/>
                    <w:right w:val="none" w:sz="0" w:space="0" w:color="auto"/>
                  </w:divBdr>
                </w:div>
              </w:divsChild>
            </w:div>
            <w:div w:id="227767909">
              <w:marLeft w:val="0"/>
              <w:marRight w:val="0"/>
              <w:marTop w:val="0"/>
              <w:marBottom w:val="0"/>
              <w:divBdr>
                <w:top w:val="none" w:sz="0" w:space="0" w:color="auto"/>
                <w:left w:val="none" w:sz="0" w:space="0" w:color="auto"/>
                <w:bottom w:val="none" w:sz="0" w:space="0" w:color="auto"/>
                <w:right w:val="none" w:sz="0" w:space="0" w:color="auto"/>
              </w:divBdr>
              <w:divsChild>
                <w:div w:id="908464646">
                  <w:marLeft w:val="0"/>
                  <w:marRight w:val="0"/>
                  <w:marTop w:val="0"/>
                  <w:marBottom w:val="0"/>
                  <w:divBdr>
                    <w:top w:val="none" w:sz="0" w:space="0" w:color="auto"/>
                    <w:left w:val="none" w:sz="0" w:space="0" w:color="auto"/>
                    <w:bottom w:val="none" w:sz="0" w:space="0" w:color="auto"/>
                    <w:right w:val="none" w:sz="0" w:space="0" w:color="auto"/>
                  </w:divBdr>
                </w:div>
              </w:divsChild>
            </w:div>
            <w:div w:id="229660745">
              <w:marLeft w:val="0"/>
              <w:marRight w:val="0"/>
              <w:marTop w:val="0"/>
              <w:marBottom w:val="0"/>
              <w:divBdr>
                <w:top w:val="none" w:sz="0" w:space="0" w:color="auto"/>
                <w:left w:val="none" w:sz="0" w:space="0" w:color="auto"/>
                <w:bottom w:val="none" w:sz="0" w:space="0" w:color="auto"/>
                <w:right w:val="none" w:sz="0" w:space="0" w:color="auto"/>
              </w:divBdr>
              <w:divsChild>
                <w:div w:id="197478248">
                  <w:marLeft w:val="0"/>
                  <w:marRight w:val="0"/>
                  <w:marTop w:val="0"/>
                  <w:marBottom w:val="0"/>
                  <w:divBdr>
                    <w:top w:val="none" w:sz="0" w:space="0" w:color="auto"/>
                    <w:left w:val="none" w:sz="0" w:space="0" w:color="auto"/>
                    <w:bottom w:val="none" w:sz="0" w:space="0" w:color="auto"/>
                    <w:right w:val="none" w:sz="0" w:space="0" w:color="auto"/>
                  </w:divBdr>
                </w:div>
              </w:divsChild>
            </w:div>
            <w:div w:id="229968226">
              <w:marLeft w:val="0"/>
              <w:marRight w:val="0"/>
              <w:marTop w:val="0"/>
              <w:marBottom w:val="0"/>
              <w:divBdr>
                <w:top w:val="none" w:sz="0" w:space="0" w:color="auto"/>
                <w:left w:val="none" w:sz="0" w:space="0" w:color="auto"/>
                <w:bottom w:val="none" w:sz="0" w:space="0" w:color="auto"/>
                <w:right w:val="none" w:sz="0" w:space="0" w:color="auto"/>
              </w:divBdr>
              <w:divsChild>
                <w:div w:id="1108500987">
                  <w:marLeft w:val="0"/>
                  <w:marRight w:val="0"/>
                  <w:marTop w:val="0"/>
                  <w:marBottom w:val="0"/>
                  <w:divBdr>
                    <w:top w:val="none" w:sz="0" w:space="0" w:color="auto"/>
                    <w:left w:val="none" w:sz="0" w:space="0" w:color="auto"/>
                    <w:bottom w:val="none" w:sz="0" w:space="0" w:color="auto"/>
                    <w:right w:val="none" w:sz="0" w:space="0" w:color="auto"/>
                  </w:divBdr>
                </w:div>
              </w:divsChild>
            </w:div>
            <w:div w:id="230309008">
              <w:marLeft w:val="0"/>
              <w:marRight w:val="0"/>
              <w:marTop w:val="0"/>
              <w:marBottom w:val="0"/>
              <w:divBdr>
                <w:top w:val="none" w:sz="0" w:space="0" w:color="auto"/>
                <w:left w:val="none" w:sz="0" w:space="0" w:color="auto"/>
                <w:bottom w:val="none" w:sz="0" w:space="0" w:color="auto"/>
                <w:right w:val="none" w:sz="0" w:space="0" w:color="auto"/>
              </w:divBdr>
              <w:divsChild>
                <w:div w:id="684012845">
                  <w:marLeft w:val="0"/>
                  <w:marRight w:val="0"/>
                  <w:marTop w:val="0"/>
                  <w:marBottom w:val="0"/>
                  <w:divBdr>
                    <w:top w:val="none" w:sz="0" w:space="0" w:color="auto"/>
                    <w:left w:val="none" w:sz="0" w:space="0" w:color="auto"/>
                    <w:bottom w:val="none" w:sz="0" w:space="0" w:color="auto"/>
                    <w:right w:val="none" w:sz="0" w:space="0" w:color="auto"/>
                  </w:divBdr>
                </w:div>
              </w:divsChild>
            </w:div>
            <w:div w:id="232665115">
              <w:marLeft w:val="0"/>
              <w:marRight w:val="0"/>
              <w:marTop w:val="0"/>
              <w:marBottom w:val="0"/>
              <w:divBdr>
                <w:top w:val="none" w:sz="0" w:space="0" w:color="auto"/>
                <w:left w:val="none" w:sz="0" w:space="0" w:color="auto"/>
                <w:bottom w:val="none" w:sz="0" w:space="0" w:color="auto"/>
                <w:right w:val="none" w:sz="0" w:space="0" w:color="auto"/>
              </w:divBdr>
              <w:divsChild>
                <w:div w:id="1556892681">
                  <w:marLeft w:val="0"/>
                  <w:marRight w:val="0"/>
                  <w:marTop w:val="0"/>
                  <w:marBottom w:val="0"/>
                  <w:divBdr>
                    <w:top w:val="none" w:sz="0" w:space="0" w:color="auto"/>
                    <w:left w:val="none" w:sz="0" w:space="0" w:color="auto"/>
                    <w:bottom w:val="none" w:sz="0" w:space="0" w:color="auto"/>
                    <w:right w:val="none" w:sz="0" w:space="0" w:color="auto"/>
                  </w:divBdr>
                </w:div>
              </w:divsChild>
            </w:div>
            <w:div w:id="235214337">
              <w:marLeft w:val="0"/>
              <w:marRight w:val="0"/>
              <w:marTop w:val="0"/>
              <w:marBottom w:val="0"/>
              <w:divBdr>
                <w:top w:val="none" w:sz="0" w:space="0" w:color="auto"/>
                <w:left w:val="none" w:sz="0" w:space="0" w:color="auto"/>
                <w:bottom w:val="none" w:sz="0" w:space="0" w:color="auto"/>
                <w:right w:val="none" w:sz="0" w:space="0" w:color="auto"/>
              </w:divBdr>
              <w:divsChild>
                <w:div w:id="1583562643">
                  <w:marLeft w:val="0"/>
                  <w:marRight w:val="0"/>
                  <w:marTop w:val="0"/>
                  <w:marBottom w:val="0"/>
                  <w:divBdr>
                    <w:top w:val="none" w:sz="0" w:space="0" w:color="auto"/>
                    <w:left w:val="none" w:sz="0" w:space="0" w:color="auto"/>
                    <w:bottom w:val="none" w:sz="0" w:space="0" w:color="auto"/>
                    <w:right w:val="none" w:sz="0" w:space="0" w:color="auto"/>
                  </w:divBdr>
                </w:div>
              </w:divsChild>
            </w:div>
            <w:div w:id="235434012">
              <w:marLeft w:val="0"/>
              <w:marRight w:val="0"/>
              <w:marTop w:val="0"/>
              <w:marBottom w:val="0"/>
              <w:divBdr>
                <w:top w:val="none" w:sz="0" w:space="0" w:color="auto"/>
                <w:left w:val="none" w:sz="0" w:space="0" w:color="auto"/>
                <w:bottom w:val="none" w:sz="0" w:space="0" w:color="auto"/>
                <w:right w:val="none" w:sz="0" w:space="0" w:color="auto"/>
              </w:divBdr>
              <w:divsChild>
                <w:div w:id="1026519252">
                  <w:marLeft w:val="0"/>
                  <w:marRight w:val="0"/>
                  <w:marTop w:val="0"/>
                  <w:marBottom w:val="0"/>
                  <w:divBdr>
                    <w:top w:val="none" w:sz="0" w:space="0" w:color="auto"/>
                    <w:left w:val="none" w:sz="0" w:space="0" w:color="auto"/>
                    <w:bottom w:val="none" w:sz="0" w:space="0" w:color="auto"/>
                    <w:right w:val="none" w:sz="0" w:space="0" w:color="auto"/>
                  </w:divBdr>
                </w:div>
              </w:divsChild>
            </w:div>
            <w:div w:id="244464645">
              <w:marLeft w:val="0"/>
              <w:marRight w:val="0"/>
              <w:marTop w:val="0"/>
              <w:marBottom w:val="0"/>
              <w:divBdr>
                <w:top w:val="none" w:sz="0" w:space="0" w:color="auto"/>
                <w:left w:val="none" w:sz="0" w:space="0" w:color="auto"/>
                <w:bottom w:val="none" w:sz="0" w:space="0" w:color="auto"/>
                <w:right w:val="none" w:sz="0" w:space="0" w:color="auto"/>
              </w:divBdr>
              <w:divsChild>
                <w:div w:id="982808575">
                  <w:marLeft w:val="0"/>
                  <w:marRight w:val="0"/>
                  <w:marTop w:val="0"/>
                  <w:marBottom w:val="0"/>
                  <w:divBdr>
                    <w:top w:val="none" w:sz="0" w:space="0" w:color="auto"/>
                    <w:left w:val="none" w:sz="0" w:space="0" w:color="auto"/>
                    <w:bottom w:val="none" w:sz="0" w:space="0" w:color="auto"/>
                    <w:right w:val="none" w:sz="0" w:space="0" w:color="auto"/>
                  </w:divBdr>
                </w:div>
              </w:divsChild>
            </w:div>
            <w:div w:id="246153591">
              <w:marLeft w:val="0"/>
              <w:marRight w:val="0"/>
              <w:marTop w:val="0"/>
              <w:marBottom w:val="0"/>
              <w:divBdr>
                <w:top w:val="none" w:sz="0" w:space="0" w:color="auto"/>
                <w:left w:val="none" w:sz="0" w:space="0" w:color="auto"/>
                <w:bottom w:val="none" w:sz="0" w:space="0" w:color="auto"/>
                <w:right w:val="none" w:sz="0" w:space="0" w:color="auto"/>
              </w:divBdr>
              <w:divsChild>
                <w:div w:id="2135757959">
                  <w:marLeft w:val="0"/>
                  <w:marRight w:val="0"/>
                  <w:marTop w:val="0"/>
                  <w:marBottom w:val="0"/>
                  <w:divBdr>
                    <w:top w:val="none" w:sz="0" w:space="0" w:color="auto"/>
                    <w:left w:val="none" w:sz="0" w:space="0" w:color="auto"/>
                    <w:bottom w:val="none" w:sz="0" w:space="0" w:color="auto"/>
                    <w:right w:val="none" w:sz="0" w:space="0" w:color="auto"/>
                  </w:divBdr>
                </w:div>
              </w:divsChild>
            </w:div>
            <w:div w:id="247545633">
              <w:marLeft w:val="0"/>
              <w:marRight w:val="0"/>
              <w:marTop w:val="0"/>
              <w:marBottom w:val="0"/>
              <w:divBdr>
                <w:top w:val="none" w:sz="0" w:space="0" w:color="auto"/>
                <w:left w:val="none" w:sz="0" w:space="0" w:color="auto"/>
                <w:bottom w:val="none" w:sz="0" w:space="0" w:color="auto"/>
                <w:right w:val="none" w:sz="0" w:space="0" w:color="auto"/>
              </w:divBdr>
              <w:divsChild>
                <w:div w:id="185533124">
                  <w:marLeft w:val="0"/>
                  <w:marRight w:val="0"/>
                  <w:marTop w:val="0"/>
                  <w:marBottom w:val="0"/>
                  <w:divBdr>
                    <w:top w:val="none" w:sz="0" w:space="0" w:color="auto"/>
                    <w:left w:val="none" w:sz="0" w:space="0" w:color="auto"/>
                    <w:bottom w:val="none" w:sz="0" w:space="0" w:color="auto"/>
                    <w:right w:val="none" w:sz="0" w:space="0" w:color="auto"/>
                  </w:divBdr>
                </w:div>
              </w:divsChild>
            </w:div>
            <w:div w:id="249970787">
              <w:marLeft w:val="0"/>
              <w:marRight w:val="0"/>
              <w:marTop w:val="0"/>
              <w:marBottom w:val="150"/>
              <w:divBdr>
                <w:top w:val="none" w:sz="0" w:space="0" w:color="auto"/>
                <w:left w:val="none" w:sz="0" w:space="0" w:color="auto"/>
                <w:bottom w:val="none" w:sz="0" w:space="0" w:color="auto"/>
                <w:right w:val="none" w:sz="0" w:space="0" w:color="auto"/>
              </w:divBdr>
            </w:div>
            <w:div w:id="250510499">
              <w:marLeft w:val="0"/>
              <w:marRight w:val="0"/>
              <w:marTop w:val="0"/>
              <w:marBottom w:val="0"/>
              <w:divBdr>
                <w:top w:val="none" w:sz="0" w:space="0" w:color="auto"/>
                <w:left w:val="none" w:sz="0" w:space="0" w:color="auto"/>
                <w:bottom w:val="none" w:sz="0" w:space="0" w:color="auto"/>
                <w:right w:val="none" w:sz="0" w:space="0" w:color="auto"/>
              </w:divBdr>
              <w:divsChild>
                <w:div w:id="1858733867">
                  <w:marLeft w:val="0"/>
                  <w:marRight w:val="0"/>
                  <w:marTop w:val="0"/>
                  <w:marBottom w:val="0"/>
                  <w:divBdr>
                    <w:top w:val="none" w:sz="0" w:space="0" w:color="auto"/>
                    <w:left w:val="none" w:sz="0" w:space="0" w:color="auto"/>
                    <w:bottom w:val="none" w:sz="0" w:space="0" w:color="auto"/>
                    <w:right w:val="none" w:sz="0" w:space="0" w:color="auto"/>
                  </w:divBdr>
                </w:div>
              </w:divsChild>
            </w:div>
            <w:div w:id="253326751">
              <w:marLeft w:val="0"/>
              <w:marRight w:val="0"/>
              <w:marTop w:val="300"/>
              <w:marBottom w:val="300"/>
              <w:divBdr>
                <w:top w:val="none" w:sz="0" w:space="0" w:color="auto"/>
                <w:left w:val="none" w:sz="0" w:space="0" w:color="auto"/>
                <w:bottom w:val="none" w:sz="0" w:space="0" w:color="auto"/>
                <w:right w:val="none" w:sz="0" w:space="0" w:color="auto"/>
              </w:divBdr>
            </w:div>
            <w:div w:id="260525543">
              <w:marLeft w:val="0"/>
              <w:marRight w:val="0"/>
              <w:marTop w:val="300"/>
              <w:marBottom w:val="300"/>
              <w:divBdr>
                <w:top w:val="none" w:sz="0" w:space="0" w:color="auto"/>
                <w:left w:val="none" w:sz="0" w:space="0" w:color="auto"/>
                <w:bottom w:val="none" w:sz="0" w:space="0" w:color="auto"/>
                <w:right w:val="none" w:sz="0" w:space="0" w:color="auto"/>
              </w:divBdr>
            </w:div>
            <w:div w:id="260841608">
              <w:marLeft w:val="0"/>
              <w:marRight w:val="0"/>
              <w:marTop w:val="0"/>
              <w:marBottom w:val="0"/>
              <w:divBdr>
                <w:top w:val="none" w:sz="0" w:space="0" w:color="auto"/>
                <w:left w:val="none" w:sz="0" w:space="0" w:color="auto"/>
                <w:bottom w:val="none" w:sz="0" w:space="0" w:color="auto"/>
                <w:right w:val="none" w:sz="0" w:space="0" w:color="auto"/>
              </w:divBdr>
              <w:divsChild>
                <w:div w:id="1661807716">
                  <w:marLeft w:val="0"/>
                  <w:marRight w:val="0"/>
                  <w:marTop w:val="0"/>
                  <w:marBottom w:val="0"/>
                  <w:divBdr>
                    <w:top w:val="none" w:sz="0" w:space="0" w:color="auto"/>
                    <w:left w:val="none" w:sz="0" w:space="0" w:color="auto"/>
                    <w:bottom w:val="none" w:sz="0" w:space="0" w:color="auto"/>
                    <w:right w:val="none" w:sz="0" w:space="0" w:color="auto"/>
                  </w:divBdr>
                </w:div>
              </w:divsChild>
            </w:div>
            <w:div w:id="262148551">
              <w:marLeft w:val="0"/>
              <w:marRight w:val="0"/>
              <w:marTop w:val="0"/>
              <w:marBottom w:val="0"/>
              <w:divBdr>
                <w:top w:val="none" w:sz="0" w:space="0" w:color="auto"/>
                <w:left w:val="none" w:sz="0" w:space="0" w:color="auto"/>
                <w:bottom w:val="none" w:sz="0" w:space="0" w:color="auto"/>
                <w:right w:val="none" w:sz="0" w:space="0" w:color="auto"/>
              </w:divBdr>
              <w:divsChild>
                <w:div w:id="1935900571">
                  <w:marLeft w:val="0"/>
                  <w:marRight w:val="0"/>
                  <w:marTop w:val="0"/>
                  <w:marBottom w:val="0"/>
                  <w:divBdr>
                    <w:top w:val="none" w:sz="0" w:space="0" w:color="auto"/>
                    <w:left w:val="none" w:sz="0" w:space="0" w:color="auto"/>
                    <w:bottom w:val="none" w:sz="0" w:space="0" w:color="auto"/>
                    <w:right w:val="none" w:sz="0" w:space="0" w:color="auto"/>
                  </w:divBdr>
                </w:div>
              </w:divsChild>
            </w:div>
            <w:div w:id="262609940">
              <w:marLeft w:val="0"/>
              <w:marRight w:val="0"/>
              <w:marTop w:val="300"/>
              <w:marBottom w:val="300"/>
              <w:divBdr>
                <w:top w:val="none" w:sz="0" w:space="0" w:color="auto"/>
                <w:left w:val="none" w:sz="0" w:space="0" w:color="auto"/>
                <w:bottom w:val="none" w:sz="0" w:space="0" w:color="auto"/>
                <w:right w:val="none" w:sz="0" w:space="0" w:color="auto"/>
              </w:divBdr>
            </w:div>
            <w:div w:id="264655829">
              <w:marLeft w:val="0"/>
              <w:marRight w:val="0"/>
              <w:marTop w:val="300"/>
              <w:marBottom w:val="300"/>
              <w:divBdr>
                <w:top w:val="none" w:sz="0" w:space="0" w:color="auto"/>
                <w:left w:val="none" w:sz="0" w:space="0" w:color="auto"/>
                <w:bottom w:val="none" w:sz="0" w:space="0" w:color="auto"/>
                <w:right w:val="none" w:sz="0" w:space="0" w:color="auto"/>
              </w:divBdr>
            </w:div>
            <w:div w:id="265116078">
              <w:marLeft w:val="0"/>
              <w:marRight w:val="0"/>
              <w:marTop w:val="300"/>
              <w:marBottom w:val="300"/>
              <w:divBdr>
                <w:top w:val="none" w:sz="0" w:space="0" w:color="auto"/>
                <w:left w:val="none" w:sz="0" w:space="0" w:color="auto"/>
                <w:bottom w:val="none" w:sz="0" w:space="0" w:color="auto"/>
                <w:right w:val="none" w:sz="0" w:space="0" w:color="auto"/>
              </w:divBdr>
            </w:div>
            <w:div w:id="266617142">
              <w:marLeft w:val="0"/>
              <w:marRight w:val="0"/>
              <w:marTop w:val="0"/>
              <w:marBottom w:val="0"/>
              <w:divBdr>
                <w:top w:val="none" w:sz="0" w:space="0" w:color="auto"/>
                <w:left w:val="none" w:sz="0" w:space="0" w:color="auto"/>
                <w:bottom w:val="none" w:sz="0" w:space="0" w:color="auto"/>
                <w:right w:val="none" w:sz="0" w:space="0" w:color="auto"/>
              </w:divBdr>
              <w:divsChild>
                <w:div w:id="284124631">
                  <w:marLeft w:val="0"/>
                  <w:marRight w:val="0"/>
                  <w:marTop w:val="0"/>
                  <w:marBottom w:val="0"/>
                  <w:divBdr>
                    <w:top w:val="none" w:sz="0" w:space="0" w:color="auto"/>
                    <w:left w:val="none" w:sz="0" w:space="0" w:color="auto"/>
                    <w:bottom w:val="none" w:sz="0" w:space="0" w:color="auto"/>
                    <w:right w:val="none" w:sz="0" w:space="0" w:color="auto"/>
                  </w:divBdr>
                </w:div>
              </w:divsChild>
            </w:div>
            <w:div w:id="267466029">
              <w:marLeft w:val="0"/>
              <w:marRight w:val="0"/>
              <w:marTop w:val="0"/>
              <w:marBottom w:val="0"/>
              <w:divBdr>
                <w:top w:val="none" w:sz="0" w:space="0" w:color="auto"/>
                <w:left w:val="none" w:sz="0" w:space="0" w:color="auto"/>
                <w:bottom w:val="none" w:sz="0" w:space="0" w:color="auto"/>
                <w:right w:val="none" w:sz="0" w:space="0" w:color="auto"/>
              </w:divBdr>
              <w:divsChild>
                <w:div w:id="689453097">
                  <w:marLeft w:val="0"/>
                  <w:marRight w:val="0"/>
                  <w:marTop w:val="0"/>
                  <w:marBottom w:val="0"/>
                  <w:divBdr>
                    <w:top w:val="none" w:sz="0" w:space="0" w:color="auto"/>
                    <w:left w:val="none" w:sz="0" w:space="0" w:color="auto"/>
                    <w:bottom w:val="none" w:sz="0" w:space="0" w:color="auto"/>
                    <w:right w:val="none" w:sz="0" w:space="0" w:color="auto"/>
                  </w:divBdr>
                </w:div>
              </w:divsChild>
            </w:div>
            <w:div w:id="276059697">
              <w:marLeft w:val="0"/>
              <w:marRight w:val="0"/>
              <w:marTop w:val="0"/>
              <w:marBottom w:val="0"/>
              <w:divBdr>
                <w:top w:val="none" w:sz="0" w:space="0" w:color="auto"/>
                <w:left w:val="none" w:sz="0" w:space="0" w:color="auto"/>
                <w:bottom w:val="none" w:sz="0" w:space="0" w:color="auto"/>
                <w:right w:val="none" w:sz="0" w:space="0" w:color="auto"/>
              </w:divBdr>
              <w:divsChild>
                <w:div w:id="1706444548">
                  <w:marLeft w:val="0"/>
                  <w:marRight w:val="0"/>
                  <w:marTop w:val="0"/>
                  <w:marBottom w:val="0"/>
                  <w:divBdr>
                    <w:top w:val="none" w:sz="0" w:space="0" w:color="auto"/>
                    <w:left w:val="none" w:sz="0" w:space="0" w:color="auto"/>
                    <w:bottom w:val="none" w:sz="0" w:space="0" w:color="auto"/>
                    <w:right w:val="none" w:sz="0" w:space="0" w:color="auto"/>
                  </w:divBdr>
                </w:div>
              </w:divsChild>
            </w:div>
            <w:div w:id="276300703">
              <w:marLeft w:val="0"/>
              <w:marRight w:val="0"/>
              <w:marTop w:val="0"/>
              <w:marBottom w:val="0"/>
              <w:divBdr>
                <w:top w:val="none" w:sz="0" w:space="0" w:color="auto"/>
                <w:left w:val="none" w:sz="0" w:space="0" w:color="auto"/>
                <w:bottom w:val="none" w:sz="0" w:space="0" w:color="auto"/>
                <w:right w:val="none" w:sz="0" w:space="0" w:color="auto"/>
              </w:divBdr>
              <w:divsChild>
                <w:div w:id="1921912223">
                  <w:marLeft w:val="0"/>
                  <w:marRight w:val="0"/>
                  <w:marTop w:val="0"/>
                  <w:marBottom w:val="0"/>
                  <w:divBdr>
                    <w:top w:val="none" w:sz="0" w:space="0" w:color="auto"/>
                    <w:left w:val="none" w:sz="0" w:space="0" w:color="auto"/>
                    <w:bottom w:val="none" w:sz="0" w:space="0" w:color="auto"/>
                    <w:right w:val="none" w:sz="0" w:space="0" w:color="auto"/>
                  </w:divBdr>
                </w:div>
              </w:divsChild>
            </w:div>
            <w:div w:id="278462541">
              <w:marLeft w:val="0"/>
              <w:marRight w:val="0"/>
              <w:marTop w:val="0"/>
              <w:marBottom w:val="0"/>
              <w:divBdr>
                <w:top w:val="none" w:sz="0" w:space="0" w:color="auto"/>
                <w:left w:val="none" w:sz="0" w:space="0" w:color="auto"/>
                <w:bottom w:val="none" w:sz="0" w:space="0" w:color="auto"/>
                <w:right w:val="none" w:sz="0" w:space="0" w:color="auto"/>
              </w:divBdr>
              <w:divsChild>
                <w:div w:id="605429796">
                  <w:marLeft w:val="0"/>
                  <w:marRight w:val="0"/>
                  <w:marTop w:val="0"/>
                  <w:marBottom w:val="0"/>
                  <w:divBdr>
                    <w:top w:val="none" w:sz="0" w:space="0" w:color="auto"/>
                    <w:left w:val="none" w:sz="0" w:space="0" w:color="auto"/>
                    <w:bottom w:val="none" w:sz="0" w:space="0" w:color="auto"/>
                    <w:right w:val="none" w:sz="0" w:space="0" w:color="auto"/>
                  </w:divBdr>
                </w:div>
              </w:divsChild>
            </w:div>
            <w:div w:id="281957039">
              <w:marLeft w:val="0"/>
              <w:marRight w:val="0"/>
              <w:marTop w:val="0"/>
              <w:marBottom w:val="0"/>
              <w:divBdr>
                <w:top w:val="none" w:sz="0" w:space="0" w:color="auto"/>
                <w:left w:val="none" w:sz="0" w:space="0" w:color="auto"/>
                <w:bottom w:val="none" w:sz="0" w:space="0" w:color="auto"/>
                <w:right w:val="none" w:sz="0" w:space="0" w:color="auto"/>
              </w:divBdr>
              <w:divsChild>
                <w:div w:id="365519632">
                  <w:marLeft w:val="0"/>
                  <w:marRight w:val="0"/>
                  <w:marTop w:val="0"/>
                  <w:marBottom w:val="0"/>
                  <w:divBdr>
                    <w:top w:val="none" w:sz="0" w:space="0" w:color="auto"/>
                    <w:left w:val="none" w:sz="0" w:space="0" w:color="auto"/>
                    <w:bottom w:val="none" w:sz="0" w:space="0" w:color="auto"/>
                    <w:right w:val="none" w:sz="0" w:space="0" w:color="auto"/>
                  </w:divBdr>
                </w:div>
              </w:divsChild>
            </w:div>
            <w:div w:id="286619765">
              <w:marLeft w:val="0"/>
              <w:marRight w:val="0"/>
              <w:marTop w:val="0"/>
              <w:marBottom w:val="0"/>
              <w:divBdr>
                <w:top w:val="none" w:sz="0" w:space="0" w:color="auto"/>
                <w:left w:val="none" w:sz="0" w:space="0" w:color="auto"/>
                <w:bottom w:val="none" w:sz="0" w:space="0" w:color="auto"/>
                <w:right w:val="none" w:sz="0" w:space="0" w:color="auto"/>
              </w:divBdr>
              <w:divsChild>
                <w:div w:id="2015569559">
                  <w:marLeft w:val="0"/>
                  <w:marRight w:val="0"/>
                  <w:marTop w:val="0"/>
                  <w:marBottom w:val="0"/>
                  <w:divBdr>
                    <w:top w:val="none" w:sz="0" w:space="0" w:color="auto"/>
                    <w:left w:val="none" w:sz="0" w:space="0" w:color="auto"/>
                    <w:bottom w:val="none" w:sz="0" w:space="0" w:color="auto"/>
                    <w:right w:val="none" w:sz="0" w:space="0" w:color="auto"/>
                  </w:divBdr>
                </w:div>
              </w:divsChild>
            </w:div>
            <w:div w:id="290012715">
              <w:marLeft w:val="0"/>
              <w:marRight w:val="0"/>
              <w:marTop w:val="0"/>
              <w:marBottom w:val="0"/>
              <w:divBdr>
                <w:top w:val="none" w:sz="0" w:space="0" w:color="auto"/>
                <w:left w:val="none" w:sz="0" w:space="0" w:color="auto"/>
                <w:bottom w:val="none" w:sz="0" w:space="0" w:color="auto"/>
                <w:right w:val="none" w:sz="0" w:space="0" w:color="auto"/>
              </w:divBdr>
              <w:divsChild>
                <w:div w:id="925381856">
                  <w:marLeft w:val="0"/>
                  <w:marRight w:val="0"/>
                  <w:marTop w:val="0"/>
                  <w:marBottom w:val="0"/>
                  <w:divBdr>
                    <w:top w:val="none" w:sz="0" w:space="0" w:color="auto"/>
                    <w:left w:val="none" w:sz="0" w:space="0" w:color="auto"/>
                    <w:bottom w:val="none" w:sz="0" w:space="0" w:color="auto"/>
                    <w:right w:val="none" w:sz="0" w:space="0" w:color="auto"/>
                  </w:divBdr>
                </w:div>
              </w:divsChild>
            </w:div>
            <w:div w:id="293830029">
              <w:marLeft w:val="0"/>
              <w:marRight w:val="0"/>
              <w:marTop w:val="0"/>
              <w:marBottom w:val="0"/>
              <w:divBdr>
                <w:top w:val="none" w:sz="0" w:space="0" w:color="auto"/>
                <w:left w:val="none" w:sz="0" w:space="0" w:color="auto"/>
                <w:bottom w:val="none" w:sz="0" w:space="0" w:color="auto"/>
                <w:right w:val="none" w:sz="0" w:space="0" w:color="auto"/>
              </w:divBdr>
              <w:divsChild>
                <w:div w:id="1864784886">
                  <w:marLeft w:val="0"/>
                  <w:marRight w:val="0"/>
                  <w:marTop w:val="0"/>
                  <w:marBottom w:val="0"/>
                  <w:divBdr>
                    <w:top w:val="none" w:sz="0" w:space="0" w:color="auto"/>
                    <w:left w:val="none" w:sz="0" w:space="0" w:color="auto"/>
                    <w:bottom w:val="none" w:sz="0" w:space="0" w:color="auto"/>
                    <w:right w:val="none" w:sz="0" w:space="0" w:color="auto"/>
                  </w:divBdr>
                </w:div>
              </w:divsChild>
            </w:div>
            <w:div w:id="294332697">
              <w:marLeft w:val="0"/>
              <w:marRight w:val="0"/>
              <w:marTop w:val="0"/>
              <w:marBottom w:val="0"/>
              <w:divBdr>
                <w:top w:val="none" w:sz="0" w:space="0" w:color="auto"/>
                <w:left w:val="none" w:sz="0" w:space="0" w:color="auto"/>
                <w:bottom w:val="none" w:sz="0" w:space="0" w:color="auto"/>
                <w:right w:val="none" w:sz="0" w:space="0" w:color="auto"/>
              </w:divBdr>
              <w:divsChild>
                <w:div w:id="785319930">
                  <w:marLeft w:val="0"/>
                  <w:marRight w:val="0"/>
                  <w:marTop w:val="0"/>
                  <w:marBottom w:val="0"/>
                  <w:divBdr>
                    <w:top w:val="none" w:sz="0" w:space="0" w:color="auto"/>
                    <w:left w:val="none" w:sz="0" w:space="0" w:color="auto"/>
                    <w:bottom w:val="none" w:sz="0" w:space="0" w:color="auto"/>
                    <w:right w:val="none" w:sz="0" w:space="0" w:color="auto"/>
                  </w:divBdr>
                </w:div>
              </w:divsChild>
            </w:div>
            <w:div w:id="296572849">
              <w:marLeft w:val="0"/>
              <w:marRight w:val="0"/>
              <w:marTop w:val="300"/>
              <w:marBottom w:val="300"/>
              <w:divBdr>
                <w:top w:val="none" w:sz="0" w:space="0" w:color="auto"/>
                <w:left w:val="none" w:sz="0" w:space="0" w:color="auto"/>
                <w:bottom w:val="none" w:sz="0" w:space="0" w:color="auto"/>
                <w:right w:val="none" w:sz="0" w:space="0" w:color="auto"/>
              </w:divBdr>
            </w:div>
            <w:div w:id="305551276">
              <w:marLeft w:val="0"/>
              <w:marRight w:val="0"/>
              <w:marTop w:val="0"/>
              <w:marBottom w:val="0"/>
              <w:divBdr>
                <w:top w:val="none" w:sz="0" w:space="0" w:color="auto"/>
                <w:left w:val="none" w:sz="0" w:space="0" w:color="auto"/>
                <w:bottom w:val="none" w:sz="0" w:space="0" w:color="auto"/>
                <w:right w:val="none" w:sz="0" w:space="0" w:color="auto"/>
              </w:divBdr>
              <w:divsChild>
                <w:div w:id="786655723">
                  <w:marLeft w:val="0"/>
                  <w:marRight w:val="0"/>
                  <w:marTop w:val="0"/>
                  <w:marBottom w:val="0"/>
                  <w:divBdr>
                    <w:top w:val="none" w:sz="0" w:space="0" w:color="auto"/>
                    <w:left w:val="none" w:sz="0" w:space="0" w:color="auto"/>
                    <w:bottom w:val="none" w:sz="0" w:space="0" w:color="auto"/>
                    <w:right w:val="none" w:sz="0" w:space="0" w:color="auto"/>
                  </w:divBdr>
                </w:div>
              </w:divsChild>
            </w:div>
            <w:div w:id="306128619">
              <w:marLeft w:val="0"/>
              <w:marRight w:val="0"/>
              <w:marTop w:val="0"/>
              <w:marBottom w:val="0"/>
              <w:divBdr>
                <w:top w:val="none" w:sz="0" w:space="0" w:color="auto"/>
                <w:left w:val="none" w:sz="0" w:space="0" w:color="auto"/>
                <w:bottom w:val="none" w:sz="0" w:space="0" w:color="auto"/>
                <w:right w:val="none" w:sz="0" w:space="0" w:color="auto"/>
              </w:divBdr>
              <w:divsChild>
                <w:div w:id="817843669">
                  <w:marLeft w:val="0"/>
                  <w:marRight w:val="0"/>
                  <w:marTop w:val="0"/>
                  <w:marBottom w:val="0"/>
                  <w:divBdr>
                    <w:top w:val="none" w:sz="0" w:space="0" w:color="auto"/>
                    <w:left w:val="none" w:sz="0" w:space="0" w:color="auto"/>
                    <w:bottom w:val="none" w:sz="0" w:space="0" w:color="auto"/>
                    <w:right w:val="none" w:sz="0" w:space="0" w:color="auto"/>
                  </w:divBdr>
                </w:div>
              </w:divsChild>
            </w:div>
            <w:div w:id="306670303">
              <w:marLeft w:val="0"/>
              <w:marRight w:val="0"/>
              <w:marTop w:val="0"/>
              <w:marBottom w:val="0"/>
              <w:divBdr>
                <w:top w:val="none" w:sz="0" w:space="0" w:color="auto"/>
                <w:left w:val="none" w:sz="0" w:space="0" w:color="auto"/>
                <w:bottom w:val="none" w:sz="0" w:space="0" w:color="auto"/>
                <w:right w:val="none" w:sz="0" w:space="0" w:color="auto"/>
              </w:divBdr>
              <w:divsChild>
                <w:div w:id="657611166">
                  <w:marLeft w:val="0"/>
                  <w:marRight w:val="0"/>
                  <w:marTop w:val="0"/>
                  <w:marBottom w:val="0"/>
                  <w:divBdr>
                    <w:top w:val="none" w:sz="0" w:space="0" w:color="auto"/>
                    <w:left w:val="none" w:sz="0" w:space="0" w:color="auto"/>
                    <w:bottom w:val="none" w:sz="0" w:space="0" w:color="auto"/>
                    <w:right w:val="none" w:sz="0" w:space="0" w:color="auto"/>
                  </w:divBdr>
                </w:div>
              </w:divsChild>
            </w:div>
            <w:div w:id="310058608">
              <w:marLeft w:val="0"/>
              <w:marRight w:val="0"/>
              <w:marTop w:val="0"/>
              <w:marBottom w:val="0"/>
              <w:divBdr>
                <w:top w:val="none" w:sz="0" w:space="0" w:color="auto"/>
                <w:left w:val="none" w:sz="0" w:space="0" w:color="auto"/>
                <w:bottom w:val="none" w:sz="0" w:space="0" w:color="auto"/>
                <w:right w:val="none" w:sz="0" w:space="0" w:color="auto"/>
              </w:divBdr>
              <w:divsChild>
                <w:div w:id="210852287">
                  <w:marLeft w:val="0"/>
                  <w:marRight w:val="0"/>
                  <w:marTop w:val="0"/>
                  <w:marBottom w:val="0"/>
                  <w:divBdr>
                    <w:top w:val="none" w:sz="0" w:space="0" w:color="auto"/>
                    <w:left w:val="none" w:sz="0" w:space="0" w:color="auto"/>
                    <w:bottom w:val="none" w:sz="0" w:space="0" w:color="auto"/>
                    <w:right w:val="none" w:sz="0" w:space="0" w:color="auto"/>
                  </w:divBdr>
                </w:div>
              </w:divsChild>
            </w:div>
            <w:div w:id="311760198">
              <w:marLeft w:val="0"/>
              <w:marRight w:val="0"/>
              <w:marTop w:val="0"/>
              <w:marBottom w:val="0"/>
              <w:divBdr>
                <w:top w:val="none" w:sz="0" w:space="0" w:color="auto"/>
                <w:left w:val="none" w:sz="0" w:space="0" w:color="auto"/>
                <w:bottom w:val="none" w:sz="0" w:space="0" w:color="auto"/>
                <w:right w:val="none" w:sz="0" w:space="0" w:color="auto"/>
              </w:divBdr>
              <w:divsChild>
                <w:div w:id="911348554">
                  <w:marLeft w:val="0"/>
                  <w:marRight w:val="0"/>
                  <w:marTop w:val="0"/>
                  <w:marBottom w:val="0"/>
                  <w:divBdr>
                    <w:top w:val="none" w:sz="0" w:space="0" w:color="auto"/>
                    <w:left w:val="none" w:sz="0" w:space="0" w:color="auto"/>
                    <w:bottom w:val="none" w:sz="0" w:space="0" w:color="auto"/>
                    <w:right w:val="none" w:sz="0" w:space="0" w:color="auto"/>
                  </w:divBdr>
                </w:div>
              </w:divsChild>
            </w:div>
            <w:div w:id="314800218">
              <w:marLeft w:val="0"/>
              <w:marRight w:val="0"/>
              <w:marTop w:val="0"/>
              <w:marBottom w:val="0"/>
              <w:divBdr>
                <w:top w:val="none" w:sz="0" w:space="0" w:color="auto"/>
                <w:left w:val="none" w:sz="0" w:space="0" w:color="auto"/>
                <w:bottom w:val="none" w:sz="0" w:space="0" w:color="auto"/>
                <w:right w:val="none" w:sz="0" w:space="0" w:color="auto"/>
              </w:divBdr>
              <w:divsChild>
                <w:div w:id="1668635391">
                  <w:marLeft w:val="0"/>
                  <w:marRight w:val="0"/>
                  <w:marTop w:val="0"/>
                  <w:marBottom w:val="0"/>
                  <w:divBdr>
                    <w:top w:val="none" w:sz="0" w:space="0" w:color="auto"/>
                    <w:left w:val="none" w:sz="0" w:space="0" w:color="auto"/>
                    <w:bottom w:val="none" w:sz="0" w:space="0" w:color="auto"/>
                    <w:right w:val="none" w:sz="0" w:space="0" w:color="auto"/>
                  </w:divBdr>
                </w:div>
              </w:divsChild>
            </w:div>
            <w:div w:id="321741463">
              <w:marLeft w:val="0"/>
              <w:marRight w:val="0"/>
              <w:marTop w:val="0"/>
              <w:marBottom w:val="0"/>
              <w:divBdr>
                <w:top w:val="none" w:sz="0" w:space="0" w:color="auto"/>
                <w:left w:val="none" w:sz="0" w:space="0" w:color="auto"/>
                <w:bottom w:val="none" w:sz="0" w:space="0" w:color="auto"/>
                <w:right w:val="none" w:sz="0" w:space="0" w:color="auto"/>
              </w:divBdr>
              <w:divsChild>
                <w:div w:id="1009140658">
                  <w:marLeft w:val="0"/>
                  <w:marRight w:val="0"/>
                  <w:marTop w:val="0"/>
                  <w:marBottom w:val="0"/>
                  <w:divBdr>
                    <w:top w:val="none" w:sz="0" w:space="0" w:color="auto"/>
                    <w:left w:val="none" w:sz="0" w:space="0" w:color="auto"/>
                    <w:bottom w:val="none" w:sz="0" w:space="0" w:color="auto"/>
                    <w:right w:val="none" w:sz="0" w:space="0" w:color="auto"/>
                  </w:divBdr>
                </w:div>
              </w:divsChild>
            </w:div>
            <w:div w:id="322975582">
              <w:marLeft w:val="0"/>
              <w:marRight w:val="0"/>
              <w:marTop w:val="0"/>
              <w:marBottom w:val="0"/>
              <w:divBdr>
                <w:top w:val="none" w:sz="0" w:space="0" w:color="auto"/>
                <w:left w:val="none" w:sz="0" w:space="0" w:color="auto"/>
                <w:bottom w:val="none" w:sz="0" w:space="0" w:color="auto"/>
                <w:right w:val="none" w:sz="0" w:space="0" w:color="auto"/>
              </w:divBdr>
              <w:divsChild>
                <w:div w:id="1772823985">
                  <w:marLeft w:val="0"/>
                  <w:marRight w:val="0"/>
                  <w:marTop w:val="0"/>
                  <w:marBottom w:val="0"/>
                  <w:divBdr>
                    <w:top w:val="none" w:sz="0" w:space="0" w:color="auto"/>
                    <w:left w:val="none" w:sz="0" w:space="0" w:color="auto"/>
                    <w:bottom w:val="none" w:sz="0" w:space="0" w:color="auto"/>
                    <w:right w:val="none" w:sz="0" w:space="0" w:color="auto"/>
                  </w:divBdr>
                </w:div>
              </w:divsChild>
            </w:div>
            <w:div w:id="323631099">
              <w:marLeft w:val="0"/>
              <w:marRight w:val="0"/>
              <w:marTop w:val="0"/>
              <w:marBottom w:val="0"/>
              <w:divBdr>
                <w:top w:val="none" w:sz="0" w:space="0" w:color="auto"/>
                <w:left w:val="none" w:sz="0" w:space="0" w:color="auto"/>
                <w:bottom w:val="none" w:sz="0" w:space="0" w:color="auto"/>
                <w:right w:val="none" w:sz="0" w:space="0" w:color="auto"/>
              </w:divBdr>
              <w:divsChild>
                <w:div w:id="981469789">
                  <w:marLeft w:val="0"/>
                  <w:marRight w:val="0"/>
                  <w:marTop w:val="0"/>
                  <w:marBottom w:val="0"/>
                  <w:divBdr>
                    <w:top w:val="none" w:sz="0" w:space="0" w:color="auto"/>
                    <w:left w:val="none" w:sz="0" w:space="0" w:color="auto"/>
                    <w:bottom w:val="none" w:sz="0" w:space="0" w:color="auto"/>
                    <w:right w:val="none" w:sz="0" w:space="0" w:color="auto"/>
                  </w:divBdr>
                </w:div>
              </w:divsChild>
            </w:div>
            <w:div w:id="325868418">
              <w:marLeft w:val="0"/>
              <w:marRight w:val="0"/>
              <w:marTop w:val="0"/>
              <w:marBottom w:val="0"/>
              <w:divBdr>
                <w:top w:val="none" w:sz="0" w:space="0" w:color="auto"/>
                <w:left w:val="none" w:sz="0" w:space="0" w:color="auto"/>
                <w:bottom w:val="none" w:sz="0" w:space="0" w:color="auto"/>
                <w:right w:val="none" w:sz="0" w:space="0" w:color="auto"/>
              </w:divBdr>
              <w:divsChild>
                <w:div w:id="1380669350">
                  <w:marLeft w:val="0"/>
                  <w:marRight w:val="0"/>
                  <w:marTop w:val="0"/>
                  <w:marBottom w:val="0"/>
                  <w:divBdr>
                    <w:top w:val="none" w:sz="0" w:space="0" w:color="auto"/>
                    <w:left w:val="none" w:sz="0" w:space="0" w:color="auto"/>
                    <w:bottom w:val="none" w:sz="0" w:space="0" w:color="auto"/>
                    <w:right w:val="none" w:sz="0" w:space="0" w:color="auto"/>
                  </w:divBdr>
                </w:div>
              </w:divsChild>
            </w:div>
            <w:div w:id="327829201">
              <w:marLeft w:val="0"/>
              <w:marRight w:val="0"/>
              <w:marTop w:val="0"/>
              <w:marBottom w:val="0"/>
              <w:divBdr>
                <w:top w:val="none" w:sz="0" w:space="0" w:color="auto"/>
                <w:left w:val="none" w:sz="0" w:space="0" w:color="auto"/>
                <w:bottom w:val="none" w:sz="0" w:space="0" w:color="auto"/>
                <w:right w:val="none" w:sz="0" w:space="0" w:color="auto"/>
              </w:divBdr>
              <w:divsChild>
                <w:div w:id="1148521720">
                  <w:marLeft w:val="0"/>
                  <w:marRight w:val="0"/>
                  <w:marTop w:val="0"/>
                  <w:marBottom w:val="0"/>
                  <w:divBdr>
                    <w:top w:val="none" w:sz="0" w:space="0" w:color="auto"/>
                    <w:left w:val="none" w:sz="0" w:space="0" w:color="auto"/>
                    <w:bottom w:val="none" w:sz="0" w:space="0" w:color="auto"/>
                    <w:right w:val="none" w:sz="0" w:space="0" w:color="auto"/>
                  </w:divBdr>
                </w:div>
              </w:divsChild>
            </w:div>
            <w:div w:id="328947759">
              <w:marLeft w:val="0"/>
              <w:marRight w:val="0"/>
              <w:marTop w:val="0"/>
              <w:marBottom w:val="0"/>
              <w:divBdr>
                <w:top w:val="none" w:sz="0" w:space="0" w:color="auto"/>
                <w:left w:val="none" w:sz="0" w:space="0" w:color="auto"/>
                <w:bottom w:val="none" w:sz="0" w:space="0" w:color="auto"/>
                <w:right w:val="none" w:sz="0" w:space="0" w:color="auto"/>
              </w:divBdr>
              <w:divsChild>
                <w:div w:id="1804156532">
                  <w:marLeft w:val="0"/>
                  <w:marRight w:val="0"/>
                  <w:marTop w:val="0"/>
                  <w:marBottom w:val="0"/>
                  <w:divBdr>
                    <w:top w:val="none" w:sz="0" w:space="0" w:color="auto"/>
                    <w:left w:val="none" w:sz="0" w:space="0" w:color="auto"/>
                    <w:bottom w:val="none" w:sz="0" w:space="0" w:color="auto"/>
                    <w:right w:val="none" w:sz="0" w:space="0" w:color="auto"/>
                  </w:divBdr>
                </w:div>
              </w:divsChild>
            </w:div>
            <w:div w:id="338583927">
              <w:marLeft w:val="0"/>
              <w:marRight w:val="0"/>
              <w:marTop w:val="0"/>
              <w:marBottom w:val="0"/>
              <w:divBdr>
                <w:top w:val="none" w:sz="0" w:space="0" w:color="auto"/>
                <w:left w:val="none" w:sz="0" w:space="0" w:color="auto"/>
                <w:bottom w:val="none" w:sz="0" w:space="0" w:color="auto"/>
                <w:right w:val="none" w:sz="0" w:space="0" w:color="auto"/>
              </w:divBdr>
              <w:divsChild>
                <w:div w:id="894006297">
                  <w:marLeft w:val="0"/>
                  <w:marRight w:val="0"/>
                  <w:marTop w:val="0"/>
                  <w:marBottom w:val="0"/>
                  <w:divBdr>
                    <w:top w:val="none" w:sz="0" w:space="0" w:color="auto"/>
                    <w:left w:val="none" w:sz="0" w:space="0" w:color="auto"/>
                    <w:bottom w:val="none" w:sz="0" w:space="0" w:color="auto"/>
                    <w:right w:val="none" w:sz="0" w:space="0" w:color="auto"/>
                  </w:divBdr>
                </w:div>
              </w:divsChild>
            </w:div>
            <w:div w:id="338846804">
              <w:marLeft w:val="0"/>
              <w:marRight w:val="0"/>
              <w:marTop w:val="0"/>
              <w:marBottom w:val="0"/>
              <w:divBdr>
                <w:top w:val="none" w:sz="0" w:space="0" w:color="auto"/>
                <w:left w:val="none" w:sz="0" w:space="0" w:color="auto"/>
                <w:bottom w:val="none" w:sz="0" w:space="0" w:color="auto"/>
                <w:right w:val="none" w:sz="0" w:space="0" w:color="auto"/>
              </w:divBdr>
              <w:divsChild>
                <w:div w:id="1952787129">
                  <w:marLeft w:val="0"/>
                  <w:marRight w:val="0"/>
                  <w:marTop w:val="0"/>
                  <w:marBottom w:val="0"/>
                  <w:divBdr>
                    <w:top w:val="none" w:sz="0" w:space="0" w:color="auto"/>
                    <w:left w:val="none" w:sz="0" w:space="0" w:color="auto"/>
                    <w:bottom w:val="none" w:sz="0" w:space="0" w:color="auto"/>
                    <w:right w:val="none" w:sz="0" w:space="0" w:color="auto"/>
                  </w:divBdr>
                </w:div>
              </w:divsChild>
            </w:div>
            <w:div w:id="346832606">
              <w:marLeft w:val="0"/>
              <w:marRight w:val="0"/>
              <w:marTop w:val="300"/>
              <w:marBottom w:val="300"/>
              <w:divBdr>
                <w:top w:val="none" w:sz="0" w:space="0" w:color="auto"/>
                <w:left w:val="none" w:sz="0" w:space="0" w:color="auto"/>
                <w:bottom w:val="none" w:sz="0" w:space="0" w:color="auto"/>
                <w:right w:val="none" w:sz="0" w:space="0" w:color="auto"/>
              </w:divBdr>
            </w:div>
            <w:div w:id="348606185">
              <w:marLeft w:val="0"/>
              <w:marRight w:val="0"/>
              <w:marTop w:val="0"/>
              <w:marBottom w:val="0"/>
              <w:divBdr>
                <w:top w:val="none" w:sz="0" w:space="0" w:color="auto"/>
                <w:left w:val="none" w:sz="0" w:space="0" w:color="auto"/>
                <w:bottom w:val="none" w:sz="0" w:space="0" w:color="auto"/>
                <w:right w:val="none" w:sz="0" w:space="0" w:color="auto"/>
              </w:divBdr>
              <w:divsChild>
                <w:div w:id="1337223286">
                  <w:marLeft w:val="0"/>
                  <w:marRight w:val="0"/>
                  <w:marTop w:val="0"/>
                  <w:marBottom w:val="0"/>
                  <w:divBdr>
                    <w:top w:val="none" w:sz="0" w:space="0" w:color="auto"/>
                    <w:left w:val="none" w:sz="0" w:space="0" w:color="auto"/>
                    <w:bottom w:val="none" w:sz="0" w:space="0" w:color="auto"/>
                    <w:right w:val="none" w:sz="0" w:space="0" w:color="auto"/>
                  </w:divBdr>
                </w:div>
              </w:divsChild>
            </w:div>
            <w:div w:id="350957937">
              <w:marLeft w:val="0"/>
              <w:marRight w:val="0"/>
              <w:marTop w:val="0"/>
              <w:marBottom w:val="0"/>
              <w:divBdr>
                <w:top w:val="none" w:sz="0" w:space="0" w:color="auto"/>
                <w:left w:val="none" w:sz="0" w:space="0" w:color="auto"/>
                <w:bottom w:val="none" w:sz="0" w:space="0" w:color="auto"/>
                <w:right w:val="none" w:sz="0" w:space="0" w:color="auto"/>
              </w:divBdr>
              <w:divsChild>
                <w:div w:id="682826874">
                  <w:marLeft w:val="0"/>
                  <w:marRight w:val="0"/>
                  <w:marTop w:val="0"/>
                  <w:marBottom w:val="0"/>
                  <w:divBdr>
                    <w:top w:val="none" w:sz="0" w:space="0" w:color="auto"/>
                    <w:left w:val="none" w:sz="0" w:space="0" w:color="auto"/>
                    <w:bottom w:val="none" w:sz="0" w:space="0" w:color="auto"/>
                    <w:right w:val="none" w:sz="0" w:space="0" w:color="auto"/>
                  </w:divBdr>
                </w:div>
              </w:divsChild>
            </w:div>
            <w:div w:id="351883029">
              <w:marLeft w:val="0"/>
              <w:marRight w:val="0"/>
              <w:marTop w:val="0"/>
              <w:marBottom w:val="0"/>
              <w:divBdr>
                <w:top w:val="none" w:sz="0" w:space="0" w:color="auto"/>
                <w:left w:val="none" w:sz="0" w:space="0" w:color="auto"/>
                <w:bottom w:val="none" w:sz="0" w:space="0" w:color="auto"/>
                <w:right w:val="none" w:sz="0" w:space="0" w:color="auto"/>
              </w:divBdr>
              <w:divsChild>
                <w:div w:id="1346977577">
                  <w:marLeft w:val="0"/>
                  <w:marRight w:val="0"/>
                  <w:marTop w:val="0"/>
                  <w:marBottom w:val="0"/>
                  <w:divBdr>
                    <w:top w:val="none" w:sz="0" w:space="0" w:color="auto"/>
                    <w:left w:val="none" w:sz="0" w:space="0" w:color="auto"/>
                    <w:bottom w:val="none" w:sz="0" w:space="0" w:color="auto"/>
                    <w:right w:val="none" w:sz="0" w:space="0" w:color="auto"/>
                  </w:divBdr>
                </w:div>
              </w:divsChild>
            </w:div>
            <w:div w:id="357199996">
              <w:marLeft w:val="0"/>
              <w:marRight w:val="0"/>
              <w:marTop w:val="300"/>
              <w:marBottom w:val="300"/>
              <w:divBdr>
                <w:top w:val="none" w:sz="0" w:space="0" w:color="auto"/>
                <w:left w:val="none" w:sz="0" w:space="0" w:color="auto"/>
                <w:bottom w:val="none" w:sz="0" w:space="0" w:color="auto"/>
                <w:right w:val="none" w:sz="0" w:space="0" w:color="auto"/>
              </w:divBdr>
            </w:div>
            <w:div w:id="362289228">
              <w:marLeft w:val="0"/>
              <w:marRight w:val="0"/>
              <w:marTop w:val="0"/>
              <w:marBottom w:val="0"/>
              <w:divBdr>
                <w:top w:val="none" w:sz="0" w:space="0" w:color="auto"/>
                <w:left w:val="none" w:sz="0" w:space="0" w:color="auto"/>
                <w:bottom w:val="none" w:sz="0" w:space="0" w:color="auto"/>
                <w:right w:val="none" w:sz="0" w:space="0" w:color="auto"/>
              </w:divBdr>
              <w:divsChild>
                <w:div w:id="1936748863">
                  <w:marLeft w:val="0"/>
                  <w:marRight w:val="0"/>
                  <w:marTop w:val="0"/>
                  <w:marBottom w:val="0"/>
                  <w:divBdr>
                    <w:top w:val="none" w:sz="0" w:space="0" w:color="auto"/>
                    <w:left w:val="none" w:sz="0" w:space="0" w:color="auto"/>
                    <w:bottom w:val="none" w:sz="0" w:space="0" w:color="auto"/>
                    <w:right w:val="none" w:sz="0" w:space="0" w:color="auto"/>
                  </w:divBdr>
                </w:div>
              </w:divsChild>
            </w:div>
            <w:div w:id="368259892">
              <w:marLeft w:val="0"/>
              <w:marRight w:val="0"/>
              <w:marTop w:val="0"/>
              <w:marBottom w:val="0"/>
              <w:divBdr>
                <w:top w:val="none" w:sz="0" w:space="0" w:color="auto"/>
                <w:left w:val="none" w:sz="0" w:space="0" w:color="auto"/>
                <w:bottom w:val="none" w:sz="0" w:space="0" w:color="auto"/>
                <w:right w:val="none" w:sz="0" w:space="0" w:color="auto"/>
              </w:divBdr>
              <w:divsChild>
                <w:div w:id="3558706">
                  <w:marLeft w:val="0"/>
                  <w:marRight w:val="0"/>
                  <w:marTop w:val="0"/>
                  <w:marBottom w:val="0"/>
                  <w:divBdr>
                    <w:top w:val="none" w:sz="0" w:space="0" w:color="auto"/>
                    <w:left w:val="none" w:sz="0" w:space="0" w:color="auto"/>
                    <w:bottom w:val="none" w:sz="0" w:space="0" w:color="auto"/>
                    <w:right w:val="none" w:sz="0" w:space="0" w:color="auto"/>
                  </w:divBdr>
                </w:div>
              </w:divsChild>
            </w:div>
            <w:div w:id="372658543">
              <w:marLeft w:val="0"/>
              <w:marRight w:val="0"/>
              <w:marTop w:val="0"/>
              <w:marBottom w:val="0"/>
              <w:divBdr>
                <w:top w:val="none" w:sz="0" w:space="0" w:color="auto"/>
                <w:left w:val="none" w:sz="0" w:space="0" w:color="auto"/>
                <w:bottom w:val="none" w:sz="0" w:space="0" w:color="auto"/>
                <w:right w:val="none" w:sz="0" w:space="0" w:color="auto"/>
              </w:divBdr>
              <w:divsChild>
                <w:div w:id="1008288239">
                  <w:marLeft w:val="0"/>
                  <w:marRight w:val="0"/>
                  <w:marTop w:val="0"/>
                  <w:marBottom w:val="0"/>
                  <w:divBdr>
                    <w:top w:val="none" w:sz="0" w:space="0" w:color="auto"/>
                    <w:left w:val="none" w:sz="0" w:space="0" w:color="auto"/>
                    <w:bottom w:val="none" w:sz="0" w:space="0" w:color="auto"/>
                    <w:right w:val="none" w:sz="0" w:space="0" w:color="auto"/>
                  </w:divBdr>
                </w:div>
              </w:divsChild>
            </w:div>
            <w:div w:id="378558676">
              <w:marLeft w:val="0"/>
              <w:marRight w:val="0"/>
              <w:marTop w:val="300"/>
              <w:marBottom w:val="300"/>
              <w:divBdr>
                <w:top w:val="none" w:sz="0" w:space="0" w:color="auto"/>
                <w:left w:val="none" w:sz="0" w:space="0" w:color="auto"/>
                <w:bottom w:val="none" w:sz="0" w:space="0" w:color="auto"/>
                <w:right w:val="none" w:sz="0" w:space="0" w:color="auto"/>
              </w:divBdr>
            </w:div>
            <w:div w:id="379980315">
              <w:marLeft w:val="0"/>
              <w:marRight w:val="0"/>
              <w:marTop w:val="300"/>
              <w:marBottom w:val="300"/>
              <w:divBdr>
                <w:top w:val="none" w:sz="0" w:space="0" w:color="auto"/>
                <w:left w:val="none" w:sz="0" w:space="0" w:color="auto"/>
                <w:bottom w:val="none" w:sz="0" w:space="0" w:color="auto"/>
                <w:right w:val="none" w:sz="0" w:space="0" w:color="auto"/>
              </w:divBdr>
            </w:div>
            <w:div w:id="380710097">
              <w:marLeft w:val="0"/>
              <w:marRight w:val="0"/>
              <w:marTop w:val="0"/>
              <w:marBottom w:val="0"/>
              <w:divBdr>
                <w:top w:val="none" w:sz="0" w:space="0" w:color="auto"/>
                <w:left w:val="none" w:sz="0" w:space="0" w:color="auto"/>
                <w:bottom w:val="none" w:sz="0" w:space="0" w:color="auto"/>
                <w:right w:val="none" w:sz="0" w:space="0" w:color="auto"/>
              </w:divBdr>
              <w:divsChild>
                <w:div w:id="509877431">
                  <w:marLeft w:val="0"/>
                  <w:marRight w:val="0"/>
                  <w:marTop w:val="0"/>
                  <w:marBottom w:val="0"/>
                  <w:divBdr>
                    <w:top w:val="none" w:sz="0" w:space="0" w:color="auto"/>
                    <w:left w:val="none" w:sz="0" w:space="0" w:color="auto"/>
                    <w:bottom w:val="none" w:sz="0" w:space="0" w:color="auto"/>
                    <w:right w:val="none" w:sz="0" w:space="0" w:color="auto"/>
                  </w:divBdr>
                </w:div>
              </w:divsChild>
            </w:div>
            <w:div w:id="381250756">
              <w:marLeft w:val="0"/>
              <w:marRight w:val="0"/>
              <w:marTop w:val="0"/>
              <w:marBottom w:val="0"/>
              <w:divBdr>
                <w:top w:val="none" w:sz="0" w:space="0" w:color="auto"/>
                <w:left w:val="none" w:sz="0" w:space="0" w:color="auto"/>
                <w:bottom w:val="none" w:sz="0" w:space="0" w:color="auto"/>
                <w:right w:val="none" w:sz="0" w:space="0" w:color="auto"/>
              </w:divBdr>
              <w:divsChild>
                <w:div w:id="1633900831">
                  <w:marLeft w:val="0"/>
                  <w:marRight w:val="0"/>
                  <w:marTop w:val="0"/>
                  <w:marBottom w:val="0"/>
                  <w:divBdr>
                    <w:top w:val="none" w:sz="0" w:space="0" w:color="auto"/>
                    <w:left w:val="none" w:sz="0" w:space="0" w:color="auto"/>
                    <w:bottom w:val="none" w:sz="0" w:space="0" w:color="auto"/>
                    <w:right w:val="none" w:sz="0" w:space="0" w:color="auto"/>
                  </w:divBdr>
                </w:div>
              </w:divsChild>
            </w:div>
            <w:div w:id="393746797">
              <w:marLeft w:val="0"/>
              <w:marRight w:val="0"/>
              <w:marTop w:val="0"/>
              <w:marBottom w:val="0"/>
              <w:divBdr>
                <w:top w:val="none" w:sz="0" w:space="0" w:color="auto"/>
                <w:left w:val="none" w:sz="0" w:space="0" w:color="auto"/>
                <w:bottom w:val="none" w:sz="0" w:space="0" w:color="auto"/>
                <w:right w:val="none" w:sz="0" w:space="0" w:color="auto"/>
              </w:divBdr>
              <w:divsChild>
                <w:div w:id="735124029">
                  <w:marLeft w:val="0"/>
                  <w:marRight w:val="0"/>
                  <w:marTop w:val="0"/>
                  <w:marBottom w:val="0"/>
                  <w:divBdr>
                    <w:top w:val="none" w:sz="0" w:space="0" w:color="auto"/>
                    <w:left w:val="none" w:sz="0" w:space="0" w:color="auto"/>
                    <w:bottom w:val="none" w:sz="0" w:space="0" w:color="auto"/>
                    <w:right w:val="none" w:sz="0" w:space="0" w:color="auto"/>
                  </w:divBdr>
                </w:div>
              </w:divsChild>
            </w:div>
            <w:div w:id="399179913">
              <w:marLeft w:val="0"/>
              <w:marRight w:val="0"/>
              <w:marTop w:val="0"/>
              <w:marBottom w:val="0"/>
              <w:divBdr>
                <w:top w:val="none" w:sz="0" w:space="0" w:color="auto"/>
                <w:left w:val="none" w:sz="0" w:space="0" w:color="auto"/>
                <w:bottom w:val="none" w:sz="0" w:space="0" w:color="auto"/>
                <w:right w:val="none" w:sz="0" w:space="0" w:color="auto"/>
              </w:divBdr>
              <w:divsChild>
                <w:div w:id="870805135">
                  <w:marLeft w:val="0"/>
                  <w:marRight w:val="0"/>
                  <w:marTop w:val="0"/>
                  <w:marBottom w:val="0"/>
                  <w:divBdr>
                    <w:top w:val="none" w:sz="0" w:space="0" w:color="auto"/>
                    <w:left w:val="none" w:sz="0" w:space="0" w:color="auto"/>
                    <w:bottom w:val="none" w:sz="0" w:space="0" w:color="auto"/>
                    <w:right w:val="none" w:sz="0" w:space="0" w:color="auto"/>
                  </w:divBdr>
                </w:div>
              </w:divsChild>
            </w:div>
            <w:div w:id="401636277">
              <w:marLeft w:val="0"/>
              <w:marRight w:val="0"/>
              <w:marTop w:val="300"/>
              <w:marBottom w:val="300"/>
              <w:divBdr>
                <w:top w:val="none" w:sz="0" w:space="0" w:color="auto"/>
                <w:left w:val="none" w:sz="0" w:space="0" w:color="auto"/>
                <w:bottom w:val="none" w:sz="0" w:space="0" w:color="auto"/>
                <w:right w:val="none" w:sz="0" w:space="0" w:color="auto"/>
              </w:divBdr>
            </w:div>
            <w:div w:id="404572937">
              <w:marLeft w:val="0"/>
              <w:marRight w:val="0"/>
              <w:marTop w:val="300"/>
              <w:marBottom w:val="300"/>
              <w:divBdr>
                <w:top w:val="none" w:sz="0" w:space="0" w:color="auto"/>
                <w:left w:val="none" w:sz="0" w:space="0" w:color="auto"/>
                <w:bottom w:val="none" w:sz="0" w:space="0" w:color="auto"/>
                <w:right w:val="none" w:sz="0" w:space="0" w:color="auto"/>
              </w:divBdr>
            </w:div>
            <w:div w:id="406464547">
              <w:marLeft w:val="0"/>
              <w:marRight w:val="0"/>
              <w:marTop w:val="300"/>
              <w:marBottom w:val="300"/>
              <w:divBdr>
                <w:top w:val="none" w:sz="0" w:space="0" w:color="auto"/>
                <w:left w:val="none" w:sz="0" w:space="0" w:color="auto"/>
                <w:bottom w:val="none" w:sz="0" w:space="0" w:color="auto"/>
                <w:right w:val="none" w:sz="0" w:space="0" w:color="auto"/>
              </w:divBdr>
            </w:div>
            <w:div w:id="406539871">
              <w:marLeft w:val="0"/>
              <w:marRight w:val="0"/>
              <w:marTop w:val="0"/>
              <w:marBottom w:val="0"/>
              <w:divBdr>
                <w:top w:val="none" w:sz="0" w:space="0" w:color="auto"/>
                <w:left w:val="none" w:sz="0" w:space="0" w:color="auto"/>
                <w:bottom w:val="none" w:sz="0" w:space="0" w:color="auto"/>
                <w:right w:val="none" w:sz="0" w:space="0" w:color="auto"/>
              </w:divBdr>
              <w:divsChild>
                <w:div w:id="806553361">
                  <w:marLeft w:val="0"/>
                  <w:marRight w:val="0"/>
                  <w:marTop w:val="0"/>
                  <w:marBottom w:val="0"/>
                  <w:divBdr>
                    <w:top w:val="none" w:sz="0" w:space="0" w:color="auto"/>
                    <w:left w:val="none" w:sz="0" w:space="0" w:color="auto"/>
                    <w:bottom w:val="none" w:sz="0" w:space="0" w:color="auto"/>
                    <w:right w:val="none" w:sz="0" w:space="0" w:color="auto"/>
                  </w:divBdr>
                </w:div>
              </w:divsChild>
            </w:div>
            <w:div w:id="406615322">
              <w:marLeft w:val="0"/>
              <w:marRight w:val="0"/>
              <w:marTop w:val="0"/>
              <w:marBottom w:val="0"/>
              <w:divBdr>
                <w:top w:val="none" w:sz="0" w:space="0" w:color="auto"/>
                <w:left w:val="none" w:sz="0" w:space="0" w:color="auto"/>
                <w:bottom w:val="none" w:sz="0" w:space="0" w:color="auto"/>
                <w:right w:val="none" w:sz="0" w:space="0" w:color="auto"/>
              </w:divBdr>
              <w:divsChild>
                <w:div w:id="2146199650">
                  <w:marLeft w:val="0"/>
                  <w:marRight w:val="0"/>
                  <w:marTop w:val="0"/>
                  <w:marBottom w:val="0"/>
                  <w:divBdr>
                    <w:top w:val="none" w:sz="0" w:space="0" w:color="auto"/>
                    <w:left w:val="none" w:sz="0" w:space="0" w:color="auto"/>
                    <w:bottom w:val="none" w:sz="0" w:space="0" w:color="auto"/>
                    <w:right w:val="none" w:sz="0" w:space="0" w:color="auto"/>
                  </w:divBdr>
                </w:div>
              </w:divsChild>
            </w:div>
            <w:div w:id="413170211">
              <w:marLeft w:val="0"/>
              <w:marRight w:val="0"/>
              <w:marTop w:val="0"/>
              <w:marBottom w:val="0"/>
              <w:divBdr>
                <w:top w:val="none" w:sz="0" w:space="0" w:color="auto"/>
                <w:left w:val="none" w:sz="0" w:space="0" w:color="auto"/>
                <w:bottom w:val="none" w:sz="0" w:space="0" w:color="auto"/>
                <w:right w:val="none" w:sz="0" w:space="0" w:color="auto"/>
              </w:divBdr>
              <w:divsChild>
                <w:div w:id="435172953">
                  <w:marLeft w:val="0"/>
                  <w:marRight w:val="0"/>
                  <w:marTop w:val="0"/>
                  <w:marBottom w:val="0"/>
                  <w:divBdr>
                    <w:top w:val="none" w:sz="0" w:space="0" w:color="auto"/>
                    <w:left w:val="none" w:sz="0" w:space="0" w:color="auto"/>
                    <w:bottom w:val="none" w:sz="0" w:space="0" w:color="auto"/>
                    <w:right w:val="none" w:sz="0" w:space="0" w:color="auto"/>
                  </w:divBdr>
                </w:div>
              </w:divsChild>
            </w:div>
            <w:div w:id="416748564">
              <w:marLeft w:val="0"/>
              <w:marRight w:val="0"/>
              <w:marTop w:val="0"/>
              <w:marBottom w:val="0"/>
              <w:divBdr>
                <w:top w:val="none" w:sz="0" w:space="0" w:color="auto"/>
                <w:left w:val="none" w:sz="0" w:space="0" w:color="auto"/>
                <w:bottom w:val="none" w:sz="0" w:space="0" w:color="auto"/>
                <w:right w:val="none" w:sz="0" w:space="0" w:color="auto"/>
              </w:divBdr>
              <w:divsChild>
                <w:div w:id="436413390">
                  <w:marLeft w:val="0"/>
                  <w:marRight w:val="0"/>
                  <w:marTop w:val="0"/>
                  <w:marBottom w:val="0"/>
                  <w:divBdr>
                    <w:top w:val="none" w:sz="0" w:space="0" w:color="auto"/>
                    <w:left w:val="none" w:sz="0" w:space="0" w:color="auto"/>
                    <w:bottom w:val="none" w:sz="0" w:space="0" w:color="auto"/>
                    <w:right w:val="none" w:sz="0" w:space="0" w:color="auto"/>
                  </w:divBdr>
                </w:div>
              </w:divsChild>
            </w:div>
            <w:div w:id="417793870">
              <w:marLeft w:val="0"/>
              <w:marRight w:val="0"/>
              <w:marTop w:val="0"/>
              <w:marBottom w:val="0"/>
              <w:divBdr>
                <w:top w:val="none" w:sz="0" w:space="0" w:color="auto"/>
                <w:left w:val="none" w:sz="0" w:space="0" w:color="auto"/>
                <w:bottom w:val="none" w:sz="0" w:space="0" w:color="auto"/>
                <w:right w:val="none" w:sz="0" w:space="0" w:color="auto"/>
              </w:divBdr>
              <w:divsChild>
                <w:div w:id="2104375207">
                  <w:marLeft w:val="0"/>
                  <w:marRight w:val="0"/>
                  <w:marTop w:val="0"/>
                  <w:marBottom w:val="0"/>
                  <w:divBdr>
                    <w:top w:val="none" w:sz="0" w:space="0" w:color="auto"/>
                    <w:left w:val="none" w:sz="0" w:space="0" w:color="auto"/>
                    <w:bottom w:val="none" w:sz="0" w:space="0" w:color="auto"/>
                    <w:right w:val="none" w:sz="0" w:space="0" w:color="auto"/>
                  </w:divBdr>
                </w:div>
              </w:divsChild>
            </w:div>
            <w:div w:id="420953891">
              <w:marLeft w:val="0"/>
              <w:marRight w:val="0"/>
              <w:marTop w:val="0"/>
              <w:marBottom w:val="0"/>
              <w:divBdr>
                <w:top w:val="none" w:sz="0" w:space="0" w:color="auto"/>
                <w:left w:val="none" w:sz="0" w:space="0" w:color="auto"/>
                <w:bottom w:val="none" w:sz="0" w:space="0" w:color="auto"/>
                <w:right w:val="none" w:sz="0" w:space="0" w:color="auto"/>
              </w:divBdr>
              <w:divsChild>
                <w:div w:id="2052227055">
                  <w:marLeft w:val="0"/>
                  <w:marRight w:val="0"/>
                  <w:marTop w:val="0"/>
                  <w:marBottom w:val="0"/>
                  <w:divBdr>
                    <w:top w:val="none" w:sz="0" w:space="0" w:color="auto"/>
                    <w:left w:val="none" w:sz="0" w:space="0" w:color="auto"/>
                    <w:bottom w:val="none" w:sz="0" w:space="0" w:color="auto"/>
                    <w:right w:val="none" w:sz="0" w:space="0" w:color="auto"/>
                  </w:divBdr>
                </w:div>
              </w:divsChild>
            </w:div>
            <w:div w:id="424883508">
              <w:marLeft w:val="0"/>
              <w:marRight w:val="0"/>
              <w:marTop w:val="0"/>
              <w:marBottom w:val="0"/>
              <w:divBdr>
                <w:top w:val="none" w:sz="0" w:space="0" w:color="auto"/>
                <w:left w:val="none" w:sz="0" w:space="0" w:color="auto"/>
                <w:bottom w:val="none" w:sz="0" w:space="0" w:color="auto"/>
                <w:right w:val="none" w:sz="0" w:space="0" w:color="auto"/>
              </w:divBdr>
              <w:divsChild>
                <w:div w:id="1297838769">
                  <w:marLeft w:val="0"/>
                  <w:marRight w:val="0"/>
                  <w:marTop w:val="0"/>
                  <w:marBottom w:val="0"/>
                  <w:divBdr>
                    <w:top w:val="none" w:sz="0" w:space="0" w:color="auto"/>
                    <w:left w:val="none" w:sz="0" w:space="0" w:color="auto"/>
                    <w:bottom w:val="none" w:sz="0" w:space="0" w:color="auto"/>
                    <w:right w:val="none" w:sz="0" w:space="0" w:color="auto"/>
                  </w:divBdr>
                </w:div>
              </w:divsChild>
            </w:div>
            <w:div w:id="426734942">
              <w:marLeft w:val="0"/>
              <w:marRight w:val="0"/>
              <w:marTop w:val="0"/>
              <w:marBottom w:val="0"/>
              <w:divBdr>
                <w:top w:val="none" w:sz="0" w:space="0" w:color="auto"/>
                <w:left w:val="none" w:sz="0" w:space="0" w:color="auto"/>
                <w:bottom w:val="none" w:sz="0" w:space="0" w:color="auto"/>
                <w:right w:val="none" w:sz="0" w:space="0" w:color="auto"/>
              </w:divBdr>
              <w:divsChild>
                <w:div w:id="1235706174">
                  <w:marLeft w:val="0"/>
                  <w:marRight w:val="0"/>
                  <w:marTop w:val="0"/>
                  <w:marBottom w:val="0"/>
                  <w:divBdr>
                    <w:top w:val="none" w:sz="0" w:space="0" w:color="auto"/>
                    <w:left w:val="none" w:sz="0" w:space="0" w:color="auto"/>
                    <w:bottom w:val="none" w:sz="0" w:space="0" w:color="auto"/>
                    <w:right w:val="none" w:sz="0" w:space="0" w:color="auto"/>
                  </w:divBdr>
                </w:div>
              </w:divsChild>
            </w:div>
            <w:div w:id="433522820">
              <w:marLeft w:val="0"/>
              <w:marRight w:val="0"/>
              <w:marTop w:val="0"/>
              <w:marBottom w:val="0"/>
              <w:divBdr>
                <w:top w:val="none" w:sz="0" w:space="0" w:color="auto"/>
                <w:left w:val="none" w:sz="0" w:space="0" w:color="auto"/>
                <w:bottom w:val="none" w:sz="0" w:space="0" w:color="auto"/>
                <w:right w:val="none" w:sz="0" w:space="0" w:color="auto"/>
              </w:divBdr>
              <w:divsChild>
                <w:div w:id="528421049">
                  <w:marLeft w:val="0"/>
                  <w:marRight w:val="0"/>
                  <w:marTop w:val="0"/>
                  <w:marBottom w:val="0"/>
                  <w:divBdr>
                    <w:top w:val="none" w:sz="0" w:space="0" w:color="auto"/>
                    <w:left w:val="none" w:sz="0" w:space="0" w:color="auto"/>
                    <w:bottom w:val="none" w:sz="0" w:space="0" w:color="auto"/>
                    <w:right w:val="none" w:sz="0" w:space="0" w:color="auto"/>
                  </w:divBdr>
                </w:div>
              </w:divsChild>
            </w:div>
            <w:div w:id="441461988">
              <w:marLeft w:val="0"/>
              <w:marRight w:val="0"/>
              <w:marTop w:val="0"/>
              <w:marBottom w:val="0"/>
              <w:divBdr>
                <w:top w:val="none" w:sz="0" w:space="0" w:color="auto"/>
                <w:left w:val="none" w:sz="0" w:space="0" w:color="auto"/>
                <w:bottom w:val="none" w:sz="0" w:space="0" w:color="auto"/>
                <w:right w:val="none" w:sz="0" w:space="0" w:color="auto"/>
              </w:divBdr>
              <w:divsChild>
                <w:div w:id="311908709">
                  <w:marLeft w:val="0"/>
                  <w:marRight w:val="0"/>
                  <w:marTop w:val="0"/>
                  <w:marBottom w:val="0"/>
                  <w:divBdr>
                    <w:top w:val="none" w:sz="0" w:space="0" w:color="auto"/>
                    <w:left w:val="none" w:sz="0" w:space="0" w:color="auto"/>
                    <w:bottom w:val="none" w:sz="0" w:space="0" w:color="auto"/>
                    <w:right w:val="none" w:sz="0" w:space="0" w:color="auto"/>
                  </w:divBdr>
                </w:div>
              </w:divsChild>
            </w:div>
            <w:div w:id="442844334">
              <w:marLeft w:val="0"/>
              <w:marRight w:val="0"/>
              <w:marTop w:val="0"/>
              <w:marBottom w:val="0"/>
              <w:divBdr>
                <w:top w:val="none" w:sz="0" w:space="0" w:color="auto"/>
                <w:left w:val="none" w:sz="0" w:space="0" w:color="auto"/>
                <w:bottom w:val="none" w:sz="0" w:space="0" w:color="auto"/>
                <w:right w:val="none" w:sz="0" w:space="0" w:color="auto"/>
              </w:divBdr>
              <w:divsChild>
                <w:div w:id="609704730">
                  <w:marLeft w:val="0"/>
                  <w:marRight w:val="0"/>
                  <w:marTop w:val="0"/>
                  <w:marBottom w:val="0"/>
                  <w:divBdr>
                    <w:top w:val="none" w:sz="0" w:space="0" w:color="auto"/>
                    <w:left w:val="none" w:sz="0" w:space="0" w:color="auto"/>
                    <w:bottom w:val="none" w:sz="0" w:space="0" w:color="auto"/>
                    <w:right w:val="none" w:sz="0" w:space="0" w:color="auto"/>
                  </w:divBdr>
                </w:div>
              </w:divsChild>
            </w:div>
            <w:div w:id="445470552">
              <w:marLeft w:val="0"/>
              <w:marRight w:val="0"/>
              <w:marTop w:val="0"/>
              <w:marBottom w:val="0"/>
              <w:divBdr>
                <w:top w:val="none" w:sz="0" w:space="0" w:color="auto"/>
                <w:left w:val="none" w:sz="0" w:space="0" w:color="auto"/>
                <w:bottom w:val="none" w:sz="0" w:space="0" w:color="auto"/>
                <w:right w:val="none" w:sz="0" w:space="0" w:color="auto"/>
              </w:divBdr>
              <w:divsChild>
                <w:div w:id="597445124">
                  <w:marLeft w:val="0"/>
                  <w:marRight w:val="0"/>
                  <w:marTop w:val="0"/>
                  <w:marBottom w:val="0"/>
                  <w:divBdr>
                    <w:top w:val="none" w:sz="0" w:space="0" w:color="auto"/>
                    <w:left w:val="none" w:sz="0" w:space="0" w:color="auto"/>
                    <w:bottom w:val="none" w:sz="0" w:space="0" w:color="auto"/>
                    <w:right w:val="none" w:sz="0" w:space="0" w:color="auto"/>
                  </w:divBdr>
                </w:div>
              </w:divsChild>
            </w:div>
            <w:div w:id="449977563">
              <w:marLeft w:val="0"/>
              <w:marRight w:val="0"/>
              <w:marTop w:val="0"/>
              <w:marBottom w:val="0"/>
              <w:divBdr>
                <w:top w:val="none" w:sz="0" w:space="0" w:color="auto"/>
                <w:left w:val="none" w:sz="0" w:space="0" w:color="auto"/>
                <w:bottom w:val="none" w:sz="0" w:space="0" w:color="auto"/>
                <w:right w:val="none" w:sz="0" w:space="0" w:color="auto"/>
              </w:divBdr>
              <w:divsChild>
                <w:div w:id="218712256">
                  <w:marLeft w:val="0"/>
                  <w:marRight w:val="0"/>
                  <w:marTop w:val="0"/>
                  <w:marBottom w:val="0"/>
                  <w:divBdr>
                    <w:top w:val="none" w:sz="0" w:space="0" w:color="auto"/>
                    <w:left w:val="none" w:sz="0" w:space="0" w:color="auto"/>
                    <w:bottom w:val="none" w:sz="0" w:space="0" w:color="auto"/>
                    <w:right w:val="none" w:sz="0" w:space="0" w:color="auto"/>
                  </w:divBdr>
                </w:div>
              </w:divsChild>
            </w:div>
            <w:div w:id="455484806">
              <w:marLeft w:val="0"/>
              <w:marRight w:val="0"/>
              <w:marTop w:val="0"/>
              <w:marBottom w:val="0"/>
              <w:divBdr>
                <w:top w:val="none" w:sz="0" w:space="0" w:color="auto"/>
                <w:left w:val="none" w:sz="0" w:space="0" w:color="auto"/>
                <w:bottom w:val="none" w:sz="0" w:space="0" w:color="auto"/>
                <w:right w:val="none" w:sz="0" w:space="0" w:color="auto"/>
              </w:divBdr>
              <w:divsChild>
                <w:div w:id="467631217">
                  <w:marLeft w:val="0"/>
                  <w:marRight w:val="0"/>
                  <w:marTop w:val="0"/>
                  <w:marBottom w:val="0"/>
                  <w:divBdr>
                    <w:top w:val="none" w:sz="0" w:space="0" w:color="auto"/>
                    <w:left w:val="none" w:sz="0" w:space="0" w:color="auto"/>
                    <w:bottom w:val="none" w:sz="0" w:space="0" w:color="auto"/>
                    <w:right w:val="none" w:sz="0" w:space="0" w:color="auto"/>
                  </w:divBdr>
                </w:div>
              </w:divsChild>
            </w:div>
            <w:div w:id="457261582">
              <w:marLeft w:val="0"/>
              <w:marRight w:val="0"/>
              <w:marTop w:val="0"/>
              <w:marBottom w:val="0"/>
              <w:divBdr>
                <w:top w:val="none" w:sz="0" w:space="0" w:color="auto"/>
                <w:left w:val="none" w:sz="0" w:space="0" w:color="auto"/>
                <w:bottom w:val="none" w:sz="0" w:space="0" w:color="auto"/>
                <w:right w:val="none" w:sz="0" w:space="0" w:color="auto"/>
              </w:divBdr>
              <w:divsChild>
                <w:div w:id="1039860176">
                  <w:marLeft w:val="0"/>
                  <w:marRight w:val="0"/>
                  <w:marTop w:val="0"/>
                  <w:marBottom w:val="0"/>
                  <w:divBdr>
                    <w:top w:val="none" w:sz="0" w:space="0" w:color="auto"/>
                    <w:left w:val="none" w:sz="0" w:space="0" w:color="auto"/>
                    <w:bottom w:val="none" w:sz="0" w:space="0" w:color="auto"/>
                    <w:right w:val="none" w:sz="0" w:space="0" w:color="auto"/>
                  </w:divBdr>
                </w:div>
              </w:divsChild>
            </w:div>
            <w:div w:id="464854460">
              <w:marLeft w:val="0"/>
              <w:marRight w:val="0"/>
              <w:marTop w:val="0"/>
              <w:marBottom w:val="0"/>
              <w:divBdr>
                <w:top w:val="none" w:sz="0" w:space="0" w:color="auto"/>
                <w:left w:val="none" w:sz="0" w:space="0" w:color="auto"/>
                <w:bottom w:val="none" w:sz="0" w:space="0" w:color="auto"/>
                <w:right w:val="none" w:sz="0" w:space="0" w:color="auto"/>
              </w:divBdr>
              <w:divsChild>
                <w:div w:id="829752848">
                  <w:marLeft w:val="0"/>
                  <w:marRight w:val="0"/>
                  <w:marTop w:val="0"/>
                  <w:marBottom w:val="0"/>
                  <w:divBdr>
                    <w:top w:val="none" w:sz="0" w:space="0" w:color="auto"/>
                    <w:left w:val="none" w:sz="0" w:space="0" w:color="auto"/>
                    <w:bottom w:val="none" w:sz="0" w:space="0" w:color="auto"/>
                    <w:right w:val="none" w:sz="0" w:space="0" w:color="auto"/>
                  </w:divBdr>
                </w:div>
              </w:divsChild>
            </w:div>
            <w:div w:id="468019329">
              <w:marLeft w:val="0"/>
              <w:marRight w:val="0"/>
              <w:marTop w:val="0"/>
              <w:marBottom w:val="0"/>
              <w:divBdr>
                <w:top w:val="none" w:sz="0" w:space="0" w:color="auto"/>
                <w:left w:val="none" w:sz="0" w:space="0" w:color="auto"/>
                <w:bottom w:val="none" w:sz="0" w:space="0" w:color="auto"/>
                <w:right w:val="none" w:sz="0" w:space="0" w:color="auto"/>
              </w:divBdr>
              <w:divsChild>
                <w:div w:id="1287657871">
                  <w:marLeft w:val="0"/>
                  <w:marRight w:val="0"/>
                  <w:marTop w:val="0"/>
                  <w:marBottom w:val="0"/>
                  <w:divBdr>
                    <w:top w:val="none" w:sz="0" w:space="0" w:color="auto"/>
                    <w:left w:val="none" w:sz="0" w:space="0" w:color="auto"/>
                    <w:bottom w:val="none" w:sz="0" w:space="0" w:color="auto"/>
                    <w:right w:val="none" w:sz="0" w:space="0" w:color="auto"/>
                  </w:divBdr>
                </w:div>
              </w:divsChild>
            </w:div>
            <w:div w:id="471287888">
              <w:marLeft w:val="0"/>
              <w:marRight w:val="0"/>
              <w:marTop w:val="0"/>
              <w:marBottom w:val="0"/>
              <w:divBdr>
                <w:top w:val="none" w:sz="0" w:space="0" w:color="auto"/>
                <w:left w:val="none" w:sz="0" w:space="0" w:color="auto"/>
                <w:bottom w:val="none" w:sz="0" w:space="0" w:color="auto"/>
                <w:right w:val="none" w:sz="0" w:space="0" w:color="auto"/>
              </w:divBdr>
              <w:divsChild>
                <w:div w:id="1812360487">
                  <w:marLeft w:val="0"/>
                  <w:marRight w:val="0"/>
                  <w:marTop w:val="0"/>
                  <w:marBottom w:val="0"/>
                  <w:divBdr>
                    <w:top w:val="none" w:sz="0" w:space="0" w:color="auto"/>
                    <w:left w:val="none" w:sz="0" w:space="0" w:color="auto"/>
                    <w:bottom w:val="none" w:sz="0" w:space="0" w:color="auto"/>
                    <w:right w:val="none" w:sz="0" w:space="0" w:color="auto"/>
                  </w:divBdr>
                </w:div>
              </w:divsChild>
            </w:div>
            <w:div w:id="471946851">
              <w:marLeft w:val="0"/>
              <w:marRight w:val="0"/>
              <w:marTop w:val="0"/>
              <w:marBottom w:val="0"/>
              <w:divBdr>
                <w:top w:val="none" w:sz="0" w:space="0" w:color="auto"/>
                <w:left w:val="none" w:sz="0" w:space="0" w:color="auto"/>
                <w:bottom w:val="none" w:sz="0" w:space="0" w:color="auto"/>
                <w:right w:val="none" w:sz="0" w:space="0" w:color="auto"/>
              </w:divBdr>
              <w:divsChild>
                <w:div w:id="808128954">
                  <w:marLeft w:val="0"/>
                  <w:marRight w:val="0"/>
                  <w:marTop w:val="0"/>
                  <w:marBottom w:val="0"/>
                  <w:divBdr>
                    <w:top w:val="none" w:sz="0" w:space="0" w:color="auto"/>
                    <w:left w:val="none" w:sz="0" w:space="0" w:color="auto"/>
                    <w:bottom w:val="none" w:sz="0" w:space="0" w:color="auto"/>
                    <w:right w:val="none" w:sz="0" w:space="0" w:color="auto"/>
                  </w:divBdr>
                </w:div>
              </w:divsChild>
            </w:div>
            <w:div w:id="475490048">
              <w:marLeft w:val="0"/>
              <w:marRight w:val="0"/>
              <w:marTop w:val="300"/>
              <w:marBottom w:val="300"/>
              <w:divBdr>
                <w:top w:val="none" w:sz="0" w:space="0" w:color="auto"/>
                <w:left w:val="none" w:sz="0" w:space="0" w:color="auto"/>
                <w:bottom w:val="none" w:sz="0" w:space="0" w:color="auto"/>
                <w:right w:val="none" w:sz="0" w:space="0" w:color="auto"/>
              </w:divBdr>
            </w:div>
            <w:div w:id="477308893">
              <w:marLeft w:val="0"/>
              <w:marRight w:val="0"/>
              <w:marTop w:val="0"/>
              <w:marBottom w:val="0"/>
              <w:divBdr>
                <w:top w:val="none" w:sz="0" w:space="0" w:color="auto"/>
                <w:left w:val="none" w:sz="0" w:space="0" w:color="auto"/>
                <w:bottom w:val="none" w:sz="0" w:space="0" w:color="auto"/>
                <w:right w:val="none" w:sz="0" w:space="0" w:color="auto"/>
              </w:divBdr>
              <w:divsChild>
                <w:div w:id="243533318">
                  <w:marLeft w:val="0"/>
                  <w:marRight w:val="0"/>
                  <w:marTop w:val="0"/>
                  <w:marBottom w:val="0"/>
                  <w:divBdr>
                    <w:top w:val="none" w:sz="0" w:space="0" w:color="auto"/>
                    <w:left w:val="none" w:sz="0" w:space="0" w:color="auto"/>
                    <w:bottom w:val="none" w:sz="0" w:space="0" w:color="auto"/>
                    <w:right w:val="none" w:sz="0" w:space="0" w:color="auto"/>
                  </w:divBdr>
                </w:div>
              </w:divsChild>
            </w:div>
            <w:div w:id="483276118">
              <w:marLeft w:val="0"/>
              <w:marRight w:val="0"/>
              <w:marTop w:val="0"/>
              <w:marBottom w:val="0"/>
              <w:divBdr>
                <w:top w:val="none" w:sz="0" w:space="0" w:color="auto"/>
                <w:left w:val="none" w:sz="0" w:space="0" w:color="auto"/>
                <w:bottom w:val="none" w:sz="0" w:space="0" w:color="auto"/>
                <w:right w:val="none" w:sz="0" w:space="0" w:color="auto"/>
              </w:divBdr>
              <w:divsChild>
                <w:div w:id="1736389770">
                  <w:marLeft w:val="0"/>
                  <w:marRight w:val="0"/>
                  <w:marTop w:val="0"/>
                  <w:marBottom w:val="0"/>
                  <w:divBdr>
                    <w:top w:val="none" w:sz="0" w:space="0" w:color="auto"/>
                    <w:left w:val="none" w:sz="0" w:space="0" w:color="auto"/>
                    <w:bottom w:val="none" w:sz="0" w:space="0" w:color="auto"/>
                    <w:right w:val="none" w:sz="0" w:space="0" w:color="auto"/>
                  </w:divBdr>
                </w:div>
              </w:divsChild>
            </w:div>
            <w:div w:id="485056087">
              <w:marLeft w:val="0"/>
              <w:marRight w:val="0"/>
              <w:marTop w:val="0"/>
              <w:marBottom w:val="0"/>
              <w:divBdr>
                <w:top w:val="none" w:sz="0" w:space="0" w:color="auto"/>
                <w:left w:val="none" w:sz="0" w:space="0" w:color="auto"/>
                <w:bottom w:val="none" w:sz="0" w:space="0" w:color="auto"/>
                <w:right w:val="none" w:sz="0" w:space="0" w:color="auto"/>
              </w:divBdr>
              <w:divsChild>
                <w:div w:id="453600430">
                  <w:marLeft w:val="0"/>
                  <w:marRight w:val="0"/>
                  <w:marTop w:val="0"/>
                  <w:marBottom w:val="0"/>
                  <w:divBdr>
                    <w:top w:val="none" w:sz="0" w:space="0" w:color="auto"/>
                    <w:left w:val="none" w:sz="0" w:space="0" w:color="auto"/>
                    <w:bottom w:val="none" w:sz="0" w:space="0" w:color="auto"/>
                    <w:right w:val="none" w:sz="0" w:space="0" w:color="auto"/>
                  </w:divBdr>
                </w:div>
              </w:divsChild>
            </w:div>
            <w:div w:id="489372788">
              <w:marLeft w:val="0"/>
              <w:marRight w:val="0"/>
              <w:marTop w:val="300"/>
              <w:marBottom w:val="300"/>
              <w:divBdr>
                <w:top w:val="none" w:sz="0" w:space="0" w:color="auto"/>
                <w:left w:val="none" w:sz="0" w:space="0" w:color="auto"/>
                <w:bottom w:val="none" w:sz="0" w:space="0" w:color="auto"/>
                <w:right w:val="none" w:sz="0" w:space="0" w:color="auto"/>
              </w:divBdr>
            </w:div>
            <w:div w:id="489446953">
              <w:marLeft w:val="0"/>
              <w:marRight w:val="0"/>
              <w:marTop w:val="0"/>
              <w:marBottom w:val="0"/>
              <w:divBdr>
                <w:top w:val="none" w:sz="0" w:space="0" w:color="auto"/>
                <w:left w:val="none" w:sz="0" w:space="0" w:color="auto"/>
                <w:bottom w:val="none" w:sz="0" w:space="0" w:color="auto"/>
                <w:right w:val="none" w:sz="0" w:space="0" w:color="auto"/>
              </w:divBdr>
              <w:divsChild>
                <w:div w:id="760834186">
                  <w:marLeft w:val="0"/>
                  <w:marRight w:val="0"/>
                  <w:marTop w:val="0"/>
                  <w:marBottom w:val="0"/>
                  <w:divBdr>
                    <w:top w:val="none" w:sz="0" w:space="0" w:color="auto"/>
                    <w:left w:val="none" w:sz="0" w:space="0" w:color="auto"/>
                    <w:bottom w:val="none" w:sz="0" w:space="0" w:color="auto"/>
                    <w:right w:val="none" w:sz="0" w:space="0" w:color="auto"/>
                  </w:divBdr>
                </w:div>
              </w:divsChild>
            </w:div>
            <w:div w:id="489948995">
              <w:marLeft w:val="0"/>
              <w:marRight w:val="0"/>
              <w:marTop w:val="0"/>
              <w:marBottom w:val="0"/>
              <w:divBdr>
                <w:top w:val="none" w:sz="0" w:space="0" w:color="auto"/>
                <w:left w:val="none" w:sz="0" w:space="0" w:color="auto"/>
                <w:bottom w:val="none" w:sz="0" w:space="0" w:color="auto"/>
                <w:right w:val="none" w:sz="0" w:space="0" w:color="auto"/>
              </w:divBdr>
              <w:divsChild>
                <w:div w:id="841238100">
                  <w:marLeft w:val="0"/>
                  <w:marRight w:val="0"/>
                  <w:marTop w:val="0"/>
                  <w:marBottom w:val="0"/>
                  <w:divBdr>
                    <w:top w:val="none" w:sz="0" w:space="0" w:color="auto"/>
                    <w:left w:val="none" w:sz="0" w:space="0" w:color="auto"/>
                    <w:bottom w:val="none" w:sz="0" w:space="0" w:color="auto"/>
                    <w:right w:val="none" w:sz="0" w:space="0" w:color="auto"/>
                  </w:divBdr>
                </w:div>
              </w:divsChild>
            </w:div>
            <w:div w:id="491717817">
              <w:marLeft w:val="0"/>
              <w:marRight w:val="0"/>
              <w:marTop w:val="300"/>
              <w:marBottom w:val="300"/>
              <w:divBdr>
                <w:top w:val="none" w:sz="0" w:space="0" w:color="auto"/>
                <w:left w:val="none" w:sz="0" w:space="0" w:color="auto"/>
                <w:bottom w:val="none" w:sz="0" w:space="0" w:color="auto"/>
                <w:right w:val="none" w:sz="0" w:space="0" w:color="auto"/>
              </w:divBdr>
            </w:div>
            <w:div w:id="496923484">
              <w:marLeft w:val="0"/>
              <w:marRight w:val="0"/>
              <w:marTop w:val="0"/>
              <w:marBottom w:val="0"/>
              <w:divBdr>
                <w:top w:val="none" w:sz="0" w:space="0" w:color="auto"/>
                <w:left w:val="none" w:sz="0" w:space="0" w:color="auto"/>
                <w:bottom w:val="none" w:sz="0" w:space="0" w:color="auto"/>
                <w:right w:val="none" w:sz="0" w:space="0" w:color="auto"/>
              </w:divBdr>
              <w:divsChild>
                <w:div w:id="1102844740">
                  <w:marLeft w:val="0"/>
                  <w:marRight w:val="0"/>
                  <w:marTop w:val="0"/>
                  <w:marBottom w:val="0"/>
                  <w:divBdr>
                    <w:top w:val="none" w:sz="0" w:space="0" w:color="auto"/>
                    <w:left w:val="none" w:sz="0" w:space="0" w:color="auto"/>
                    <w:bottom w:val="none" w:sz="0" w:space="0" w:color="auto"/>
                    <w:right w:val="none" w:sz="0" w:space="0" w:color="auto"/>
                  </w:divBdr>
                </w:div>
              </w:divsChild>
            </w:div>
            <w:div w:id="497579755">
              <w:marLeft w:val="0"/>
              <w:marRight w:val="0"/>
              <w:marTop w:val="0"/>
              <w:marBottom w:val="0"/>
              <w:divBdr>
                <w:top w:val="none" w:sz="0" w:space="0" w:color="auto"/>
                <w:left w:val="none" w:sz="0" w:space="0" w:color="auto"/>
                <w:bottom w:val="none" w:sz="0" w:space="0" w:color="auto"/>
                <w:right w:val="none" w:sz="0" w:space="0" w:color="auto"/>
              </w:divBdr>
              <w:divsChild>
                <w:div w:id="1533374799">
                  <w:marLeft w:val="0"/>
                  <w:marRight w:val="0"/>
                  <w:marTop w:val="0"/>
                  <w:marBottom w:val="0"/>
                  <w:divBdr>
                    <w:top w:val="none" w:sz="0" w:space="0" w:color="auto"/>
                    <w:left w:val="none" w:sz="0" w:space="0" w:color="auto"/>
                    <w:bottom w:val="none" w:sz="0" w:space="0" w:color="auto"/>
                    <w:right w:val="none" w:sz="0" w:space="0" w:color="auto"/>
                  </w:divBdr>
                </w:div>
              </w:divsChild>
            </w:div>
            <w:div w:id="505873963">
              <w:marLeft w:val="0"/>
              <w:marRight w:val="0"/>
              <w:marTop w:val="0"/>
              <w:marBottom w:val="0"/>
              <w:divBdr>
                <w:top w:val="none" w:sz="0" w:space="0" w:color="auto"/>
                <w:left w:val="none" w:sz="0" w:space="0" w:color="auto"/>
                <w:bottom w:val="none" w:sz="0" w:space="0" w:color="auto"/>
                <w:right w:val="none" w:sz="0" w:space="0" w:color="auto"/>
              </w:divBdr>
              <w:divsChild>
                <w:div w:id="1978759387">
                  <w:marLeft w:val="0"/>
                  <w:marRight w:val="0"/>
                  <w:marTop w:val="0"/>
                  <w:marBottom w:val="0"/>
                  <w:divBdr>
                    <w:top w:val="none" w:sz="0" w:space="0" w:color="auto"/>
                    <w:left w:val="none" w:sz="0" w:space="0" w:color="auto"/>
                    <w:bottom w:val="none" w:sz="0" w:space="0" w:color="auto"/>
                    <w:right w:val="none" w:sz="0" w:space="0" w:color="auto"/>
                  </w:divBdr>
                </w:div>
              </w:divsChild>
            </w:div>
            <w:div w:id="506361672">
              <w:marLeft w:val="0"/>
              <w:marRight w:val="0"/>
              <w:marTop w:val="0"/>
              <w:marBottom w:val="0"/>
              <w:divBdr>
                <w:top w:val="none" w:sz="0" w:space="0" w:color="auto"/>
                <w:left w:val="none" w:sz="0" w:space="0" w:color="auto"/>
                <w:bottom w:val="none" w:sz="0" w:space="0" w:color="auto"/>
                <w:right w:val="none" w:sz="0" w:space="0" w:color="auto"/>
              </w:divBdr>
              <w:divsChild>
                <w:div w:id="850023677">
                  <w:marLeft w:val="0"/>
                  <w:marRight w:val="0"/>
                  <w:marTop w:val="0"/>
                  <w:marBottom w:val="0"/>
                  <w:divBdr>
                    <w:top w:val="none" w:sz="0" w:space="0" w:color="auto"/>
                    <w:left w:val="none" w:sz="0" w:space="0" w:color="auto"/>
                    <w:bottom w:val="none" w:sz="0" w:space="0" w:color="auto"/>
                    <w:right w:val="none" w:sz="0" w:space="0" w:color="auto"/>
                  </w:divBdr>
                </w:div>
              </w:divsChild>
            </w:div>
            <w:div w:id="507057825">
              <w:marLeft w:val="0"/>
              <w:marRight w:val="0"/>
              <w:marTop w:val="0"/>
              <w:marBottom w:val="0"/>
              <w:divBdr>
                <w:top w:val="none" w:sz="0" w:space="0" w:color="auto"/>
                <w:left w:val="none" w:sz="0" w:space="0" w:color="auto"/>
                <w:bottom w:val="none" w:sz="0" w:space="0" w:color="auto"/>
                <w:right w:val="none" w:sz="0" w:space="0" w:color="auto"/>
              </w:divBdr>
              <w:divsChild>
                <w:div w:id="1750879492">
                  <w:marLeft w:val="0"/>
                  <w:marRight w:val="0"/>
                  <w:marTop w:val="0"/>
                  <w:marBottom w:val="0"/>
                  <w:divBdr>
                    <w:top w:val="none" w:sz="0" w:space="0" w:color="auto"/>
                    <w:left w:val="none" w:sz="0" w:space="0" w:color="auto"/>
                    <w:bottom w:val="none" w:sz="0" w:space="0" w:color="auto"/>
                    <w:right w:val="none" w:sz="0" w:space="0" w:color="auto"/>
                  </w:divBdr>
                </w:div>
              </w:divsChild>
            </w:div>
            <w:div w:id="513306394">
              <w:marLeft w:val="0"/>
              <w:marRight w:val="0"/>
              <w:marTop w:val="0"/>
              <w:marBottom w:val="0"/>
              <w:divBdr>
                <w:top w:val="none" w:sz="0" w:space="0" w:color="auto"/>
                <w:left w:val="none" w:sz="0" w:space="0" w:color="auto"/>
                <w:bottom w:val="none" w:sz="0" w:space="0" w:color="auto"/>
                <w:right w:val="none" w:sz="0" w:space="0" w:color="auto"/>
              </w:divBdr>
              <w:divsChild>
                <w:div w:id="1523351315">
                  <w:marLeft w:val="0"/>
                  <w:marRight w:val="0"/>
                  <w:marTop w:val="0"/>
                  <w:marBottom w:val="0"/>
                  <w:divBdr>
                    <w:top w:val="none" w:sz="0" w:space="0" w:color="auto"/>
                    <w:left w:val="none" w:sz="0" w:space="0" w:color="auto"/>
                    <w:bottom w:val="none" w:sz="0" w:space="0" w:color="auto"/>
                    <w:right w:val="none" w:sz="0" w:space="0" w:color="auto"/>
                  </w:divBdr>
                </w:div>
              </w:divsChild>
            </w:div>
            <w:div w:id="520582833">
              <w:marLeft w:val="0"/>
              <w:marRight w:val="0"/>
              <w:marTop w:val="0"/>
              <w:marBottom w:val="0"/>
              <w:divBdr>
                <w:top w:val="none" w:sz="0" w:space="0" w:color="auto"/>
                <w:left w:val="none" w:sz="0" w:space="0" w:color="auto"/>
                <w:bottom w:val="none" w:sz="0" w:space="0" w:color="auto"/>
                <w:right w:val="none" w:sz="0" w:space="0" w:color="auto"/>
              </w:divBdr>
              <w:divsChild>
                <w:div w:id="1139954544">
                  <w:marLeft w:val="0"/>
                  <w:marRight w:val="0"/>
                  <w:marTop w:val="0"/>
                  <w:marBottom w:val="0"/>
                  <w:divBdr>
                    <w:top w:val="none" w:sz="0" w:space="0" w:color="auto"/>
                    <w:left w:val="none" w:sz="0" w:space="0" w:color="auto"/>
                    <w:bottom w:val="none" w:sz="0" w:space="0" w:color="auto"/>
                    <w:right w:val="none" w:sz="0" w:space="0" w:color="auto"/>
                  </w:divBdr>
                </w:div>
              </w:divsChild>
            </w:div>
            <w:div w:id="524486258">
              <w:marLeft w:val="0"/>
              <w:marRight w:val="0"/>
              <w:marTop w:val="0"/>
              <w:marBottom w:val="0"/>
              <w:divBdr>
                <w:top w:val="none" w:sz="0" w:space="0" w:color="auto"/>
                <w:left w:val="none" w:sz="0" w:space="0" w:color="auto"/>
                <w:bottom w:val="none" w:sz="0" w:space="0" w:color="auto"/>
                <w:right w:val="none" w:sz="0" w:space="0" w:color="auto"/>
              </w:divBdr>
              <w:divsChild>
                <w:div w:id="1156530291">
                  <w:marLeft w:val="0"/>
                  <w:marRight w:val="0"/>
                  <w:marTop w:val="0"/>
                  <w:marBottom w:val="0"/>
                  <w:divBdr>
                    <w:top w:val="none" w:sz="0" w:space="0" w:color="auto"/>
                    <w:left w:val="none" w:sz="0" w:space="0" w:color="auto"/>
                    <w:bottom w:val="none" w:sz="0" w:space="0" w:color="auto"/>
                    <w:right w:val="none" w:sz="0" w:space="0" w:color="auto"/>
                  </w:divBdr>
                </w:div>
              </w:divsChild>
            </w:div>
            <w:div w:id="525337340">
              <w:marLeft w:val="0"/>
              <w:marRight w:val="0"/>
              <w:marTop w:val="0"/>
              <w:marBottom w:val="0"/>
              <w:divBdr>
                <w:top w:val="none" w:sz="0" w:space="0" w:color="auto"/>
                <w:left w:val="none" w:sz="0" w:space="0" w:color="auto"/>
                <w:bottom w:val="none" w:sz="0" w:space="0" w:color="auto"/>
                <w:right w:val="none" w:sz="0" w:space="0" w:color="auto"/>
              </w:divBdr>
              <w:divsChild>
                <w:div w:id="1349720327">
                  <w:marLeft w:val="0"/>
                  <w:marRight w:val="0"/>
                  <w:marTop w:val="0"/>
                  <w:marBottom w:val="0"/>
                  <w:divBdr>
                    <w:top w:val="none" w:sz="0" w:space="0" w:color="auto"/>
                    <w:left w:val="none" w:sz="0" w:space="0" w:color="auto"/>
                    <w:bottom w:val="none" w:sz="0" w:space="0" w:color="auto"/>
                    <w:right w:val="none" w:sz="0" w:space="0" w:color="auto"/>
                  </w:divBdr>
                </w:div>
              </w:divsChild>
            </w:div>
            <w:div w:id="525558848">
              <w:marLeft w:val="0"/>
              <w:marRight w:val="0"/>
              <w:marTop w:val="0"/>
              <w:marBottom w:val="0"/>
              <w:divBdr>
                <w:top w:val="none" w:sz="0" w:space="0" w:color="auto"/>
                <w:left w:val="none" w:sz="0" w:space="0" w:color="auto"/>
                <w:bottom w:val="none" w:sz="0" w:space="0" w:color="auto"/>
                <w:right w:val="none" w:sz="0" w:space="0" w:color="auto"/>
              </w:divBdr>
              <w:divsChild>
                <w:div w:id="1803844667">
                  <w:marLeft w:val="0"/>
                  <w:marRight w:val="0"/>
                  <w:marTop w:val="0"/>
                  <w:marBottom w:val="0"/>
                  <w:divBdr>
                    <w:top w:val="none" w:sz="0" w:space="0" w:color="auto"/>
                    <w:left w:val="none" w:sz="0" w:space="0" w:color="auto"/>
                    <w:bottom w:val="none" w:sz="0" w:space="0" w:color="auto"/>
                    <w:right w:val="none" w:sz="0" w:space="0" w:color="auto"/>
                  </w:divBdr>
                </w:div>
              </w:divsChild>
            </w:div>
            <w:div w:id="529798804">
              <w:marLeft w:val="0"/>
              <w:marRight w:val="0"/>
              <w:marTop w:val="0"/>
              <w:marBottom w:val="0"/>
              <w:divBdr>
                <w:top w:val="none" w:sz="0" w:space="0" w:color="auto"/>
                <w:left w:val="none" w:sz="0" w:space="0" w:color="auto"/>
                <w:bottom w:val="none" w:sz="0" w:space="0" w:color="auto"/>
                <w:right w:val="none" w:sz="0" w:space="0" w:color="auto"/>
              </w:divBdr>
              <w:divsChild>
                <w:div w:id="1067268931">
                  <w:marLeft w:val="0"/>
                  <w:marRight w:val="0"/>
                  <w:marTop w:val="0"/>
                  <w:marBottom w:val="0"/>
                  <w:divBdr>
                    <w:top w:val="none" w:sz="0" w:space="0" w:color="auto"/>
                    <w:left w:val="none" w:sz="0" w:space="0" w:color="auto"/>
                    <w:bottom w:val="none" w:sz="0" w:space="0" w:color="auto"/>
                    <w:right w:val="none" w:sz="0" w:space="0" w:color="auto"/>
                  </w:divBdr>
                </w:div>
              </w:divsChild>
            </w:div>
            <w:div w:id="532502165">
              <w:marLeft w:val="0"/>
              <w:marRight w:val="0"/>
              <w:marTop w:val="0"/>
              <w:marBottom w:val="0"/>
              <w:divBdr>
                <w:top w:val="none" w:sz="0" w:space="0" w:color="auto"/>
                <w:left w:val="none" w:sz="0" w:space="0" w:color="auto"/>
                <w:bottom w:val="none" w:sz="0" w:space="0" w:color="auto"/>
                <w:right w:val="none" w:sz="0" w:space="0" w:color="auto"/>
              </w:divBdr>
              <w:divsChild>
                <w:div w:id="1534538846">
                  <w:marLeft w:val="0"/>
                  <w:marRight w:val="0"/>
                  <w:marTop w:val="0"/>
                  <w:marBottom w:val="0"/>
                  <w:divBdr>
                    <w:top w:val="none" w:sz="0" w:space="0" w:color="auto"/>
                    <w:left w:val="none" w:sz="0" w:space="0" w:color="auto"/>
                    <w:bottom w:val="none" w:sz="0" w:space="0" w:color="auto"/>
                    <w:right w:val="none" w:sz="0" w:space="0" w:color="auto"/>
                  </w:divBdr>
                </w:div>
              </w:divsChild>
            </w:div>
            <w:div w:id="538706848">
              <w:marLeft w:val="0"/>
              <w:marRight w:val="0"/>
              <w:marTop w:val="0"/>
              <w:marBottom w:val="0"/>
              <w:divBdr>
                <w:top w:val="none" w:sz="0" w:space="0" w:color="auto"/>
                <w:left w:val="none" w:sz="0" w:space="0" w:color="auto"/>
                <w:bottom w:val="none" w:sz="0" w:space="0" w:color="auto"/>
                <w:right w:val="none" w:sz="0" w:space="0" w:color="auto"/>
              </w:divBdr>
              <w:divsChild>
                <w:div w:id="1354187221">
                  <w:marLeft w:val="0"/>
                  <w:marRight w:val="0"/>
                  <w:marTop w:val="0"/>
                  <w:marBottom w:val="0"/>
                  <w:divBdr>
                    <w:top w:val="none" w:sz="0" w:space="0" w:color="auto"/>
                    <w:left w:val="none" w:sz="0" w:space="0" w:color="auto"/>
                    <w:bottom w:val="none" w:sz="0" w:space="0" w:color="auto"/>
                    <w:right w:val="none" w:sz="0" w:space="0" w:color="auto"/>
                  </w:divBdr>
                </w:div>
              </w:divsChild>
            </w:div>
            <w:div w:id="543054905">
              <w:marLeft w:val="0"/>
              <w:marRight w:val="0"/>
              <w:marTop w:val="0"/>
              <w:marBottom w:val="0"/>
              <w:divBdr>
                <w:top w:val="none" w:sz="0" w:space="0" w:color="auto"/>
                <w:left w:val="none" w:sz="0" w:space="0" w:color="auto"/>
                <w:bottom w:val="none" w:sz="0" w:space="0" w:color="auto"/>
                <w:right w:val="none" w:sz="0" w:space="0" w:color="auto"/>
              </w:divBdr>
              <w:divsChild>
                <w:div w:id="4063366">
                  <w:marLeft w:val="0"/>
                  <w:marRight w:val="0"/>
                  <w:marTop w:val="0"/>
                  <w:marBottom w:val="0"/>
                  <w:divBdr>
                    <w:top w:val="none" w:sz="0" w:space="0" w:color="auto"/>
                    <w:left w:val="none" w:sz="0" w:space="0" w:color="auto"/>
                    <w:bottom w:val="none" w:sz="0" w:space="0" w:color="auto"/>
                    <w:right w:val="none" w:sz="0" w:space="0" w:color="auto"/>
                  </w:divBdr>
                </w:div>
              </w:divsChild>
            </w:div>
            <w:div w:id="544370431">
              <w:marLeft w:val="0"/>
              <w:marRight w:val="0"/>
              <w:marTop w:val="300"/>
              <w:marBottom w:val="300"/>
              <w:divBdr>
                <w:top w:val="none" w:sz="0" w:space="0" w:color="auto"/>
                <w:left w:val="none" w:sz="0" w:space="0" w:color="auto"/>
                <w:bottom w:val="none" w:sz="0" w:space="0" w:color="auto"/>
                <w:right w:val="none" w:sz="0" w:space="0" w:color="auto"/>
              </w:divBdr>
            </w:div>
            <w:div w:id="546798429">
              <w:marLeft w:val="0"/>
              <w:marRight w:val="0"/>
              <w:marTop w:val="0"/>
              <w:marBottom w:val="0"/>
              <w:divBdr>
                <w:top w:val="none" w:sz="0" w:space="0" w:color="auto"/>
                <w:left w:val="none" w:sz="0" w:space="0" w:color="auto"/>
                <w:bottom w:val="none" w:sz="0" w:space="0" w:color="auto"/>
                <w:right w:val="none" w:sz="0" w:space="0" w:color="auto"/>
              </w:divBdr>
              <w:divsChild>
                <w:div w:id="594364188">
                  <w:marLeft w:val="0"/>
                  <w:marRight w:val="0"/>
                  <w:marTop w:val="0"/>
                  <w:marBottom w:val="0"/>
                  <w:divBdr>
                    <w:top w:val="none" w:sz="0" w:space="0" w:color="auto"/>
                    <w:left w:val="none" w:sz="0" w:space="0" w:color="auto"/>
                    <w:bottom w:val="none" w:sz="0" w:space="0" w:color="auto"/>
                    <w:right w:val="none" w:sz="0" w:space="0" w:color="auto"/>
                  </w:divBdr>
                </w:div>
              </w:divsChild>
            </w:div>
            <w:div w:id="547030906">
              <w:marLeft w:val="0"/>
              <w:marRight w:val="0"/>
              <w:marTop w:val="0"/>
              <w:marBottom w:val="0"/>
              <w:divBdr>
                <w:top w:val="none" w:sz="0" w:space="0" w:color="auto"/>
                <w:left w:val="none" w:sz="0" w:space="0" w:color="auto"/>
                <w:bottom w:val="none" w:sz="0" w:space="0" w:color="auto"/>
                <w:right w:val="none" w:sz="0" w:space="0" w:color="auto"/>
              </w:divBdr>
              <w:divsChild>
                <w:div w:id="751048102">
                  <w:marLeft w:val="0"/>
                  <w:marRight w:val="0"/>
                  <w:marTop w:val="0"/>
                  <w:marBottom w:val="0"/>
                  <w:divBdr>
                    <w:top w:val="none" w:sz="0" w:space="0" w:color="auto"/>
                    <w:left w:val="none" w:sz="0" w:space="0" w:color="auto"/>
                    <w:bottom w:val="none" w:sz="0" w:space="0" w:color="auto"/>
                    <w:right w:val="none" w:sz="0" w:space="0" w:color="auto"/>
                  </w:divBdr>
                </w:div>
              </w:divsChild>
            </w:div>
            <w:div w:id="548684992">
              <w:marLeft w:val="0"/>
              <w:marRight w:val="0"/>
              <w:marTop w:val="0"/>
              <w:marBottom w:val="0"/>
              <w:divBdr>
                <w:top w:val="none" w:sz="0" w:space="0" w:color="auto"/>
                <w:left w:val="none" w:sz="0" w:space="0" w:color="auto"/>
                <w:bottom w:val="none" w:sz="0" w:space="0" w:color="auto"/>
                <w:right w:val="none" w:sz="0" w:space="0" w:color="auto"/>
              </w:divBdr>
              <w:divsChild>
                <w:div w:id="1001005950">
                  <w:marLeft w:val="0"/>
                  <w:marRight w:val="0"/>
                  <w:marTop w:val="0"/>
                  <w:marBottom w:val="0"/>
                  <w:divBdr>
                    <w:top w:val="none" w:sz="0" w:space="0" w:color="auto"/>
                    <w:left w:val="none" w:sz="0" w:space="0" w:color="auto"/>
                    <w:bottom w:val="none" w:sz="0" w:space="0" w:color="auto"/>
                    <w:right w:val="none" w:sz="0" w:space="0" w:color="auto"/>
                  </w:divBdr>
                </w:div>
              </w:divsChild>
            </w:div>
            <w:div w:id="550188623">
              <w:marLeft w:val="0"/>
              <w:marRight w:val="0"/>
              <w:marTop w:val="0"/>
              <w:marBottom w:val="0"/>
              <w:divBdr>
                <w:top w:val="none" w:sz="0" w:space="0" w:color="auto"/>
                <w:left w:val="none" w:sz="0" w:space="0" w:color="auto"/>
                <w:bottom w:val="none" w:sz="0" w:space="0" w:color="auto"/>
                <w:right w:val="none" w:sz="0" w:space="0" w:color="auto"/>
              </w:divBdr>
              <w:divsChild>
                <w:div w:id="1121609342">
                  <w:marLeft w:val="0"/>
                  <w:marRight w:val="0"/>
                  <w:marTop w:val="0"/>
                  <w:marBottom w:val="0"/>
                  <w:divBdr>
                    <w:top w:val="none" w:sz="0" w:space="0" w:color="auto"/>
                    <w:left w:val="none" w:sz="0" w:space="0" w:color="auto"/>
                    <w:bottom w:val="none" w:sz="0" w:space="0" w:color="auto"/>
                    <w:right w:val="none" w:sz="0" w:space="0" w:color="auto"/>
                  </w:divBdr>
                </w:div>
              </w:divsChild>
            </w:div>
            <w:div w:id="551040070">
              <w:marLeft w:val="0"/>
              <w:marRight w:val="0"/>
              <w:marTop w:val="0"/>
              <w:marBottom w:val="0"/>
              <w:divBdr>
                <w:top w:val="none" w:sz="0" w:space="0" w:color="auto"/>
                <w:left w:val="none" w:sz="0" w:space="0" w:color="auto"/>
                <w:bottom w:val="none" w:sz="0" w:space="0" w:color="auto"/>
                <w:right w:val="none" w:sz="0" w:space="0" w:color="auto"/>
              </w:divBdr>
              <w:divsChild>
                <w:div w:id="1174878980">
                  <w:marLeft w:val="0"/>
                  <w:marRight w:val="0"/>
                  <w:marTop w:val="0"/>
                  <w:marBottom w:val="0"/>
                  <w:divBdr>
                    <w:top w:val="none" w:sz="0" w:space="0" w:color="auto"/>
                    <w:left w:val="none" w:sz="0" w:space="0" w:color="auto"/>
                    <w:bottom w:val="none" w:sz="0" w:space="0" w:color="auto"/>
                    <w:right w:val="none" w:sz="0" w:space="0" w:color="auto"/>
                  </w:divBdr>
                </w:div>
              </w:divsChild>
            </w:div>
            <w:div w:id="556474035">
              <w:marLeft w:val="0"/>
              <w:marRight w:val="0"/>
              <w:marTop w:val="0"/>
              <w:marBottom w:val="0"/>
              <w:divBdr>
                <w:top w:val="none" w:sz="0" w:space="0" w:color="auto"/>
                <w:left w:val="none" w:sz="0" w:space="0" w:color="auto"/>
                <w:bottom w:val="none" w:sz="0" w:space="0" w:color="auto"/>
                <w:right w:val="none" w:sz="0" w:space="0" w:color="auto"/>
              </w:divBdr>
              <w:divsChild>
                <w:div w:id="138307268">
                  <w:marLeft w:val="0"/>
                  <w:marRight w:val="0"/>
                  <w:marTop w:val="0"/>
                  <w:marBottom w:val="0"/>
                  <w:divBdr>
                    <w:top w:val="none" w:sz="0" w:space="0" w:color="auto"/>
                    <w:left w:val="none" w:sz="0" w:space="0" w:color="auto"/>
                    <w:bottom w:val="none" w:sz="0" w:space="0" w:color="auto"/>
                    <w:right w:val="none" w:sz="0" w:space="0" w:color="auto"/>
                  </w:divBdr>
                </w:div>
              </w:divsChild>
            </w:div>
            <w:div w:id="557934195">
              <w:marLeft w:val="0"/>
              <w:marRight w:val="0"/>
              <w:marTop w:val="0"/>
              <w:marBottom w:val="0"/>
              <w:divBdr>
                <w:top w:val="none" w:sz="0" w:space="0" w:color="auto"/>
                <w:left w:val="none" w:sz="0" w:space="0" w:color="auto"/>
                <w:bottom w:val="none" w:sz="0" w:space="0" w:color="auto"/>
                <w:right w:val="none" w:sz="0" w:space="0" w:color="auto"/>
              </w:divBdr>
              <w:divsChild>
                <w:div w:id="2107579685">
                  <w:marLeft w:val="0"/>
                  <w:marRight w:val="0"/>
                  <w:marTop w:val="0"/>
                  <w:marBottom w:val="0"/>
                  <w:divBdr>
                    <w:top w:val="none" w:sz="0" w:space="0" w:color="auto"/>
                    <w:left w:val="none" w:sz="0" w:space="0" w:color="auto"/>
                    <w:bottom w:val="none" w:sz="0" w:space="0" w:color="auto"/>
                    <w:right w:val="none" w:sz="0" w:space="0" w:color="auto"/>
                  </w:divBdr>
                </w:div>
              </w:divsChild>
            </w:div>
            <w:div w:id="558713518">
              <w:marLeft w:val="0"/>
              <w:marRight w:val="0"/>
              <w:marTop w:val="0"/>
              <w:marBottom w:val="0"/>
              <w:divBdr>
                <w:top w:val="none" w:sz="0" w:space="0" w:color="auto"/>
                <w:left w:val="none" w:sz="0" w:space="0" w:color="auto"/>
                <w:bottom w:val="none" w:sz="0" w:space="0" w:color="auto"/>
                <w:right w:val="none" w:sz="0" w:space="0" w:color="auto"/>
              </w:divBdr>
              <w:divsChild>
                <w:div w:id="1466778019">
                  <w:marLeft w:val="0"/>
                  <w:marRight w:val="0"/>
                  <w:marTop w:val="0"/>
                  <w:marBottom w:val="0"/>
                  <w:divBdr>
                    <w:top w:val="none" w:sz="0" w:space="0" w:color="auto"/>
                    <w:left w:val="none" w:sz="0" w:space="0" w:color="auto"/>
                    <w:bottom w:val="none" w:sz="0" w:space="0" w:color="auto"/>
                    <w:right w:val="none" w:sz="0" w:space="0" w:color="auto"/>
                  </w:divBdr>
                </w:div>
              </w:divsChild>
            </w:div>
            <w:div w:id="568003736">
              <w:marLeft w:val="0"/>
              <w:marRight w:val="0"/>
              <w:marTop w:val="0"/>
              <w:marBottom w:val="0"/>
              <w:divBdr>
                <w:top w:val="none" w:sz="0" w:space="0" w:color="auto"/>
                <w:left w:val="none" w:sz="0" w:space="0" w:color="auto"/>
                <w:bottom w:val="none" w:sz="0" w:space="0" w:color="auto"/>
                <w:right w:val="none" w:sz="0" w:space="0" w:color="auto"/>
              </w:divBdr>
              <w:divsChild>
                <w:div w:id="1124273370">
                  <w:marLeft w:val="0"/>
                  <w:marRight w:val="0"/>
                  <w:marTop w:val="0"/>
                  <w:marBottom w:val="0"/>
                  <w:divBdr>
                    <w:top w:val="none" w:sz="0" w:space="0" w:color="auto"/>
                    <w:left w:val="none" w:sz="0" w:space="0" w:color="auto"/>
                    <w:bottom w:val="none" w:sz="0" w:space="0" w:color="auto"/>
                    <w:right w:val="none" w:sz="0" w:space="0" w:color="auto"/>
                  </w:divBdr>
                </w:div>
              </w:divsChild>
            </w:div>
            <w:div w:id="570625148">
              <w:marLeft w:val="0"/>
              <w:marRight w:val="0"/>
              <w:marTop w:val="0"/>
              <w:marBottom w:val="0"/>
              <w:divBdr>
                <w:top w:val="none" w:sz="0" w:space="0" w:color="auto"/>
                <w:left w:val="none" w:sz="0" w:space="0" w:color="auto"/>
                <w:bottom w:val="none" w:sz="0" w:space="0" w:color="auto"/>
                <w:right w:val="none" w:sz="0" w:space="0" w:color="auto"/>
              </w:divBdr>
              <w:divsChild>
                <w:div w:id="2028628423">
                  <w:marLeft w:val="0"/>
                  <w:marRight w:val="0"/>
                  <w:marTop w:val="0"/>
                  <w:marBottom w:val="0"/>
                  <w:divBdr>
                    <w:top w:val="none" w:sz="0" w:space="0" w:color="auto"/>
                    <w:left w:val="none" w:sz="0" w:space="0" w:color="auto"/>
                    <w:bottom w:val="none" w:sz="0" w:space="0" w:color="auto"/>
                    <w:right w:val="none" w:sz="0" w:space="0" w:color="auto"/>
                  </w:divBdr>
                  <w:divsChild>
                    <w:div w:id="2100984460">
                      <w:marLeft w:val="0"/>
                      <w:marRight w:val="0"/>
                      <w:marTop w:val="0"/>
                      <w:marBottom w:val="0"/>
                      <w:divBdr>
                        <w:top w:val="none" w:sz="0" w:space="0" w:color="auto"/>
                        <w:left w:val="none" w:sz="0" w:space="0" w:color="auto"/>
                        <w:bottom w:val="none" w:sz="0" w:space="0" w:color="auto"/>
                        <w:right w:val="none" w:sz="0" w:space="0" w:color="auto"/>
                      </w:divBdr>
                      <w:divsChild>
                        <w:div w:id="4987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364890">
              <w:marLeft w:val="0"/>
              <w:marRight w:val="0"/>
              <w:marTop w:val="0"/>
              <w:marBottom w:val="0"/>
              <w:divBdr>
                <w:top w:val="none" w:sz="0" w:space="0" w:color="auto"/>
                <w:left w:val="none" w:sz="0" w:space="0" w:color="auto"/>
                <w:bottom w:val="none" w:sz="0" w:space="0" w:color="auto"/>
                <w:right w:val="none" w:sz="0" w:space="0" w:color="auto"/>
              </w:divBdr>
              <w:divsChild>
                <w:div w:id="944772372">
                  <w:marLeft w:val="0"/>
                  <w:marRight w:val="0"/>
                  <w:marTop w:val="0"/>
                  <w:marBottom w:val="0"/>
                  <w:divBdr>
                    <w:top w:val="none" w:sz="0" w:space="0" w:color="auto"/>
                    <w:left w:val="none" w:sz="0" w:space="0" w:color="auto"/>
                    <w:bottom w:val="none" w:sz="0" w:space="0" w:color="auto"/>
                    <w:right w:val="none" w:sz="0" w:space="0" w:color="auto"/>
                  </w:divBdr>
                </w:div>
              </w:divsChild>
            </w:div>
            <w:div w:id="582187094">
              <w:marLeft w:val="0"/>
              <w:marRight w:val="0"/>
              <w:marTop w:val="0"/>
              <w:marBottom w:val="0"/>
              <w:divBdr>
                <w:top w:val="none" w:sz="0" w:space="0" w:color="auto"/>
                <w:left w:val="none" w:sz="0" w:space="0" w:color="auto"/>
                <w:bottom w:val="none" w:sz="0" w:space="0" w:color="auto"/>
                <w:right w:val="none" w:sz="0" w:space="0" w:color="auto"/>
              </w:divBdr>
              <w:divsChild>
                <w:div w:id="342169432">
                  <w:marLeft w:val="0"/>
                  <w:marRight w:val="0"/>
                  <w:marTop w:val="0"/>
                  <w:marBottom w:val="0"/>
                  <w:divBdr>
                    <w:top w:val="none" w:sz="0" w:space="0" w:color="auto"/>
                    <w:left w:val="none" w:sz="0" w:space="0" w:color="auto"/>
                    <w:bottom w:val="none" w:sz="0" w:space="0" w:color="auto"/>
                    <w:right w:val="none" w:sz="0" w:space="0" w:color="auto"/>
                  </w:divBdr>
                </w:div>
              </w:divsChild>
            </w:div>
            <w:div w:id="584264267">
              <w:marLeft w:val="0"/>
              <w:marRight w:val="0"/>
              <w:marTop w:val="0"/>
              <w:marBottom w:val="0"/>
              <w:divBdr>
                <w:top w:val="none" w:sz="0" w:space="0" w:color="auto"/>
                <w:left w:val="none" w:sz="0" w:space="0" w:color="auto"/>
                <w:bottom w:val="none" w:sz="0" w:space="0" w:color="auto"/>
                <w:right w:val="none" w:sz="0" w:space="0" w:color="auto"/>
              </w:divBdr>
              <w:divsChild>
                <w:div w:id="580332928">
                  <w:marLeft w:val="0"/>
                  <w:marRight w:val="0"/>
                  <w:marTop w:val="0"/>
                  <w:marBottom w:val="0"/>
                  <w:divBdr>
                    <w:top w:val="none" w:sz="0" w:space="0" w:color="auto"/>
                    <w:left w:val="none" w:sz="0" w:space="0" w:color="auto"/>
                    <w:bottom w:val="none" w:sz="0" w:space="0" w:color="auto"/>
                    <w:right w:val="none" w:sz="0" w:space="0" w:color="auto"/>
                  </w:divBdr>
                </w:div>
              </w:divsChild>
            </w:div>
            <w:div w:id="589971235">
              <w:marLeft w:val="0"/>
              <w:marRight w:val="0"/>
              <w:marTop w:val="0"/>
              <w:marBottom w:val="0"/>
              <w:divBdr>
                <w:top w:val="none" w:sz="0" w:space="0" w:color="auto"/>
                <w:left w:val="none" w:sz="0" w:space="0" w:color="auto"/>
                <w:bottom w:val="none" w:sz="0" w:space="0" w:color="auto"/>
                <w:right w:val="none" w:sz="0" w:space="0" w:color="auto"/>
              </w:divBdr>
              <w:divsChild>
                <w:div w:id="1078019785">
                  <w:marLeft w:val="0"/>
                  <w:marRight w:val="0"/>
                  <w:marTop w:val="0"/>
                  <w:marBottom w:val="0"/>
                  <w:divBdr>
                    <w:top w:val="none" w:sz="0" w:space="0" w:color="auto"/>
                    <w:left w:val="none" w:sz="0" w:space="0" w:color="auto"/>
                    <w:bottom w:val="none" w:sz="0" w:space="0" w:color="auto"/>
                    <w:right w:val="none" w:sz="0" w:space="0" w:color="auto"/>
                  </w:divBdr>
                </w:div>
              </w:divsChild>
            </w:div>
            <w:div w:id="593787635">
              <w:marLeft w:val="0"/>
              <w:marRight w:val="0"/>
              <w:marTop w:val="0"/>
              <w:marBottom w:val="0"/>
              <w:divBdr>
                <w:top w:val="none" w:sz="0" w:space="0" w:color="auto"/>
                <w:left w:val="none" w:sz="0" w:space="0" w:color="auto"/>
                <w:bottom w:val="none" w:sz="0" w:space="0" w:color="auto"/>
                <w:right w:val="none" w:sz="0" w:space="0" w:color="auto"/>
              </w:divBdr>
              <w:divsChild>
                <w:div w:id="433592406">
                  <w:marLeft w:val="0"/>
                  <w:marRight w:val="0"/>
                  <w:marTop w:val="0"/>
                  <w:marBottom w:val="0"/>
                  <w:divBdr>
                    <w:top w:val="none" w:sz="0" w:space="0" w:color="auto"/>
                    <w:left w:val="none" w:sz="0" w:space="0" w:color="auto"/>
                    <w:bottom w:val="none" w:sz="0" w:space="0" w:color="auto"/>
                    <w:right w:val="none" w:sz="0" w:space="0" w:color="auto"/>
                  </w:divBdr>
                </w:div>
              </w:divsChild>
            </w:div>
            <w:div w:id="594703882">
              <w:marLeft w:val="0"/>
              <w:marRight w:val="0"/>
              <w:marTop w:val="0"/>
              <w:marBottom w:val="0"/>
              <w:divBdr>
                <w:top w:val="none" w:sz="0" w:space="0" w:color="auto"/>
                <w:left w:val="none" w:sz="0" w:space="0" w:color="auto"/>
                <w:bottom w:val="none" w:sz="0" w:space="0" w:color="auto"/>
                <w:right w:val="none" w:sz="0" w:space="0" w:color="auto"/>
              </w:divBdr>
              <w:divsChild>
                <w:div w:id="610361608">
                  <w:marLeft w:val="0"/>
                  <w:marRight w:val="0"/>
                  <w:marTop w:val="0"/>
                  <w:marBottom w:val="0"/>
                  <w:divBdr>
                    <w:top w:val="none" w:sz="0" w:space="0" w:color="auto"/>
                    <w:left w:val="none" w:sz="0" w:space="0" w:color="auto"/>
                    <w:bottom w:val="none" w:sz="0" w:space="0" w:color="auto"/>
                    <w:right w:val="none" w:sz="0" w:space="0" w:color="auto"/>
                  </w:divBdr>
                </w:div>
              </w:divsChild>
            </w:div>
            <w:div w:id="597714610">
              <w:marLeft w:val="0"/>
              <w:marRight w:val="0"/>
              <w:marTop w:val="0"/>
              <w:marBottom w:val="0"/>
              <w:divBdr>
                <w:top w:val="none" w:sz="0" w:space="0" w:color="auto"/>
                <w:left w:val="none" w:sz="0" w:space="0" w:color="auto"/>
                <w:bottom w:val="none" w:sz="0" w:space="0" w:color="auto"/>
                <w:right w:val="none" w:sz="0" w:space="0" w:color="auto"/>
              </w:divBdr>
              <w:divsChild>
                <w:div w:id="1856071044">
                  <w:marLeft w:val="0"/>
                  <w:marRight w:val="0"/>
                  <w:marTop w:val="0"/>
                  <w:marBottom w:val="0"/>
                  <w:divBdr>
                    <w:top w:val="none" w:sz="0" w:space="0" w:color="auto"/>
                    <w:left w:val="none" w:sz="0" w:space="0" w:color="auto"/>
                    <w:bottom w:val="none" w:sz="0" w:space="0" w:color="auto"/>
                    <w:right w:val="none" w:sz="0" w:space="0" w:color="auto"/>
                  </w:divBdr>
                </w:div>
              </w:divsChild>
            </w:div>
            <w:div w:id="597720357">
              <w:marLeft w:val="0"/>
              <w:marRight w:val="0"/>
              <w:marTop w:val="0"/>
              <w:marBottom w:val="0"/>
              <w:divBdr>
                <w:top w:val="none" w:sz="0" w:space="0" w:color="auto"/>
                <w:left w:val="none" w:sz="0" w:space="0" w:color="auto"/>
                <w:bottom w:val="none" w:sz="0" w:space="0" w:color="auto"/>
                <w:right w:val="none" w:sz="0" w:space="0" w:color="auto"/>
              </w:divBdr>
              <w:divsChild>
                <w:div w:id="1177579972">
                  <w:marLeft w:val="0"/>
                  <w:marRight w:val="0"/>
                  <w:marTop w:val="0"/>
                  <w:marBottom w:val="0"/>
                  <w:divBdr>
                    <w:top w:val="none" w:sz="0" w:space="0" w:color="auto"/>
                    <w:left w:val="none" w:sz="0" w:space="0" w:color="auto"/>
                    <w:bottom w:val="none" w:sz="0" w:space="0" w:color="auto"/>
                    <w:right w:val="none" w:sz="0" w:space="0" w:color="auto"/>
                  </w:divBdr>
                </w:div>
              </w:divsChild>
            </w:div>
            <w:div w:id="599918379">
              <w:marLeft w:val="0"/>
              <w:marRight w:val="0"/>
              <w:marTop w:val="0"/>
              <w:marBottom w:val="0"/>
              <w:divBdr>
                <w:top w:val="none" w:sz="0" w:space="0" w:color="auto"/>
                <w:left w:val="none" w:sz="0" w:space="0" w:color="auto"/>
                <w:bottom w:val="none" w:sz="0" w:space="0" w:color="auto"/>
                <w:right w:val="none" w:sz="0" w:space="0" w:color="auto"/>
              </w:divBdr>
              <w:divsChild>
                <w:div w:id="2035301371">
                  <w:marLeft w:val="0"/>
                  <w:marRight w:val="0"/>
                  <w:marTop w:val="0"/>
                  <w:marBottom w:val="0"/>
                  <w:divBdr>
                    <w:top w:val="none" w:sz="0" w:space="0" w:color="auto"/>
                    <w:left w:val="none" w:sz="0" w:space="0" w:color="auto"/>
                    <w:bottom w:val="none" w:sz="0" w:space="0" w:color="auto"/>
                    <w:right w:val="none" w:sz="0" w:space="0" w:color="auto"/>
                  </w:divBdr>
                </w:div>
              </w:divsChild>
            </w:div>
            <w:div w:id="604922594">
              <w:marLeft w:val="0"/>
              <w:marRight w:val="0"/>
              <w:marTop w:val="0"/>
              <w:marBottom w:val="0"/>
              <w:divBdr>
                <w:top w:val="none" w:sz="0" w:space="0" w:color="auto"/>
                <w:left w:val="none" w:sz="0" w:space="0" w:color="auto"/>
                <w:bottom w:val="none" w:sz="0" w:space="0" w:color="auto"/>
                <w:right w:val="none" w:sz="0" w:space="0" w:color="auto"/>
              </w:divBdr>
              <w:divsChild>
                <w:div w:id="2143837812">
                  <w:marLeft w:val="0"/>
                  <w:marRight w:val="0"/>
                  <w:marTop w:val="0"/>
                  <w:marBottom w:val="0"/>
                  <w:divBdr>
                    <w:top w:val="none" w:sz="0" w:space="0" w:color="auto"/>
                    <w:left w:val="none" w:sz="0" w:space="0" w:color="auto"/>
                    <w:bottom w:val="none" w:sz="0" w:space="0" w:color="auto"/>
                    <w:right w:val="none" w:sz="0" w:space="0" w:color="auto"/>
                  </w:divBdr>
                </w:div>
              </w:divsChild>
            </w:div>
            <w:div w:id="605650242">
              <w:marLeft w:val="0"/>
              <w:marRight w:val="0"/>
              <w:marTop w:val="0"/>
              <w:marBottom w:val="0"/>
              <w:divBdr>
                <w:top w:val="none" w:sz="0" w:space="0" w:color="auto"/>
                <w:left w:val="none" w:sz="0" w:space="0" w:color="auto"/>
                <w:bottom w:val="none" w:sz="0" w:space="0" w:color="auto"/>
                <w:right w:val="none" w:sz="0" w:space="0" w:color="auto"/>
              </w:divBdr>
              <w:divsChild>
                <w:div w:id="974144834">
                  <w:marLeft w:val="0"/>
                  <w:marRight w:val="0"/>
                  <w:marTop w:val="0"/>
                  <w:marBottom w:val="0"/>
                  <w:divBdr>
                    <w:top w:val="none" w:sz="0" w:space="0" w:color="auto"/>
                    <w:left w:val="none" w:sz="0" w:space="0" w:color="auto"/>
                    <w:bottom w:val="none" w:sz="0" w:space="0" w:color="auto"/>
                    <w:right w:val="none" w:sz="0" w:space="0" w:color="auto"/>
                  </w:divBdr>
                </w:div>
              </w:divsChild>
            </w:div>
            <w:div w:id="607933189">
              <w:marLeft w:val="0"/>
              <w:marRight w:val="0"/>
              <w:marTop w:val="0"/>
              <w:marBottom w:val="0"/>
              <w:divBdr>
                <w:top w:val="none" w:sz="0" w:space="0" w:color="auto"/>
                <w:left w:val="none" w:sz="0" w:space="0" w:color="auto"/>
                <w:bottom w:val="none" w:sz="0" w:space="0" w:color="auto"/>
                <w:right w:val="none" w:sz="0" w:space="0" w:color="auto"/>
              </w:divBdr>
              <w:divsChild>
                <w:div w:id="701786344">
                  <w:marLeft w:val="0"/>
                  <w:marRight w:val="0"/>
                  <w:marTop w:val="0"/>
                  <w:marBottom w:val="0"/>
                  <w:divBdr>
                    <w:top w:val="none" w:sz="0" w:space="0" w:color="auto"/>
                    <w:left w:val="none" w:sz="0" w:space="0" w:color="auto"/>
                    <w:bottom w:val="none" w:sz="0" w:space="0" w:color="auto"/>
                    <w:right w:val="none" w:sz="0" w:space="0" w:color="auto"/>
                  </w:divBdr>
                </w:div>
              </w:divsChild>
            </w:div>
            <w:div w:id="612906597">
              <w:marLeft w:val="0"/>
              <w:marRight w:val="0"/>
              <w:marTop w:val="0"/>
              <w:marBottom w:val="0"/>
              <w:divBdr>
                <w:top w:val="none" w:sz="0" w:space="0" w:color="auto"/>
                <w:left w:val="none" w:sz="0" w:space="0" w:color="auto"/>
                <w:bottom w:val="none" w:sz="0" w:space="0" w:color="auto"/>
                <w:right w:val="none" w:sz="0" w:space="0" w:color="auto"/>
              </w:divBdr>
              <w:divsChild>
                <w:div w:id="1405496421">
                  <w:marLeft w:val="0"/>
                  <w:marRight w:val="0"/>
                  <w:marTop w:val="0"/>
                  <w:marBottom w:val="0"/>
                  <w:divBdr>
                    <w:top w:val="none" w:sz="0" w:space="0" w:color="auto"/>
                    <w:left w:val="none" w:sz="0" w:space="0" w:color="auto"/>
                    <w:bottom w:val="none" w:sz="0" w:space="0" w:color="auto"/>
                    <w:right w:val="none" w:sz="0" w:space="0" w:color="auto"/>
                  </w:divBdr>
                </w:div>
              </w:divsChild>
            </w:div>
            <w:div w:id="614219208">
              <w:marLeft w:val="0"/>
              <w:marRight w:val="0"/>
              <w:marTop w:val="0"/>
              <w:marBottom w:val="0"/>
              <w:divBdr>
                <w:top w:val="none" w:sz="0" w:space="0" w:color="auto"/>
                <w:left w:val="none" w:sz="0" w:space="0" w:color="auto"/>
                <w:bottom w:val="none" w:sz="0" w:space="0" w:color="auto"/>
                <w:right w:val="none" w:sz="0" w:space="0" w:color="auto"/>
              </w:divBdr>
              <w:divsChild>
                <w:div w:id="195509643">
                  <w:marLeft w:val="0"/>
                  <w:marRight w:val="0"/>
                  <w:marTop w:val="0"/>
                  <w:marBottom w:val="0"/>
                  <w:divBdr>
                    <w:top w:val="none" w:sz="0" w:space="0" w:color="auto"/>
                    <w:left w:val="none" w:sz="0" w:space="0" w:color="auto"/>
                    <w:bottom w:val="none" w:sz="0" w:space="0" w:color="auto"/>
                    <w:right w:val="none" w:sz="0" w:space="0" w:color="auto"/>
                  </w:divBdr>
                </w:div>
              </w:divsChild>
            </w:div>
            <w:div w:id="618487860">
              <w:marLeft w:val="0"/>
              <w:marRight w:val="0"/>
              <w:marTop w:val="0"/>
              <w:marBottom w:val="0"/>
              <w:divBdr>
                <w:top w:val="none" w:sz="0" w:space="0" w:color="auto"/>
                <w:left w:val="none" w:sz="0" w:space="0" w:color="auto"/>
                <w:bottom w:val="none" w:sz="0" w:space="0" w:color="auto"/>
                <w:right w:val="none" w:sz="0" w:space="0" w:color="auto"/>
              </w:divBdr>
              <w:divsChild>
                <w:div w:id="1925527890">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395907184">
                  <w:marLeft w:val="0"/>
                  <w:marRight w:val="0"/>
                  <w:marTop w:val="0"/>
                  <w:marBottom w:val="0"/>
                  <w:divBdr>
                    <w:top w:val="none" w:sz="0" w:space="0" w:color="auto"/>
                    <w:left w:val="none" w:sz="0" w:space="0" w:color="auto"/>
                    <w:bottom w:val="none" w:sz="0" w:space="0" w:color="auto"/>
                    <w:right w:val="none" w:sz="0" w:space="0" w:color="auto"/>
                  </w:divBdr>
                </w:div>
              </w:divsChild>
            </w:div>
            <w:div w:id="627509870">
              <w:marLeft w:val="0"/>
              <w:marRight w:val="0"/>
              <w:marTop w:val="0"/>
              <w:marBottom w:val="0"/>
              <w:divBdr>
                <w:top w:val="none" w:sz="0" w:space="0" w:color="auto"/>
                <w:left w:val="none" w:sz="0" w:space="0" w:color="auto"/>
                <w:bottom w:val="none" w:sz="0" w:space="0" w:color="auto"/>
                <w:right w:val="none" w:sz="0" w:space="0" w:color="auto"/>
              </w:divBdr>
              <w:divsChild>
                <w:div w:id="2013214531">
                  <w:marLeft w:val="0"/>
                  <w:marRight w:val="0"/>
                  <w:marTop w:val="0"/>
                  <w:marBottom w:val="0"/>
                  <w:divBdr>
                    <w:top w:val="none" w:sz="0" w:space="0" w:color="auto"/>
                    <w:left w:val="none" w:sz="0" w:space="0" w:color="auto"/>
                    <w:bottom w:val="none" w:sz="0" w:space="0" w:color="auto"/>
                    <w:right w:val="none" w:sz="0" w:space="0" w:color="auto"/>
                  </w:divBdr>
                </w:div>
              </w:divsChild>
            </w:div>
            <w:div w:id="627667890">
              <w:marLeft w:val="0"/>
              <w:marRight w:val="0"/>
              <w:marTop w:val="0"/>
              <w:marBottom w:val="0"/>
              <w:divBdr>
                <w:top w:val="none" w:sz="0" w:space="0" w:color="auto"/>
                <w:left w:val="none" w:sz="0" w:space="0" w:color="auto"/>
                <w:bottom w:val="none" w:sz="0" w:space="0" w:color="auto"/>
                <w:right w:val="none" w:sz="0" w:space="0" w:color="auto"/>
              </w:divBdr>
              <w:divsChild>
                <w:div w:id="662315872">
                  <w:marLeft w:val="0"/>
                  <w:marRight w:val="0"/>
                  <w:marTop w:val="0"/>
                  <w:marBottom w:val="0"/>
                  <w:divBdr>
                    <w:top w:val="none" w:sz="0" w:space="0" w:color="auto"/>
                    <w:left w:val="none" w:sz="0" w:space="0" w:color="auto"/>
                    <w:bottom w:val="none" w:sz="0" w:space="0" w:color="auto"/>
                    <w:right w:val="none" w:sz="0" w:space="0" w:color="auto"/>
                  </w:divBdr>
                </w:div>
              </w:divsChild>
            </w:div>
            <w:div w:id="630017438">
              <w:marLeft w:val="0"/>
              <w:marRight w:val="0"/>
              <w:marTop w:val="300"/>
              <w:marBottom w:val="300"/>
              <w:divBdr>
                <w:top w:val="none" w:sz="0" w:space="0" w:color="auto"/>
                <w:left w:val="none" w:sz="0" w:space="0" w:color="auto"/>
                <w:bottom w:val="none" w:sz="0" w:space="0" w:color="auto"/>
                <w:right w:val="none" w:sz="0" w:space="0" w:color="auto"/>
              </w:divBdr>
            </w:div>
            <w:div w:id="633800156">
              <w:marLeft w:val="0"/>
              <w:marRight w:val="0"/>
              <w:marTop w:val="0"/>
              <w:marBottom w:val="0"/>
              <w:divBdr>
                <w:top w:val="none" w:sz="0" w:space="0" w:color="auto"/>
                <w:left w:val="none" w:sz="0" w:space="0" w:color="auto"/>
                <w:bottom w:val="none" w:sz="0" w:space="0" w:color="auto"/>
                <w:right w:val="none" w:sz="0" w:space="0" w:color="auto"/>
              </w:divBdr>
              <w:divsChild>
                <w:div w:id="948588314">
                  <w:marLeft w:val="0"/>
                  <w:marRight w:val="0"/>
                  <w:marTop w:val="0"/>
                  <w:marBottom w:val="0"/>
                  <w:divBdr>
                    <w:top w:val="none" w:sz="0" w:space="0" w:color="auto"/>
                    <w:left w:val="none" w:sz="0" w:space="0" w:color="auto"/>
                    <w:bottom w:val="none" w:sz="0" w:space="0" w:color="auto"/>
                    <w:right w:val="none" w:sz="0" w:space="0" w:color="auto"/>
                  </w:divBdr>
                </w:div>
              </w:divsChild>
            </w:div>
            <w:div w:id="634678362">
              <w:marLeft w:val="0"/>
              <w:marRight w:val="0"/>
              <w:marTop w:val="0"/>
              <w:marBottom w:val="0"/>
              <w:divBdr>
                <w:top w:val="none" w:sz="0" w:space="0" w:color="auto"/>
                <w:left w:val="none" w:sz="0" w:space="0" w:color="auto"/>
                <w:bottom w:val="none" w:sz="0" w:space="0" w:color="auto"/>
                <w:right w:val="none" w:sz="0" w:space="0" w:color="auto"/>
              </w:divBdr>
              <w:divsChild>
                <w:div w:id="1601067996">
                  <w:marLeft w:val="0"/>
                  <w:marRight w:val="0"/>
                  <w:marTop w:val="0"/>
                  <w:marBottom w:val="0"/>
                  <w:divBdr>
                    <w:top w:val="none" w:sz="0" w:space="0" w:color="auto"/>
                    <w:left w:val="none" w:sz="0" w:space="0" w:color="auto"/>
                    <w:bottom w:val="none" w:sz="0" w:space="0" w:color="auto"/>
                    <w:right w:val="none" w:sz="0" w:space="0" w:color="auto"/>
                  </w:divBdr>
                </w:div>
              </w:divsChild>
            </w:div>
            <w:div w:id="637691616">
              <w:marLeft w:val="0"/>
              <w:marRight w:val="0"/>
              <w:marTop w:val="0"/>
              <w:marBottom w:val="0"/>
              <w:divBdr>
                <w:top w:val="none" w:sz="0" w:space="0" w:color="auto"/>
                <w:left w:val="none" w:sz="0" w:space="0" w:color="auto"/>
                <w:bottom w:val="none" w:sz="0" w:space="0" w:color="auto"/>
                <w:right w:val="none" w:sz="0" w:space="0" w:color="auto"/>
              </w:divBdr>
              <w:divsChild>
                <w:div w:id="1758555718">
                  <w:marLeft w:val="0"/>
                  <w:marRight w:val="0"/>
                  <w:marTop w:val="0"/>
                  <w:marBottom w:val="0"/>
                  <w:divBdr>
                    <w:top w:val="none" w:sz="0" w:space="0" w:color="auto"/>
                    <w:left w:val="none" w:sz="0" w:space="0" w:color="auto"/>
                    <w:bottom w:val="none" w:sz="0" w:space="0" w:color="auto"/>
                    <w:right w:val="none" w:sz="0" w:space="0" w:color="auto"/>
                  </w:divBdr>
                </w:div>
              </w:divsChild>
            </w:div>
            <w:div w:id="640118287">
              <w:marLeft w:val="0"/>
              <w:marRight w:val="0"/>
              <w:marTop w:val="0"/>
              <w:marBottom w:val="0"/>
              <w:divBdr>
                <w:top w:val="none" w:sz="0" w:space="0" w:color="auto"/>
                <w:left w:val="none" w:sz="0" w:space="0" w:color="auto"/>
                <w:bottom w:val="none" w:sz="0" w:space="0" w:color="auto"/>
                <w:right w:val="none" w:sz="0" w:space="0" w:color="auto"/>
              </w:divBdr>
              <w:divsChild>
                <w:div w:id="1907302283">
                  <w:marLeft w:val="0"/>
                  <w:marRight w:val="0"/>
                  <w:marTop w:val="0"/>
                  <w:marBottom w:val="0"/>
                  <w:divBdr>
                    <w:top w:val="none" w:sz="0" w:space="0" w:color="auto"/>
                    <w:left w:val="none" w:sz="0" w:space="0" w:color="auto"/>
                    <w:bottom w:val="none" w:sz="0" w:space="0" w:color="auto"/>
                    <w:right w:val="none" w:sz="0" w:space="0" w:color="auto"/>
                  </w:divBdr>
                </w:div>
              </w:divsChild>
            </w:div>
            <w:div w:id="644433941">
              <w:marLeft w:val="0"/>
              <w:marRight w:val="0"/>
              <w:marTop w:val="0"/>
              <w:marBottom w:val="0"/>
              <w:divBdr>
                <w:top w:val="none" w:sz="0" w:space="0" w:color="auto"/>
                <w:left w:val="none" w:sz="0" w:space="0" w:color="auto"/>
                <w:bottom w:val="none" w:sz="0" w:space="0" w:color="auto"/>
                <w:right w:val="none" w:sz="0" w:space="0" w:color="auto"/>
              </w:divBdr>
              <w:divsChild>
                <w:div w:id="2011443311">
                  <w:marLeft w:val="0"/>
                  <w:marRight w:val="0"/>
                  <w:marTop w:val="0"/>
                  <w:marBottom w:val="0"/>
                  <w:divBdr>
                    <w:top w:val="none" w:sz="0" w:space="0" w:color="auto"/>
                    <w:left w:val="none" w:sz="0" w:space="0" w:color="auto"/>
                    <w:bottom w:val="none" w:sz="0" w:space="0" w:color="auto"/>
                    <w:right w:val="none" w:sz="0" w:space="0" w:color="auto"/>
                  </w:divBdr>
                </w:div>
              </w:divsChild>
            </w:div>
            <w:div w:id="648049336">
              <w:marLeft w:val="0"/>
              <w:marRight w:val="0"/>
              <w:marTop w:val="300"/>
              <w:marBottom w:val="300"/>
              <w:divBdr>
                <w:top w:val="none" w:sz="0" w:space="0" w:color="auto"/>
                <w:left w:val="none" w:sz="0" w:space="0" w:color="auto"/>
                <w:bottom w:val="none" w:sz="0" w:space="0" w:color="auto"/>
                <w:right w:val="none" w:sz="0" w:space="0" w:color="auto"/>
              </w:divBdr>
            </w:div>
            <w:div w:id="652173295">
              <w:marLeft w:val="0"/>
              <w:marRight w:val="0"/>
              <w:marTop w:val="0"/>
              <w:marBottom w:val="0"/>
              <w:divBdr>
                <w:top w:val="none" w:sz="0" w:space="0" w:color="auto"/>
                <w:left w:val="none" w:sz="0" w:space="0" w:color="auto"/>
                <w:bottom w:val="none" w:sz="0" w:space="0" w:color="auto"/>
                <w:right w:val="none" w:sz="0" w:space="0" w:color="auto"/>
              </w:divBdr>
              <w:divsChild>
                <w:div w:id="1625844437">
                  <w:marLeft w:val="0"/>
                  <w:marRight w:val="0"/>
                  <w:marTop w:val="0"/>
                  <w:marBottom w:val="0"/>
                  <w:divBdr>
                    <w:top w:val="none" w:sz="0" w:space="0" w:color="auto"/>
                    <w:left w:val="none" w:sz="0" w:space="0" w:color="auto"/>
                    <w:bottom w:val="none" w:sz="0" w:space="0" w:color="auto"/>
                    <w:right w:val="none" w:sz="0" w:space="0" w:color="auto"/>
                  </w:divBdr>
                </w:div>
              </w:divsChild>
            </w:div>
            <w:div w:id="655688531">
              <w:marLeft w:val="0"/>
              <w:marRight w:val="0"/>
              <w:marTop w:val="0"/>
              <w:marBottom w:val="0"/>
              <w:divBdr>
                <w:top w:val="none" w:sz="0" w:space="0" w:color="auto"/>
                <w:left w:val="none" w:sz="0" w:space="0" w:color="auto"/>
                <w:bottom w:val="none" w:sz="0" w:space="0" w:color="auto"/>
                <w:right w:val="none" w:sz="0" w:space="0" w:color="auto"/>
              </w:divBdr>
              <w:divsChild>
                <w:div w:id="998270891">
                  <w:marLeft w:val="0"/>
                  <w:marRight w:val="0"/>
                  <w:marTop w:val="0"/>
                  <w:marBottom w:val="0"/>
                  <w:divBdr>
                    <w:top w:val="none" w:sz="0" w:space="0" w:color="auto"/>
                    <w:left w:val="none" w:sz="0" w:space="0" w:color="auto"/>
                    <w:bottom w:val="none" w:sz="0" w:space="0" w:color="auto"/>
                    <w:right w:val="none" w:sz="0" w:space="0" w:color="auto"/>
                  </w:divBdr>
                </w:div>
              </w:divsChild>
            </w:div>
            <w:div w:id="659430234">
              <w:marLeft w:val="0"/>
              <w:marRight w:val="0"/>
              <w:marTop w:val="0"/>
              <w:marBottom w:val="0"/>
              <w:divBdr>
                <w:top w:val="none" w:sz="0" w:space="0" w:color="auto"/>
                <w:left w:val="none" w:sz="0" w:space="0" w:color="auto"/>
                <w:bottom w:val="none" w:sz="0" w:space="0" w:color="auto"/>
                <w:right w:val="none" w:sz="0" w:space="0" w:color="auto"/>
              </w:divBdr>
              <w:divsChild>
                <w:div w:id="877352196">
                  <w:marLeft w:val="0"/>
                  <w:marRight w:val="0"/>
                  <w:marTop w:val="0"/>
                  <w:marBottom w:val="0"/>
                  <w:divBdr>
                    <w:top w:val="none" w:sz="0" w:space="0" w:color="auto"/>
                    <w:left w:val="none" w:sz="0" w:space="0" w:color="auto"/>
                    <w:bottom w:val="none" w:sz="0" w:space="0" w:color="auto"/>
                    <w:right w:val="none" w:sz="0" w:space="0" w:color="auto"/>
                  </w:divBdr>
                </w:div>
              </w:divsChild>
            </w:div>
            <w:div w:id="666203883">
              <w:marLeft w:val="0"/>
              <w:marRight w:val="0"/>
              <w:marTop w:val="300"/>
              <w:marBottom w:val="300"/>
              <w:divBdr>
                <w:top w:val="none" w:sz="0" w:space="0" w:color="auto"/>
                <w:left w:val="none" w:sz="0" w:space="0" w:color="auto"/>
                <w:bottom w:val="none" w:sz="0" w:space="0" w:color="auto"/>
                <w:right w:val="none" w:sz="0" w:space="0" w:color="auto"/>
              </w:divBdr>
            </w:div>
            <w:div w:id="666204588">
              <w:marLeft w:val="0"/>
              <w:marRight w:val="0"/>
              <w:marTop w:val="0"/>
              <w:marBottom w:val="0"/>
              <w:divBdr>
                <w:top w:val="none" w:sz="0" w:space="0" w:color="auto"/>
                <w:left w:val="none" w:sz="0" w:space="0" w:color="auto"/>
                <w:bottom w:val="none" w:sz="0" w:space="0" w:color="auto"/>
                <w:right w:val="none" w:sz="0" w:space="0" w:color="auto"/>
              </w:divBdr>
              <w:divsChild>
                <w:div w:id="1291935862">
                  <w:marLeft w:val="0"/>
                  <w:marRight w:val="0"/>
                  <w:marTop w:val="0"/>
                  <w:marBottom w:val="0"/>
                  <w:divBdr>
                    <w:top w:val="none" w:sz="0" w:space="0" w:color="auto"/>
                    <w:left w:val="none" w:sz="0" w:space="0" w:color="auto"/>
                    <w:bottom w:val="none" w:sz="0" w:space="0" w:color="auto"/>
                    <w:right w:val="none" w:sz="0" w:space="0" w:color="auto"/>
                  </w:divBdr>
                </w:div>
              </w:divsChild>
            </w:div>
            <w:div w:id="666792237">
              <w:marLeft w:val="0"/>
              <w:marRight w:val="0"/>
              <w:marTop w:val="300"/>
              <w:marBottom w:val="300"/>
              <w:divBdr>
                <w:top w:val="none" w:sz="0" w:space="0" w:color="auto"/>
                <w:left w:val="none" w:sz="0" w:space="0" w:color="auto"/>
                <w:bottom w:val="none" w:sz="0" w:space="0" w:color="auto"/>
                <w:right w:val="none" w:sz="0" w:space="0" w:color="auto"/>
              </w:divBdr>
            </w:div>
            <w:div w:id="669063291">
              <w:marLeft w:val="0"/>
              <w:marRight w:val="0"/>
              <w:marTop w:val="0"/>
              <w:marBottom w:val="0"/>
              <w:divBdr>
                <w:top w:val="none" w:sz="0" w:space="0" w:color="auto"/>
                <w:left w:val="none" w:sz="0" w:space="0" w:color="auto"/>
                <w:bottom w:val="none" w:sz="0" w:space="0" w:color="auto"/>
                <w:right w:val="none" w:sz="0" w:space="0" w:color="auto"/>
              </w:divBdr>
              <w:divsChild>
                <w:div w:id="188876818">
                  <w:marLeft w:val="0"/>
                  <w:marRight w:val="0"/>
                  <w:marTop w:val="0"/>
                  <w:marBottom w:val="0"/>
                  <w:divBdr>
                    <w:top w:val="none" w:sz="0" w:space="0" w:color="auto"/>
                    <w:left w:val="none" w:sz="0" w:space="0" w:color="auto"/>
                    <w:bottom w:val="none" w:sz="0" w:space="0" w:color="auto"/>
                    <w:right w:val="none" w:sz="0" w:space="0" w:color="auto"/>
                  </w:divBdr>
                </w:div>
              </w:divsChild>
            </w:div>
            <w:div w:id="669256894">
              <w:marLeft w:val="0"/>
              <w:marRight w:val="0"/>
              <w:marTop w:val="0"/>
              <w:marBottom w:val="0"/>
              <w:divBdr>
                <w:top w:val="none" w:sz="0" w:space="0" w:color="auto"/>
                <w:left w:val="none" w:sz="0" w:space="0" w:color="auto"/>
                <w:bottom w:val="none" w:sz="0" w:space="0" w:color="auto"/>
                <w:right w:val="none" w:sz="0" w:space="0" w:color="auto"/>
              </w:divBdr>
              <w:divsChild>
                <w:div w:id="1108158685">
                  <w:marLeft w:val="0"/>
                  <w:marRight w:val="0"/>
                  <w:marTop w:val="0"/>
                  <w:marBottom w:val="0"/>
                  <w:divBdr>
                    <w:top w:val="none" w:sz="0" w:space="0" w:color="auto"/>
                    <w:left w:val="none" w:sz="0" w:space="0" w:color="auto"/>
                    <w:bottom w:val="none" w:sz="0" w:space="0" w:color="auto"/>
                    <w:right w:val="none" w:sz="0" w:space="0" w:color="auto"/>
                  </w:divBdr>
                </w:div>
              </w:divsChild>
            </w:div>
            <w:div w:id="674845818">
              <w:marLeft w:val="0"/>
              <w:marRight w:val="0"/>
              <w:marTop w:val="0"/>
              <w:marBottom w:val="0"/>
              <w:divBdr>
                <w:top w:val="none" w:sz="0" w:space="0" w:color="auto"/>
                <w:left w:val="none" w:sz="0" w:space="0" w:color="auto"/>
                <w:bottom w:val="none" w:sz="0" w:space="0" w:color="auto"/>
                <w:right w:val="none" w:sz="0" w:space="0" w:color="auto"/>
              </w:divBdr>
              <w:divsChild>
                <w:div w:id="601835623">
                  <w:marLeft w:val="0"/>
                  <w:marRight w:val="0"/>
                  <w:marTop w:val="0"/>
                  <w:marBottom w:val="0"/>
                  <w:divBdr>
                    <w:top w:val="none" w:sz="0" w:space="0" w:color="auto"/>
                    <w:left w:val="none" w:sz="0" w:space="0" w:color="auto"/>
                    <w:bottom w:val="none" w:sz="0" w:space="0" w:color="auto"/>
                    <w:right w:val="none" w:sz="0" w:space="0" w:color="auto"/>
                  </w:divBdr>
                </w:div>
              </w:divsChild>
            </w:div>
            <w:div w:id="681780356">
              <w:marLeft w:val="0"/>
              <w:marRight w:val="0"/>
              <w:marTop w:val="0"/>
              <w:marBottom w:val="0"/>
              <w:divBdr>
                <w:top w:val="none" w:sz="0" w:space="0" w:color="auto"/>
                <w:left w:val="none" w:sz="0" w:space="0" w:color="auto"/>
                <w:bottom w:val="none" w:sz="0" w:space="0" w:color="auto"/>
                <w:right w:val="none" w:sz="0" w:space="0" w:color="auto"/>
              </w:divBdr>
              <w:divsChild>
                <w:div w:id="435640107">
                  <w:marLeft w:val="0"/>
                  <w:marRight w:val="0"/>
                  <w:marTop w:val="0"/>
                  <w:marBottom w:val="0"/>
                  <w:divBdr>
                    <w:top w:val="none" w:sz="0" w:space="0" w:color="auto"/>
                    <w:left w:val="none" w:sz="0" w:space="0" w:color="auto"/>
                    <w:bottom w:val="none" w:sz="0" w:space="0" w:color="auto"/>
                    <w:right w:val="none" w:sz="0" w:space="0" w:color="auto"/>
                  </w:divBdr>
                </w:div>
              </w:divsChild>
            </w:div>
            <w:div w:id="682558764">
              <w:marLeft w:val="0"/>
              <w:marRight w:val="0"/>
              <w:marTop w:val="0"/>
              <w:marBottom w:val="0"/>
              <w:divBdr>
                <w:top w:val="none" w:sz="0" w:space="0" w:color="auto"/>
                <w:left w:val="none" w:sz="0" w:space="0" w:color="auto"/>
                <w:bottom w:val="none" w:sz="0" w:space="0" w:color="auto"/>
                <w:right w:val="none" w:sz="0" w:space="0" w:color="auto"/>
              </w:divBdr>
              <w:divsChild>
                <w:div w:id="613250561">
                  <w:marLeft w:val="0"/>
                  <w:marRight w:val="0"/>
                  <w:marTop w:val="0"/>
                  <w:marBottom w:val="0"/>
                  <w:divBdr>
                    <w:top w:val="none" w:sz="0" w:space="0" w:color="auto"/>
                    <w:left w:val="none" w:sz="0" w:space="0" w:color="auto"/>
                    <w:bottom w:val="none" w:sz="0" w:space="0" w:color="auto"/>
                    <w:right w:val="none" w:sz="0" w:space="0" w:color="auto"/>
                  </w:divBdr>
                </w:div>
              </w:divsChild>
            </w:div>
            <w:div w:id="682977496">
              <w:marLeft w:val="0"/>
              <w:marRight w:val="0"/>
              <w:marTop w:val="0"/>
              <w:marBottom w:val="0"/>
              <w:divBdr>
                <w:top w:val="none" w:sz="0" w:space="0" w:color="auto"/>
                <w:left w:val="none" w:sz="0" w:space="0" w:color="auto"/>
                <w:bottom w:val="none" w:sz="0" w:space="0" w:color="auto"/>
                <w:right w:val="none" w:sz="0" w:space="0" w:color="auto"/>
              </w:divBdr>
              <w:divsChild>
                <w:div w:id="2022197975">
                  <w:marLeft w:val="0"/>
                  <w:marRight w:val="0"/>
                  <w:marTop w:val="0"/>
                  <w:marBottom w:val="0"/>
                  <w:divBdr>
                    <w:top w:val="none" w:sz="0" w:space="0" w:color="auto"/>
                    <w:left w:val="none" w:sz="0" w:space="0" w:color="auto"/>
                    <w:bottom w:val="none" w:sz="0" w:space="0" w:color="auto"/>
                    <w:right w:val="none" w:sz="0" w:space="0" w:color="auto"/>
                  </w:divBdr>
                </w:div>
              </w:divsChild>
            </w:div>
            <w:div w:id="683098056">
              <w:marLeft w:val="0"/>
              <w:marRight w:val="0"/>
              <w:marTop w:val="0"/>
              <w:marBottom w:val="0"/>
              <w:divBdr>
                <w:top w:val="none" w:sz="0" w:space="0" w:color="auto"/>
                <w:left w:val="none" w:sz="0" w:space="0" w:color="auto"/>
                <w:bottom w:val="none" w:sz="0" w:space="0" w:color="auto"/>
                <w:right w:val="none" w:sz="0" w:space="0" w:color="auto"/>
              </w:divBdr>
              <w:divsChild>
                <w:div w:id="197813513">
                  <w:marLeft w:val="0"/>
                  <w:marRight w:val="0"/>
                  <w:marTop w:val="0"/>
                  <w:marBottom w:val="0"/>
                  <w:divBdr>
                    <w:top w:val="none" w:sz="0" w:space="0" w:color="auto"/>
                    <w:left w:val="none" w:sz="0" w:space="0" w:color="auto"/>
                    <w:bottom w:val="none" w:sz="0" w:space="0" w:color="auto"/>
                    <w:right w:val="none" w:sz="0" w:space="0" w:color="auto"/>
                  </w:divBdr>
                </w:div>
              </w:divsChild>
            </w:div>
            <w:div w:id="684672923">
              <w:marLeft w:val="0"/>
              <w:marRight w:val="0"/>
              <w:marTop w:val="0"/>
              <w:marBottom w:val="0"/>
              <w:divBdr>
                <w:top w:val="none" w:sz="0" w:space="0" w:color="auto"/>
                <w:left w:val="none" w:sz="0" w:space="0" w:color="auto"/>
                <w:bottom w:val="none" w:sz="0" w:space="0" w:color="auto"/>
                <w:right w:val="none" w:sz="0" w:space="0" w:color="auto"/>
              </w:divBdr>
              <w:divsChild>
                <w:div w:id="306201839">
                  <w:marLeft w:val="0"/>
                  <w:marRight w:val="0"/>
                  <w:marTop w:val="0"/>
                  <w:marBottom w:val="0"/>
                  <w:divBdr>
                    <w:top w:val="none" w:sz="0" w:space="0" w:color="auto"/>
                    <w:left w:val="none" w:sz="0" w:space="0" w:color="auto"/>
                    <w:bottom w:val="none" w:sz="0" w:space="0" w:color="auto"/>
                    <w:right w:val="none" w:sz="0" w:space="0" w:color="auto"/>
                  </w:divBdr>
                </w:div>
              </w:divsChild>
            </w:div>
            <w:div w:id="693926801">
              <w:marLeft w:val="0"/>
              <w:marRight w:val="0"/>
              <w:marTop w:val="300"/>
              <w:marBottom w:val="300"/>
              <w:divBdr>
                <w:top w:val="none" w:sz="0" w:space="0" w:color="auto"/>
                <w:left w:val="none" w:sz="0" w:space="0" w:color="auto"/>
                <w:bottom w:val="none" w:sz="0" w:space="0" w:color="auto"/>
                <w:right w:val="none" w:sz="0" w:space="0" w:color="auto"/>
              </w:divBdr>
            </w:div>
            <w:div w:id="696468367">
              <w:marLeft w:val="0"/>
              <w:marRight w:val="0"/>
              <w:marTop w:val="300"/>
              <w:marBottom w:val="300"/>
              <w:divBdr>
                <w:top w:val="none" w:sz="0" w:space="0" w:color="auto"/>
                <w:left w:val="none" w:sz="0" w:space="0" w:color="auto"/>
                <w:bottom w:val="none" w:sz="0" w:space="0" w:color="auto"/>
                <w:right w:val="none" w:sz="0" w:space="0" w:color="auto"/>
              </w:divBdr>
            </w:div>
            <w:div w:id="698629824">
              <w:marLeft w:val="0"/>
              <w:marRight w:val="0"/>
              <w:marTop w:val="0"/>
              <w:marBottom w:val="0"/>
              <w:divBdr>
                <w:top w:val="none" w:sz="0" w:space="0" w:color="auto"/>
                <w:left w:val="none" w:sz="0" w:space="0" w:color="auto"/>
                <w:bottom w:val="none" w:sz="0" w:space="0" w:color="auto"/>
                <w:right w:val="none" w:sz="0" w:space="0" w:color="auto"/>
              </w:divBdr>
              <w:divsChild>
                <w:div w:id="1354302552">
                  <w:marLeft w:val="0"/>
                  <w:marRight w:val="0"/>
                  <w:marTop w:val="0"/>
                  <w:marBottom w:val="0"/>
                  <w:divBdr>
                    <w:top w:val="none" w:sz="0" w:space="0" w:color="auto"/>
                    <w:left w:val="none" w:sz="0" w:space="0" w:color="auto"/>
                    <w:bottom w:val="none" w:sz="0" w:space="0" w:color="auto"/>
                    <w:right w:val="none" w:sz="0" w:space="0" w:color="auto"/>
                  </w:divBdr>
                </w:div>
              </w:divsChild>
            </w:div>
            <w:div w:id="699553498">
              <w:marLeft w:val="0"/>
              <w:marRight w:val="0"/>
              <w:marTop w:val="300"/>
              <w:marBottom w:val="300"/>
              <w:divBdr>
                <w:top w:val="none" w:sz="0" w:space="0" w:color="auto"/>
                <w:left w:val="none" w:sz="0" w:space="0" w:color="auto"/>
                <w:bottom w:val="none" w:sz="0" w:space="0" w:color="auto"/>
                <w:right w:val="none" w:sz="0" w:space="0" w:color="auto"/>
              </w:divBdr>
            </w:div>
            <w:div w:id="701127875">
              <w:marLeft w:val="0"/>
              <w:marRight w:val="0"/>
              <w:marTop w:val="0"/>
              <w:marBottom w:val="0"/>
              <w:divBdr>
                <w:top w:val="none" w:sz="0" w:space="0" w:color="auto"/>
                <w:left w:val="none" w:sz="0" w:space="0" w:color="auto"/>
                <w:bottom w:val="none" w:sz="0" w:space="0" w:color="auto"/>
                <w:right w:val="none" w:sz="0" w:space="0" w:color="auto"/>
              </w:divBdr>
              <w:divsChild>
                <w:div w:id="1107694351">
                  <w:marLeft w:val="0"/>
                  <w:marRight w:val="0"/>
                  <w:marTop w:val="0"/>
                  <w:marBottom w:val="0"/>
                  <w:divBdr>
                    <w:top w:val="none" w:sz="0" w:space="0" w:color="auto"/>
                    <w:left w:val="none" w:sz="0" w:space="0" w:color="auto"/>
                    <w:bottom w:val="none" w:sz="0" w:space="0" w:color="auto"/>
                    <w:right w:val="none" w:sz="0" w:space="0" w:color="auto"/>
                  </w:divBdr>
                </w:div>
              </w:divsChild>
            </w:div>
            <w:div w:id="714425831">
              <w:marLeft w:val="0"/>
              <w:marRight w:val="0"/>
              <w:marTop w:val="0"/>
              <w:marBottom w:val="0"/>
              <w:divBdr>
                <w:top w:val="none" w:sz="0" w:space="0" w:color="auto"/>
                <w:left w:val="none" w:sz="0" w:space="0" w:color="auto"/>
                <w:bottom w:val="none" w:sz="0" w:space="0" w:color="auto"/>
                <w:right w:val="none" w:sz="0" w:space="0" w:color="auto"/>
              </w:divBdr>
              <w:divsChild>
                <w:div w:id="1914392049">
                  <w:marLeft w:val="0"/>
                  <w:marRight w:val="0"/>
                  <w:marTop w:val="0"/>
                  <w:marBottom w:val="0"/>
                  <w:divBdr>
                    <w:top w:val="none" w:sz="0" w:space="0" w:color="auto"/>
                    <w:left w:val="none" w:sz="0" w:space="0" w:color="auto"/>
                    <w:bottom w:val="none" w:sz="0" w:space="0" w:color="auto"/>
                    <w:right w:val="none" w:sz="0" w:space="0" w:color="auto"/>
                  </w:divBdr>
                </w:div>
              </w:divsChild>
            </w:div>
            <w:div w:id="719015872">
              <w:marLeft w:val="0"/>
              <w:marRight w:val="0"/>
              <w:marTop w:val="0"/>
              <w:marBottom w:val="0"/>
              <w:divBdr>
                <w:top w:val="none" w:sz="0" w:space="0" w:color="auto"/>
                <w:left w:val="none" w:sz="0" w:space="0" w:color="auto"/>
                <w:bottom w:val="none" w:sz="0" w:space="0" w:color="auto"/>
                <w:right w:val="none" w:sz="0" w:space="0" w:color="auto"/>
              </w:divBdr>
              <w:divsChild>
                <w:div w:id="35275078">
                  <w:marLeft w:val="0"/>
                  <w:marRight w:val="0"/>
                  <w:marTop w:val="0"/>
                  <w:marBottom w:val="0"/>
                  <w:divBdr>
                    <w:top w:val="none" w:sz="0" w:space="0" w:color="auto"/>
                    <w:left w:val="none" w:sz="0" w:space="0" w:color="auto"/>
                    <w:bottom w:val="none" w:sz="0" w:space="0" w:color="auto"/>
                    <w:right w:val="none" w:sz="0" w:space="0" w:color="auto"/>
                  </w:divBdr>
                </w:div>
              </w:divsChild>
            </w:div>
            <w:div w:id="719520933">
              <w:marLeft w:val="0"/>
              <w:marRight w:val="0"/>
              <w:marTop w:val="0"/>
              <w:marBottom w:val="0"/>
              <w:divBdr>
                <w:top w:val="none" w:sz="0" w:space="0" w:color="auto"/>
                <w:left w:val="none" w:sz="0" w:space="0" w:color="auto"/>
                <w:bottom w:val="none" w:sz="0" w:space="0" w:color="auto"/>
                <w:right w:val="none" w:sz="0" w:space="0" w:color="auto"/>
              </w:divBdr>
              <w:divsChild>
                <w:div w:id="1655718711">
                  <w:marLeft w:val="0"/>
                  <w:marRight w:val="0"/>
                  <w:marTop w:val="0"/>
                  <w:marBottom w:val="0"/>
                  <w:divBdr>
                    <w:top w:val="none" w:sz="0" w:space="0" w:color="auto"/>
                    <w:left w:val="none" w:sz="0" w:space="0" w:color="auto"/>
                    <w:bottom w:val="none" w:sz="0" w:space="0" w:color="auto"/>
                    <w:right w:val="none" w:sz="0" w:space="0" w:color="auto"/>
                  </w:divBdr>
                </w:div>
              </w:divsChild>
            </w:div>
            <w:div w:id="731348423">
              <w:marLeft w:val="0"/>
              <w:marRight w:val="0"/>
              <w:marTop w:val="0"/>
              <w:marBottom w:val="0"/>
              <w:divBdr>
                <w:top w:val="none" w:sz="0" w:space="0" w:color="auto"/>
                <w:left w:val="none" w:sz="0" w:space="0" w:color="auto"/>
                <w:bottom w:val="none" w:sz="0" w:space="0" w:color="auto"/>
                <w:right w:val="none" w:sz="0" w:space="0" w:color="auto"/>
              </w:divBdr>
              <w:divsChild>
                <w:div w:id="1568761637">
                  <w:marLeft w:val="0"/>
                  <w:marRight w:val="0"/>
                  <w:marTop w:val="0"/>
                  <w:marBottom w:val="0"/>
                  <w:divBdr>
                    <w:top w:val="none" w:sz="0" w:space="0" w:color="auto"/>
                    <w:left w:val="none" w:sz="0" w:space="0" w:color="auto"/>
                    <w:bottom w:val="none" w:sz="0" w:space="0" w:color="auto"/>
                    <w:right w:val="none" w:sz="0" w:space="0" w:color="auto"/>
                  </w:divBdr>
                </w:div>
              </w:divsChild>
            </w:div>
            <w:div w:id="737361919">
              <w:marLeft w:val="0"/>
              <w:marRight w:val="0"/>
              <w:marTop w:val="0"/>
              <w:marBottom w:val="0"/>
              <w:divBdr>
                <w:top w:val="none" w:sz="0" w:space="0" w:color="auto"/>
                <w:left w:val="none" w:sz="0" w:space="0" w:color="auto"/>
                <w:bottom w:val="none" w:sz="0" w:space="0" w:color="auto"/>
                <w:right w:val="none" w:sz="0" w:space="0" w:color="auto"/>
              </w:divBdr>
              <w:divsChild>
                <w:div w:id="46800008">
                  <w:marLeft w:val="0"/>
                  <w:marRight w:val="0"/>
                  <w:marTop w:val="0"/>
                  <w:marBottom w:val="0"/>
                  <w:divBdr>
                    <w:top w:val="none" w:sz="0" w:space="0" w:color="auto"/>
                    <w:left w:val="none" w:sz="0" w:space="0" w:color="auto"/>
                    <w:bottom w:val="none" w:sz="0" w:space="0" w:color="auto"/>
                    <w:right w:val="none" w:sz="0" w:space="0" w:color="auto"/>
                  </w:divBdr>
                </w:div>
              </w:divsChild>
            </w:div>
            <w:div w:id="741372157">
              <w:marLeft w:val="0"/>
              <w:marRight w:val="0"/>
              <w:marTop w:val="0"/>
              <w:marBottom w:val="0"/>
              <w:divBdr>
                <w:top w:val="none" w:sz="0" w:space="0" w:color="auto"/>
                <w:left w:val="none" w:sz="0" w:space="0" w:color="auto"/>
                <w:bottom w:val="none" w:sz="0" w:space="0" w:color="auto"/>
                <w:right w:val="none" w:sz="0" w:space="0" w:color="auto"/>
              </w:divBdr>
              <w:divsChild>
                <w:div w:id="868300925">
                  <w:marLeft w:val="0"/>
                  <w:marRight w:val="0"/>
                  <w:marTop w:val="0"/>
                  <w:marBottom w:val="0"/>
                  <w:divBdr>
                    <w:top w:val="none" w:sz="0" w:space="0" w:color="auto"/>
                    <w:left w:val="none" w:sz="0" w:space="0" w:color="auto"/>
                    <w:bottom w:val="none" w:sz="0" w:space="0" w:color="auto"/>
                    <w:right w:val="none" w:sz="0" w:space="0" w:color="auto"/>
                  </w:divBdr>
                </w:div>
              </w:divsChild>
            </w:div>
            <w:div w:id="748578330">
              <w:marLeft w:val="0"/>
              <w:marRight w:val="0"/>
              <w:marTop w:val="0"/>
              <w:marBottom w:val="0"/>
              <w:divBdr>
                <w:top w:val="none" w:sz="0" w:space="0" w:color="auto"/>
                <w:left w:val="none" w:sz="0" w:space="0" w:color="auto"/>
                <w:bottom w:val="none" w:sz="0" w:space="0" w:color="auto"/>
                <w:right w:val="none" w:sz="0" w:space="0" w:color="auto"/>
              </w:divBdr>
              <w:divsChild>
                <w:div w:id="2128429839">
                  <w:marLeft w:val="0"/>
                  <w:marRight w:val="0"/>
                  <w:marTop w:val="0"/>
                  <w:marBottom w:val="0"/>
                  <w:divBdr>
                    <w:top w:val="none" w:sz="0" w:space="0" w:color="auto"/>
                    <w:left w:val="none" w:sz="0" w:space="0" w:color="auto"/>
                    <w:bottom w:val="none" w:sz="0" w:space="0" w:color="auto"/>
                    <w:right w:val="none" w:sz="0" w:space="0" w:color="auto"/>
                  </w:divBdr>
                </w:div>
              </w:divsChild>
            </w:div>
            <w:div w:id="755322307">
              <w:marLeft w:val="0"/>
              <w:marRight w:val="0"/>
              <w:marTop w:val="0"/>
              <w:marBottom w:val="0"/>
              <w:divBdr>
                <w:top w:val="none" w:sz="0" w:space="0" w:color="auto"/>
                <w:left w:val="none" w:sz="0" w:space="0" w:color="auto"/>
                <w:bottom w:val="none" w:sz="0" w:space="0" w:color="auto"/>
                <w:right w:val="none" w:sz="0" w:space="0" w:color="auto"/>
              </w:divBdr>
              <w:divsChild>
                <w:div w:id="108356326">
                  <w:marLeft w:val="0"/>
                  <w:marRight w:val="0"/>
                  <w:marTop w:val="0"/>
                  <w:marBottom w:val="0"/>
                  <w:divBdr>
                    <w:top w:val="none" w:sz="0" w:space="0" w:color="auto"/>
                    <w:left w:val="none" w:sz="0" w:space="0" w:color="auto"/>
                    <w:bottom w:val="none" w:sz="0" w:space="0" w:color="auto"/>
                    <w:right w:val="none" w:sz="0" w:space="0" w:color="auto"/>
                  </w:divBdr>
                </w:div>
              </w:divsChild>
            </w:div>
            <w:div w:id="756286095">
              <w:marLeft w:val="0"/>
              <w:marRight w:val="0"/>
              <w:marTop w:val="0"/>
              <w:marBottom w:val="0"/>
              <w:divBdr>
                <w:top w:val="none" w:sz="0" w:space="0" w:color="auto"/>
                <w:left w:val="none" w:sz="0" w:space="0" w:color="auto"/>
                <w:bottom w:val="none" w:sz="0" w:space="0" w:color="auto"/>
                <w:right w:val="none" w:sz="0" w:space="0" w:color="auto"/>
              </w:divBdr>
              <w:divsChild>
                <w:div w:id="2125536556">
                  <w:marLeft w:val="0"/>
                  <w:marRight w:val="0"/>
                  <w:marTop w:val="0"/>
                  <w:marBottom w:val="0"/>
                  <w:divBdr>
                    <w:top w:val="none" w:sz="0" w:space="0" w:color="auto"/>
                    <w:left w:val="none" w:sz="0" w:space="0" w:color="auto"/>
                    <w:bottom w:val="none" w:sz="0" w:space="0" w:color="auto"/>
                    <w:right w:val="none" w:sz="0" w:space="0" w:color="auto"/>
                  </w:divBdr>
                </w:div>
              </w:divsChild>
            </w:div>
            <w:div w:id="768817052">
              <w:marLeft w:val="0"/>
              <w:marRight w:val="0"/>
              <w:marTop w:val="0"/>
              <w:marBottom w:val="0"/>
              <w:divBdr>
                <w:top w:val="none" w:sz="0" w:space="0" w:color="auto"/>
                <w:left w:val="none" w:sz="0" w:space="0" w:color="auto"/>
                <w:bottom w:val="none" w:sz="0" w:space="0" w:color="auto"/>
                <w:right w:val="none" w:sz="0" w:space="0" w:color="auto"/>
              </w:divBdr>
              <w:divsChild>
                <w:div w:id="1550800269">
                  <w:marLeft w:val="0"/>
                  <w:marRight w:val="0"/>
                  <w:marTop w:val="0"/>
                  <w:marBottom w:val="0"/>
                  <w:divBdr>
                    <w:top w:val="none" w:sz="0" w:space="0" w:color="auto"/>
                    <w:left w:val="none" w:sz="0" w:space="0" w:color="auto"/>
                    <w:bottom w:val="none" w:sz="0" w:space="0" w:color="auto"/>
                    <w:right w:val="none" w:sz="0" w:space="0" w:color="auto"/>
                  </w:divBdr>
                </w:div>
              </w:divsChild>
            </w:div>
            <w:div w:id="774984297">
              <w:marLeft w:val="0"/>
              <w:marRight w:val="0"/>
              <w:marTop w:val="300"/>
              <w:marBottom w:val="300"/>
              <w:divBdr>
                <w:top w:val="none" w:sz="0" w:space="0" w:color="auto"/>
                <w:left w:val="none" w:sz="0" w:space="0" w:color="auto"/>
                <w:bottom w:val="none" w:sz="0" w:space="0" w:color="auto"/>
                <w:right w:val="none" w:sz="0" w:space="0" w:color="auto"/>
              </w:divBdr>
            </w:div>
            <w:div w:id="787893626">
              <w:marLeft w:val="0"/>
              <w:marRight w:val="0"/>
              <w:marTop w:val="0"/>
              <w:marBottom w:val="0"/>
              <w:divBdr>
                <w:top w:val="none" w:sz="0" w:space="0" w:color="auto"/>
                <w:left w:val="none" w:sz="0" w:space="0" w:color="auto"/>
                <w:bottom w:val="none" w:sz="0" w:space="0" w:color="auto"/>
                <w:right w:val="none" w:sz="0" w:space="0" w:color="auto"/>
              </w:divBdr>
              <w:divsChild>
                <w:div w:id="2005232131">
                  <w:marLeft w:val="0"/>
                  <w:marRight w:val="0"/>
                  <w:marTop w:val="0"/>
                  <w:marBottom w:val="0"/>
                  <w:divBdr>
                    <w:top w:val="none" w:sz="0" w:space="0" w:color="auto"/>
                    <w:left w:val="none" w:sz="0" w:space="0" w:color="auto"/>
                    <w:bottom w:val="none" w:sz="0" w:space="0" w:color="auto"/>
                    <w:right w:val="none" w:sz="0" w:space="0" w:color="auto"/>
                  </w:divBdr>
                </w:div>
              </w:divsChild>
            </w:div>
            <w:div w:id="794641749">
              <w:marLeft w:val="0"/>
              <w:marRight w:val="0"/>
              <w:marTop w:val="0"/>
              <w:marBottom w:val="0"/>
              <w:divBdr>
                <w:top w:val="none" w:sz="0" w:space="0" w:color="auto"/>
                <w:left w:val="none" w:sz="0" w:space="0" w:color="auto"/>
                <w:bottom w:val="none" w:sz="0" w:space="0" w:color="auto"/>
                <w:right w:val="none" w:sz="0" w:space="0" w:color="auto"/>
              </w:divBdr>
              <w:divsChild>
                <w:div w:id="1686446347">
                  <w:marLeft w:val="0"/>
                  <w:marRight w:val="0"/>
                  <w:marTop w:val="0"/>
                  <w:marBottom w:val="0"/>
                  <w:divBdr>
                    <w:top w:val="none" w:sz="0" w:space="0" w:color="auto"/>
                    <w:left w:val="none" w:sz="0" w:space="0" w:color="auto"/>
                    <w:bottom w:val="none" w:sz="0" w:space="0" w:color="auto"/>
                    <w:right w:val="none" w:sz="0" w:space="0" w:color="auto"/>
                  </w:divBdr>
                </w:div>
              </w:divsChild>
            </w:div>
            <w:div w:id="801267789">
              <w:marLeft w:val="0"/>
              <w:marRight w:val="0"/>
              <w:marTop w:val="0"/>
              <w:marBottom w:val="0"/>
              <w:divBdr>
                <w:top w:val="none" w:sz="0" w:space="0" w:color="auto"/>
                <w:left w:val="none" w:sz="0" w:space="0" w:color="auto"/>
                <w:bottom w:val="none" w:sz="0" w:space="0" w:color="auto"/>
                <w:right w:val="none" w:sz="0" w:space="0" w:color="auto"/>
              </w:divBdr>
              <w:divsChild>
                <w:div w:id="1456632488">
                  <w:marLeft w:val="0"/>
                  <w:marRight w:val="0"/>
                  <w:marTop w:val="0"/>
                  <w:marBottom w:val="0"/>
                  <w:divBdr>
                    <w:top w:val="none" w:sz="0" w:space="0" w:color="auto"/>
                    <w:left w:val="none" w:sz="0" w:space="0" w:color="auto"/>
                    <w:bottom w:val="none" w:sz="0" w:space="0" w:color="auto"/>
                    <w:right w:val="none" w:sz="0" w:space="0" w:color="auto"/>
                  </w:divBdr>
                </w:div>
              </w:divsChild>
            </w:div>
            <w:div w:id="801507619">
              <w:marLeft w:val="0"/>
              <w:marRight w:val="0"/>
              <w:marTop w:val="0"/>
              <w:marBottom w:val="0"/>
              <w:divBdr>
                <w:top w:val="none" w:sz="0" w:space="0" w:color="auto"/>
                <w:left w:val="none" w:sz="0" w:space="0" w:color="auto"/>
                <w:bottom w:val="none" w:sz="0" w:space="0" w:color="auto"/>
                <w:right w:val="none" w:sz="0" w:space="0" w:color="auto"/>
              </w:divBdr>
              <w:divsChild>
                <w:div w:id="1520463250">
                  <w:marLeft w:val="0"/>
                  <w:marRight w:val="0"/>
                  <w:marTop w:val="0"/>
                  <w:marBottom w:val="0"/>
                  <w:divBdr>
                    <w:top w:val="none" w:sz="0" w:space="0" w:color="auto"/>
                    <w:left w:val="none" w:sz="0" w:space="0" w:color="auto"/>
                    <w:bottom w:val="none" w:sz="0" w:space="0" w:color="auto"/>
                    <w:right w:val="none" w:sz="0" w:space="0" w:color="auto"/>
                  </w:divBdr>
                </w:div>
              </w:divsChild>
            </w:div>
            <w:div w:id="803040384">
              <w:marLeft w:val="0"/>
              <w:marRight w:val="0"/>
              <w:marTop w:val="0"/>
              <w:marBottom w:val="0"/>
              <w:divBdr>
                <w:top w:val="none" w:sz="0" w:space="0" w:color="auto"/>
                <w:left w:val="none" w:sz="0" w:space="0" w:color="auto"/>
                <w:bottom w:val="none" w:sz="0" w:space="0" w:color="auto"/>
                <w:right w:val="none" w:sz="0" w:space="0" w:color="auto"/>
              </w:divBdr>
              <w:divsChild>
                <w:div w:id="1375153540">
                  <w:marLeft w:val="0"/>
                  <w:marRight w:val="0"/>
                  <w:marTop w:val="0"/>
                  <w:marBottom w:val="0"/>
                  <w:divBdr>
                    <w:top w:val="none" w:sz="0" w:space="0" w:color="auto"/>
                    <w:left w:val="none" w:sz="0" w:space="0" w:color="auto"/>
                    <w:bottom w:val="none" w:sz="0" w:space="0" w:color="auto"/>
                    <w:right w:val="none" w:sz="0" w:space="0" w:color="auto"/>
                  </w:divBdr>
                </w:div>
              </w:divsChild>
            </w:div>
            <w:div w:id="803087071">
              <w:marLeft w:val="0"/>
              <w:marRight w:val="0"/>
              <w:marTop w:val="0"/>
              <w:marBottom w:val="0"/>
              <w:divBdr>
                <w:top w:val="none" w:sz="0" w:space="0" w:color="auto"/>
                <w:left w:val="none" w:sz="0" w:space="0" w:color="auto"/>
                <w:bottom w:val="none" w:sz="0" w:space="0" w:color="auto"/>
                <w:right w:val="none" w:sz="0" w:space="0" w:color="auto"/>
              </w:divBdr>
              <w:divsChild>
                <w:div w:id="1915431163">
                  <w:marLeft w:val="0"/>
                  <w:marRight w:val="0"/>
                  <w:marTop w:val="0"/>
                  <w:marBottom w:val="0"/>
                  <w:divBdr>
                    <w:top w:val="none" w:sz="0" w:space="0" w:color="auto"/>
                    <w:left w:val="none" w:sz="0" w:space="0" w:color="auto"/>
                    <w:bottom w:val="none" w:sz="0" w:space="0" w:color="auto"/>
                    <w:right w:val="none" w:sz="0" w:space="0" w:color="auto"/>
                  </w:divBdr>
                </w:div>
              </w:divsChild>
            </w:div>
            <w:div w:id="804348442">
              <w:marLeft w:val="0"/>
              <w:marRight w:val="0"/>
              <w:marTop w:val="0"/>
              <w:marBottom w:val="0"/>
              <w:divBdr>
                <w:top w:val="none" w:sz="0" w:space="0" w:color="auto"/>
                <w:left w:val="none" w:sz="0" w:space="0" w:color="auto"/>
                <w:bottom w:val="none" w:sz="0" w:space="0" w:color="auto"/>
                <w:right w:val="none" w:sz="0" w:space="0" w:color="auto"/>
              </w:divBdr>
              <w:divsChild>
                <w:div w:id="1714576692">
                  <w:marLeft w:val="0"/>
                  <w:marRight w:val="0"/>
                  <w:marTop w:val="0"/>
                  <w:marBottom w:val="0"/>
                  <w:divBdr>
                    <w:top w:val="none" w:sz="0" w:space="0" w:color="auto"/>
                    <w:left w:val="none" w:sz="0" w:space="0" w:color="auto"/>
                    <w:bottom w:val="none" w:sz="0" w:space="0" w:color="auto"/>
                    <w:right w:val="none" w:sz="0" w:space="0" w:color="auto"/>
                  </w:divBdr>
                </w:div>
              </w:divsChild>
            </w:div>
            <w:div w:id="805247046">
              <w:marLeft w:val="0"/>
              <w:marRight w:val="0"/>
              <w:marTop w:val="0"/>
              <w:marBottom w:val="0"/>
              <w:divBdr>
                <w:top w:val="none" w:sz="0" w:space="0" w:color="auto"/>
                <w:left w:val="none" w:sz="0" w:space="0" w:color="auto"/>
                <w:bottom w:val="none" w:sz="0" w:space="0" w:color="auto"/>
                <w:right w:val="none" w:sz="0" w:space="0" w:color="auto"/>
              </w:divBdr>
              <w:divsChild>
                <w:div w:id="1318918744">
                  <w:marLeft w:val="0"/>
                  <w:marRight w:val="0"/>
                  <w:marTop w:val="0"/>
                  <w:marBottom w:val="0"/>
                  <w:divBdr>
                    <w:top w:val="none" w:sz="0" w:space="0" w:color="auto"/>
                    <w:left w:val="none" w:sz="0" w:space="0" w:color="auto"/>
                    <w:bottom w:val="none" w:sz="0" w:space="0" w:color="auto"/>
                    <w:right w:val="none" w:sz="0" w:space="0" w:color="auto"/>
                  </w:divBdr>
                </w:div>
              </w:divsChild>
            </w:div>
            <w:div w:id="809244809">
              <w:marLeft w:val="0"/>
              <w:marRight w:val="0"/>
              <w:marTop w:val="0"/>
              <w:marBottom w:val="0"/>
              <w:divBdr>
                <w:top w:val="none" w:sz="0" w:space="0" w:color="auto"/>
                <w:left w:val="none" w:sz="0" w:space="0" w:color="auto"/>
                <w:bottom w:val="none" w:sz="0" w:space="0" w:color="auto"/>
                <w:right w:val="none" w:sz="0" w:space="0" w:color="auto"/>
              </w:divBdr>
              <w:divsChild>
                <w:div w:id="1445344761">
                  <w:marLeft w:val="0"/>
                  <w:marRight w:val="0"/>
                  <w:marTop w:val="0"/>
                  <w:marBottom w:val="0"/>
                  <w:divBdr>
                    <w:top w:val="none" w:sz="0" w:space="0" w:color="auto"/>
                    <w:left w:val="none" w:sz="0" w:space="0" w:color="auto"/>
                    <w:bottom w:val="none" w:sz="0" w:space="0" w:color="auto"/>
                    <w:right w:val="none" w:sz="0" w:space="0" w:color="auto"/>
                  </w:divBdr>
                </w:div>
              </w:divsChild>
            </w:div>
            <w:div w:id="810292996">
              <w:marLeft w:val="0"/>
              <w:marRight w:val="0"/>
              <w:marTop w:val="0"/>
              <w:marBottom w:val="0"/>
              <w:divBdr>
                <w:top w:val="none" w:sz="0" w:space="0" w:color="auto"/>
                <w:left w:val="none" w:sz="0" w:space="0" w:color="auto"/>
                <w:bottom w:val="none" w:sz="0" w:space="0" w:color="auto"/>
                <w:right w:val="none" w:sz="0" w:space="0" w:color="auto"/>
              </w:divBdr>
              <w:divsChild>
                <w:div w:id="1753966013">
                  <w:marLeft w:val="0"/>
                  <w:marRight w:val="0"/>
                  <w:marTop w:val="0"/>
                  <w:marBottom w:val="0"/>
                  <w:divBdr>
                    <w:top w:val="none" w:sz="0" w:space="0" w:color="auto"/>
                    <w:left w:val="none" w:sz="0" w:space="0" w:color="auto"/>
                    <w:bottom w:val="none" w:sz="0" w:space="0" w:color="auto"/>
                    <w:right w:val="none" w:sz="0" w:space="0" w:color="auto"/>
                  </w:divBdr>
                </w:div>
              </w:divsChild>
            </w:div>
            <w:div w:id="813761581">
              <w:marLeft w:val="0"/>
              <w:marRight w:val="0"/>
              <w:marTop w:val="0"/>
              <w:marBottom w:val="0"/>
              <w:divBdr>
                <w:top w:val="none" w:sz="0" w:space="0" w:color="auto"/>
                <w:left w:val="none" w:sz="0" w:space="0" w:color="auto"/>
                <w:bottom w:val="none" w:sz="0" w:space="0" w:color="auto"/>
                <w:right w:val="none" w:sz="0" w:space="0" w:color="auto"/>
              </w:divBdr>
              <w:divsChild>
                <w:div w:id="847674495">
                  <w:marLeft w:val="0"/>
                  <w:marRight w:val="0"/>
                  <w:marTop w:val="0"/>
                  <w:marBottom w:val="0"/>
                  <w:divBdr>
                    <w:top w:val="none" w:sz="0" w:space="0" w:color="auto"/>
                    <w:left w:val="none" w:sz="0" w:space="0" w:color="auto"/>
                    <w:bottom w:val="none" w:sz="0" w:space="0" w:color="auto"/>
                    <w:right w:val="none" w:sz="0" w:space="0" w:color="auto"/>
                  </w:divBdr>
                </w:div>
              </w:divsChild>
            </w:div>
            <w:div w:id="817696796">
              <w:marLeft w:val="0"/>
              <w:marRight w:val="0"/>
              <w:marTop w:val="0"/>
              <w:marBottom w:val="0"/>
              <w:divBdr>
                <w:top w:val="none" w:sz="0" w:space="0" w:color="auto"/>
                <w:left w:val="none" w:sz="0" w:space="0" w:color="auto"/>
                <w:bottom w:val="none" w:sz="0" w:space="0" w:color="auto"/>
                <w:right w:val="none" w:sz="0" w:space="0" w:color="auto"/>
              </w:divBdr>
              <w:divsChild>
                <w:div w:id="1726098746">
                  <w:marLeft w:val="0"/>
                  <w:marRight w:val="0"/>
                  <w:marTop w:val="0"/>
                  <w:marBottom w:val="0"/>
                  <w:divBdr>
                    <w:top w:val="none" w:sz="0" w:space="0" w:color="auto"/>
                    <w:left w:val="none" w:sz="0" w:space="0" w:color="auto"/>
                    <w:bottom w:val="none" w:sz="0" w:space="0" w:color="auto"/>
                    <w:right w:val="none" w:sz="0" w:space="0" w:color="auto"/>
                  </w:divBdr>
                </w:div>
              </w:divsChild>
            </w:div>
            <w:div w:id="819351170">
              <w:marLeft w:val="0"/>
              <w:marRight w:val="0"/>
              <w:marTop w:val="300"/>
              <w:marBottom w:val="300"/>
              <w:divBdr>
                <w:top w:val="none" w:sz="0" w:space="0" w:color="auto"/>
                <w:left w:val="none" w:sz="0" w:space="0" w:color="auto"/>
                <w:bottom w:val="none" w:sz="0" w:space="0" w:color="auto"/>
                <w:right w:val="none" w:sz="0" w:space="0" w:color="auto"/>
              </w:divBdr>
            </w:div>
            <w:div w:id="820854180">
              <w:marLeft w:val="0"/>
              <w:marRight w:val="0"/>
              <w:marTop w:val="300"/>
              <w:marBottom w:val="300"/>
              <w:divBdr>
                <w:top w:val="none" w:sz="0" w:space="0" w:color="auto"/>
                <w:left w:val="none" w:sz="0" w:space="0" w:color="auto"/>
                <w:bottom w:val="none" w:sz="0" w:space="0" w:color="auto"/>
                <w:right w:val="none" w:sz="0" w:space="0" w:color="auto"/>
              </w:divBdr>
            </w:div>
            <w:div w:id="825782110">
              <w:marLeft w:val="0"/>
              <w:marRight w:val="0"/>
              <w:marTop w:val="0"/>
              <w:marBottom w:val="0"/>
              <w:divBdr>
                <w:top w:val="none" w:sz="0" w:space="0" w:color="auto"/>
                <w:left w:val="none" w:sz="0" w:space="0" w:color="auto"/>
                <w:bottom w:val="none" w:sz="0" w:space="0" w:color="auto"/>
                <w:right w:val="none" w:sz="0" w:space="0" w:color="auto"/>
              </w:divBdr>
              <w:divsChild>
                <w:div w:id="1962222005">
                  <w:marLeft w:val="0"/>
                  <w:marRight w:val="0"/>
                  <w:marTop w:val="0"/>
                  <w:marBottom w:val="0"/>
                  <w:divBdr>
                    <w:top w:val="none" w:sz="0" w:space="0" w:color="auto"/>
                    <w:left w:val="none" w:sz="0" w:space="0" w:color="auto"/>
                    <w:bottom w:val="none" w:sz="0" w:space="0" w:color="auto"/>
                    <w:right w:val="none" w:sz="0" w:space="0" w:color="auto"/>
                  </w:divBdr>
                </w:div>
              </w:divsChild>
            </w:div>
            <w:div w:id="827213627">
              <w:marLeft w:val="0"/>
              <w:marRight w:val="0"/>
              <w:marTop w:val="300"/>
              <w:marBottom w:val="300"/>
              <w:divBdr>
                <w:top w:val="none" w:sz="0" w:space="0" w:color="auto"/>
                <w:left w:val="none" w:sz="0" w:space="0" w:color="auto"/>
                <w:bottom w:val="none" w:sz="0" w:space="0" w:color="auto"/>
                <w:right w:val="none" w:sz="0" w:space="0" w:color="auto"/>
              </w:divBdr>
            </w:div>
            <w:div w:id="828326353">
              <w:marLeft w:val="0"/>
              <w:marRight w:val="0"/>
              <w:marTop w:val="300"/>
              <w:marBottom w:val="300"/>
              <w:divBdr>
                <w:top w:val="none" w:sz="0" w:space="0" w:color="auto"/>
                <w:left w:val="none" w:sz="0" w:space="0" w:color="auto"/>
                <w:bottom w:val="none" w:sz="0" w:space="0" w:color="auto"/>
                <w:right w:val="none" w:sz="0" w:space="0" w:color="auto"/>
              </w:divBdr>
            </w:div>
            <w:div w:id="833641817">
              <w:marLeft w:val="0"/>
              <w:marRight w:val="0"/>
              <w:marTop w:val="300"/>
              <w:marBottom w:val="300"/>
              <w:divBdr>
                <w:top w:val="none" w:sz="0" w:space="0" w:color="auto"/>
                <w:left w:val="none" w:sz="0" w:space="0" w:color="auto"/>
                <w:bottom w:val="none" w:sz="0" w:space="0" w:color="auto"/>
                <w:right w:val="none" w:sz="0" w:space="0" w:color="auto"/>
              </w:divBdr>
            </w:div>
            <w:div w:id="840320505">
              <w:marLeft w:val="0"/>
              <w:marRight w:val="0"/>
              <w:marTop w:val="0"/>
              <w:marBottom w:val="0"/>
              <w:divBdr>
                <w:top w:val="none" w:sz="0" w:space="0" w:color="auto"/>
                <w:left w:val="none" w:sz="0" w:space="0" w:color="auto"/>
                <w:bottom w:val="none" w:sz="0" w:space="0" w:color="auto"/>
                <w:right w:val="none" w:sz="0" w:space="0" w:color="auto"/>
              </w:divBdr>
              <w:divsChild>
                <w:div w:id="1762722731">
                  <w:marLeft w:val="0"/>
                  <w:marRight w:val="0"/>
                  <w:marTop w:val="0"/>
                  <w:marBottom w:val="0"/>
                  <w:divBdr>
                    <w:top w:val="none" w:sz="0" w:space="0" w:color="auto"/>
                    <w:left w:val="none" w:sz="0" w:space="0" w:color="auto"/>
                    <w:bottom w:val="none" w:sz="0" w:space="0" w:color="auto"/>
                    <w:right w:val="none" w:sz="0" w:space="0" w:color="auto"/>
                  </w:divBdr>
                </w:div>
              </w:divsChild>
            </w:div>
            <w:div w:id="847327176">
              <w:marLeft w:val="0"/>
              <w:marRight w:val="0"/>
              <w:marTop w:val="0"/>
              <w:marBottom w:val="0"/>
              <w:divBdr>
                <w:top w:val="none" w:sz="0" w:space="0" w:color="auto"/>
                <w:left w:val="none" w:sz="0" w:space="0" w:color="auto"/>
                <w:bottom w:val="none" w:sz="0" w:space="0" w:color="auto"/>
                <w:right w:val="none" w:sz="0" w:space="0" w:color="auto"/>
              </w:divBdr>
              <w:divsChild>
                <w:div w:id="1498498478">
                  <w:marLeft w:val="0"/>
                  <w:marRight w:val="0"/>
                  <w:marTop w:val="0"/>
                  <w:marBottom w:val="0"/>
                  <w:divBdr>
                    <w:top w:val="none" w:sz="0" w:space="0" w:color="auto"/>
                    <w:left w:val="none" w:sz="0" w:space="0" w:color="auto"/>
                    <w:bottom w:val="none" w:sz="0" w:space="0" w:color="auto"/>
                    <w:right w:val="none" w:sz="0" w:space="0" w:color="auto"/>
                  </w:divBdr>
                </w:div>
              </w:divsChild>
            </w:div>
            <w:div w:id="849877862">
              <w:marLeft w:val="0"/>
              <w:marRight w:val="0"/>
              <w:marTop w:val="0"/>
              <w:marBottom w:val="0"/>
              <w:divBdr>
                <w:top w:val="none" w:sz="0" w:space="0" w:color="auto"/>
                <w:left w:val="none" w:sz="0" w:space="0" w:color="auto"/>
                <w:bottom w:val="none" w:sz="0" w:space="0" w:color="auto"/>
                <w:right w:val="none" w:sz="0" w:space="0" w:color="auto"/>
              </w:divBdr>
              <w:divsChild>
                <w:div w:id="1651865112">
                  <w:marLeft w:val="0"/>
                  <w:marRight w:val="0"/>
                  <w:marTop w:val="0"/>
                  <w:marBottom w:val="0"/>
                  <w:divBdr>
                    <w:top w:val="none" w:sz="0" w:space="0" w:color="auto"/>
                    <w:left w:val="none" w:sz="0" w:space="0" w:color="auto"/>
                    <w:bottom w:val="none" w:sz="0" w:space="0" w:color="auto"/>
                    <w:right w:val="none" w:sz="0" w:space="0" w:color="auto"/>
                  </w:divBdr>
                </w:div>
              </w:divsChild>
            </w:div>
            <w:div w:id="852064939">
              <w:marLeft w:val="0"/>
              <w:marRight w:val="0"/>
              <w:marTop w:val="0"/>
              <w:marBottom w:val="0"/>
              <w:divBdr>
                <w:top w:val="none" w:sz="0" w:space="0" w:color="auto"/>
                <w:left w:val="none" w:sz="0" w:space="0" w:color="auto"/>
                <w:bottom w:val="none" w:sz="0" w:space="0" w:color="auto"/>
                <w:right w:val="none" w:sz="0" w:space="0" w:color="auto"/>
              </w:divBdr>
              <w:divsChild>
                <w:div w:id="457915334">
                  <w:marLeft w:val="0"/>
                  <w:marRight w:val="0"/>
                  <w:marTop w:val="0"/>
                  <w:marBottom w:val="0"/>
                  <w:divBdr>
                    <w:top w:val="none" w:sz="0" w:space="0" w:color="auto"/>
                    <w:left w:val="none" w:sz="0" w:space="0" w:color="auto"/>
                    <w:bottom w:val="none" w:sz="0" w:space="0" w:color="auto"/>
                    <w:right w:val="none" w:sz="0" w:space="0" w:color="auto"/>
                  </w:divBdr>
                </w:div>
              </w:divsChild>
            </w:div>
            <w:div w:id="854924543">
              <w:marLeft w:val="0"/>
              <w:marRight w:val="0"/>
              <w:marTop w:val="0"/>
              <w:marBottom w:val="0"/>
              <w:divBdr>
                <w:top w:val="none" w:sz="0" w:space="0" w:color="auto"/>
                <w:left w:val="none" w:sz="0" w:space="0" w:color="auto"/>
                <w:bottom w:val="none" w:sz="0" w:space="0" w:color="auto"/>
                <w:right w:val="none" w:sz="0" w:space="0" w:color="auto"/>
              </w:divBdr>
              <w:divsChild>
                <w:div w:id="966274953">
                  <w:marLeft w:val="0"/>
                  <w:marRight w:val="0"/>
                  <w:marTop w:val="0"/>
                  <w:marBottom w:val="0"/>
                  <w:divBdr>
                    <w:top w:val="none" w:sz="0" w:space="0" w:color="auto"/>
                    <w:left w:val="none" w:sz="0" w:space="0" w:color="auto"/>
                    <w:bottom w:val="none" w:sz="0" w:space="0" w:color="auto"/>
                    <w:right w:val="none" w:sz="0" w:space="0" w:color="auto"/>
                  </w:divBdr>
                </w:div>
              </w:divsChild>
            </w:div>
            <w:div w:id="855190492">
              <w:marLeft w:val="0"/>
              <w:marRight w:val="0"/>
              <w:marTop w:val="0"/>
              <w:marBottom w:val="0"/>
              <w:divBdr>
                <w:top w:val="none" w:sz="0" w:space="0" w:color="auto"/>
                <w:left w:val="none" w:sz="0" w:space="0" w:color="auto"/>
                <w:bottom w:val="none" w:sz="0" w:space="0" w:color="auto"/>
                <w:right w:val="none" w:sz="0" w:space="0" w:color="auto"/>
              </w:divBdr>
              <w:divsChild>
                <w:div w:id="821196593">
                  <w:marLeft w:val="0"/>
                  <w:marRight w:val="0"/>
                  <w:marTop w:val="0"/>
                  <w:marBottom w:val="0"/>
                  <w:divBdr>
                    <w:top w:val="none" w:sz="0" w:space="0" w:color="auto"/>
                    <w:left w:val="none" w:sz="0" w:space="0" w:color="auto"/>
                    <w:bottom w:val="none" w:sz="0" w:space="0" w:color="auto"/>
                    <w:right w:val="none" w:sz="0" w:space="0" w:color="auto"/>
                  </w:divBdr>
                </w:div>
              </w:divsChild>
            </w:div>
            <w:div w:id="861166566">
              <w:marLeft w:val="0"/>
              <w:marRight w:val="0"/>
              <w:marTop w:val="300"/>
              <w:marBottom w:val="300"/>
              <w:divBdr>
                <w:top w:val="none" w:sz="0" w:space="0" w:color="auto"/>
                <w:left w:val="none" w:sz="0" w:space="0" w:color="auto"/>
                <w:bottom w:val="none" w:sz="0" w:space="0" w:color="auto"/>
                <w:right w:val="none" w:sz="0" w:space="0" w:color="auto"/>
              </w:divBdr>
            </w:div>
            <w:div w:id="863789369">
              <w:marLeft w:val="0"/>
              <w:marRight w:val="0"/>
              <w:marTop w:val="0"/>
              <w:marBottom w:val="0"/>
              <w:divBdr>
                <w:top w:val="none" w:sz="0" w:space="0" w:color="auto"/>
                <w:left w:val="none" w:sz="0" w:space="0" w:color="auto"/>
                <w:bottom w:val="none" w:sz="0" w:space="0" w:color="auto"/>
                <w:right w:val="none" w:sz="0" w:space="0" w:color="auto"/>
              </w:divBdr>
              <w:divsChild>
                <w:div w:id="816993200">
                  <w:marLeft w:val="0"/>
                  <w:marRight w:val="0"/>
                  <w:marTop w:val="0"/>
                  <w:marBottom w:val="0"/>
                  <w:divBdr>
                    <w:top w:val="none" w:sz="0" w:space="0" w:color="auto"/>
                    <w:left w:val="none" w:sz="0" w:space="0" w:color="auto"/>
                    <w:bottom w:val="none" w:sz="0" w:space="0" w:color="auto"/>
                    <w:right w:val="none" w:sz="0" w:space="0" w:color="auto"/>
                  </w:divBdr>
                </w:div>
              </w:divsChild>
            </w:div>
            <w:div w:id="865564669">
              <w:marLeft w:val="0"/>
              <w:marRight w:val="0"/>
              <w:marTop w:val="300"/>
              <w:marBottom w:val="300"/>
              <w:divBdr>
                <w:top w:val="none" w:sz="0" w:space="0" w:color="auto"/>
                <w:left w:val="none" w:sz="0" w:space="0" w:color="auto"/>
                <w:bottom w:val="none" w:sz="0" w:space="0" w:color="auto"/>
                <w:right w:val="none" w:sz="0" w:space="0" w:color="auto"/>
              </w:divBdr>
            </w:div>
            <w:div w:id="867721547">
              <w:marLeft w:val="0"/>
              <w:marRight w:val="0"/>
              <w:marTop w:val="0"/>
              <w:marBottom w:val="0"/>
              <w:divBdr>
                <w:top w:val="none" w:sz="0" w:space="0" w:color="auto"/>
                <w:left w:val="none" w:sz="0" w:space="0" w:color="auto"/>
                <w:bottom w:val="none" w:sz="0" w:space="0" w:color="auto"/>
                <w:right w:val="none" w:sz="0" w:space="0" w:color="auto"/>
              </w:divBdr>
              <w:divsChild>
                <w:div w:id="1674605731">
                  <w:marLeft w:val="0"/>
                  <w:marRight w:val="0"/>
                  <w:marTop w:val="0"/>
                  <w:marBottom w:val="0"/>
                  <w:divBdr>
                    <w:top w:val="none" w:sz="0" w:space="0" w:color="auto"/>
                    <w:left w:val="none" w:sz="0" w:space="0" w:color="auto"/>
                    <w:bottom w:val="none" w:sz="0" w:space="0" w:color="auto"/>
                    <w:right w:val="none" w:sz="0" w:space="0" w:color="auto"/>
                  </w:divBdr>
                </w:div>
              </w:divsChild>
            </w:div>
            <w:div w:id="870415208">
              <w:marLeft w:val="0"/>
              <w:marRight w:val="0"/>
              <w:marTop w:val="0"/>
              <w:marBottom w:val="0"/>
              <w:divBdr>
                <w:top w:val="none" w:sz="0" w:space="0" w:color="auto"/>
                <w:left w:val="none" w:sz="0" w:space="0" w:color="auto"/>
                <w:bottom w:val="none" w:sz="0" w:space="0" w:color="auto"/>
                <w:right w:val="none" w:sz="0" w:space="0" w:color="auto"/>
              </w:divBdr>
              <w:divsChild>
                <w:div w:id="1744377468">
                  <w:marLeft w:val="0"/>
                  <w:marRight w:val="0"/>
                  <w:marTop w:val="0"/>
                  <w:marBottom w:val="0"/>
                  <w:divBdr>
                    <w:top w:val="none" w:sz="0" w:space="0" w:color="auto"/>
                    <w:left w:val="none" w:sz="0" w:space="0" w:color="auto"/>
                    <w:bottom w:val="none" w:sz="0" w:space="0" w:color="auto"/>
                    <w:right w:val="none" w:sz="0" w:space="0" w:color="auto"/>
                  </w:divBdr>
                </w:div>
              </w:divsChild>
            </w:div>
            <w:div w:id="872770916">
              <w:marLeft w:val="0"/>
              <w:marRight w:val="0"/>
              <w:marTop w:val="0"/>
              <w:marBottom w:val="0"/>
              <w:divBdr>
                <w:top w:val="none" w:sz="0" w:space="0" w:color="auto"/>
                <w:left w:val="none" w:sz="0" w:space="0" w:color="auto"/>
                <w:bottom w:val="none" w:sz="0" w:space="0" w:color="auto"/>
                <w:right w:val="none" w:sz="0" w:space="0" w:color="auto"/>
              </w:divBdr>
              <w:divsChild>
                <w:div w:id="2060129289">
                  <w:marLeft w:val="0"/>
                  <w:marRight w:val="0"/>
                  <w:marTop w:val="0"/>
                  <w:marBottom w:val="0"/>
                  <w:divBdr>
                    <w:top w:val="none" w:sz="0" w:space="0" w:color="auto"/>
                    <w:left w:val="none" w:sz="0" w:space="0" w:color="auto"/>
                    <w:bottom w:val="none" w:sz="0" w:space="0" w:color="auto"/>
                    <w:right w:val="none" w:sz="0" w:space="0" w:color="auto"/>
                  </w:divBdr>
                </w:div>
              </w:divsChild>
            </w:div>
            <w:div w:id="873344221">
              <w:marLeft w:val="0"/>
              <w:marRight w:val="0"/>
              <w:marTop w:val="300"/>
              <w:marBottom w:val="300"/>
              <w:divBdr>
                <w:top w:val="none" w:sz="0" w:space="0" w:color="auto"/>
                <w:left w:val="none" w:sz="0" w:space="0" w:color="auto"/>
                <w:bottom w:val="none" w:sz="0" w:space="0" w:color="auto"/>
                <w:right w:val="none" w:sz="0" w:space="0" w:color="auto"/>
              </w:divBdr>
            </w:div>
            <w:div w:id="877208194">
              <w:marLeft w:val="0"/>
              <w:marRight w:val="0"/>
              <w:marTop w:val="0"/>
              <w:marBottom w:val="0"/>
              <w:divBdr>
                <w:top w:val="none" w:sz="0" w:space="0" w:color="auto"/>
                <w:left w:val="none" w:sz="0" w:space="0" w:color="auto"/>
                <w:bottom w:val="none" w:sz="0" w:space="0" w:color="auto"/>
                <w:right w:val="none" w:sz="0" w:space="0" w:color="auto"/>
              </w:divBdr>
              <w:divsChild>
                <w:div w:id="1992245067">
                  <w:marLeft w:val="0"/>
                  <w:marRight w:val="0"/>
                  <w:marTop w:val="0"/>
                  <w:marBottom w:val="0"/>
                  <w:divBdr>
                    <w:top w:val="none" w:sz="0" w:space="0" w:color="auto"/>
                    <w:left w:val="none" w:sz="0" w:space="0" w:color="auto"/>
                    <w:bottom w:val="none" w:sz="0" w:space="0" w:color="auto"/>
                    <w:right w:val="none" w:sz="0" w:space="0" w:color="auto"/>
                  </w:divBdr>
                </w:div>
              </w:divsChild>
            </w:div>
            <w:div w:id="880633496">
              <w:marLeft w:val="0"/>
              <w:marRight w:val="0"/>
              <w:marTop w:val="0"/>
              <w:marBottom w:val="0"/>
              <w:divBdr>
                <w:top w:val="none" w:sz="0" w:space="0" w:color="auto"/>
                <w:left w:val="none" w:sz="0" w:space="0" w:color="auto"/>
                <w:bottom w:val="none" w:sz="0" w:space="0" w:color="auto"/>
                <w:right w:val="none" w:sz="0" w:space="0" w:color="auto"/>
              </w:divBdr>
              <w:divsChild>
                <w:div w:id="1174538522">
                  <w:marLeft w:val="0"/>
                  <w:marRight w:val="0"/>
                  <w:marTop w:val="0"/>
                  <w:marBottom w:val="0"/>
                  <w:divBdr>
                    <w:top w:val="none" w:sz="0" w:space="0" w:color="auto"/>
                    <w:left w:val="none" w:sz="0" w:space="0" w:color="auto"/>
                    <w:bottom w:val="none" w:sz="0" w:space="0" w:color="auto"/>
                    <w:right w:val="none" w:sz="0" w:space="0" w:color="auto"/>
                  </w:divBdr>
                </w:div>
              </w:divsChild>
            </w:div>
            <w:div w:id="883179981">
              <w:marLeft w:val="0"/>
              <w:marRight w:val="0"/>
              <w:marTop w:val="0"/>
              <w:marBottom w:val="0"/>
              <w:divBdr>
                <w:top w:val="none" w:sz="0" w:space="0" w:color="auto"/>
                <w:left w:val="none" w:sz="0" w:space="0" w:color="auto"/>
                <w:bottom w:val="none" w:sz="0" w:space="0" w:color="auto"/>
                <w:right w:val="none" w:sz="0" w:space="0" w:color="auto"/>
              </w:divBdr>
              <w:divsChild>
                <w:div w:id="290946325">
                  <w:marLeft w:val="0"/>
                  <w:marRight w:val="0"/>
                  <w:marTop w:val="0"/>
                  <w:marBottom w:val="0"/>
                  <w:divBdr>
                    <w:top w:val="none" w:sz="0" w:space="0" w:color="auto"/>
                    <w:left w:val="none" w:sz="0" w:space="0" w:color="auto"/>
                    <w:bottom w:val="none" w:sz="0" w:space="0" w:color="auto"/>
                    <w:right w:val="none" w:sz="0" w:space="0" w:color="auto"/>
                  </w:divBdr>
                </w:div>
              </w:divsChild>
            </w:div>
            <w:div w:id="883522495">
              <w:marLeft w:val="0"/>
              <w:marRight w:val="0"/>
              <w:marTop w:val="0"/>
              <w:marBottom w:val="0"/>
              <w:divBdr>
                <w:top w:val="none" w:sz="0" w:space="0" w:color="auto"/>
                <w:left w:val="none" w:sz="0" w:space="0" w:color="auto"/>
                <w:bottom w:val="none" w:sz="0" w:space="0" w:color="auto"/>
                <w:right w:val="none" w:sz="0" w:space="0" w:color="auto"/>
              </w:divBdr>
              <w:divsChild>
                <w:div w:id="2020304844">
                  <w:marLeft w:val="0"/>
                  <w:marRight w:val="0"/>
                  <w:marTop w:val="0"/>
                  <w:marBottom w:val="0"/>
                  <w:divBdr>
                    <w:top w:val="none" w:sz="0" w:space="0" w:color="auto"/>
                    <w:left w:val="none" w:sz="0" w:space="0" w:color="auto"/>
                    <w:bottom w:val="none" w:sz="0" w:space="0" w:color="auto"/>
                    <w:right w:val="none" w:sz="0" w:space="0" w:color="auto"/>
                  </w:divBdr>
                </w:div>
              </w:divsChild>
            </w:div>
            <w:div w:id="884874360">
              <w:marLeft w:val="0"/>
              <w:marRight w:val="0"/>
              <w:marTop w:val="0"/>
              <w:marBottom w:val="0"/>
              <w:divBdr>
                <w:top w:val="none" w:sz="0" w:space="0" w:color="auto"/>
                <w:left w:val="none" w:sz="0" w:space="0" w:color="auto"/>
                <w:bottom w:val="none" w:sz="0" w:space="0" w:color="auto"/>
                <w:right w:val="none" w:sz="0" w:space="0" w:color="auto"/>
              </w:divBdr>
              <w:divsChild>
                <w:div w:id="1744182582">
                  <w:marLeft w:val="0"/>
                  <w:marRight w:val="0"/>
                  <w:marTop w:val="0"/>
                  <w:marBottom w:val="0"/>
                  <w:divBdr>
                    <w:top w:val="none" w:sz="0" w:space="0" w:color="auto"/>
                    <w:left w:val="none" w:sz="0" w:space="0" w:color="auto"/>
                    <w:bottom w:val="none" w:sz="0" w:space="0" w:color="auto"/>
                    <w:right w:val="none" w:sz="0" w:space="0" w:color="auto"/>
                  </w:divBdr>
                </w:div>
              </w:divsChild>
            </w:div>
            <w:div w:id="888808904">
              <w:marLeft w:val="0"/>
              <w:marRight w:val="0"/>
              <w:marTop w:val="0"/>
              <w:marBottom w:val="0"/>
              <w:divBdr>
                <w:top w:val="none" w:sz="0" w:space="0" w:color="auto"/>
                <w:left w:val="none" w:sz="0" w:space="0" w:color="auto"/>
                <w:bottom w:val="none" w:sz="0" w:space="0" w:color="auto"/>
                <w:right w:val="none" w:sz="0" w:space="0" w:color="auto"/>
              </w:divBdr>
              <w:divsChild>
                <w:div w:id="1258175987">
                  <w:marLeft w:val="0"/>
                  <w:marRight w:val="0"/>
                  <w:marTop w:val="0"/>
                  <w:marBottom w:val="0"/>
                  <w:divBdr>
                    <w:top w:val="none" w:sz="0" w:space="0" w:color="auto"/>
                    <w:left w:val="none" w:sz="0" w:space="0" w:color="auto"/>
                    <w:bottom w:val="none" w:sz="0" w:space="0" w:color="auto"/>
                    <w:right w:val="none" w:sz="0" w:space="0" w:color="auto"/>
                  </w:divBdr>
                </w:div>
              </w:divsChild>
            </w:div>
            <w:div w:id="892237456">
              <w:marLeft w:val="0"/>
              <w:marRight w:val="0"/>
              <w:marTop w:val="0"/>
              <w:marBottom w:val="0"/>
              <w:divBdr>
                <w:top w:val="none" w:sz="0" w:space="0" w:color="auto"/>
                <w:left w:val="none" w:sz="0" w:space="0" w:color="auto"/>
                <w:bottom w:val="none" w:sz="0" w:space="0" w:color="auto"/>
                <w:right w:val="none" w:sz="0" w:space="0" w:color="auto"/>
              </w:divBdr>
              <w:divsChild>
                <w:div w:id="1670407056">
                  <w:marLeft w:val="0"/>
                  <w:marRight w:val="0"/>
                  <w:marTop w:val="0"/>
                  <w:marBottom w:val="0"/>
                  <w:divBdr>
                    <w:top w:val="none" w:sz="0" w:space="0" w:color="auto"/>
                    <w:left w:val="none" w:sz="0" w:space="0" w:color="auto"/>
                    <w:bottom w:val="none" w:sz="0" w:space="0" w:color="auto"/>
                    <w:right w:val="none" w:sz="0" w:space="0" w:color="auto"/>
                  </w:divBdr>
                </w:div>
              </w:divsChild>
            </w:div>
            <w:div w:id="894002767">
              <w:marLeft w:val="0"/>
              <w:marRight w:val="0"/>
              <w:marTop w:val="0"/>
              <w:marBottom w:val="0"/>
              <w:divBdr>
                <w:top w:val="none" w:sz="0" w:space="0" w:color="auto"/>
                <w:left w:val="none" w:sz="0" w:space="0" w:color="auto"/>
                <w:bottom w:val="none" w:sz="0" w:space="0" w:color="auto"/>
                <w:right w:val="none" w:sz="0" w:space="0" w:color="auto"/>
              </w:divBdr>
              <w:divsChild>
                <w:div w:id="468477277">
                  <w:marLeft w:val="0"/>
                  <w:marRight w:val="0"/>
                  <w:marTop w:val="0"/>
                  <w:marBottom w:val="0"/>
                  <w:divBdr>
                    <w:top w:val="none" w:sz="0" w:space="0" w:color="auto"/>
                    <w:left w:val="none" w:sz="0" w:space="0" w:color="auto"/>
                    <w:bottom w:val="none" w:sz="0" w:space="0" w:color="auto"/>
                    <w:right w:val="none" w:sz="0" w:space="0" w:color="auto"/>
                  </w:divBdr>
                </w:div>
              </w:divsChild>
            </w:div>
            <w:div w:id="896017271">
              <w:marLeft w:val="0"/>
              <w:marRight w:val="0"/>
              <w:marTop w:val="0"/>
              <w:marBottom w:val="0"/>
              <w:divBdr>
                <w:top w:val="none" w:sz="0" w:space="0" w:color="auto"/>
                <w:left w:val="none" w:sz="0" w:space="0" w:color="auto"/>
                <w:bottom w:val="none" w:sz="0" w:space="0" w:color="auto"/>
                <w:right w:val="none" w:sz="0" w:space="0" w:color="auto"/>
              </w:divBdr>
              <w:divsChild>
                <w:div w:id="2058580641">
                  <w:marLeft w:val="0"/>
                  <w:marRight w:val="0"/>
                  <w:marTop w:val="0"/>
                  <w:marBottom w:val="0"/>
                  <w:divBdr>
                    <w:top w:val="none" w:sz="0" w:space="0" w:color="auto"/>
                    <w:left w:val="none" w:sz="0" w:space="0" w:color="auto"/>
                    <w:bottom w:val="none" w:sz="0" w:space="0" w:color="auto"/>
                    <w:right w:val="none" w:sz="0" w:space="0" w:color="auto"/>
                  </w:divBdr>
                </w:div>
              </w:divsChild>
            </w:div>
            <w:div w:id="896205821">
              <w:marLeft w:val="0"/>
              <w:marRight w:val="0"/>
              <w:marTop w:val="300"/>
              <w:marBottom w:val="300"/>
              <w:divBdr>
                <w:top w:val="none" w:sz="0" w:space="0" w:color="auto"/>
                <w:left w:val="none" w:sz="0" w:space="0" w:color="auto"/>
                <w:bottom w:val="none" w:sz="0" w:space="0" w:color="auto"/>
                <w:right w:val="none" w:sz="0" w:space="0" w:color="auto"/>
              </w:divBdr>
            </w:div>
            <w:div w:id="897008192">
              <w:marLeft w:val="0"/>
              <w:marRight w:val="0"/>
              <w:marTop w:val="0"/>
              <w:marBottom w:val="0"/>
              <w:divBdr>
                <w:top w:val="none" w:sz="0" w:space="0" w:color="auto"/>
                <w:left w:val="none" w:sz="0" w:space="0" w:color="auto"/>
                <w:bottom w:val="none" w:sz="0" w:space="0" w:color="auto"/>
                <w:right w:val="none" w:sz="0" w:space="0" w:color="auto"/>
              </w:divBdr>
              <w:divsChild>
                <w:div w:id="1516535341">
                  <w:marLeft w:val="0"/>
                  <w:marRight w:val="0"/>
                  <w:marTop w:val="0"/>
                  <w:marBottom w:val="0"/>
                  <w:divBdr>
                    <w:top w:val="none" w:sz="0" w:space="0" w:color="auto"/>
                    <w:left w:val="none" w:sz="0" w:space="0" w:color="auto"/>
                    <w:bottom w:val="none" w:sz="0" w:space="0" w:color="auto"/>
                    <w:right w:val="none" w:sz="0" w:space="0" w:color="auto"/>
                  </w:divBdr>
                </w:div>
              </w:divsChild>
            </w:div>
            <w:div w:id="897591621">
              <w:marLeft w:val="0"/>
              <w:marRight w:val="0"/>
              <w:marTop w:val="0"/>
              <w:marBottom w:val="0"/>
              <w:divBdr>
                <w:top w:val="none" w:sz="0" w:space="0" w:color="auto"/>
                <w:left w:val="none" w:sz="0" w:space="0" w:color="auto"/>
                <w:bottom w:val="none" w:sz="0" w:space="0" w:color="auto"/>
                <w:right w:val="none" w:sz="0" w:space="0" w:color="auto"/>
              </w:divBdr>
              <w:divsChild>
                <w:div w:id="670371515">
                  <w:marLeft w:val="0"/>
                  <w:marRight w:val="0"/>
                  <w:marTop w:val="0"/>
                  <w:marBottom w:val="0"/>
                  <w:divBdr>
                    <w:top w:val="none" w:sz="0" w:space="0" w:color="auto"/>
                    <w:left w:val="none" w:sz="0" w:space="0" w:color="auto"/>
                    <w:bottom w:val="none" w:sz="0" w:space="0" w:color="auto"/>
                    <w:right w:val="none" w:sz="0" w:space="0" w:color="auto"/>
                  </w:divBdr>
                </w:div>
              </w:divsChild>
            </w:div>
            <w:div w:id="903373236">
              <w:marLeft w:val="0"/>
              <w:marRight w:val="0"/>
              <w:marTop w:val="0"/>
              <w:marBottom w:val="0"/>
              <w:divBdr>
                <w:top w:val="none" w:sz="0" w:space="0" w:color="auto"/>
                <w:left w:val="none" w:sz="0" w:space="0" w:color="auto"/>
                <w:bottom w:val="none" w:sz="0" w:space="0" w:color="auto"/>
                <w:right w:val="none" w:sz="0" w:space="0" w:color="auto"/>
              </w:divBdr>
              <w:divsChild>
                <w:div w:id="827550432">
                  <w:marLeft w:val="0"/>
                  <w:marRight w:val="0"/>
                  <w:marTop w:val="0"/>
                  <w:marBottom w:val="0"/>
                  <w:divBdr>
                    <w:top w:val="none" w:sz="0" w:space="0" w:color="auto"/>
                    <w:left w:val="none" w:sz="0" w:space="0" w:color="auto"/>
                    <w:bottom w:val="none" w:sz="0" w:space="0" w:color="auto"/>
                    <w:right w:val="none" w:sz="0" w:space="0" w:color="auto"/>
                  </w:divBdr>
                </w:div>
              </w:divsChild>
            </w:div>
            <w:div w:id="904878347">
              <w:marLeft w:val="0"/>
              <w:marRight w:val="0"/>
              <w:marTop w:val="0"/>
              <w:marBottom w:val="0"/>
              <w:divBdr>
                <w:top w:val="none" w:sz="0" w:space="0" w:color="auto"/>
                <w:left w:val="none" w:sz="0" w:space="0" w:color="auto"/>
                <w:bottom w:val="none" w:sz="0" w:space="0" w:color="auto"/>
                <w:right w:val="none" w:sz="0" w:space="0" w:color="auto"/>
              </w:divBdr>
              <w:divsChild>
                <w:div w:id="1665666647">
                  <w:marLeft w:val="0"/>
                  <w:marRight w:val="0"/>
                  <w:marTop w:val="0"/>
                  <w:marBottom w:val="0"/>
                  <w:divBdr>
                    <w:top w:val="none" w:sz="0" w:space="0" w:color="auto"/>
                    <w:left w:val="none" w:sz="0" w:space="0" w:color="auto"/>
                    <w:bottom w:val="none" w:sz="0" w:space="0" w:color="auto"/>
                    <w:right w:val="none" w:sz="0" w:space="0" w:color="auto"/>
                  </w:divBdr>
                </w:div>
              </w:divsChild>
            </w:div>
            <w:div w:id="916986834">
              <w:marLeft w:val="0"/>
              <w:marRight w:val="0"/>
              <w:marTop w:val="0"/>
              <w:marBottom w:val="0"/>
              <w:divBdr>
                <w:top w:val="none" w:sz="0" w:space="0" w:color="auto"/>
                <w:left w:val="none" w:sz="0" w:space="0" w:color="auto"/>
                <w:bottom w:val="none" w:sz="0" w:space="0" w:color="auto"/>
                <w:right w:val="none" w:sz="0" w:space="0" w:color="auto"/>
              </w:divBdr>
              <w:divsChild>
                <w:div w:id="1451244997">
                  <w:marLeft w:val="0"/>
                  <w:marRight w:val="0"/>
                  <w:marTop w:val="0"/>
                  <w:marBottom w:val="0"/>
                  <w:divBdr>
                    <w:top w:val="none" w:sz="0" w:space="0" w:color="auto"/>
                    <w:left w:val="none" w:sz="0" w:space="0" w:color="auto"/>
                    <w:bottom w:val="none" w:sz="0" w:space="0" w:color="auto"/>
                    <w:right w:val="none" w:sz="0" w:space="0" w:color="auto"/>
                  </w:divBdr>
                </w:div>
              </w:divsChild>
            </w:div>
            <w:div w:id="924922650">
              <w:marLeft w:val="0"/>
              <w:marRight w:val="0"/>
              <w:marTop w:val="300"/>
              <w:marBottom w:val="300"/>
              <w:divBdr>
                <w:top w:val="none" w:sz="0" w:space="0" w:color="auto"/>
                <w:left w:val="none" w:sz="0" w:space="0" w:color="auto"/>
                <w:bottom w:val="none" w:sz="0" w:space="0" w:color="auto"/>
                <w:right w:val="none" w:sz="0" w:space="0" w:color="auto"/>
              </w:divBdr>
            </w:div>
            <w:div w:id="925499703">
              <w:marLeft w:val="0"/>
              <w:marRight w:val="0"/>
              <w:marTop w:val="0"/>
              <w:marBottom w:val="0"/>
              <w:divBdr>
                <w:top w:val="none" w:sz="0" w:space="0" w:color="auto"/>
                <w:left w:val="none" w:sz="0" w:space="0" w:color="auto"/>
                <w:bottom w:val="none" w:sz="0" w:space="0" w:color="auto"/>
                <w:right w:val="none" w:sz="0" w:space="0" w:color="auto"/>
              </w:divBdr>
              <w:divsChild>
                <w:div w:id="943996917">
                  <w:marLeft w:val="0"/>
                  <w:marRight w:val="0"/>
                  <w:marTop w:val="0"/>
                  <w:marBottom w:val="0"/>
                  <w:divBdr>
                    <w:top w:val="none" w:sz="0" w:space="0" w:color="auto"/>
                    <w:left w:val="none" w:sz="0" w:space="0" w:color="auto"/>
                    <w:bottom w:val="none" w:sz="0" w:space="0" w:color="auto"/>
                    <w:right w:val="none" w:sz="0" w:space="0" w:color="auto"/>
                  </w:divBdr>
                </w:div>
              </w:divsChild>
            </w:div>
            <w:div w:id="931284409">
              <w:marLeft w:val="0"/>
              <w:marRight w:val="0"/>
              <w:marTop w:val="0"/>
              <w:marBottom w:val="0"/>
              <w:divBdr>
                <w:top w:val="none" w:sz="0" w:space="0" w:color="auto"/>
                <w:left w:val="none" w:sz="0" w:space="0" w:color="auto"/>
                <w:bottom w:val="none" w:sz="0" w:space="0" w:color="auto"/>
                <w:right w:val="none" w:sz="0" w:space="0" w:color="auto"/>
              </w:divBdr>
              <w:divsChild>
                <w:div w:id="137307530">
                  <w:marLeft w:val="0"/>
                  <w:marRight w:val="0"/>
                  <w:marTop w:val="0"/>
                  <w:marBottom w:val="0"/>
                  <w:divBdr>
                    <w:top w:val="none" w:sz="0" w:space="0" w:color="auto"/>
                    <w:left w:val="none" w:sz="0" w:space="0" w:color="auto"/>
                    <w:bottom w:val="none" w:sz="0" w:space="0" w:color="auto"/>
                    <w:right w:val="none" w:sz="0" w:space="0" w:color="auto"/>
                  </w:divBdr>
                </w:div>
              </w:divsChild>
            </w:div>
            <w:div w:id="943464640">
              <w:marLeft w:val="0"/>
              <w:marRight w:val="0"/>
              <w:marTop w:val="0"/>
              <w:marBottom w:val="0"/>
              <w:divBdr>
                <w:top w:val="none" w:sz="0" w:space="0" w:color="auto"/>
                <w:left w:val="none" w:sz="0" w:space="0" w:color="auto"/>
                <w:bottom w:val="none" w:sz="0" w:space="0" w:color="auto"/>
                <w:right w:val="none" w:sz="0" w:space="0" w:color="auto"/>
              </w:divBdr>
              <w:divsChild>
                <w:div w:id="1996563160">
                  <w:marLeft w:val="0"/>
                  <w:marRight w:val="0"/>
                  <w:marTop w:val="0"/>
                  <w:marBottom w:val="0"/>
                  <w:divBdr>
                    <w:top w:val="none" w:sz="0" w:space="0" w:color="auto"/>
                    <w:left w:val="none" w:sz="0" w:space="0" w:color="auto"/>
                    <w:bottom w:val="none" w:sz="0" w:space="0" w:color="auto"/>
                    <w:right w:val="none" w:sz="0" w:space="0" w:color="auto"/>
                  </w:divBdr>
                </w:div>
              </w:divsChild>
            </w:div>
            <w:div w:id="946347707">
              <w:marLeft w:val="0"/>
              <w:marRight w:val="0"/>
              <w:marTop w:val="300"/>
              <w:marBottom w:val="300"/>
              <w:divBdr>
                <w:top w:val="none" w:sz="0" w:space="0" w:color="auto"/>
                <w:left w:val="none" w:sz="0" w:space="0" w:color="auto"/>
                <w:bottom w:val="none" w:sz="0" w:space="0" w:color="auto"/>
                <w:right w:val="none" w:sz="0" w:space="0" w:color="auto"/>
              </w:divBdr>
            </w:div>
            <w:div w:id="946428018">
              <w:marLeft w:val="0"/>
              <w:marRight w:val="0"/>
              <w:marTop w:val="0"/>
              <w:marBottom w:val="0"/>
              <w:divBdr>
                <w:top w:val="none" w:sz="0" w:space="0" w:color="auto"/>
                <w:left w:val="none" w:sz="0" w:space="0" w:color="auto"/>
                <w:bottom w:val="none" w:sz="0" w:space="0" w:color="auto"/>
                <w:right w:val="none" w:sz="0" w:space="0" w:color="auto"/>
              </w:divBdr>
              <w:divsChild>
                <w:div w:id="316617276">
                  <w:marLeft w:val="0"/>
                  <w:marRight w:val="0"/>
                  <w:marTop w:val="0"/>
                  <w:marBottom w:val="0"/>
                  <w:divBdr>
                    <w:top w:val="none" w:sz="0" w:space="0" w:color="auto"/>
                    <w:left w:val="none" w:sz="0" w:space="0" w:color="auto"/>
                    <w:bottom w:val="none" w:sz="0" w:space="0" w:color="auto"/>
                    <w:right w:val="none" w:sz="0" w:space="0" w:color="auto"/>
                  </w:divBdr>
                </w:div>
              </w:divsChild>
            </w:div>
            <w:div w:id="954362749">
              <w:marLeft w:val="0"/>
              <w:marRight w:val="0"/>
              <w:marTop w:val="0"/>
              <w:marBottom w:val="0"/>
              <w:divBdr>
                <w:top w:val="none" w:sz="0" w:space="0" w:color="auto"/>
                <w:left w:val="none" w:sz="0" w:space="0" w:color="auto"/>
                <w:bottom w:val="none" w:sz="0" w:space="0" w:color="auto"/>
                <w:right w:val="none" w:sz="0" w:space="0" w:color="auto"/>
              </w:divBdr>
              <w:divsChild>
                <w:div w:id="281115454">
                  <w:marLeft w:val="0"/>
                  <w:marRight w:val="0"/>
                  <w:marTop w:val="0"/>
                  <w:marBottom w:val="0"/>
                  <w:divBdr>
                    <w:top w:val="none" w:sz="0" w:space="0" w:color="auto"/>
                    <w:left w:val="none" w:sz="0" w:space="0" w:color="auto"/>
                    <w:bottom w:val="none" w:sz="0" w:space="0" w:color="auto"/>
                    <w:right w:val="none" w:sz="0" w:space="0" w:color="auto"/>
                  </w:divBdr>
                </w:div>
              </w:divsChild>
            </w:div>
            <w:div w:id="957836848">
              <w:marLeft w:val="0"/>
              <w:marRight w:val="0"/>
              <w:marTop w:val="0"/>
              <w:marBottom w:val="0"/>
              <w:divBdr>
                <w:top w:val="none" w:sz="0" w:space="0" w:color="auto"/>
                <w:left w:val="none" w:sz="0" w:space="0" w:color="auto"/>
                <w:bottom w:val="none" w:sz="0" w:space="0" w:color="auto"/>
                <w:right w:val="none" w:sz="0" w:space="0" w:color="auto"/>
              </w:divBdr>
              <w:divsChild>
                <w:div w:id="298533757">
                  <w:marLeft w:val="0"/>
                  <w:marRight w:val="0"/>
                  <w:marTop w:val="0"/>
                  <w:marBottom w:val="0"/>
                  <w:divBdr>
                    <w:top w:val="none" w:sz="0" w:space="0" w:color="auto"/>
                    <w:left w:val="none" w:sz="0" w:space="0" w:color="auto"/>
                    <w:bottom w:val="none" w:sz="0" w:space="0" w:color="auto"/>
                    <w:right w:val="none" w:sz="0" w:space="0" w:color="auto"/>
                  </w:divBdr>
                </w:div>
              </w:divsChild>
            </w:div>
            <w:div w:id="960380093">
              <w:marLeft w:val="0"/>
              <w:marRight w:val="0"/>
              <w:marTop w:val="0"/>
              <w:marBottom w:val="0"/>
              <w:divBdr>
                <w:top w:val="none" w:sz="0" w:space="0" w:color="auto"/>
                <w:left w:val="none" w:sz="0" w:space="0" w:color="auto"/>
                <w:bottom w:val="none" w:sz="0" w:space="0" w:color="auto"/>
                <w:right w:val="none" w:sz="0" w:space="0" w:color="auto"/>
              </w:divBdr>
              <w:divsChild>
                <w:div w:id="2131319909">
                  <w:marLeft w:val="0"/>
                  <w:marRight w:val="0"/>
                  <w:marTop w:val="0"/>
                  <w:marBottom w:val="0"/>
                  <w:divBdr>
                    <w:top w:val="none" w:sz="0" w:space="0" w:color="auto"/>
                    <w:left w:val="none" w:sz="0" w:space="0" w:color="auto"/>
                    <w:bottom w:val="none" w:sz="0" w:space="0" w:color="auto"/>
                    <w:right w:val="none" w:sz="0" w:space="0" w:color="auto"/>
                  </w:divBdr>
                </w:div>
              </w:divsChild>
            </w:div>
            <w:div w:id="964969037">
              <w:marLeft w:val="0"/>
              <w:marRight w:val="0"/>
              <w:marTop w:val="300"/>
              <w:marBottom w:val="300"/>
              <w:divBdr>
                <w:top w:val="none" w:sz="0" w:space="0" w:color="auto"/>
                <w:left w:val="none" w:sz="0" w:space="0" w:color="auto"/>
                <w:bottom w:val="none" w:sz="0" w:space="0" w:color="auto"/>
                <w:right w:val="none" w:sz="0" w:space="0" w:color="auto"/>
              </w:divBdr>
            </w:div>
            <w:div w:id="968323855">
              <w:marLeft w:val="0"/>
              <w:marRight w:val="0"/>
              <w:marTop w:val="0"/>
              <w:marBottom w:val="0"/>
              <w:divBdr>
                <w:top w:val="none" w:sz="0" w:space="0" w:color="auto"/>
                <w:left w:val="none" w:sz="0" w:space="0" w:color="auto"/>
                <w:bottom w:val="none" w:sz="0" w:space="0" w:color="auto"/>
                <w:right w:val="none" w:sz="0" w:space="0" w:color="auto"/>
              </w:divBdr>
              <w:divsChild>
                <w:div w:id="1674912432">
                  <w:marLeft w:val="0"/>
                  <w:marRight w:val="0"/>
                  <w:marTop w:val="0"/>
                  <w:marBottom w:val="0"/>
                  <w:divBdr>
                    <w:top w:val="none" w:sz="0" w:space="0" w:color="auto"/>
                    <w:left w:val="none" w:sz="0" w:space="0" w:color="auto"/>
                    <w:bottom w:val="none" w:sz="0" w:space="0" w:color="auto"/>
                    <w:right w:val="none" w:sz="0" w:space="0" w:color="auto"/>
                  </w:divBdr>
                </w:div>
              </w:divsChild>
            </w:div>
            <w:div w:id="973868437">
              <w:marLeft w:val="0"/>
              <w:marRight w:val="0"/>
              <w:marTop w:val="0"/>
              <w:marBottom w:val="0"/>
              <w:divBdr>
                <w:top w:val="none" w:sz="0" w:space="0" w:color="auto"/>
                <w:left w:val="none" w:sz="0" w:space="0" w:color="auto"/>
                <w:bottom w:val="none" w:sz="0" w:space="0" w:color="auto"/>
                <w:right w:val="none" w:sz="0" w:space="0" w:color="auto"/>
              </w:divBdr>
              <w:divsChild>
                <w:div w:id="70783335">
                  <w:marLeft w:val="0"/>
                  <w:marRight w:val="0"/>
                  <w:marTop w:val="0"/>
                  <w:marBottom w:val="0"/>
                  <w:divBdr>
                    <w:top w:val="none" w:sz="0" w:space="0" w:color="auto"/>
                    <w:left w:val="none" w:sz="0" w:space="0" w:color="auto"/>
                    <w:bottom w:val="none" w:sz="0" w:space="0" w:color="auto"/>
                    <w:right w:val="none" w:sz="0" w:space="0" w:color="auto"/>
                  </w:divBdr>
                </w:div>
              </w:divsChild>
            </w:div>
            <w:div w:id="974720528">
              <w:marLeft w:val="0"/>
              <w:marRight w:val="0"/>
              <w:marTop w:val="0"/>
              <w:marBottom w:val="0"/>
              <w:divBdr>
                <w:top w:val="none" w:sz="0" w:space="0" w:color="auto"/>
                <w:left w:val="none" w:sz="0" w:space="0" w:color="auto"/>
                <w:bottom w:val="none" w:sz="0" w:space="0" w:color="auto"/>
                <w:right w:val="none" w:sz="0" w:space="0" w:color="auto"/>
              </w:divBdr>
              <w:divsChild>
                <w:div w:id="1528367129">
                  <w:marLeft w:val="0"/>
                  <w:marRight w:val="0"/>
                  <w:marTop w:val="0"/>
                  <w:marBottom w:val="0"/>
                  <w:divBdr>
                    <w:top w:val="none" w:sz="0" w:space="0" w:color="auto"/>
                    <w:left w:val="none" w:sz="0" w:space="0" w:color="auto"/>
                    <w:bottom w:val="none" w:sz="0" w:space="0" w:color="auto"/>
                    <w:right w:val="none" w:sz="0" w:space="0" w:color="auto"/>
                  </w:divBdr>
                </w:div>
              </w:divsChild>
            </w:div>
            <w:div w:id="975331270">
              <w:marLeft w:val="0"/>
              <w:marRight w:val="0"/>
              <w:marTop w:val="0"/>
              <w:marBottom w:val="0"/>
              <w:divBdr>
                <w:top w:val="none" w:sz="0" w:space="0" w:color="auto"/>
                <w:left w:val="none" w:sz="0" w:space="0" w:color="auto"/>
                <w:bottom w:val="none" w:sz="0" w:space="0" w:color="auto"/>
                <w:right w:val="none" w:sz="0" w:space="0" w:color="auto"/>
              </w:divBdr>
              <w:divsChild>
                <w:div w:id="1575165629">
                  <w:marLeft w:val="0"/>
                  <w:marRight w:val="0"/>
                  <w:marTop w:val="0"/>
                  <w:marBottom w:val="0"/>
                  <w:divBdr>
                    <w:top w:val="none" w:sz="0" w:space="0" w:color="auto"/>
                    <w:left w:val="none" w:sz="0" w:space="0" w:color="auto"/>
                    <w:bottom w:val="none" w:sz="0" w:space="0" w:color="auto"/>
                    <w:right w:val="none" w:sz="0" w:space="0" w:color="auto"/>
                  </w:divBdr>
                </w:div>
              </w:divsChild>
            </w:div>
            <w:div w:id="985007684">
              <w:marLeft w:val="0"/>
              <w:marRight w:val="0"/>
              <w:marTop w:val="0"/>
              <w:marBottom w:val="0"/>
              <w:divBdr>
                <w:top w:val="none" w:sz="0" w:space="0" w:color="auto"/>
                <w:left w:val="none" w:sz="0" w:space="0" w:color="auto"/>
                <w:bottom w:val="none" w:sz="0" w:space="0" w:color="auto"/>
                <w:right w:val="none" w:sz="0" w:space="0" w:color="auto"/>
              </w:divBdr>
              <w:divsChild>
                <w:div w:id="914776829">
                  <w:marLeft w:val="0"/>
                  <w:marRight w:val="0"/>
                  <w:marTop w:val="0"/>
                  <w:marBottom w:val="0"/>
                  <w:divBdr>
                    <w:top w:val="none" w:sz="0" w:space="0" w:color="auto"/>
                    <w:left w:val="none" w:sz="0" w:space="0" w:color="auto"/>
                    <w:bottom w:val="none" w:sz="0" w:space="0" w:color="auto"/>
                    <w:right w:val="none" w:sz="0" w:space="0" w:color="auto"/>
                  </w:divBdr>
                </w:div>
              </w:divsChild>
            </w:div>
            <w:div w:id="985356439">
              <w:marLeft w:val="0"/>
              <w:marRight w:val="0"/>
              <w:marTop w:val="0"/>
              <w:marBottom w:val="0"/>
              <w:divBdr>
                <w:top w:val="none" w:sz="0" w:space="0" w:color="auto"/>
                <w:left w:val="none" w:sz="0" w:space="0" w:color="auto"/>
                <w:bottom w:val="none" w:sz="0" w:space="0" w:color="auto"/>
                <w:right w:val="none" w:sz="0" w:space="0" w:color="auto"/>
              </w:divBdr>
              <w:divsChild>
                <w:div w:id="671882977">
                  <w:marLeft w:val="0"/>
                  <w:marRight w:val="0"/>
                  <w:marTop w:val="0"/>
                  <w:marBottom w:val="0"/>
                  <w:divBdr>
                    <w:top w:val="none" w:sz="0" w:space="0" w:color="auto"/>
                    <w:left w:val="none" w:sz="0" w:space="0" w:color="auto"/>
                    <w:bottom w:val="none" w:sz="0" w:space="0" w:color="auto"/>
                    <w:right w:val="none" w:sz="0" w:space="0" w:color="auto"/>
                  </w:divBdr>
                </w:div>
              </w:divsChild>
            </w:div>
            <w:div w:id="986206300">
              <w:marLeft w:val="0"/>
              <w:marRight w:val="0"/>
              <w:marTop w:val="0"/>
              <w:marBottom w:val="0"/>
              <w:divBdr>
                <w:top w:val="none" w:sz="0" w:space="0" w:color="auto"/>
                <w:left w:val="none" w:sz="0" w:space="0" w:color="auto"/>
                <w:bottom w:val="none" w:sz="0" w:space="0" w:color="auto"/>
                <w:right w:val="none" w:sz="0" w:space="0" w:color="auto"/>
              </w:divBdr>
            </w:div>
            <w:div w:id="987243465">
              <w:marLeft w:val="0"/>
              <w:marRight w:val="0"/>
              <w:marTop w:val="0"/>
              <w:marBottom w:val="0"/>
              <w:divBdr>
                <w:top w:val="none" w:sz="0" w:space="0" w:color="auto"/>
                <w:left w:val="none" w:sz="0" w:space="0" w:color="auto"/>
                <w:bottom w:val="none" w:sz="0" w:space="0" w:color="auto"/>
                <w:right w:val="none" w:sz="0" w:space="0" w:color="auto"/>
              </w:divBdr>
              <w:divsChild>
                <w:div w:id="1367171731">
                  <w:marLeft w:val="0"/>
                  <w:marRight w:val="0"/>
                  <w:marTop w:val="0"/>
                  <w:marBottom w:val="0"/>
                  <w:divBdr>
                    <w:top w:val="none" w:sz="0" w:space="0" w:color="auto"/>
                    <w:left w:val="none" w:sz="0" w:space="0" w:color="auto"/>
                    <w:bottom w:val="none" w:sz="0" w:space="0" w:color="auto"/>
                    <w:right w:val="none" w:sz="0" w:space="0" w:color="auto"/>
                  </w:divBdr>
                </w:div>
              </w:divsChild>
            </w:div>
            <w:div w:id="992441449">
              <w:marLeft w:val="0"/>
              <w:marRight w:val="0"/>
              <w:marTop w:val="0"/>
              <w:marBottom w:val="0"/>
              <w:divBdr>
                <w:top w:val="none" w:sz="0" w:space="0" w:color="auto"/>
                <w:left w:val="none" w:sz="0" w:space="0" w:color="auto"/>
                <w:bottom w:val="none" w:sz="0" w:space="0" w:color="auto"/>
                <w:right w:val="none" w:sz="0" w:space="0" w:color="auto"/>
              </w:divBdr>
              <w:divsChild>
                <w:div w:id="1502550256">
                  <w:marLeft w:val="0"/>
                  <w:marRight w:val="0"/>
                  <w:marTop w:val="0"/>
                  <w:marBottom w:val="0"/>
                  <w:divBdr>
                    <w:top w:val="none" w:sz="0" w:space="0" w:color="auto"/>
                    <w:left w:val="none" w:sz="0" w:space="0" w:color="auto"/>
                    <w:bottom w:val="none" w:sz="0" w:space="0" w:color="auto"/>
                    <w:right w:val="none" w:sz="0" w:space="0" w:color="auto"/>
                  </w:divBdr>
                </w:div>
              </w:divsChild>
            </w:div>
            <w:div w:id="995456099">
              <w:marLeft w:val="0"/>
              <w:marRight w:val="0"/>
              <w:marTop w:val="0"/>
              <w:marBottom w:val="0"/>
              <w:divBdr>
                <w:top w:val="none" w:sz="0" w:space="0" w:color="auto"/>
                <w:left w:val="none" w:sz="0" w:space="0" w:color="auto"/>
                <w:bottom w:val="none" w:sz="0" w:space="0" w:color="auto"/>
                <w:right w:val="none" w:sz="0" w:space="0" w:color="auto"/>
              </w:divBdr>
              <w:divsChild>
                <w:div w:id="686567766">
                  <w:marLeft w:val="0"/>
                  <w:marRight w:val="0"/>
                  <w:marTop w:val="0"/>
                  <w:marBottom w:val="0"/>
                  <w:divBdr>
                    <w:top w:val="none" w:sz="0" w:space="0" w:color="auto"/>
                    <w:left w:val="none" w:sz="0" w:space="0" w:color="auto"/>
                    <w:bottom w:val="none" w:sz="0" w:space="0" w:color="auto"/>
                    <w:right w:val="none" w:sz="0" w:space="0" w:color="auto"/>
                  </w:divBdr>
                </w:div>
              </w:divsChild>
            </w:div>
            <w:div w:id="1006978306">
              <w:marLeft w:val="0"/>
              <w:marRight w:val="0"/>
              <w:marTop w:val="0"/>
              <w:marBottom w:val="0"/>
              <w:divBdr>
                <w:top w:val="none" w:sz="0" w:space="0" w:color="auto"/>
                <w:left w:val="none" w:sz="0" w:space="0" w:color="auto"/>
                <w:bottom w:val="none" w:sz="0" w:space="0" w:color="auto"/>
                <w:right w:val="none" w:sz="0" w:space="0" w:color="auto"/>
              </w:divBdr>
              <w:divsChild>
                <w:div w:id="163673234">
                  <w:marLeft w:val="0"/>
                  <w:marRight w:val="0"/>
                  <w:marTop w:val="0"/>
                  <w:marBottom w:val="0"/>
                  <w:divBdr>
                    <w:top w:val="none" w:sz="0" w:space="0" w:color="auto"/>
                    <w:left w:val="none" w:sz="0" w:space="0" w:color="auto"/>
                    <w:bottom w:val="none" w:sz="0" w:space="0" w:color="auto"/>
                    <w:right w:val="none" w:sz="0" w:space="0" w:color="auto"/>
                  </w:divBdr>
                </w:div>
              </w:divsChild>
            </w:div>
            <w:div w:id="1010526920">
              <w:marLeft w:val="0"/>
              <w:marRight w:val="0"/>
              <w:marTop w:val="0"/>
              <w:marBottom w:val="0"/>
              <w:divBdr>
                <w:top w:val="none" w:sz="0" w:space="0" w:color="auto"/>
                <w:left w:val="none" w:sz="0" w:space="0" w:color="auto"/>
                <w:bottom w:val="none" w:sz="0" w:space="0" w:color="auto"/>
                <w:right w:val="none" w:sz="0" w:space="0" w:color="auto"/>
              </w:divBdr>
              <w:divsChild>
                <w:div w:id="1867791372">
                  <w:marLeft w:val="0"/>
                  <w:marRight w:val="0"/>
                  <w:marTop w:val="0"/>
                  <w:marBottom w:val="0"/>
                  <w:divBdr>
                    <w:top w:val="none" w:sz="0" w:space="0" w:color="auto"/>
                    <w:left w:val="none" w:sz="0" w:space="0" w:color="auto"/>
                    <w:bottom w:val="none" w:sz="0" w:space="0" w:color="auto"/>
                    <w:right w:val="none" w:sz="0" w:space="0" w:color="auto"/>
                  </w:divBdr>
                </w:div>
              </w:divsChild>
            </w:div>
            <w:div w:id="1011907478">
              <w:marLeft w:val="0"/>
              <w:marRight w:val="0"/>
              <w:marTop w:val="0"/>
              <w:marBottom w:val="0"/>
              <w:divBdr>
                <w:top w:val="none" w:sz="0" w:space="0" w:color="auto"/>
                <w:left w:val="none" w:sz="0" w:space="0" w:color="auto"/>
                <w:bottom w:val="none" w:sz="0" w:space="0" w:color="auto"/>
                <w:right w:val="none" w:sz="0" w:space="0" w:color="auto"/>
              </w:divBdr>
              <w:divsChild>
                <w:div w:id="1918242101">
                  <w:marLeft w:val="0"/>
                  <w:marRight w:val="0"/>
                  <w:marTop w:val="0"/>
                  <w:marBottom w:val="0"/>
                  <w:divBdr>
                    <w:top w:val="none" w:sz="0" w:space="0" w:color="auto"/>
                    <w:left w:val="none" w:sz="0" w:space="0" w:color="auto"/>
                    <w:bottom w:val="none" w:sz="0" w:space="0" w:color="auto"/>
                    <w:right w:val="none" w:sz="0" w:space="0" w:color="auto"/>
                  </w:divBdr>
                </w:div>
              </w:divsChild>
            </w:div>
            <w:div w:id="1012685691">
              <w:marLeft w:val="0"/>
              <w:marRight w:val="0"/>
              <w:marTop w:val="0"/>
              <w:marBottom w:val="0"/>
              <w:divBdr>
                <w:top w:val="none" w:sz="0" w:space="0" w:color="auto"/>
                <w:left w:val="none" w:sz="0" w:space="0" w:color="auto"/>
                <w:bottom w:val="none" w:sz="0" w:space="0" w:color="auto"/>
                <w:right w:val="none" w:sz="0" w:space="0" w:color="auto"/>
              </w:divBdr>
              <w:divsChild>
                <w:div w:id="1557161672">
                  <w:marLeft w:val="0"/>
                  <w:marRight w:val="0"/>
                  <w:marTop w:val="0"/>
                  <w:marBottom w:val="0"/>
                  <w:divBdr>
                    <w:top w:val="none" w:sz="0" w:space="0" w:color="auto"/>
                    <w:left w:val="none" w:sz="0" w:space="0" w:color="auto"/>
                    <w:bottom w:val="none" w:sz="0" w:space="0" w:color="auto"/>
                    <w:right w:val="none" w:sz="0" w:space="0" w:color="auto"/>
                  </w:divBdr>
                </w:div>
              </w:divsChild>
            </w:div>
            <w:div w:id="1013217604">
              <w:marLeft w:val="0"/>
              <w:marRight w:val="0"/>
              <w:marTop w:val="0"/>
              <w:marBottom w:val="0"/>
              <w:divBdr>
                <w:top w:val="none" w:sz="0" w:space="0" w:color="auto"/>
                <w:left w:val="none" w:sz="0" w:space="0" w:color="auto"/>
                <w:bottom w:val="none" w:sz="0" w:space="0" w:color="auto"/>
                <w:right w:val="none" w:sz="0" w:space="0" w:color="auto"/>
              </w:divBdr>
              <w:divsChild>
                <w:div w:id="343284569">
                  <w:marLeft w:val="0"/>
                  <w:marRight w:val="0"/>
                  <w:marTop w:val="0"/>
                  <w:marBottom w:val="0"/>
                  <w:divBdr>
                    <w:top w:val="none" w:sz="0" w:space="0" w:color="auto"/>
                    <w:left w:val="none" w:sz="0" w:space="0" w:color="auto"/>
                    <w:bottom w:val="none" w:sz="0" w:space="0" w:color="auto"/>
                    <w:right w:val="none" w:sz="0" w:space="0" w:color="auto"/>
                  </w:divBdr>
                </w:div>
              </w:divsChild>
            </w:div>
            <w:div w:id="1013923839">
              <w:marLeft w:val="0"/>
              <w:marRight w:val="0"/>
              <w:marTop w:val="0"/>
              <w:marBottom w:val="0"/>
              <w:divBdr>
                <w:top w:val="none" w:sz="0" w:space="0" w:color="auto"/>
                <w:left w:val="none" w:sz="0" w:space="0" w:color="auto"/>
                <w:bottom w:val="none" w:sz="0" w:space="0" w:color="auto"/>
                <w:right w:val="none" w:sz="0" w:space="0" w:color="auto"/>
              </w:divBdr>
              <w:divsChild>
                <w:div w:id="631446525">
                  <w:marLeft w:val="0"/>
                  <w:marRight w:val="0"/>
                  <w:marTop w:val="0"/>
                  <w:marBottom w:val="0"/>
                  <w:divBdr>
                    <w:top w:val="none" w:sz="0" w:space="0" w:color="auto"/>
                    <w:left w:val="none" w:sz="0" w:space="0" w:color="auto"/>
                    <w:bottom w:val="none" w:sz="0" w:space="0" w:color="auto"/>
                    <w:right w:val="none" w:sz="0" w:space="0" w:color="auto"/>
                  </w:divBdr>
                </w:div>
              </w:divsChild>
            </w:div>
            <w:div w:id="1016495924">
              <w:marLeft w:val="0"/>
              <w:marRight w:val="0"/>
              <w:marTop w:val="0"/>
              <w:marBottom w:val="0"/>
              <w:divBdr>
                <w:top w:val="none" w:sz="0" w:space="0" w:color="auto"/>
                <w:left w:val="none" w:sz="0" w:space="0" w:color="auto"/>
                <w:bottom w:val="none" w:sz="0" w:space="0" w:color="auto"/>
                <w:right w:val="none" w:sz="0" w:space="0" w:color="auto"/>
              </w:divBdr>
              <w:divsChild>
                <w:div w:id="1082331852">
                  <w:marLeft w:val="0"/>
                  <w:marRight w:val="0"/>
                  <w:marTop w:val="0"/>
                  <w:marBottom w:val="0"/>
                  <w:divBdr>
                    <w:top w:val="none" w:sz="0" w:space="0" w:color="auto"/>
                    <w:left w:val="none" w:sz="0" w:space="0" w:color="auto"/>
                    <w:bottom w:val="none" w:sz="0" w:space="0" w:color="auto"/>
                    <w:right w:val="none" w:sz="0" w:space="0" w:color="auto"/>
                  </w:divBdr>
                </w:div>
              </w:divsChild>
            </w:div>
            <w:div w:id="1030572267">
              <w:marLeft w:val="0"/>
              <w:marRight w:val="0"/>
              <w:marTop w:val="300"/>
              <w:marBottom w:val="300"/>
              <w:divBdr>
                <w:top w:val="none" w:sz="0" w:space="0" w:color="auto"/>
                <w:left w:val="none" w:sz="0" w:space="0" w:color="auto"/>
                <w:bottom w:val="none" w:sz="0" w:space="0" w:color="auto"/>
                <w:right w:val="none" w:sz="0" w:space="0" w:color="auto"/>
              </w:divBdr>
            </w:div>
            <w:div w:id="1037395767">
              <w:marLeft w:val="0"/>
              <w:marRight w:val="0"/>
              <w:marTop w:val="300"/>
              <w:marBottom w:val="300"/>
              <w:divBdr>
                <w:top w:val="none" w:sz="0" w:space="0" w:color="auto"/>
                <w:left w:val="none" w:sz="0" w:space="0" w:color="auto"/>
                <w:bottom w:val="none" w:sz="0" w:space="0" w:color="auto"/>
                <w:right w:val="none" w:sz="0" w:space="0" w:color="auto"/>
              </w:divBdr>
            </w:div>
            <w:div w:id="1051227979">
              <w:marLeft w:val="0"/>
              <w:marRight w:val="0"/>
              <w:marTop w:val="0"/>
              <w:marBottom w:val="0"/>
              <w:divBdr>
                <w:top w:val="none" w:sz="0" w:space="0" w:color="auto"/>
                <w:left w:val="none" w:sz="0" w:space="0" w:color="auto"/>
                <w:bottom w:val="none" w:sz="0" w:space="0" w:color="auto"/>
                <w:right w:val="none" w:sz="0" w:space="0" w:color="auto"/>
              </w:divBdr>
              <w:divsChild>
                <w:div w:id="2050063644">
                  <w:marLeft w:val="0"/>
                  <w:marRight w:val="0"/>
                  <w:marTop w:val="0"/>
                  <w:marBottom w:val="0"/>
                  <w:divBdr>
                    <w:top w:val="none" w:sz="0" w:space="0" w:color="auto"/>
                    <w:left w:val="none" w:sz="0" w:space="0" w:color="auto"/>
                    <w:bottom w:val="none" w:sz="0" w:space="0" w:color="auto"/>
                    <w:right w:val="none" w:sz="0" w:space="0" w:color="auto"/>
                  </w:divBdr>
                </w:div>
              </w:divsChild>
            </w:div>
            <w:div w:id="1053311737">
              <w:marLeft w:val="0"/>
              <w:marRight w:val="0"/>
              <w:marTop w:val="300"/>
              <w:marBottom w:val="300"/>
              <w:divBdr>
                <w:top w:val="none" w:sz="0" w:space="0" w:color="auto"/>
                <w:left w:val="none" w:sz="0" w:space="0" w:color="auto"/>
                <w:bottom w:val="none" w:sz="0" w:space="0" w:color="auto"/>
                <w:right w:val="none" w:sz="0" w:space="0" w:color="auto"/>
              </w:divBdr>
            </w:div>
            <w:div w:id="1064059250">
              <w:marLeft w:val="0"/>
              <w:marRight w:val="0"/>
              <w:marTop w:val="0"/>
              <w:marBottom w:val="0"/>
              <w:divBdr>
                <w:top w:val="none" w:sz="0" w:space="0" w:color="auto"/>
                <w:left w:val="none" w:sz="0" w:space="0" w:color="auto"/>
                <w:bottom w:val="none" w:sz="0" w:space="0" w:color="auto"/>
                <w:right w:val="none" w:sz="0" w:space="0" w:color="auto"/>
              </w:divBdr>
              <w:divsChild>
                <w:div w:id="322509010">
                  <w:marLeft w:val="0"/>
                  <w:marRight w:val="0"/>
                  <w:marTop w:val="0"/>
                  <w:marBottom w:val="0"/>
                  <w:divBdr>
                    <w:top w:val="none" w:sz="0" w:space="0" w:color="auto"/>
                    <w:left w:val="none" w:sz="0" w:space="0" w:color="auto"/>
                    <w:bottom w:val="none" w:sz="0" w:space="0" w:color="auto"/>
                    <w:right w:val="none" w:sz="0" w:space="0" w:color="auto"/>
                  </w:divBdr>
                </w:div>
              </w:divsChild>
            </w:div>
            <w:div w:id="1066294895">
              <w:marLeft w:val="0"/>
              <w:marRight w:val="0"/>
              <w:marTop w:val="0"/>
              <w:marBottom w:val="0"/>
              <w:divBdr>
                <w:top w:val="none" w:sz="0" w:space="0" w:color="auto"/>
                <w:left w:val="none" w:sz="0" w:space="0" w:color="auto"/>
                <w:bottom w:val="none" w:sz="0" w:space="0" w:color="auto"/>
                <w:right w:val="none" w:sz="0" w:space="0" w:color="auto"/>
              </w:divBdr>
              <w:divsChild>
                <w:div w:id="856230661">
                  <w:marLeft w:val="0"/>
                  <w:marRight w:val="0"/>
                  <w:marTop w:val="0"/>
                  <w:marBottom w:val="0"/>
                  <w:divBdr>
                    <w:top w:val="none" w:sz="0" w:space="0" w:color="auto"/>
                    <w:left w:val="none" w:sz="0" w:space="0" w:color="auto"/>
                    <w:bottom w:val="none" w:sz="0" w:space="0" w:color="auto"/>
                    <w:right w:val="none" w:sz="0" w:space="0" w:color="auto"/>
                  </w:divBdr>
                </w:div>
              </w:divsChild>
            </w:div>
            <w:div w:id="1073503577">
              <w:marLeft w:val="0"/>
              <w:marRight w:val="0"/>
              <w:marTop w:val="0"/>
              <w:marBottom w:val="0"/>
              <w:divBdr>
                <w:top w:val="none" w:sz="0" w:space="0" w:color="auto"/>
                <w:left w:val="none" w:sz="0" w:space="0" w:color="auto"/>
                <w:bottom w:val="none" w:sz="0" w:space="0" w:color="auto"/>
                <w:right w:val="none" w:sz="0" w:space="0" w:color="auto"/>
              </w:divBdr>
              <w:divsChild>
                <w:div w:id="1515149627">
                  <w:marLeft w:val="0"/>
                  <w:marRight w:val="0"/>
                  <w:marTop w:val="0"/>
                  <w:marBottom w:val="0"/>
                  <w:divBdr>
                    <w:top w:val="none" w:sz="0" w:space="0" w:color="auto"/>
                    <w:left w:val="none" w:sz="0" w:space="0" w:color="auto"/>
                    <w:bottom w:val="none" w:sz="0" w:space="0" w:color="auto"/>
                    <w:right w:val="none" w:sz="0" w:space="0" w:color="auto"/>
                  </w:divBdr>
                </w:div>
              </w:divsChild>
            </w:div>
            <w:div w:id="1078870420">
              <w:marLeft w:val="0"/>
              <w:marRight w:val="0"/>
              <w:marTop w:val="300"/>
              <w:marBottom w:val="300"/>
              <w:divBdr>
                <w:top w:val="none" w:sz="0" w:space="0" w:color="auto"/>
                <w:left w:val="none" w:sz="0" w:space="0" w:color="auto"/>
                <w:bottom w:val="none" w:sz="0" w:space="0" w:color="auto"/>
                <w:right w:val="none" w:sz="0" w:space="0" w:color="auto"/>
              </w:divBdr>
            </w:div>
            <w:div w:id="1080324224">
              <w:marLeft w:val="0"/>
              <w:marRight w:val="0"/>
              <w:marTop w:val="0"/>
              <w:marBottom w:val="0"/>
              <w:divBdr>
                <w:top w:val="none" w:sz="0" w:space="0" w:color="auto"/>
                <w:left w:val="none" w:sz="0" w:space="0" w:color="auto"/>
                <w:bottom w:val="none" w:sz="0" w:space="0" w:color="auto"/>
                <w:right w:val="none" w:sz="0" w:space="0" w:color="auto"/>
              </w:divBdr>
              <w:divsChild>
                <w:div w:id="1236353457">
                  <w:marLeft w:val="0"/>
                  <w:marRight w:val="0"/>
                  <w:marTop w:val="0"/>
                  <w:marBottom w:val="0"/>
                  <w:divBdr>
                    <w:top w:val="none" w:sz="0" w:space="0" w:color="auto"/>
                    <w:left w:val="none" w:sz="0" w:space="0" w:color="auto"/>
                    <w:bottom w:val="none" w:sz="0" w:space="0" w:color="auto"/>
                    <w:right w:val="none" w:sz="0" w:space="0" w:color="auto"/>
                  </w:divBdr>
                </w:div>
              </w:divsChild>
            </w:div>
            <w:div w:id="1082871543">
              <w:marLeft w:val="0"/>
              <w:marRight w:val="0"/>
              <w:marTop w:val="300"/>
              <w:marBottom w:val="300"/>
              <w:divBdr>
                <w:top w:val="none" w:sz="0" w:space="0" w:color="auto"/>
                <w:left w:val="none" w:sz="0" w:space="0" w:color="auto"/>
                <w:bottom w:val="none" w:sz="0" w:space="0" w:color="auto"/>
                <w:right w:val="none" w:sz="0" w:space="0" w:color="auto"/>
              </w:divBdr>
            </w:div>
            <w:div w:id="1090391719">
              <w:marLeft w:val="0"/>
              <w:marRight w:val="0"/>
              <w:marTop w:val="0"/>
              <w:marBottom w:val="0"/>
              <w:divBdr>
                <w:top w:val="none" w:sz="0" w:space="0" w:color="auto"/>
                <w:left w:val="none" w:sz="0" w:space="0" w:color="auto"/>
                <w:bottom w:val="none" w:sz="0" w:space="0" w:color="auto"/>
                <w:right w:val="none" w:sz="0" w:space="0" w:color="auto"/>
              </w:divBdr>
              <w:divsChild>
                <w:div w:id="1837502010">
                  <w:marLeft w:val="0"/>
                  <w:marRight w:val="0"/>
                  <w:marTop w:val="0"/>
                  <w:marBottom w:val="0"/>
                  <w:divBdr>
                    <w:top w:val="none" w:sz="0" w:space="0" w:color="auto"/>
                    <w:left w:val="none" w:sz="0" w:space="0" w:color="auto"/>
                    <w:bottom w:val="none" w:sz="0" w:space="0" w:color="auto"/>
                    <w:right w:val="none" w:sz="0" w:space="0" w:color="auto"/>
                  </w:divBdr>
                </w:div>
              </w:divsChild>
            </w:div>
            <w:div w:id="1092817016">
              <w:marLeft w:val="0"/>
              <w:marRight w:val="0"/>
              <w:marTop w:val="0"/>
              <w:marBottom w:val="0"/>
              <w:divBdr>
                <w:top w:val="none" w:sz="0" w:space="0" w:color="auto"/>
                <w:left w:val="none" w:sz="0" w:space="0" w:color="auto"/>
                <w:bottom w:val="none" w:sz="0" w:space="0" w:color="auto"/>
                <w:right w:val="none" w:sz="0" w:space="0" w:color="auto"/>
              </w:divBdr>
              <w:divsChild>
                <w:div w:id="1677733846">
                  <w:marLeft w:val="0"/>
                  <w:marRight w:val="0"/>
                  <w:marTop w:val="0"/>
                  <w:marBottom w:val="0"/>
                  <w:divBdr>
                    <w:top w:val="none" w:sz="0" w:space="0" w:color="auto"/>
                    <w:left w:val="none" w:sz="0" w:space="0" w:color="auto"/>
                    <w:bottom w:val="none" w:sz="0" w:space="0" w:color="auto"/>
                    <w:right w:val="none" w:sz="0" w:space="0" w:color="auto"/>
                  </w:divBdr>
                </w:div>
              </w:divsChild>
            </w:div>
            <w:div w:id="1097554676">
              <w:marLeft w:val="0"/>
              <w:marRight w:val="0"/>
              <w:marTop w:val="0"/>
              <w:marBottom w:val="0"/>
              <w:divBdr>
                <w:top w:val="none" w:sz="0" w:space="0" w:color="auto"/>
                <w:left w:val="none" w:sz="0" w:space="0" w:color="auto"/>
                <w:bottom w:val="none" w:sz="0" w:space="0" w:color="auto"/>
                <w:right w:val="none" w:sz="0" w:space="0" w:color="auto"/>
              </w:divBdr>
              <w:divsChild>
                <w:div w:id="2126382435">
                  <w:marLeft w:val="0"/>
                  <w:marRight w:val="0"/>
                  <w:marTop w:val="0"/>
                  <w:marBottom w:val="0"/>
                  <w:divBdr>
                    <w:top w:val="none" w:sz="0" w:space="0" w:color="auto"/>
                    <w:left w:val="none" w:sz="0" w:space="0" w:color="auto"/>
                    <w:bottom w:val="none" w:sz="0" w:space="0" w:color="auto"/>
                    <w:right w:val="none" w:sz="0" w:space="0" w:color="auto"/>
                  </w:divBdr>
                </w:div>
              </w:divsChild>
            </w:div>
            <w:div w:id="1097939716">
              <w:marLeft w:val="0"/>
              <w:marRight w:val="0"/>
              <w:marTop w:val="0"/>
              <w:marBottom w:val="0"/>
              <w:divBdr>
                <w:top w:val="none" w:sz="0" w:space="0" w:color="auto"/>
                <w:left w:val="none" w:sz="0" w:space="0" w:color="auto"/>
                <w:bottom w:val="none" w:sz="0" w:space="0" w:color="auto"/>
                <w:right w:val="none" w:sz="0" w:space="0" w:color="auto"/>
              </w:divBdr>
              <w:divsChild>
                <w:div w:id="184905127">
                  <w:marLeft w:val="0"/>
                  <w:marRight w:val="0"/>
                  <w:marTop w:val="0"/>
                  <w:marBottom w:val="0"/>
                  <w:divBdr>
                    <w:top w:val="none" w:sz="0" w:space="0" w:color="auto"/>
                    <w:left w:val="none" w:sz="0" w:space="0" w:color="auto"/>
                    <w:bottom w:val="none" w:sz="0" w:space="0" w:color="auto"/>
                    <w:right w:val="none" w:sz="0" w:space="0" w:color="auto"/>
                  </w:divBdr>
                </w:div>
              </w:divsChild>
            </w:div>
            <w:div w:id="1106078564">
              <w:marLeft w:val="0"/>
              <w:marRight w:val="0"/>
              <w:marTop w:val="0"/>
              <w:marBottom w:val="0"/>
              <w:divBdr>
                <w:top w:val="none" w:sz="0" w:space="0" w:color="auto"/>
                <w:left w:val="none" w:sz="0" w:space="0" w:color="auto"/>
                <w:bottom w:val="none" w:sz="0" w:space="0" w:color="auto"/>
                <w:right w:val="none" w:sz="0" w:space="0" w:color="auto"/>
              </w:divBdr>
              <w:divsChild>
                <w:div w:id="1634868821">
                  <w:marLeft w:val="0"/>
                  <w:marRight w:val="0"/>
                  <w:marTop w:val="0"/>
                  <w:marBottom w:val="0"/>
                  <w:divBdr>
                    <w:top w:val="none" w:sz="0" w:space="0" w:color="auto"/>
                    <w:left w:val="none" w:sz="0" w:space="0" w:color="auto"/>
                    <w:bottom w:val="none" w:sz="0" w:space="0" w:color="auto"/>
                    <w:right w:val="none" w:sz="0" w:space="0" w:color="auto"/>
                  </w:divBdr>
                </w:div>
              </w:divsChild>
            </w:div>
            <w:div w:id="1108354778">
              <w:marLeft w:val="0"/>
              <w:marRight w:val="0"/>
              <w:marTop w:val="0"/>
              <w:marBottom w:val="0"/>
              <w:divBdr>
                <w:top w:val="none" w:sz="0" w:space="0" w:color="auto"/>
                <w:left w:val="none" w:sz="0" w:space="0" w:color="auto"/>
                <w:bottom w:val="none" w:sz="0" w:space="0" w:color="auto"/>
                <w:right w:val="none" w:sz="0" w:space="0" w:color="auto"/>
              </w:divBdr>
              <w:divsChild>
                <w:div w:id="1400402417">
                  <w:marLeft w:val="0"/>
                  <w:marRight w:val="0"/>
                  <w:marTop w:val="0"/>
                  <w:marBottom w:val="0"/>
                  <w:divBdr>
                    <w:top w:val="none" w:sz="0" w:space="0" w:color="auto"/>
                    <w:left w:val="none" w:sz="0" w:space="0" w:color="auto"/>
                    <w:bottom w:val="none" w:sz="0" w:space="0" w:color="auto"/>
                    <w:right w:val="none" w:sz="0" w:space="0" w:color="auto"/>
                  </w:divBdr>
                </w:div>
              </w:divsChild>
            </w:div>
            <w:div w:id="1111359608">
              <w:marLeft w:val="0"/>
              <w:marRight w:val="0"/>
              <w:marTop w:val="0"/>
              <w:marBottom w:val="0"/>
              <w:divBdr>
                <w:top w:val="none" w:sz="0" w:space="0" w:color="auto"/>
                <w:left w:val="none" w:sz="0" w:space="0" w:color="auto"/>
                <w:bottom w:val="none" w:sz="0" w:space="0" w:color="auto"/>
                <w:right w:val="none" w:sz="0" w:space="0" w:color="auto"/>
              </w:divBdr>
              <w:divsChild>
                <w:div w:id="834953311">
                  <w:marLeft w:val="0"/>
                  <w:marRight w:val="0"/>
                  <w:marTop w:val="0"/>
                  <w:marBottom w:val="0"/>
                  <w:divBdr>
                    <w:top w:val="none" w:sz="0" w:space="0" w:color="auto"/>
                    <w:left w:val="none" w:sz="0" w:space="0" w:color="auto"/>
                    <w:bottom w:val="none" w:sz="0" w:space="0" w:color="auto"/>
                    <w:right w:val="none" w:sz="0" w:space="0" w:color="auto"/>
                  </w:divBdr>
                </w:div>
              </w:divsChild>
            </w:div>
            <w:div w:id="1111709975">
              <w:marLeft w:val="0"/>
              <w:marRight w:val="0"/>
              <w:marTop w:val="0"/>
              <w:marBottom w:val="0"/>
              <w:divBdr>
                <w:top w:val="none" w:sz="0" w:space="0" w:color="auto"/>
                <w:left w:val="none" w:sz="0" w:space="0" w:color="auto"/>
                <w:bottom w:val="none" w:sz="0" w:space="0" w:color="auto"/>
                <w:right w:val="none" w:sz="0" w:space="0" w:color="auto"/>
              </w:divBdr>
              <w:divsChild>
                <w:div w:id="746657662">
                  <w:marLeft w:val="0"/>
                  <w:marRight w:val="0"/>
                  <w:marTop w:val="0"/>
                  <w:marBottom w:val="0"/>
                  <w:divBdr>
                    <w:top w:val="none" w:sz="0" w:space="0" w:color="auto"/>
                    <w:left w:val="none" w:sz="0" w:space="0" w:color="auto"/>
                    <w:bottom w:val="none" w:sz="0" w:space="0" w:color="auto"/>
                    <w:right w:val="none" w:sz="0" w:space="0" w:color="auto"/>
                  </w:divBdr>
                </w:div>
              </w:divsChild>
            </w:div>
            <w:div w:id="1120609088">
              <w:marLeft w:val="0"/>
              <w:marRight w:val="0"/>
              <w:marTop w:val="0"/>
              <w:marBottom w:val="0"/>
              <w:divBdr>
                <w:top w:val="none" w:sz="0" w:space="0" w:color="auto"/>
                <w:left w:val="none" w:sz="0" w:space="0" w:color="auto"/>
                <w:bottom w:val="none" w:sz="0" w:space="0" w:color="auto"/>
                <w:right w:val="none" w:sz="0" w:space="0" w:color="auto"/>
              </w:divBdr>
              <w:divsChild>
                <w:div w:id="1150554752">
                  <w:marLeft w:val="0"/>
                  <w:marRight w:val="0"/>
                  <w:marTop w:val="0"/>
                  <w:marBottom w:val="0"/>
                  <w:divBdr>
                    <w:top w:val="none" w:sz="0" w:space="0" w:color="auto"/>
                    <w:left w:val="none" w:sz="0" w:space="0" w:color="auto"/>
                    <w:bottom w:val="none" w:sz="0" w:space="0" w:color="auto"/>
                    <w:right w:val="none" w:sz="0" w:space="0" w:color="auto"/>
                  </w:divBdr>
                </w:div>
              </w:divsChild>
            </w:div>
            <w:div w:id="1122118337">
              <w:marLeft w:val="0"/>
              <w:marRight w:val="0"/>
              <w:marTop w:val="300"/>
              <w:marBottom w:val="300"/>
              <w:divBdr>
                <w:top w:val="none" w:sz="0" w:space="0" w:color="auto"/>
                <w:left w:val="none" w:sz="0" w:space="0" w:color="auto"/>
                <w:bottom w:val="none" w:sz="0" w:space="0" w:color="auto"/>
                <w:right w:val="none" w:sz="0" w:space="0" w:color="auto"/>
              </w:divBdr>
            </w:div>
            <w:div w:id="1124466790">
              <w:marLeft w:val="0"/>
              <w:marRight w:val="0"/>
              <w:marTop w:val="0"/>
              <w:marBottom w:val="0"/>
              <w:divBdr>
                <w:top w:val="none" w:sz="0" w:space="0" w:color="auto"/>
                <w:left w:val="none" w:sz="0" w:space="0" w:color="auto"/>
                <w:bottom w:val="none" w:sz="0" w:space="0" w:color="auto"/>
                <w:right w:val="none" w:sz="0" w:space="0" w:color="auto"/>
              </w:divBdr>
              <w:divsChild>
                <w:div w:id="532576987">
                  <w:marLeft w:val="0"/>
                  <w:marRight w:val="0"/>
                  <w:marTop w:val="0"/>
                  <w:marBottom w:val="0"/>
                  <w:divBdr>
                    <w:top w:val="none" w:sz="0" w:space="0" w:color="auto"/>
                    <w:left w:val="none" w:sz="0" w:space="0" w:color="auto"/>
                    <w:bottom w:val="none" w:sz="0" w:space="0" w:color="auto"/>
                    <w:right w:val="none" w:sz="0" w:space="0" w:color="auto"/>
                  </w:divBdr>
                </w:div>
              </w:divsChild>
            </w:div>
            <w:div w:id="1137643174">
              <w:marLeft w:val="0"/>
              <w:marRight w:val="0"/>
              <w:marTop w:val="300"/>
              <w:marBottom w:val="300"/>
              <w:divBdr>
                <w:top w:val="none" w:sz="0" w:space="0" w:color="auto"/>
                <w:left w:val="none" w:sz="0" w:space="0" w:color="auto"/>
                <w:bottom w:val="none" w:sz="0" w:space="0" w:color="auto"/>
                <w:right w:val="none" w:sz="0" w:space="0" w:color="auto"/>
              </w:divBdr>
            </w:div>
            <w:div w:id="1140347409">
              <w:marLeft w:val="0"/>
              <w:marRight w:val="0"/>
              <w:marTop w:val="0"/>
              <w:marBottom w:val="0"/>
              <w:divBdr>
                <w:top w:val="none" w:sz="0" w:space="0" w:color="auto"/>
                <w:left w:val="none" w:sz="0" w:space="0" w:color="auto"/>
                <w:bottom w:val="none" w:sz="0" w:space="0" w:color="auto"/>
                <w:right w:val="none" w:sz="0" w:space="0" w:color="auto"/>
              </w:divBdr>
              <w:divsChild>
                <w:div w:id="1789427222">
                  <w:marLeft w:val="0"/>
                  <w:marRight w:val="0"/>
                  <w:marTop w:val="0"/>
                  <w:marBottom w:val="0"/>
                  <w:divBdr>
                    <w:top w:val="none" w:sz="0" w:space="0" w:color="auto"/>
                    <w:left w:val="none" w:sz="0" w:space="0" w:color="auto"/>
                    <w:bottom w:val="none" w:sz="0" w:space="0" w:color="auto"/>
                    <w:right w:val="none" w:sz="0" w:space="0" w:color="auto"/>
                  </w:divBdr>
                </w:div>
              </w:divsChild>
            </w:div>
            <w:div w:id="1147673395">
              <w:marLeft w:val="0"/>
              <w:marRight w:val="0"/>
              <w:marTop w:val="0"/>
              <w:marBottom w:val="0"/>
              <w:divBdr>
                <w:top w:val="none" w:sz="0" w:space="0" w:color="auto"/>
                <w:left w:val="none" w:sz="0" w:space="0" w:color="auto"/>
                <w:bottom w:val="none" w:sz="0" w:space="0" w:color="auto"/>
                <w:right w:val="none" w:sz="0" w:space="0" w:color="auto"/>
              </w:divBdr>
              <w:divsChild>
                <w:div w:id="491486859">
                  <w:marLeft w:val="0"/>
                  <w:marRight w:val="0"/>
                  <w:marTop w:val="0"/>
                  <w:marBottom w:val="0"/>
                  <w:divBdr>
                    <w:top w:val="none" w:sz="0" w:space="0" w:color="auto"/>
                    <w:left w:val="none" w:sz="0" w:space="0" w:color="auto"/>
                    <w:bottom w:val="none" w:sz="0" w:space="0" w:color="auto"/>
                    <w:right w:val="none" w:sz="0" w:space="0" w:color="auto"/>
                  </w:divBdr>
                </w:div>
              </w:divsChild>
            </w:div>
            <w:div w:id="1151601197">
              <w:marLeft w:val="0"/>
              <w:marRight w:val="0"/>
              <w:marTop w:val="0"/>
              <w:marBottom w:val="0"/>
              <w:divBdr>
                <w:top w:val="none" w:sz="0" w:space="0" w:color="auto"/>
                <w:left w:val="none" w:sz="0" w:space="0" w:color="auto"/>
                <w:bottom w:val="none" w:sz="0" w:space="0" w:color="auto"/>
                <w:right w:val="none" w:sz="0" w:space="0" w:color="auto"/>
              </w:divBdr>
              <w:divsChild>
                <w:div w:id="891387094">
                  <w:marLeft w:val="0"/>
                  <w:marRight w:val="0"/>
                  <w:marTop w:val="0"/>
                  <w:marBottom w:val="0"/>
                  <w:divBdr>
                    <w:top w:val="none" w:sz="0" w:space="0" w:color="auto"/>
                    <w:left w:val="none" w:sz="0" w:space="0" w:color="auto"/>
                    <w:bottom w:val="none" w:sz="0" w:space="0" w:color="auto"/>
                    <w:right w:val="none" w:sz="0" w:space="0" w:color="auto"/>
                  </w:divBdr>
                </w:div>
              </w:divsChild>
            </w:div>
            <w:div w:id="1158499976">
              <w:marLeft w:val="0"/>
              <w:marRight w:val="0"/>
              <w:marTop w:val="300"/>
              <w:marBottom w:val="300"/>
              <w:divBdr>
                <w:top w:val="none" w:sz="0" w:space="0" w:color="auto"/>
                <w:left w:val="none" w:sz="0" w:space="0" w:color="auto"/>
                <w:bottom w:val="none" w:sz="0" w:space="0" w:color="auto"/>
                <w:right w:val="none" w:sz="0" w:space="0" w:color="auto"/>
              </w:divBdr>
            </w:div>
            <w:div w:id="1163424336">
              <w:marLeft w:val="0"/>
              <w:marRight w:val="0"/>
              <w:marTop w:val="0"/>
              <w:marBottom w:val="0"/>
              <w:divBdr>
                <w:top w:val="none" w:sz="0" w:space="0" w:color="auto"/>
                <w:left w:val="none" w:sz="0" w:space="0" w:color="auto"/>
                <w:bottom w:val="none" w:sz="0" w:space="0" w:color="auto"/>
                <w:right w:val="none" w:sz="0" w:space="0" w:color="auto"/>
              </w:divBdr>
              <w:divsChild>
                <w:div w:id="56707229">
                  <w:marLeft w:val="0"/>
                  <w:marRight w:val="0"/>
                  <w:marTop w:val="0"/>
                  <w:marBottom w:val="0"/>
                  <w:divBdr>
                    <w:top w:val="none" w:sz="0" w:space="0" w:color="auto"/>
                    <w:left w:val="none" w:sz="0" w:space="0" w:color="auto"/>
                    <w:bottom w:val="none" w:sz="0" w:space="0" w:color="auto"/>
                    <w:right w:val="none" w:sz="0" w:space="0" w:color="auto"/>
                  </w:divBdr>
                </w:div>
              </w:divsChild>
            </w:div>
            <w:div w:id="1165242476">
              <w:marLeft w:val="0"/>
              <w:marRight w:val="0"/>
              <w:marTop w:val="0"/>
              <w:marBottom w:val="0"/>
              <w:divBdr>
                <w:top w:val="none" w:sz="0" w:space="0" w:color="auto"/>
                <w:left w:val="none" w:sz="0" w:space="0" w:color="auto"/>
                <w:bottom w:val="none" w:sz="0" w:space="0" w:color="auto"/>
                <w:right w:val="none" w:sz="0" w:space="0" w:color="auto"/>
              </w:divBdr>
              <w:divsChild>
                <w:div w:id="886113262">
                  <w:marLeft w:val="0"/>
                  <w:marRight w:val="0"/>
                  <w:marTop w:val="0"/>
                  <w:marBottom w:val="0"/>
                  <w:divBdr>
                    <w:top w:val="none" w:sz="0" w:space="0" w:color="auto"/>
                    <w:left w:val="none" w:sz="0" w:space="0" w:color="auto"/>
                    <w:bottom w:val="none" w:sz="0" w:space="0" w:color="auto"/>
                    <w:right w:val="none" w:sz="0" w:space="0" w:color="auto"/>
                  </w:divBdr>
                </w:div>
              </w:divsChild>
            </w:div>
            <w:div w:id="1168012887">
              <w:marLeft w:val="0"/>
              <w:marRight w:val="0"/>
              <w:marTop w:val="0"/>
              <w:marBottom w:val="0"/>
              <w:divBdr>
                <w:top w:val="none" w:sz="0" w:space="0" w:color="auto"/>
                <w:left w:val="none" w:sz="0" w:space="0" w:color="auto"/>
                <w:bottom w:val="none" w:sz="0" w:space="0" w:color="auto"/>
                <w:right w:val="none" w:sz="0" w:space="0" w:color="auto"/>
              </w:divBdr>
              <w:divsChild>
                <w:div w:id="2140145089">
                  <w:marLeft w:val="0"/>
                  <w:marRight w:val="0"/>
                  <w:marTop w:val="0"/>
                  <w:marBottom w:val="0"/>
                  <w:divBdr>
                    <w:top w:val="none" w:sz="0" w:space="0" w:color="auto"/>
                    <w:left w:val="none" w:sz="0" w:space="0" w:color="auto"/>
                    <w:bottom w:val="none" w:sz="0" w:space="0" w:color="auto"/>
                    <w:right w:val="none" w:sz="0" w:space="0" w:color="auto"/>
                  </w:divBdr>
                </w:div>
              </w:divsChild>
            </w:div>
            <w:div w:id="1168860853">
              <w:marLeft w:val="0"/>
              <w:marRight w:val="0"/>
              <w:marTop w:val="0"/>
              <w:marBottom w:val="0"/>
              <w:divBdr>
                <w:top w:val="none" w:sz="0" w:space="0" w:color="auto"/>
                <w:left w:val="none" w:sz="0" w:space="0" w:color="auto"/>
                <w:bottom w:val="none" w:sz="0" w:space="0" w:color="auto"/>
                <w:right w:val="none" w:sz="0" w:space="0" w:color="auto"/>
              </w:divBdr>
              <w:divsChild>
                <w:div w:id="629941926">
                  <w:marLeft w:val="0"/>
                  <w:marRight w:val="0"/>
                  <w:marTop w:val="0"/>
                  <w:marBottom w:val="0"/>
                  <w:divBdr>
                    <w:top w:val="none" w:sz="0" w:space="0" w:color="auto"/>
                    <w:left w:val="none" w:sz="0" w:space="0" w:color="auto"/>
                    <w:bottom w:val="none" w:sz="0" w:space="0" w:color="auto"/>
                    <w:right w:val="none" w:sz="0" w:space="0" w:color="auto"/>
                  </w:divBdr>
                </w:div>
              </w:divsChild>
            </w:div>
            <w:div w:id="1171408500">
              <w:marLeft w:val="0"/>
              <w:marRight w:val="0"/>
              <w:marTop w:val="0"/>
              <w:marBottom w:val="0"/>
              <w:divBdr>
                <w:top w:val="none" w:sz="0" w:space="0" w:color="auto"/>
                <w:left w:val="none" w:sz="0" w:space="0" w:color="auto"/>
                <w:bottom w:val="none" w:sz="0" w:space="0" w:color="auto"/>
                <w:right w:val="none" w:sz="0" w:space="0" w:color="auto"/>
              </w:divBdr>
              <w:divsChild>
                <w:div w:id="77555507">
                  <w:marLeft w:val="0"/>
                  <w:marRight w:val="0"/>
                  <w:marTop w:val="0"/>
                  <w:marBottom w:val="0"/>
                  <w:divBdr>
                    <w:top w:val="none" w:sz="0" w:space="0" w:color="auto"/>
                    <w:left w:val="none" w:sz="0" w:space="0" w:color="auto"/>
                    <w:bottom w:val="none" w:sz="0" w:space="0" w:color="auto"/>
                    <w:right w:val="none" w:sz="0" w:space="0" w:color="auto"/>
                  </w:divBdr>
                </w:div>
              </w:divsChild>
            </w:div>
            <w:div w:id="1173646708">
              <w:marLeft w:val="0"/>
              <w:marRight w:val="0"/>
              <w:marTop w:val="0"/>
              <w:marBottom w:val="0"/>
              <w:divBdr>
                <w:top w:val="none" w:sz="0" w:space="0" w:color="auto"/>
                <w:left w:val="none" w:sz="0" w:space="0" w:color="auto"/>
                <w:bottom w:val="none" w:sz="0" w:space="0" w:color="auto"/>
                <w:right w:val="none" w:sz="0" w:space="0" w:color="auto"/>
              </w:divBdr>
              <w:divsChild>
                <w:div w:id="686252758">
                  <w:marLeft w:val="0"/>
                  <w:marRight w:val="0"/>
                  <w:marTop w:val="0"/>
                  <w:marBottom w:val="0"/>
                  <w:divBdr>
                    <w:top w:val="none" w:sz="0" w:space="0" w:color="auto"/>
                    <w:left w:val="none" w:sz="0" w:space="0" w:color="auto"/>
                    <w:bottom w:val="none" w:sz="0" w:space="0" w:color="auto"/>
                    <w:right w:val="none" w:sz="0" w:space="0" w:color="auto"/>
                  </w:divBdr>
                </w:div>
              </w:divsChild>
            </w:div>
            <w:div w:id="1174996567">
              <w:marLeft w:val="0"/>
              <w:marRight w:val="0"/>
              <w:marTop w:val="0"/>
              <w:marBottom w:val="0"/>
              <w:divBdr>
                <w:top w:val="none" w:sz="0" w:space="0" w:color="auto"/>
                <w:left w:val="none" w:sz="0" w:space="0" w:color="auto"/>
                <w:bottom w:val="none" w:sz="0" w:space="0" w:color="auto"/>
                <w:right w:val="none" w:sz="0" w:space="0" w:color="auto"/>
              </w:divBdr>
              <w:divsChild>
                <w:div w:id="1995989237">
                  <w:marLeft w:val="0"/>
                  <w:marRight w:val="0"/>
                  <w:marTop w:val="0"/>
                  <w:marBottom w:val="0"/>
                  <w:divBdr>
                    <w:top w:val="none" w:sz="0" w:space="0" w:color="auto"/>
                    <w:left w:val="none" w:sz="0" w:space="0" w:color="auto"/>
                    <w:bottom w:val="none" w:sz="0" w:space="0" w:color="auto"/>
                    <w:right w:val="none" w:sz="0" w:space="0" w:color="auto"/>
                  </w:divBdr>
                </w:div>
              </w:divsChild>
            </w:div>
            <w:div w:id="1177308298">
              <w:marLeft w:val="0"/>
              <w:marRight w:val="0"/>
              <w:marTop w:val="300"/>
              <w:marBottom w:val="300"/>
              <w:divBdr>
                <w:top w:val="none" w:sz="0" w:space="0" w:color="auto"/>
                <w:left w:val="none" w:sz="0" w:space="0" w:color="auto"/>
                <w:bottom w:val="none" w:sz="0" w:space="0" w:color="auto"/>
                <w:right w:val="none" w:sz="0" w:space="0" w:color="auto"/>
              </w:divBdr>
            </w:div>
            <w:div w:id="1178928202">
              <w:marLeft w:val="0"/>
              <w:marRight w:val="0"/>
              <w:marTop w:val="0"/>
              <w:marBottom w:val="0"/>
              <w:divBdr>
                <w:top w:val="none" w:sz="0" w:space="0" w:color="auto"/>
                <w:left w:val="none" w:sz="0" w:space="0" w:color="auto"/>
                <w:bottom w:val="none" w:sz="0" w:space="0" w:color="auto"/>
                <w:right w:val="none" w:sz="0" w:space="0" w:color="auto"/>
              </w:divBdr>
              <w:divsChild>
                <w:div w:id="1010722738">
                  <w:marLeft w:val="0"/>
                  <w:marRight w:val="0"/>
                  <w:marTop w:val="0"/>
                  <w:marBottom w:val="0"/>
                  <w:divBdr>
                    <w:top w:val="none" w:sz="0" w:space="0" w:color="auto"/>
                    <w:left w:val="none" w:sz="0" w:space="0" w:color="auto"/>
                    <w:bottom w:val="none" w:sz="0" w:space="0" w:color="auto"/>
                    <w:right w:val="none" w:sz="0" w:space="0" w:color="auto"/>
                  </w:divBdr>
                </w:div>
              </w:divsChild>
            </w:div>
            <w:div w:id="1181163221">
              <w:marLeft w:val="0"/>
              <w:marRight w:val="0"/>
              <w:marTop w:val="0"/>
              <w:marBottom w:val="0"/>
              <w:divBdr>
                <w:top w:val="none" w:sz="0" w:space="0" w:color="auto"/>
                <w:left w:val="none" w:sz="0" w:space="0" w:color="auto"/>
                <w:bottom w:val="none" w:sz="0" w:space="0" w:color="auto"/>
                <w:right w:val="none" w:sz="0" w:space="0" w:color="auto"/>
              </w:divBdr>
              <w:divsChild>
                <w:div w:id="2068381961">
                  <w:marLeft w:val="0"/>
                  <w:marRight w:val="0"/>
                  <w:marTop w:val="0"/>
                  <w:marBottom w:val="0"/>
                  <w:divBdr>
                    <w:top w:val="none" w:sz="0" w:space="0" w:color="auto"/>
                    <w:left w:val="none" w:sz="0" w:space="0" w:color="auto"/>
                    <w:bottom w:val="none" w:sz="0" w:space="0" w:color="auto"/>
                    <w:right w:val="none" w:sz="0" w:space="0" w:color="auto"/>
                  </w:divBdr>
                </w:div>
              </w:divsChild>
            </w:div>
            <w:div w:id="1181777546">
              <w:marLeft w:val="0"/>
              <w:marRight w:val="0"/>
              <w:marTop w:val="0"/>
              <w:marBottom w:val="0"/>
              <w:divBdr>
                <w:top w:val="none" w:sz="0" w:space="0" w:color="auto"/>
                <w:left w:val="none" w:sz="0" w:space="0" w:color="auto"/>
                <w:bottom w:val="none" w:sz="0" w:space="0" w:color="auto"/>
                <w:right w:val="none" w:sz="0" w:space="0" w:color="auto"/>
              </w:divBdr>
              <w:divsChild>
                <w:div w:id="1746415377">
                  <w:marLeft w:val="0"/>
                  <w:marRight w:val="0"/>
                  <w:marTop w:val="0"/>
                  <w:marBottom w:val="0"/>
                  <w:divBdr>
                    <w:top w:val="none" w:sz="0" w:space="0" w:color="auto"/>
                    <w:left w:val="none" w:sz="0" w:space="0" w:color="auto"/>
                    <w:bottom w:val="none" w:sz="0" w:space="0" w:color="auto"/>
                    <w:right w:val="none" w:sz="0" w:space="0" w:color="auto"/>
                  </w:divBdr>
                </w:div>
              </w:divsChild>
            </w:div>
            <w:div w:id="1191527521">
              <w:marLeft w:val="0"/>
              <w:marRight w:val="0"/>
              <w:marTop w:val="0"/>
              <w:marBottom w:val="0"/>
              <w:divBdr>
                <w:top w:val="none" w:sz="0" w:space="0" w:color="auto"/>
                <w:left w:val="none" w:sz="0" w:space="0" w:color="auto"/>
                <w:bottom w:val="none" w:sz="0" w:space="0" w:color="auto"/>
                <w:right w:val="none" w:sz="0" w:space="0" w:color="auto"/>
              </w:divBdr>
              <w:divsChild>
                <w:div w:id="601651253">
                  <w:marLeft w:val="0"/>
                  <w:marRight w:val="0"/>
                  <w:marTop w:val="0"/>
                  <w:marBottom w:val="0"/>
                  <w:divBdr>
                    <w:top w:val="none" w:sz="0" w:space="0" w:color="auto"/>
                    <w:left w:val="none" w:sz="0" w:space="0" w:color="auto"/>
                    <w:bottom w:val="none" w:sz="0" w:space="0" w:color="auto"/>
                    <w:right w:val="none" w:sz="0" w:space="0" w:color="auto"/>
                  </w:divBdr>
                </w:div>
              </w:divsChild>
            </w:div>
            <w:div w:id="1196431149">
              <w:marLeft w:val="0"/>
              <w:marRight w:val="0"/>
              <w:marTop w:val="0"/>
              <w:marBottom w:val="0"/>
              <w:divBdr>
                <w:top w:val="none" w:sz="0" w:space="0" w:color="auto"/>
                <w:left w:val="none" w:sz="0" w:space="0" w:color="auto"/>
                <w:bottom w:val="none" w:sz="0" w:space="0" w:color="auto"/>
                <w:right w:val="none" w:sz="0" w:space="0" w:color="auto"/>
              </w:divBdr>
              <w:divsChild>
                <w:div w:id="471363787">
                  <w:marLeft w:val="0"/>
                  <w:marRight w:val="0"/>
                  <w:marTop w:val="0"/>
                  <w:marBottom w:val="0"/>
                  <w:divBdr>
                    <w:top w:val="none" w:sz="0" w:space="0" w:color="auto"/>
                    <w:left w:val="none" w:sz="0" w:space="0" w:color="auto"/>
                    <w:bottom w:val="none" w:sz="0" w:space="0" w:color="auto"/>
                    <w:right w:val="none" w:sz="0" w:space="0" w:color="auto"/>
                  </w:divBdr>
                </w:div>
              </w:divsChild>
            </w:div>
            <w:div w:id="1203129429">
              <w:marLeft w:val="0"/>
              <w:marRight w:val="0"/>
              <w:marTop w:val="0"/>
              <w:marBottom w:val="0"/>
              <w:divBdr>
                <w:top w:val="none" w:sz="0" w:space="0" w:color="auto"/>
                <w:left w:val="none" w:sz="0" w:space="0" w:color="auto"/>
                <w:bottom w:val="none" w:sz="0" w:space="0" w:color="auto"/>
                <w:right w:val="none" w:sz="0" w:space="0" w:color="auto"/>
              </w:divBdr>
              <w:divsChild>
                <w:div w:id="520318148">
                  <w:marLeft w:val="0"/>
                  <w:marRight w:val="0"/>
                  <w:marTop w:val="0"/>
                  <w:marBottom w:val="0"/>
                  <w:divBdr>
                    <w:top w:val="none" w:sz="0" w:space="0" w:color="auto"/>
                    <w:left w:val="none" w:sz="0" w:space="0" w:color="auto"/>
                    <w:bottom w:val="none" w:sz="0" w:space="0" w:color="auto"/>
                    <w:right w:val="none" w:sz="0" w:space="0" w:color="auto"/>
                  </w:divBdr>
                </w:div>
              </w:divsChild>
            </w:div>
            <w:div w:id="1207453052">
              <w:marLeft w:val="0"/>
              <w:marRight w:val="0"/>
              <w:marTop w:val="0"/>
              <w:marBottom w:val="0"/>
              <w:divBdr>
                <w:top w:val="none" w:sz="0" w:space="0" w:color="auto"/>
                <w:left w:val="none" w:sz="0" w:space="0" w:color="auto"/>
                <w:bottom w:val="none" w:sz="0" w:space="0" w:color="auto"/>
                <w:right w:val="none" w:sz="0" w:space="0" w:color="auto"/>
              </w:divBdr>
              <w:divsChild>
                <w:div w:id="890190550">
                  <w:marLeft w:val="0"/>
                  <w:marRight w:val="0"/>
                  <w:marTop w:val="0"/>
                  <w:marBottom w:val="0"/>
                  <w:divBdr>
                    <w:top w:val="none" w:sz="0" w:space="0" w:color="auto"/>
                    <w:left w:val="none" w:sz="0" w:space="0" w:color="auto"/>
                    <w:bottom w:val="none" w:sz="0" w:space="0" w:color="auto"/>
                    <w:right w:val="none" w:sz="0" w:space="0" w:color="auto"/>
                  </w:divBdr>
                </w:div>
              </w:divsChild>
            </w:div>
            <w:div w:id="1216429613">
              <w:marLeft w:val="0"/>
              <w:marRight w:val="0"/>
              <w:marTop w:val="0"/>
              <w:marBottom w:val="0"/>
              <w:divBdr>
                <w:top w:val="none" w:sz="0" w:space="0" w:color="auto"/>
                <w:left w:val="none" w:sz="0" w:space="0" w:color="auto"/>
                <w:bottom w:val="none" w:sz="0" w:space="0" w:color="auto"/>
                <w:right w:val="none" w:sz="0" w:space="0" w:color="auto"/>
              </w:divBdr>
              <w:divsChild>
                <w:div w:id="407308591">
                  <w:marLeft w:val="0"/>
                  <w:marRight w:val="0"/>
                  <w:marTop w:val="0"/>
                  <w:marBottom w:val="0"/>
                  <w:divBdr>
                    <w:top w:val="none" w:sz="0" w:space="0" w:color="auto"/>
                    <w:left w:val="none" w:sz="0" w:space="0" w:color="auto"/>
                    <w:bottom w:val="none" w:sz="0" w:space="0" w:color="auto"/>
                    <w:right w:val="none" w:sz="0" w:space="0" w:color="auto"/>
                  </w:divBdr>
                </w:div>
              </w:divsChild>
            </w:div>
            <w:div w:id="1221139644">
              <w:marLeft w:val="0"/>
              <w:marRight w:val="0"/>
              <w:marTop w:val="0"/>
              <w:marBottom w:val="0"/>
              <w:divBdr>
                <w:top w:val="none" w:sz="0" w:space="0" w:color="auto"/>
                <w:left w:val="none" w:sz="0" w:space="0" w:color="auto"/>
                <w:bottom w:val="none" w:sz="0" w:space="0" w:color="auto"/>
                <w:right w:val="none" w:sz="0" w:space="0" w:color="auto"/>
              </w:divBdr>
              <w:divsChild>
                <w:div w:id="1133982442">
                  <w:marLeft w:val="0"/>
                  <w:marRight w:val="0"/>
                  <w:marTop w:val="0"/>
                  <w:marBottom w:val="0"/>
                  <w:divBdr>
                    <w:top w:val="none" w:sz="0" w:space="0" w:color="auto"/>
                    <w:left w:val="none" w:sz="0" w:space="0" w:color="auto"/>
                    <w:bottom w:val="none" w:sz="0" w:space="0" w:color="auto"/>
                    <w:right w:val="none" w:sz="0" w:space="0" w:color="auto"/>
                  </w:divBdr>
                </w:div>
              </w:divsChild>
            </w:div>
            <w:div w:id="1222252970">
              <w:marLeft w:val="0"/>
              <w:marRight w:val="0"/>
              <w:marTop w:val="0"/>
              <w:marBottom w:val="0"/>
              <w:divBdr>
                <w:top w:val="none" w:sz="0" w:space="0" w:color="auto"/>
                <w:left w:val="none" w:sz="0" w:space="0" w:color="auto"/>
                <w:bottom w:val="none" w:sz="0" w:space="0" w:color="auto"/>
                <w:right w:val="none" w:sz="0" w:space="0" w:color="auto"/>
              </w:divBdr>
              <w:divsChild>
                <w:div w:id="798694367">
                  <w:marLeft w:val="0"/>
                  <w:marRight w:val="0"/>
                  <w:marTop w:val="0"/>
                  <w:marBottom w:val="0"/>
                  <w:divBdr>
                    <w:top w:val="none" w:sz="0" w:space="0" w:color="auto"/>
                    <w:left w:val="none" w:sz="0" w:space="0" w:color="auto"/>
                    <w:bottom w:val="none" w:sz="0" w:space="0" w:color="auto"/>
                    <w:right w:val="none" w:sz="0" w:space="0" w:color="auto"/>
                  </w:divBdr>
                </w:div>
              </w:divsChild>
            </w:div>
            <w:div w:id="1224947161">
              <w:marLeft w:val="0"/>
              <w:marRight w:val="0"/>
              <w:marTop w:val="0"/>
              <w:marBottom w:val="0"/>
              <w:divBdr>
                <w:top w:val="none" w:sz="0" w:space="0" w:color="auto"/>
                <w:left w:val="none" w:sz="0" w:space="0" w:color="auto"/>
                <w:bottom w:val="none" w:sz="0" w:space="0" w:color="auto"/>
                <w:right w:val="none" w:sz="0" w:space="0" w:color="auto"/>
              </w:divBdr>
              <w:divsChild>
                <w:div w:id="1935940058">
                  <w:marLeft w:val="0"/>
                  <w:marRight w:val="0"/>
                  <w:marTop w:val="0"/>
                  <w:marBottom w:val="0"/>
                  <w:divBdr>
                    <w:top w:val="none" w:sz="0" w:space="0" w:color="auto"/>
                    <w:left w:val="none" w:sz="0" w:space="0" w:color="auto"/>
                    <w:bottom w:val="none" w:sz="0" w:space="0" w:color="auto"/>
                    <w:right w:val="none" w:sz="0" w:space="0" w:color="auto"/>
                  </w:divBdr>
                </w:div>
              </w:divsChild>
            </w:div>
            <w:div w:id="1225219346">
              <w:marLeft w:val="0"/>
              <w:marRight w:val="0"/>
              <w:marTop w:val="0"/>
              <w:marBottom w:val="0"/>
              <w:divBdr>
                <w:top w:val="none" w:sz="0" w:space="0" w:color="auto"/>
                <w:left w:val="none" w:sz="0" w:space="0" w:color="auto"/>
                <w:bottom w:val="none" w:sz="0" w:space="0" w:color="auto"/>
                <w:right w:val="none" w:sz="0" w:space="0" w:color="auto"/>
              </w:divBdr>
              <w:divsChild>
                <w:div w:id="2102410550">
                  <w:marLeft w:val="0"/>
                  <w:marRight w:val="0"/>
                  <w:marTop w:val="0"/>
                  <w:marBottom w:val="0"/>
                  <w:divBdr>
                    <w:top w:val="none" w:sz="0" w:space="0" w:color="auto"/>
                    <w:left w:val="none" w:sz="0" w:space="0" w:color="auto"/>
                    <w:bottom w:val="none" w:sz="0" w:space="0" w:color="auto"/>
                    <w:right w:val="none" w:sz="0" w:space="0" w:color="auto"/>
                  </w:divBdr>
                </w:div>
              </w:divsChild>
            </w:div>
            <w:div w:id="1229997117">
              <w:marLeft w:val="0"/>
              <w:marRight w:val="0"/>
              <w:marTop w:val="0"/>
              <w:marBottom w:val="0"/>
              <w:divBdr>
                <w:top w:val="none" w:sz="0" w:space="0" w:color="auto"/>
                <w:left w:val="none" w:sz="0" w:space="0" w:color="auto"/>
                <w:bottom w:val="none" w:sz="0" w:space="0" w:color="auto"/>
                <w:right w:val="none" w:sz="0" w:space="0" w:color="auto"/>
              </w:divBdr>
              <w:divsChild>
                <w:div w:id="321085589">
                  <w:marLeft w:val="0"/>
                  <w:marRight w:val="0"/>
                  <w:marTop w:val="0"/>
                  <w:marBottom w:val="0"/>
                  <w:divBdr>
                    <w:top w:val="none" w:sz="0" w:space="0" w:color="auto"/>
                    <w:left w:val="none" w:sz="0" w:space="0" w:color="auto"/>
                    <w:bottom w:val="none" w:sz="0" w:space="0" w:color="auto"/>
                    <w:right w:val="none" w:sz="0" w:space="0" w:color="auto"/>
                  </w:divBdr>
                </w:div>
              </w:divsChild>
            </w:div>
            <w:div w:id="1231892619">
              <w:marLeft w:val="0"/>
              <w:marRight w:val="0"/>
              <w:marTop w:val="0"/>
              <w:marBottom w:val="0"/>
              <w:divBdr>
                <w:top w:val="none" w:sz="0" w:space="0" w:color="auto"/>
                <w:left w:val="none" w:sz="0" w:space="0" w:color="auto"/>
                <w:bottom w:val="none" w:sz="0" w:space="0" w:color="auto"/>
                <w:right w:val="none" w:sz="0" w:space="0" w:color="auto"/>
              </w:divBdr>
              <w:divsChild>
                <w:div w:id="685398895">
                  <w:marLeft w:val="0"/>
                  <w:marRight w:val="0"/>
                  <w:marTop w:val="0"/>
                  <w:marBottom w:val="0"/>
                  <w:divBdr>
                    <w:top w:val="none" w:sz="0" w:space="0" w:color="auto"/>
                    <w:left w:val="none" w:sz="0" w:space="0" w:color="auto"/>
                    <w:bottom w:val="none" w:sz="0" w:space="0" w:color="auto"/>
                    <w:right w:val="none" w:sz="0" w:space="0" w:color="auto"/>
                  </w:divBdr>
                </w:div>
              </w:divsChild>
            </w:div>
            <w:div w:id="1233732494">
              <w:marLeft w:val="0"/>
              <w:marRight w:val="0"/>
              <w:marTop w:val="300"/>
              <w:marBottom w:val="300"/>
              <w:divBdr>
                <w:top w:val="none" w:sz="0" w:space="0" w:color="auto"/>
                <w:left w:val="none" w:sz="0" w:space="0" w:color="auto"/>
                <w:bottom w:val="none" w:sz="0" w:space="0" w:color="auto"/>
                <w:right w:val="none" w:sz="0" w:space="0" w:color="auto"/>
              </w:divBdr>
            </w:div>
            <w:div w:id="1234730432">
              <w:marLeft w:val="0"/>
              <w:marRight w:val="0"/>
              <w:marTop w:val="0"/>
              <w:marBottom w:val="0"/>
              <w:divBdr>
                <w:top w:val="none" w:sz="0" w:space="0" w:color="auto"/>
                <w:left w:val="none" w:sz="0" w:space="0" w:color="auto"/>
                <w:bottom w:val="none" w:sz="0" w:space="0" w:color="auto"/>
                <w:right w:val="none" w:sz="0" w:space="0" w:color="auto"/>
              </w:divBdr>
              <w:divsChild>
                <w:div w:id="2146123108">
                  <w:marLeft w:val="0"/>
                  <w:marRight w:val="0"/>
                  <w:marTop w:val="0"/>
                  <w:marBottom w:val="0"/>
                  <w:divBdr>
                    <w:top w:val="none" w:sz="0" w:space="0" w:color="auto"/>
                    <w:left w:val="none" w:sz="0" w:space="0" w:color="auto"/>
                    <w:bottom w:val="none" w:sz="0" w:space="0" w:color="auto"/>
                    <w:right w:val="none" w:sz="0" w:space="0" w:color="auto"/>
                  </w:divBdr>
                </w:div>
              </w:divsChild>
            </w:div>
            <w:div w:id="1239973764">
              <w:marLeft w:val="0"/>
              <w:marRight w:val="0"/>
              <w:marTop w:val="0"/>
              <w:marBottom w:val="0"/>
              <w:divBdr>
                <w:top w:val="none" w:sz="0" w:space="0" w:color="auto"/>
                <w:left w:val="none" w:sz="0" w:space="0" w:color="auto"/>
                <w:bottom w:val="none" w:sz="0" w:space="0" w:color="auto"/>
                <w:right w:val="none" w:sz="0" w:space="0" w:color="auto"/>
              </w:divBdr>
              <w:divsChild>
                <w:div w:id="105657116">
                  <w:marLeft w:val="0"/>
                  <w:marRight w:val="0"/>
                  <w:marTop w:val="0"/>
                  <w:marBottom w:val="0"/>
                  <w:divBdr>
                    <w:top w:val="none" w:sz="0" w:space="0" w:color="auto"/>
                    <w:left w:val="none" w:sz="0" w:space="0" w:color="auto"/>
                    <w:bottom w:val="none" w:sz="0" w:space="0" w:color="auto"/>
                    <w:right w:val="none" w:sz="0" w:space="0" w:color="auto"/>
                  </w:divBdr>
                </w:div>
              </w:divsChild>
            </w:div>
            <w:div w:id="1244988808">
              <w:marLeft w:val="0"/>
              <w:marRight w:val="0"/>
              <w:marTop w:val="0"/>
              <w:marBottom w:val="0"/>
              <w:divBdr>
                <w:top w:val="none" w:sz="0" w:space="0" w:color="auto"/>
                <w:left w:val="none" w:sz="0" w:space="0" w:color="auto"/>
                <w:bottom w:val="none" w:sz="0" w:space="0" w:color="auto"/>
                <w:right w:val="none" w:sz="0" w:space="0" w:color="auto"/>
              </w:divBdr>
              <w:divsChild>
                <w:div w:id="491331561">
                  <w:marLeft w:val="0"/>
                  <w:marRight w:val="0"/>
                  <w:marTop w:val="0"/>
                  <w:marBottom w:val="0"/>
                  <w:divBdr>
                    <w:top w:val="none" w:sz="0" w:space="0" w:color="auto"/>
                    <w:left w:val="none" w:sz="0" w:space="0" w:color="auto"/>
                    <w:bottom w:val="none" w:sz="0" w:space="0" w:color="auto"/>
                    <w:right w:val="none" w:sz="0" w:space="0" w:color="auto"/>
                  </w:divBdr>
                </w:div>
              </w:divsChild>
            </w:div>
            <w:div w:id="1247303516">
              <w:marLeft w:val="0"/>
              <w:marRight w:val="0"/>
              <w:marTop w:val="0"/>
              <w:marBottom w:val="0"/>
              <w:divBdr>
                <w:top w:val="none" w:sz="0" w:space="0" w:color="auto"/>
                <w:left w:val="none" w:sz="0" w:space="0" w:color="auto"/>
                <w:bottom w:val="none" w:sz="0" w:space="0" w:color="auto"/>
                <w:right w:val="none" w:sz="0" w:space="0" w:color="auto"/>
              </w:divBdr>
              <w:divsChild>
                <w:div w:id="2052459399">
                  <w:marLeft w:val="0"/>
                  <w:marRight w:val="0"/>
                  <w:marTop w:val="0"/>
                  <w:marBottom w:val="0"/>
                  <w:divBdr>
                    <w:top w:val="none" w:sz="0" w:space="0" w:color="auto"/>
                    <w:left w:val="none" w:sz="0" w:space="0" w:color="auto"/>
                    <w:bottom w:val="none" w:sz="0" w:space="0" w:color="auto"/>
                    <w:right w:val="none" w:sz="0" w:space="0" w:color="auto"/>
                  </w:divBdr>
                </w:div>
              </w:divsChild>
            </w:div>
            <w:div w:id="1247417584">
              <w:marLeft w:val="0"/>
              <w:marRight w:val="0"/>
              <w:marTop w:val="300"/>
              <w:marBottom w:val="300"/>
              <w:divBdr>
                <w:top w:val="none" w:sz="0" w:space="0" w:color="auto"/>
                <w:left w:val="none" w:sz="0" w:space="0" w:color="auto"/>
                <w:bottom w:val="none" w:sz="0" w:space="0" w:color="auto"/>
                <w:right w:val="none" w:sz="0" w:space="0" w:color="auto"/>
              </w:divBdr>
            </w:div>
            <w:div w:id="1249458074">
              <w:marLeft w:val="0"/>
              <w:marRight w:val="0"/>
              <w:marTop w:val="300"/>
              <w:marBottom w:val="300"/>
              <w:divBdr>
                <w:top w:val="none" w:sz="0" w:space="0" w:color="auto"/>
                <w:left w:val="none" w:sz="0" w:space="0" w:color="auto"/>
                <w:bottom w:val="none" w:sz="0" w:space="0" w:color="auto"/>
                <w:right w:val="none" w:sz="0" w:space="0" w:color="auto"/>
              </w:divBdr>
            </w:div>
            <w:div w:id="1252393516">
              <w:marLeft w:val="0"/>
              <w:marRight w:val="0"/>
              <w:marTop w:val="300"/>
              <w:marBottom w:val="300"/>
              <w:divBdr>
                <w:top w:val="none" w:sz="0" w:space="0" w:color="auto"/>
                <w:left w:val="none" w:sz="0" w:space="0" w:color="auto"/>
                <w:bottom w:val="none" w:sz="0" w:space="0" w:color="auto"/>
                <w:right w:val="none" w:sz="0" w:space="0" w:color="auto"/>
              </w:divBdr>
            </w:div>
            <w:div w:id="1258444037">
              <w:marLeft w:val="0"/>
              <w:marRight w:val="0"/>
              <w:marTop w:val="300"/>
              <w:marBottom w:val="300"/>
              <w:divBdr>
                <w:top w:val="none" w:sz="0" w:space="0" w:color="auto"/>
                <w:left w:val="none" w:sz="0" w:space="0" w:color="auto"/>
                <w:bottom w:val="none" w:sz="0" w:space="0" w:color="auto"/>
                <w:right w:val="none" w:sz="0" w:space="0" w:color="auto"/>
              </w:divBdr>
            </w:div>
            <w:div w:id="1263804353">
              <w:marLeft w:val="0"/>
              <w:marRight w:val="0"/>
              <w:marTop w:val="0"/>
              <w:marBottom w:val="0"/>
              <w:divBdr>
                <w:top w:val="none" w:sz="0" w:space="0" w:color="auto"/>
                <w:left w:val="none" w:sz="0" w:space="0" w:color="auto"/>
                <w:bottom w:val="none" w:sz="0" w:space="0" w:color="auto"/>
                <w:right w:val="none" w:sz="0" w:space="0" w:color="auto"/>
              </w:divBdr>
              <w:divsChild>
                <w:div w:id="1406417132">
                  <w:marLeft w:val="0"/>
                  <w:marRight w:val="0"/>
                  <w:marTop w:val="0"/>
                  <w:marBottom w:val="0"/>
                  <w:divBdr>
                    <w:top w:val="none" w:sz="0" w:space="0" w:color="auto"/>
                    <w:left w:val="none" w:sz="0" w:space="0" w:color="auto"/>
                    <w:bottom w:val="none" w:sz="0" w:space="0" w:color="auto"/>
                    <w:right w:val="none" w:sz="0" w:space="0" w:color="auto"/>
                  </w:divBdr>
                </w:div>
              </w:divsChild>
            </w:div>
            <w:div w:id="1271427099">
              <w:marLeft w:val="0"/>
              <w:marRight w:val="0"/>
              <w:marTop w:val="0"/>
              <w:marBottom w:val="0"/>
              <w:divBdr>
                <w:top w:val="none" w:sz="0" w:space="0" w:color="auto"/>
                <w:left w:val="none" w:sz="0" w:space="0" w:color="auto"/>
                <w:bottom w:val="none" w:sz="0" w:space="0" w:color="auto"/>
                <w:right w:val="none" w:sz="0" w:space="0" w:color="auto"/>
              </w:divBdr>
              <w:divsChild>
                <w:div w:id="1664551345">
                  <w:marLeft w:val="0"/>
                  <w:marRight w:val="0"/>
                  <w:marTop w:val="0"/>
                  <w:marBottom w:val="0"/>
                  <w:divBdr>
                    <w:top w:val="none" w:sz="0" w:space="0" w:color="auto"/>
                    <w:left w:val="none" w:sz="0" w:space="0" w:color="auto"/>
                    <w:bottom w:val="none" w:sz="0" w:space="0" w:color="auto"/>
                    <w:right w:val="none" w:sz="0" w:space="0" w:color="auto"/>
                  </w:divBdr>
                </w:div>
              </w:divsChild>
            </w:div>
            <w:div w:id="1273172334">
              <w:marLeft w:val="0"/>
              <w:marRight w:val="0"/>
              <w:marTop w:val="0"/>
              <w:marBottom w:val="0"/>
              <w:divBdr>
                <w:top w:val="none" w:sz="0" w:space="0" w:color="auto"/>
                <w:left w:val="none" w:sz="0" w:space="0" w:color="auto"/>
                <w:bottom w:val="none" w:sz="0" w:space="0" w:color="auto"/>
                <w:right w:val="none" w:sz="0" w:space="0" w:color="auto"/>
              </w:divBdr>
              <w:divsChild>
                <w:div w:id="1275865770">
                  <w:marLeft w:val="0"/>
                  <w:marRight w:val="0"/>
                  <w:marTop w:val="0"/>
                  <w:marBottom w:val="0"/>
                  <w:divBdr>
                    <w:top w:val="none" w:sz="0" w:space="0" w:color="auto"/>
                    <w:left w:val="none" w:sz="0" w:space="0" w:color="auto"/>
                    <w:bottom w:val="none" w:sz="0" w:space="0" w:color="auto"/>
                    <w:right w:val="none" w:sz="0" w:space="0" w:color="auto"/>
                  </w:divBdr>
                </w:div>
              </w:divsChild>
            </w:div>
            <w:div w:id="1277298690">
              <w:marLeft w:val="0"/>
              <w:marRight w:val="0"/>
              <w:marTop w:val="0"/>
              <w:marBottom w:val="0"/>
              <w:divBdr>
                <w:top w:val="none" w:sz="0" w:space="0" w:color="auto"/>
                <w:left w:val="none" w:sz="0" w:space="0" w:color="auto"/>
                <w:bottom w:val="none" w:sz="0" w:space="0" w:color="auto"/>
                <w:right w:val="none" w:sz="0" w:space="0" w:color="auto"/>
              </w:divBdr>
              <w:divsChild>
                <w:div w:id="834295893">
                  <w:marLeft w:val="0"/>
                  <w:marRight w:val="0"/>
                  <w:marTop w:val="0"/>
                  <w:marBottom w:val="0"/>
                  <w:divBdr>
                    <w:top w:val="none" w:sz="0" w:space="0" w:color="auto"/>
                    <w:left w:val="none" w:sz="0" w:space="0" w:color="auto"/>
                    <w:bottom w:val="none" w:sz="0" w:space="0" w:color="auto"/>
                    <w:right w:val="none" w:sz="0" w:space="0" w:color="auto"/>
                  </w:divBdr>
                </w:div>
              </w:divsChild>
            </w:div>
            <w:div w:id="1277367128">
              <w:marLeft w:val="0"/>
              <w:marRight w:val="0"/>
              <w:marTop w:val="0"/>
              <w:marBottom w:val="0"/>
              <w:divBdr>
                <w:top w:val="none" w:sz="0" w:space="0" w:color="auto"/>
                <w:left w:val="none" w:sz="0" w:space="0" w:color="auto"/>
                <w:bottom w:val="none" w:sz="0" w:space="0" w:color="auto"/>
                <w:right w:val="none" w:sz="0" w:space="0" w:color="auto"/>
              </w:divBdr>
              <w:divsChild>
                <w:div w:id="1727873274">
                  <w:marLeft w:val="0"/>
                  <w:marRight w:val="0"/>
                  <w:marTop w:val="0"/>
                  <w:marBottom w:val="0"/>
                  <w:divBdr>
                    <w:top w:val="none" w:sz="0" w:space="0" w:color="auto"/>
                    <w:left w:val="none" w:sz="0" w:space="0" w:color="auto"/>
                    <w:bottom w:val="none" w:sz="0" w:space="0" w:color="auto"/>
                    <w:right w:val="none" w:sz="0" w:space="0" w:color="auto"/>
                  </w:divBdr>
                </w:div>
              </w:divsChild>
            </w:div>
            <w:div w:id="1284070692">
              <w:marLeft w:val="0"/>
              <w:marRight w:val="0"/>
              <w:marTop w:val="0"/>
              <w:marBottom w:val="0"/>
              <w:divBdr>
                <w:top w:val="none" w:sz="0" w:space="0" w:color="auto"/>
                <w:left w:val="none" w:sz="0" w:space="0" w:color="auto"/>
                <w:bottom w:val="none" w:sz="0" w:space="0" w:color="auto"/>
                <w:right w:val="none" w:sz="0" w:space="0" w:color="auto"/>
              </w:divBdr>
              <w:divsChild>
                <w:div w:id="1558778299">
                  <w:marLeft w:val="0"/>
                  <w:marRight w:val="0"/>
                  <w:marTop w:val="0"/>
                  <w:marBottom w:val="0"/>
                  <w:divBdr>
                    <w:top w:val="none" w:sz="0" w:space="0" w:color="auto"/>
                    <w:left w:val="none" w:sz="0" w:space="0" w:color="auto"/>
                    <w:bottom w:val="none" w:sz="0" w:space="0" w:color="auto"/>
                    <w:right w:val="none" w:sz="0" w:space="0" w:color="auto"/>
                  </w:divBdr>
                </w:div>
              </w:divsChild>
            </w:div>
            <w:div w:id="1284310131">
              <w:marLeft w:val="0"/>
              <w:marRight w:val="0"/>
              <w:marTop w:val="0"/>
              <w:marBottom w:val="0"/>
              <w:divBdr>
                <w:top w:val="none" w:sz="0" w:space="0" w:color="auto"/>
                <w:left w:val="none" w:sz="0" w:space="0" w:color="auto"/>
                <w:bottom w:val="none" w:sz="0" w:space="0" w:color="auto"/>
                <w:right w:val="none" w:sz="0" w:space="0" w:color="auto"/>
              </w:divBdr>
              <w:divsChild>
                <w:div w:id="66270897">
                  <w:marLeft w:val="0"/>
                  <w:marRight w:val="0"/>
                  <w:marTop w:val="0"/>
                  <w:marBottom w:val="0"/>
                  <w:divBdr>
                    <w:top w:val="none" w:sz="0" w:space="0" w:color="auto"/>
                    <w:left w:val="none" w:sz="0" w:space="0" w:color="auto"/>
                    <w:bottom w:val="none" w:sz="0" w:space="0" w:color="auto"/>
                    <w:right w:val="none" w:sz="0" w:space="0" w:color="auto"/>
                  </w:divBdr>
                </w:div>
              </w:divsChild>
            </w:div>
            <w:div w:id="1290863960">
              <w:marLeft w:val="0"/>
              <w:marRight w:val="0"/>
              <w:marTop w:val="0"/>
              <w:marBottom w:val="0"/>
              <w:divBdr>
                <w:top w:val="none" w:sz="0" w:space="0" w:color="auto"/>
                <w:left w:val="none" w:sz="0" w:space="0" w:color="auto"/>
                <w:bottom w:val="none" w:sz="0" w:space="0" w:color="auto"/>
                <w:right w:val="none" w:sz="0" w:space="0" w:color="auto"/>
              </w:divBdr>
              <w:divsChild>
                <w:div w:id="1129132661">
                  <w:marLeft w:val="0"/>
                  <w:marRight w:val="0"/>
                  <w:marTop w:val="0"/>
                  <w:marBottom w:val="0"/>
                  <w:divBdr>
                    <w:top w:val="none" w:sz="0" w:space="0" w:color="auto"/>
                    <w:left w:val="none" w:sz="0" w:space="0" w:color="auto"/>
                    <w:bottom w:val="none" w:sz="0" w:space="0" w:color="auto"/>
                    <w:right w:val="none" w:sz="0" w:space="0" w:color="auto"/>
                  </w:divBdr>
                </w:div>
              </w:divsChild>
            </w:div>
            <w:div w:id="1293318449">
              <w:marLeft w:val="0"/>
              <w:marRight w:val="0"/>
              <w:marTop w:val="0"/>
              <w:marBottom w:val="0"/>
              <w:divBdr>
                <w:top w:val="none" w:sz="0" w:space="0" w:color="auto"/>
                <w:left w:val="none" w:sz="0" w:space="0" w:color="auto"/>
                <w:bottom w:val="none" w:sz="0" w:space="0" w:color="auto"/>
                <w:right w:val="none" w:sz="0" w:space="0" w:color="auto"/>
              </w:divBdr>
              <w:divsChild>
                <w:div w:id="1214850296">
                  <w:marLeft w:val="0"/>
                  <w:marRight w:val="0"/>
                  <w:marTop w:val="0"/>
                  <w:marBottom w:val="0"/>
                  <w:divBdr>
                    <w:top w:val="none" w:sz="0" w:space="0" w:color="auto"/>
                    <w:left w:val="none" w:sz="0" w:space="0" w:color="auto"/>
                    <w:bottom w:val="none" w:sz="0" w:space="0" w:color="auto"/>
                    <w:right w:val="none" w:sz="0" w:space="0" w:color="auto"/>
                  </w:divBdr>
                </w:div>
              </w:divsChild>
            </w:div>
            <w:div w:id="1295138057">
              <w:marLeft w:val="0"/>
              <w:marRight w:val="0"/>
              <w:marTop w:val="0"/>
              <w:marBottom w:val="0"/>
              <w:divBdr>
                <w:top w:val="none" w:sz="0" w:space="0" w:color="auto"/>
                <w:left w:val="none" w:sz="0" w:space="0" w:color="auto"/>
                <w:bottom w:val="none" w:sz="0" w:space="0" w:color="auto"/>
                <w:right w:val="none" w:sz="0" w:space="0" w:color="auto"/>
              </w:divBdr>
              <w:divsChild>
                <w:div w:id="1740056644">
                  <w:marLeft w:val="0"/>
                  <w:marRight w:val="0"/>
                  <w:marTop w:val="0"/>
                  <w:marBottom w:val="0"/>
                  <w:divBdr>
                    <w:top w:val="none" w:sz="0" w:space="0" w:color="auto"/>
                    <w:left w:val="none" w:sz="0" w:space="0" w:color="auto"/>
                    <w:bottom w:val="none" w:sz="0" w:space="0" w:color="auto"/>
                    <w:right w:val="none" w:sz="0" w:space="0" w:color="auto"/>
                  </w:divBdr>
                </w:div>
              </w:divsChild>
            </w:div>
            <w:div w:id="1299724845">
              <w:marLeft w:val="0"/>
              <w:marRight w:val="0"/>
              <w:marTop w:val="0"/>
              <w:marBottom w:val="0"/>
              <w:divBdr>
                <w:top w:val="none" w:sz="0" w:space="0" w:color="auto"/>
                <w:left w:val="none" w:sz="0" w:space="0" w:color="auto"/>
                <w:bottom w:val="none" w:sz="0" w:space="0" w:color="auto"/>
                <w:right w:val="none" w:sz="0" w:space="0" w:color="auto"/>
              </w:divBdr>
              <w:divsChild>
                <w:div w:id="1617372228">
                  <w:marLeft w:val="0"/>
                  <w:marRight w:val="0"/>
                  <w:marTop w:val="0"/>
                  <w:marBottom w:val="0"/>
                  <w:divBdr>
                    <w:top w:val="none" w:sz="0" w:space="0" w:color="auto"/>
                    <w:left w:val="none" w:sz="0" w:space="0" w:color="auto"/>
                    <w:bottom w:val="none" w:sz="0" w:space="0" w:color="auto"/>
                    <w:right w:val="none" w:sz="0" w:space="0" w:color="auto"/>
                  </w:divBdr>
                </w:div>
              </w:divsChild>
            </w:div>
            <w:div w:id="1300571275">
              <w:marLeft w:val="0"/>
              <w:marRight w:val="0"/>
              <w:marTop w:val="0"/>
              <w:marBottom w:val="0"/>
              <w:divBdr>
                <w:top w:val="none" w:sz="0" w:space="0" w:color="auto"/>
                <w:left w:val="none" w:sz="0" w:space="0" w:color="auto"/>
                <w:bottom w:val="none" w:sz="0" w:space="0" w:color="auto"/>
                <w:right w:val="none" w:sz="0" w:space="0" w:color="auto"/>
              </w:divBdr>
              <w:divsChild>
                <w:div w:id="1362196784">
                  <w:marLeft w:val="0"/>
                  <w:marRight w:val="0"/>
                  <w:marTop w:val="0"/>
                  <w:marBottom w:val="0"/>
                  <w:divBdr>
                    <w:top w:val="none" w:sz="0" w:space="0" w:color="auto"/>
                    <w:left w:val="none" w:sz="0" w:space="0" w:color="auto"/>
                    <w:bottom w:val="none" w:sz="0" w:space="0" w:color="auto"/>
                    <w:right w:val="none" w:sz="0" w:space="0" w:color="auto"/>
                  </w:divBdr>
                </w:div>
              </w:divsChild>
            </w:div>
            <w:div w:id="1301769592">
              <w:marLeft w:val="0"/>
              <w:marRight w:val="0"/>
              <w:marTop w:val="300"/>
              <w:marBottom w:val="300"/>
              <w:divBdr>
                <w:top w:val="none" w:sz="0" w:space="0" w:color="auto"/>
                <w:left w:val="none" w:sz="0" w:space="0" w:color="auto"/>
                <w:bottom w:val="none" w:sz="0" w:space="0" w:color="auto"/>
                <w:right w:val="none" w:sz="0" w:space="0" w:color="auto"/>
              </w:divBdr>
            </w:div>
            <w:div w:id="1306205508">
              <w:marLeft w:val="0"/>
              <w:marRight w:val="0"/>
              <w:marTop w:val="0"/>
              <w:marBottom w:val="0"/>
              <w:divBdr>
                <w:top w:val="none" w:sz="0" w:space="0" w:color="auto"/>
                <w:left w:val="none" w:sz="0" w:space="0" w:color="auto"/>
                <w:bottom w:val="none" w:sz="0" w:space="0" w:color="auto"/>
                <w:right w:val="none" w:sz="0" w:space="0" w:color="auto"/>
              </w:divBdr>
              <w:divsChild>
                <w:div w:id="561526309">
                  <w:marLeft w:val="0"/>
                  <w:marRight w:val="0"/>
                  <w:marTop w:val="0"/>
                  <w:marBottom w:val="0"/>
                  <w:divBdr>
                    <w:top w:val="none" w:sz="0" w:space="0" w:color="auto"/>
                    <w:left w:val="none" w:sz="0" w:space="0" w:color="auto"/>
                    <w:bottom w:val="none" w:sz="0" w:space="0" w:color="auto"/>
                    <w:right w:val="none" w:sz="0" w:space="0" w:color="auto"/>
                  </w:divBdr>
                </w:div>
              </w:divsChild>
            </w:div>
            <w:div w:id="1323511972">
              <w:marLeft w:val="0"/>
              <w:marRight w:val="0"/>
              <w:marTop w:val="0"/>
              <w:marBottom w:val="0"/>
              <w:divBdr>
                <w:top w:val="none" w:sz="0" w:space="0" w:color="auto"/>
                <w:left w:val="none" w:sz="0" w:space="0" w:color="auto"/>
                <w:bottom w:val="none" w:sz="0" w:space="0" w:color="auto"/>
                <w:right w:val="none" w:sz="0" w:space="0" w:color="auto"/>
              </w:divBdr>
              <w:divsChild>
                <w:div w:id="1593394550">
                  <w:marLeft w:val="0"/>
                  <w:marRight w:val="0"/>
                  <w:marTop w:val="0"/>
                  <w:marBottom w:val="0"/>
                  <w:divBdr>
                    <w:top w:val="none" w:sz="0" w:space="0" w:color="auto"/>
                    <w:left w:val="none" w:sz="0" w:space="0" w:color="auto"/>
                    <w:bottom w:val="none" w:sz="0" w:space="0" w:color="auto"/>
                    <w:right w:val="none" w:sz="0" w:space="0" w:color="auto"/>
                  </w:divBdr>
                </w:div>
              </w:divsChild>
            </w:div>
            <w:div w:id="1324891844">
              <w:marLeft w:val="0"/>
              <w:marRight w:val="0"/>
              <w:marTop w:val="0"/>
              <w:marBottom w:val="0"/>
              <w:divBdr>
                <w:top w:val="none" w:sz="0" w:space="0" w:color="auto"/>
                <w:left w:val="none" w:sz="0" w:space="0" w:color="auto"/>
                <w:bottom w:val="none" w:sz="0" w:space="0" w:color="auto"/>
                <w:right w:val="none" w:sz="0" w:space="0" w:color="auto"/>
              </w:divBdr>
              <w:divsChild>
                <w:div w:id="1611283512">
                  <w:marLeft w:val="0"/>
                  <w:marRight w:val="0"/>
                  <w:marTop w:val="0"/>
                  <w:marBottom w:val="0"/>
                  <w:divBdr>
                    <w:top w:val="none" w:sz="0" w:space="0" w:color="auto"/>
                    <w:left w:val="none" w:sz="0" w:space="0" w:color="auto"/>
                    <w:bottom w:val="none" w:sz="0" w:space="0" w:color="auto"/>
                    <w:right w:val="none" w:sz="0" w:space="0" w:color="auto"/>
                  </w:divBdr>
                </w:div>
              </w:divsChild>
            </w:div>
            <w:div w:id="1326205409">
              <w:marLeft w:val="0"/>
              <w:marRight w:val="0"/>
              <w:marTop w:val="0"/>
              <w:marBottom w:val="0"/>
              <w:divBdr>
                <w:top w:val="none" w:sz="0" w:space="0" w:color="auto"/>
                <w:left w:val="none" w:sz="0" w:space="0" w:color="auto"/>
                <w:bottom w:val="none" w:sz="0" w:space="0" w:color="auto"/>
                <w:right w:val="none" w:sz="0" w:space="0" w:color="auto"/>
              </w:divBdr>
              <w:divsChild>
                <w:div w:id="812259892">
                  <w:marLeft w:val="0"/>
                  <w:marRight w:val="0"/>
                  <w:marTop w:val="0"/>
                  <w:marBottom w:val="0"/>
                  <w:divBdr>
                    <w:top w:val="none" w:sz="0" w:space="0" w:color="auto"/>
                    <w:left w:val="none" w:sz="0" w:space="0" w:color="auto"/>
                    <w:bottom w:val="none" w:sz="0" w:space="0" w:color="auto"/>
                    <w:right w:val="none" w:sz="0" w:space="0" w:color="auto"/>
                  </w:divBdr>
                </w:div>
              </w:divsChild>
            </w:div>
            <w:div w:id="1334139344">
              <w:marLeft w:val="0"/>
              <w:marRight w:val="0"/>
              <w:marTop w:val="0"/>
              <w:marBottom w:val="0"/>
              <w:divBdr>
                <w:top w:val="none" w:sz="0" w:space="0" w:color="auto"/>
                <w:left w:val="none" w:sz="0" w:space="0" w:color="auto"/>
                <w:bottom w:val="none" w:sz="0" w:space="0" w:color="auto"/>
                <w:right w:val="none" w:sz="0" w:space="0" w:color="auto"/>
              </w:divBdr>
              <w:divsChild>
                <w:div w:id="315038404">
                  <w:marLeft w:val="0"/>
                  <w:marRight w:val="0"/>
                  <w:marTop w:val="0"/>
                  <w:marBottom w:val="0"/>
                  <w:divBdr>
                    <w:top w:val="none" w:sz="0" w:space="0" w:color="auto"/>
                    <w:left w:val="none" w:sz="0" w:space="0" w:color="auto"/>
                    <w:bottom w:val="none" w:sz="0" w:space="0" w:color="auto"/>
                    <w:right w:val="none" w:sz="0" w:space="0" w:color="auto"/>
                  </w:divBdr>
                </w:div>
              </w:divsChild>
            </w:div>
            <w:div w:id="1334795410">
              <w:marLeft w:val="0"/>
              <w:marRight w:val="0"/>
              <w:marTop w:val="0"/>
              <w:marBottom w:val="0"/>
              <w:divBdr>
                <w:top w:val="none" w:sz="0" w:space="0" w:color="auto"/>
                <w:left w:val="none" w:sz="0" w:space="0" w:color="auto"/>
                <w:bottom w:val="none" w:sz="0" w:space="0" w:color="auto"/>
                <w:right w:val="none" w:sz="0" w:space="0" w:color="auto"/>
              </w:divBdr>
              <w:divsChild>
                <w:div w:id="588777975">
                  <w:marLeft w:val="0"/>
                  <w:marRight w:val="0"/>
                  <w:marTop w:val="0"/>
                  <w:marBottom w:val="0"/>
                  <w:divBdr>
                    <w:top w:val="none" w:sz="0" w:space="0" w:color="auto"/>
                    <w:left w:val="none" w:sz="0" w:space="0" w:color="auto"/>
                    <w:bottom w:val="none" w:sz="0" w:space="0" w:color="auto"/>
                    <w:right w:val="none" w:sz="0" w:space="0" w:color="auto"/>
                  </w:divBdr>
                </w:div>
              </w:divsChild>
            </w:div>
            <w:div w:id="1335380812">
              <w:marLeft w:val="0"/>
              <w:marRight w:val="0"/>
              <w:marTop w:val="0"/>
              <w:marBottom w:val="0"/>
              <w:divBdr>
                <w:top w:val="none" w:sz="0" w:space="0" w:color="auto"/>
                <w:left w:val="none" w:sz="0" w:space="0" w:color="auto"/>
                <w:bottom w:val="none" w:sz="0" w:space="0" w:color="auto"/>
                <w:right w:val="none" w:sz="0" w:space="0" w:color="auto"/>
              </w:divBdr>
              <w:divsChild>
                <w:div w:id="892697254">
                  <w:marLeft w:val="0"/>
                  <w:marRight w:val="0"/>
                  <w:marTop w:val="0"/>
                  <w:marBottom w:val="0"/>
                  <w:divBdr>
                    <w:top w:val="none" w:sz="0" w:space="0" w:color="auto"/>
                    <w:left w:val="none" w:sz="0" w:space="0" w:color="auto"/>
                    <w:bottom w:val="none" w:sz="0" w:space="0" w:color="auto"/>
                    <w:right w:val="none" w:sz="0" w:space="0" w:color="auto"/>
                  </w:divBdr>
                </w:div>
              </w:divsChild>
            </w:div>
            <w:div w:id="1341270837">
              <w:marLeft w:val="0"/>
              <w:marRight w:val="0"/>
              <w:marTop w:val="0"/>
              <w:marBottom w:val="0"/>
              <w:divBdr>
                <w:top w:val="none" w:sz="0" w:space="0" w:color="auto"/>
                <w:left w:val="none" w:sz="0" w:space="0" w:color="auto"/>
                <w:bottom w:val="none" w:sz="0" w:space="0" w:color="auto"/>
                <w:right w:val="none" w:sz="0" w:space="0" w:color="auto"/>
              </w:divBdr>
              <w:divsChild>
                <w:div w:id="1065644432">
                  <w:marLeft w:val="0"/>
                  <w:marRight w:val="0"/>
                  <w:marTop w:val="0"/>
                  <w:marBottom w:val="0"/>
                  <w:divBdr>
                    <w:top w:val="none" w:sz="0" w:space="0" w:color="auto"/>
                    <w:left w:val="none" w:sz="0" w:space="0" w:color="auto"/>
                    <w:bottom w:val="none" w:sz="0" w:space="0" w:color="auto"/>
                    <w:right w:val="none" w:sz="0" w:space="0" w:color="auto"/>
                  </w:divBdr>
                </w:div>
              </w:divsChild>
            </w:div>
            <w:div w:id="1342127808">
              <w:marLeft w:val="0"/>
              <w:marRight w:val="0"/>
              <w:marTop w:val="300"/>
              <w:marBottom w:val="300"/>
              <w:divBdr>
                <w:top w:val="none" w:sz="0" w:space="0" w:color="auto"/>
                <w:left w:val="none" w:sz="0" w:space="0" w:color="auto"/>
                <w:bottom w:val="none" w:sz="0" w:space="0" w:color="auto"/>
                <w:right w:val="none" w:sz="0" w:space="0" w:color="auto"/>
              </w:divBdr>
            </w:div>
            <w:div w:id="1346202173">
              <w:marLeft w:val="0"/>
              <w:marRight w:val="0"/>
              <w:marTop w:val="0"/>
              <w:marBottom w:val="0"/>
              <w:divBdr>
                <w:top w:val="none" w:sz="0" w:space="0" w:color="auto"/>
                <w:left w:val="none" w:sz="0" w:space="0" w:color="auto"/>
                <w:bottom w:val="none" w:sz="0" w:space="0" w:color="auto"/>
                <w:right w:val="none" w:sz="0" w:space="0" w:color="auto"/>
              </w:divBdr>
              <w:divsChild>
                <w:div w:id="807087436">
                  <w:marLeft w:val="0"/>
                  <w:marRight w:val="0"/>
                  <w:marTop w:val="0"/>
                  <w:marBottom w:val="0"/>
                  <w:divBdr>
                    <w:top w:val="none" w:sz="0" w:space="0" w:color="auto"/>
                    <w:left w:val="none" w:sz="0" w:space="0" w:color="auto"/>
                    <w:bottom w:val="none" w:sz="0" w:space="0" w:color="auto"/>
                    <w:right w:val="none" w:sz="0" w:space="0" w:color="auto"/>
                  </w:divBdr>
                </w:div>
              </w:divsChild>
            </w:div>
            <w:div w:id="1350179823">
              <w:marLeft w:val="0"/>
              <w:marRight w:val="0"/>
              <w:marTop w:val="0"/>
              <w:marBottom w:val="0"/>
              <w:divBdr>
                <w:top w:val="none" w:sz="0" w:space="0" w:color="auto"/>
                <w:left w:val="none" w:sz="0" w:space="0" w:color="auto"/>
                <w:bottom w:val="none" w:sz="0" w:space="0" w:color="auto"/>
                <w:right w:val="none" w:sz="0" w:space="0" w:color="auto"/>
              </w:divBdr>
              <w:divsChild>
                <w:div w:id="932010232">
                  <w:marLeft w:val="0"/>
                  <w:marRight w:val="0"/>
                  <w:marTop w:val="0"/>
                  <w:marBottom w:val="0"/>
                  <w:divBdr>
                    <w:top w:val="none" w:sz="0" w:space="0" w:color="auto"/>
                    <w:left w:val="none" w:sz="0" w:space="0" w:color="auto"/>
                    <w:bottom w:val="none" w:sz="0" w:space="0" w:color="auto"/>
                    <w:right w:val="none" w:sz="0" w:space="0" w:color="auto"/>
                  </w:divBdr>
                </w:div>
              </w:divsChild>
            </w:div>
            <w:div w:id="1350721537">
              <w:marLeft w:val="0"/>
              <w:marRight w:val="0"/>
              <w:marTop w:val="0"/>
              <w:marBottom w:val="0"/>
              <w:divBdr>
                <w:top w:val="none" w:sz="0" w:space="0" w:color="auto"/>
                <w:left w:val="none" w:sz="0" w:space="0" w:color="auto"/>
                <w:bottom w:val="none" w:sz="0" w:space="0" w:color="auto"/>
                <w:right w:val="none" w:sz="0" w:space="0" w:color="auto"/>
              </w:divBdr>
              <w:divsChild>
                <w:div w:id="1782063519">
                  <w:marLeft w:val="0"/>
                  <w:marRight w:val="0"/>
                  <w:marTop w:val="0"/>
                  <w:marBottom w:val="0"/>
                  <w:divBdr>
                    <w:top w:val="none" w:sz="0" w:space="0" w:color="auto"/>
                    <w:left w:val="none" w:sz="0" w:space="0" w:color="auto"/>
                    <w:bottom w:val="none" w:sz="0" w:space="0" w:color="auto"/>
                    <w:right w:val="none" w:sz="0" w:space="0" w:color="auto"/>
                  </w:divBdr>
                </w:div>
              </w:divsChild>
            </w:div>
            <w:div w:id="1352533462">
              <w:marLeft w:val="0"/>
              <w:marRight w:val="0"/>
              <w:marTop w:val="300"/>
              <w:marBottom w:val="300"/>
              <w:divBdr>
                <w:top w:val="none" w:sz="0" w:space="0" w:color="auto"/>
                <w:left w:val="none" w:sz="0" w:space="0" w:color="auto"/>
                <w:bottom w:val="none" w:sz="0" w:space="0" w:color="auto"/>
                <w:right w:val="none" w:sz="0" w:space="0" w:color="auto"/>
              </w:divBdr>
            </w:div>
            <w:div w:id="1355422369">
              <w:marLeft w:val="0"/>
              <w:marRight w:val="0"/>
              <w:marTop w:val="0"/>
              <w:marBottom w:val="0"/>
              <w:divBdr>
                <w:top w:val="none" w:sz="0" w:space="0" w:color="auto"/>
                <w:left w:val="none" w:sz="0" w:space="0" w:color="auto"/>
                <w:bottom w:val="none" w:sz="0" w:space="0" w:color="auto"/>
                <w:right w:val="none" w:sz="0" w:space="0" w:color="auto"/>
              </w:divBdr>
              <w:divsChild>
                <w:div w:id="947928744">
                  <w:marLeft w:val="0"/>
                  <w:marRight w:val="0"/>
                  <w:marTop w:val="0"/>
                  <w:marBottom w:val="0"/>
                  <w:divBdr>
                    <w:top w:val="none" w:sz="0" w:space="0" w:color="auto"/>
                    <w:left w:val="none" w:sz="0" w:space="0" w:color="auto"/>
                    <w:bottom w:val="none" w:sz="0" w:space="0" w:color="auto"/>
                    <w:right w:val="none" w:sz="0" w:space="0" w:color="auto"/>
                  </w:divBdr>
                </w:div>
              </w:divsChild>
            </w:div>
            <w:div w:id="1357391738">
              <w:marLeft w:val="0"/>
              <w:marRight w:val="0"/>
              <w:marTop w:val="0"/>
              <w:marBottom w:val="0"/>
              <w:divBdr>
                <w:top w:val="none" w:sz="0" w:space="0" w:color="auto"/>
                <w:left w:val="none" w:sz="0" w:space="0" w:color="auto"/>
                <w:bottom w:val="none" w:sz="0" w:space="0" w:color="auto"/>
                <w:right w:val="none" w:sz="0" w:space="0" w:color="auto"/>
              </w:divBdr>
              <w:divsChild>
                <w:div w:id="138811072">
                  <w:marLeft w:val="0"/>
                  <w:marRight w:val="0"/>
                  <w:marTop w:val="0"/>
                  <w:marBottom w:val="0"/>
                  <w:divBdr>
                    <w:top w:val="none" w:sz="0" w:space="0" w:color="auto"/>
                    <w:left w:val="none" w:sz="0" w:space="0" w:color="auto"/>
                    <w:bottom w:val="none" w:sz="0" w:space="0" w:color="auto"/>
                    <w:right w:val="none" w:sz="0" w:space="0" w:color="auto"/>
                  </w:divBdr>
                </w:div>
              </w:divsChild>
            </w:div>
            <w:div w:id="1359550683">
              <w:marLeft w:val="0"/>
              <w:marRight w:val="0"/>
              <w:marTop w:val="0"/>
              <w:marBottom w:val="0"/>
              <w:divBdr>
                <w:top w:val="none" w:sz="0" w:space="0" w:color="auto"/>
                <w:left w:val="none" w:sz="0" w:space="0" w:color="auto"/>
                <w:bottom w:val="none" w:sz="0" w:space="0" w:color="auto"/>
                <w:right w:val="none" w:sz="0" w:space="0" w:color="auto"/>
              </w:divBdr>
              <w:divsChild>
                <w:div w:id="377750390">
                  <w:marLeft w:val="0"/>
                  <w:marRight w:val="0"/>
                  <w:marTop w:val="0"/>
                  <w:marBottom w:val="0"/>
                  <w:divBdr>
                    <w:top w:val="none" w:sz="0" w:space="0" w:color="auto"/>
                    <w:left w:val="none" w:sz="0" w:space="0" w:color="auto"/>
                    <w:bottom w:val="none" w:sz="0" w:space="0" w:color="auto"/>
                    <w:right w:val="none" w:sz="0" w:space="0" w:color="auto"/>
                  </w:divBdr>
                </w:div>
              </w:divsChild>
            </w:div>
            <w:div w:id="1360620641">
              <w:marLeft w:val="0"/>
              <w:marRight w:val="0"/>
              <w:marTop w:val="300"/>
              <w:marBottom w:val="300"/>
              <w:divBdr>
                <w:top w:val="none" w:sz="0" w:space="0" w:color="auto"/>
                <w:left w:val="none" w:sz="0" w:space="0" w:color="auto"/>
                <w:bottom w:val="none" w:sz="0" w:space="0" w:color="auto"/>
                <w:right w:val="none" w:sz="0" w:space="0" w:color="auto"/>
              </w:divBdr>
            </w:div>
            <w:div w:id="1361468879">
              <w:marLeft w:val="0"/>
              <w:marRight w:val="0"/>
              <w:marTop w:val="0"/>
              <w:marBottom w:val="0"/>
              <w:divBdr>
                <w:top w:val="none" w:sz="0" w:space="0" w:color="auto"/>
                <w:left w:val="none" w:sz="0" w:space="0" w:color="auto"/>
                <w:bottom w:val="none" w:sz="0" w:space="0" w:color="auto"/>
                <w:right w:val="none" w:sz="0" w:space="0" w:color="auto"/>
              </w:divBdr>
              <w:divsChild>
                <w:div w:id="782460907">
                  <w:marLeft w:val="0"/>
                  <w:marRight w:val="0"/>
                  <w:marTop w:val="0"/>
                  <w:marBottom w:val="0"/>
                  <w:divBdr>
                    <w:top w:val="none" w:sz="0" w:space="0" w:color="auto"/>
                    <w:left w:val="none" w:sz="0" w:space="0" w:color="auto"/>
                    <w:bottom w:val="none" w:sz="0" w:space="0" w:color="auto"/>
                    <w:right w:val="none" w:sz="0" w:space="0" w:color="auto"/>
                  </w:divBdr>
                </w:div>
              </w:divsChild>
            </w:div>
            <w:div w:id="1361590684">
              <w:marLeft w:val="0"/>
              <w:marRight w:val="0"/>
              <w:marTop w:val="0"/>
              <w:marBottom w:val="0"/>
              <w:divBdr>
                <w:top w:val="none" w:sz="0" w:space="0" w:color="auto"/>
                <w:left w:val="none" w:sz="0" w:space="0" w:color="auto"/>
                <w:bottom w:val="none" w:sz="0" w:space="0" w:color="auto"/>
                <w:right w:val="none" w:sz="0" w:space="0" w:color="auto"/>
              </w:divBdr>
              <w:divsChild>
                <w:div w:id="404651452">
                  <w:marLeft w:val="0"/>
                  <w:marRight w:val="0"/>
                  <w:marTop w:val="0"/>
                  <w:marBottom w:val="0"/>
                  <w:divBdr>
                    <w:top w:val="none" w:sz="0" w:space="0" w:color="auto"/>
                    <w:left w:val="none" w:sz="0" w:space="0" w:color="auto"/>
                    <w:bottom w:val="none" w:sz="0" w:space="0" w:color="auto"/>
                    <w:right w:val="none" w:sz="0" w:space="0" w:color="auto"/>
                  </w:divBdr>
                </w:div>
              </w:divsChild>
            </w:div>
            <w:div w:id="1362435602">
              <w:marLeft w:val="0"/>
              <w:marRight w:val="0"/>
              <w:marTop w:val="0"/>
              <w:marBottom w:val="0"/>
              <w:divBdr>
                <w:top w:val="none" w:sz="0" w:space="0" w:color="auto"/>
                <w:left w:val="none" w:sz="0" w:space="0" w:color="auto"/>
                <w:bottom w:val="none" w:sz="0" w:space="0" w:color="auto"/>
                <w:right w:val="none" w:sz="0" w:space="0" w:color="auto"/>
              </w:divBdr>
              <w:divsChild>
                <w:div w:id="2102413976">
                  <w:marLeft w:val="0"/>
                  <w:marRight w:val="0"/>
                  <w:marTop w:val="0"/>
                  <w:marBottom w:val="0"/>
                  <w:divBdr>
                    <w:top w:val="none" w:sz="0" w:space="0" w:color="auto"/>
                    <w:left w:val="none" w:sz="0" w:space="0" w:color="auto"/>
                    <w:bottom w:val="none" w:sz="0" w:space="0" w:color="auto"/>
                    <w:right w:val="none" w:sz="0" w:space="0" w:color="auto"/>
                  </w:divBdr>
                </w:div>
              </w:divsChild>
            </w:div>
            <w:div w:id="1369186677">
              <w:marLeft w:val="0"/>
              <w:marRight w:val="0"/>
              <w:marTop w:val="300"/>
              <w:marBottom w:val="300"/>
              <w:divBdr>
                <w:top w:val="none" w:sz="0" w:space="0" w:color="auto"/>
                <w:left w:val="none" w:sz="0" w:space="0" w:color="auto"/>
                <w:bottom w:val="none" w:sz="0" w:space="0" w:color="auto"/>
                <w:right w:val="none" w:sz="0" w:space="0" w:color="auto"/>
              </w:divBdr>
            </w:div>
            <w:div w:id="1372805848">
              <w:marLeft w:val="0"/>
              <w:marRight w:val="0"/>
              <w:marTop w:val="0"/>
              <w:marBottom w:val="0"/>
              <w:divBdr>
                <w:top w:val="none" w:sz="0" w:space="0" w:color="auto"/>
                <w:left w:val="none" w:sz="0" w:space="0" w:color="auto"/>
                <w:bottom w:val="none" w:sz="0" w:space="0" w:color="auto"/>
                <w:right w:val="none" w:sz="0" w:space="0" w:color="auto"/>
              </w:divBdr>
              <w:divsChild>
                <w:div w:id="1704939334">
                  <w:marLeft w:val="0"/>
                  <w:marRight w:val="0"/>
                  <w:marTop w:val="0"/>
                  <w:marBottom w:val="0"/>
                  <w:divBdr>
                    <w:top w:val="none" w:sz="0" w:space="0" w:color="auto"/>
                    <w:left w:val="none" w:sz="0" w:space="0" w:color="auto"/>
                    <w:bottom w:val="none" w:sz="0" w:space="0" w:color="auto"/>
                    <w:right w:val="none" w:sz="0" w:space="0" w:color="auto"/>
                  </w:divBdr>
                </w:div>
              </w:divsChild>
            </w:div>
            <w:div w:id="1378698858">
              <w:marLeft w:val="0"/>
              <w:marRight w:val="0"/>
              <w:marTop w:val="0"/>
              <w:marBottom w:val="0"/>
              <w:divBdr>
                <w:top w:val="none" w:sz="0" w:space="0" w:color="auto"/>
                <w:left w:val="none" w:sz="0" w:space="0" w:color="auto"/>
                <w:bottom w:val="none" w:sz="0" w:space="0" w:color="auto"/>
                <w:right w:val="none" w:sz="0" w:space="0" w:color="auto"/>
              </w:divBdr>
              <w:divsChild>
                <w:div w:id="1024475139">
                  <w:marLeft w:val="0"/>
                  <w:marRight w:val="0"/>
                  <w:marTop w:val="0"/>
                  <w:marBottom w:val="0"/>
                  <w:divBdr>
                    <w:top w:val="none" w:sz="0" w:space="0" w:color="auto"/>
                    <w:left w:val="none" w:sz="0" w:space="0" w:color="auto"/>
                    <w:bottom w:val="none" w:sz="0" w:space="0" w:color="auto"/>
                    <w:right w:val="none" w:sz="0" w:space="0" w:color="auto"/>
                  </w:divBdr>
                </w:div>
              </w:divsChild>
            </w:div>
            <w:div w:id="1378897378">
              <w:marLeft w:val="0"/>
              <w:marRight w:val="0"/>
              <w:marTop w:val="300"/>
              <w:marBottom w:val="300"/>
              <w:divBdr>
                <w:top w:val="none" w:sz="0" w:space="0" w:color="auto"/>
                <w:left w:val="none" w:sz="0" w:space="0" w:color="auto"/>
                <w:bottom w:val="none" w:sz="0" w:space="0" w:color="auto"/>
                <w:right w:val="none" w:sz="0" w:space="0" w:color="auto"/>
              </w:divBdr>
            </w:div>
            <w:div w:id="1379087178">
              <w:marLeft w:val="0"/>
              <w:marRight w:val="0"/>
              <w:marTop w:val="300"/>
              <w:marBottom w:val="300"/>
              <w:divBdr>
                <w:top w:val="none" w:sz="0" w:space="0" w:color="auto"/>
                <w:left w:val="none" w:sz="0" w:space="0" w:color="auto"/>
                <w:bottom w:val="none" w:sz="0" w:space="0" w:color="auto"/>
                <w:right w:val="none" w:sz="0" w:space="0" w:color="auto"/>
              </w:divBdr>
            </w:div>
            <w:div w:id="1379696300">
              <w:marLeft w:val="0"/>
              <w:marRight w:val="0"/>
              <w:marTop w:val="0"/>
              <w:marBottom w:val="0"/>
              <w:divBdr>
                <w:top w:val="none" w:sz="0" w:space="0" w:color="auto"/>
                <w:left w:val="none" w:sz="0" w:space="0" w:color="auto"/>
                <w:bottom w:val="none" w:sz="0" w:space="0" w:color="auto"/>
                <w:right w:val="none" w:sz="0" w:space="0" w:color="auto"/>
              </w:divBdr>
              <w:divsChild>
                <w:div w:id="409348328">
                  <w:marLeft w:val="0"/>
                  <w:marRight w:val="0"/>
                  <w:marTop w:val="0"/>
                  <w:marBottom w:val="0"/>
                  <w:divBdr>
                    <w:top w:val="none" w:sz="0" w:space="0" w:color="auto"/>
                    <w:left w:val="none" w:sz="0" w:space="0" w:color="auto"/>
                    <w:bottom w:val="none" w:sz="0" w:space="0" w:color="auto"/>
                    <w:right w:val="none" w:sz="0" w:space="0" w:color="auto"/>
                  </w:divBdr>
                </w:div>
              </w:divsChild>
            </w:div>
            <w:div w:id="1380668812">
              <w:marLeft w:val="0"/>
              <w:marRight w:val="0"/>
              <w:marTop w:val="0"/>
              <w:marBottom w:val="0"/>
              <w:divBdr>
                <w:top w:val="none" w:sz="0" w:space="0" w:color="auto"/>
                <w:left w:val="none" w:sz="0" w:space="0" w:color="auto"/>
                <w:bottom w:val="none" w:sz="0" w:space="0" w:color="auto"/>
                <w:right w:val="none" w:sz="0" w:space="0" w:color="auto"/>
              </w:divBdr>
              <w:divsChild>
                <w:div w:id="1646200067">
                  <w:marLeft w:val="0"/>
                  <w:marRight w:val="0"/>
                  <w:marTop w:val="0"/>
                  <w:marBottom w:val="0"/>
                  <w:divBdr>
                    <w:top w:val="none" w:sz="0" w:space="0" w:color="auto"/>
                    <w:left w:val="none" w:sz="0" w:space="0" w:color="auto"/>
                    <w:bottom w:val="none" w:sz="0" w:space="0" w:color="auto"/>
                    <w:right w:val="none" w:sz="0" w:space="0" w:color="auto"/>
                  </w:divBdr>
                </w:div>
              </w:divsChild>
            </w:div>
            <w:div w:id="1384714413">
              <w:marLeft w:val="0"/>
              <w:marRight w:val="0"/>
              <w:marTop w:val="0"/>
              <w:marBottom w:val="0"/>
              <w:divBdr>
                <w:top w:val="none" w:sz="0" w:space="0" w:color="auto"/>
                <w:left w:val="none" w:sz="0" w:space="0" w:color="auto"/>
                <w:bottom w:val="none" w:sz="0" w:space="0" w:color="auto"/>
                <w:right w:val="none" w:sz="0" w:space="0" w:color="auto"/>
              </w:divBdr>
              <w:divsChild>
                <w:div w:id="543177647">
                  <w:marLeft w:val="0"/>
                  <w:marRight w:val="0"/>
                  <w:marTop w:val="0"/>
                  <w:marBottom w:val="0"/>
                  <w:divBdr>
                    <w:top w:val="none" w:sz="0" w:space="0" w:color="auto"/>
                    <w:left w:val="none" w:sz="0" w:space="0" w:color="auto"/>
                    <w:bottom w:val="none" w:sz="0" w:space="0" w:color="auto"/>
                    <w:right w:val="none" w:sz="0" w:space="0" w:color="auto"/>
                  </w:divBdr>
                </w:div>
              </w:divsChild>
            </w:div>
            <w:div w:id="1385981663">
              <w:marLeft w:val="0"/>
              <w:marRight w:val="0"/>
              <w:marTop w:val="0"/>
              <w:marBottom w:val="0"/>
              <w:divBdr>
                <w:top w:val="none" w:sz="0" w:space="0" w:color="auto"/>
                <w:left w:val="none" w:sz="0" w:space="0" w:color="auto"/>
                <w:bottom w:val="none" w:sz="0" w:space="0" w:color="auto"/>
                <w:right w:val="none" w:sz="0" w:space="0" w:color="auto"/>
              </w:divBdr>
              <w:divsChild>
                <w:div w:id="505438847">
                  <w:marLeft w:val="0"/>
                  <w:marRight w:val="0"/>
                  <w:marTop w:val="0"/>
                  <w:marBottom w:val="0"/>
                  <w:divBdr>
                    <w:top w:val="none" w:sz="0" w:space="0" w:color="auto"/>
                    <w:left w:val="none" w:sz="0" w:space="0" w:color="auto"/>
                    <w:bottom w:val="none" w:sz="0" w:space="0" w:color="auto"/>
                    <w:right w:val="none" w:sz="0" w:space="0" w:color="auto"/>
                  </w:divBdr>
                </w:div>
              </w:divsChild>
            </w:div>
            <w:div w:id="1386682439">
              <w:marLeft w:val="0"/>
              <w:marRight w:val="0"/>
              <w:marTop w:val="0"/>
              <w:marBottom w:val="0"/>
              <w:divBdr>
                <w:top w:val="none" w:sz="0" w:space="0" w:color="auto"/>
                <w:left w:val="none" w:sz="0" w:space="0" w:color="auto"/>
                <w:bottom w:val="none" w:sz="0" w:space="0" w:color="auto"/>
                <w:right w:val="none" w:sz="0" w:space="0" w:color="auto"/>
              </w:divBdr>
              <w:divsChild>
                <w:div w:id="848448059">
                  <w:marLeft w:val="0"/>
                  <w:marRight w:val="0"/>
                  <w:marTop w:val="0"/>
                  <w:marBottom w:val="0"/>
                  <w:divBdr>
                    <w:top w:val="none" w:sz="0" w:space="0" w:color="auto"/>
                    <w:left w:val="none" w:sz="0" w:space="0" w:color="auto"/>
                    <w:bottom w:val="none" w:sz="0" w:space="0" w:color="auto"/>
                    <w:right w:val="none" w:sz="0" w:space="0" w:color="auto"/>
                  </w:divBdr>
                </w:div>
              </w:divsChild>
            </w:div>
            <w:div w:id="1386833543">
              <w:marLeft w:val="0"/>
              <w:marRight w:val="0"/>
              <w:marTop w:val="0"/>
              <w:marBottom w:val="0"/>
              <w:divBdr>
                <w:top w:val="none" w:sz="0" w:space="0" w:color="auto"/>
                <w:left w:val="none" w:sz="0" w:space="0" w:color="auto"/>
                <w:bottom w:val="none" w:sz="0" w:space="0" w:color="auto"/>
                <w:right w:val="none" w:sz="0" w:space="0" w:color="auto"/>
              </w:divBdr>
              <w:divsChild>
                <w:div w:id="343825650">
                  <w:marLeft w:val="0"/>
                  <w:marRight w:val="0"/>
                  <w:marTop w:val="0"/>
                  <w:marBottom w:val="0"/>
                  <w:divBdr>
                    <w:top w:val="none" w:sz="0" w:space="0" w:color="auto"/>
                    <w:left w:val="none" w:sz="0" w:space="0" w:color="auto"/>
                    <w:bottom w:val="none" w:sz="0" w:space="0" w:color="auto"/>
                    <w:right w:val="none" w:sz="0" w:space="0" w:color="auto"/>
                  </w:divBdr>
                </w:div>
              </w:divsChild>
            </w:div>
            <w:div w:id="1388412329">
              <w:marLeft w:val="0"/>
              <w:marRight w:val="0"/>
              <w:marTop w:val="300"/>
              <w:marBottom w:val="300"/>
              <w:divBdr>
                <w:top w:val="none" w:sz="0" w:space="0" w:color="auto"/>
                <w:left w:val="none" w:sz="0" w:space="0" w:color="auto"/>
                <w:bottom w:val="none" w:sz="0" w:space="0" w:color="auto"/>
                <w:right w:val="none" w:sz="0" w:space="0" w:color="auto"/>
              </w:divBdr>
            </w:div>
            <w:div w:id="1391463984">
              <w:marLeft w:val="0"/>
              <w:marRight w:val="0"/>
              <w:marTop w:val="0"/>
              <w:marBottom w:val="0"/>
              <w:divBdr>
                <w:top w:val="none" w:sz="0" w:space="0" w:color="auto"/>
                <w:left w:val="none" w:sz="0" w:space="0" w:color="auto"/>
                <w:bottom w:val="none" w:sz="0" w:space="0" w:color="auto"/>
                <w:right w:val="none" w:sz="0" w:space="0" w:color="auto"/>
              </w:divBdr>
              <w:divsChild>
                <w:div w:id="556823896">
                  <w:marLeft w:val="0"/>
                  <w:marRight w:val="0"/>
                  <w:marTop w:val="0"/>
                  <w:marBottom w:val="0"/>
                  <w:divBdr>
                    <w:top w:val="none" w:sz="0" w:space="0" w:color="auto"/>
                    <w:left w:val="none" w:sz="0" w:space="0" w:color="auto"/>
                    <w:bottom w:val="none" w:sz="0" w:space="0" w:color="auto"/>
                    <w:right w:val="none" w:sz="0" w:space="0" w:color="auto"/>
                  </w:divBdr>
                </w:div>
              </w:divsChild>
            </w:div>
            <w:div w:id="1392583060">
              <w:marLeft w:val="0"/>
              <w:marRight w:val="0"/>
              <w:marTop w:val="0"/>
              <w:marBottom w:val="0"/>
              <w:divBdr>
                <w:top w:val="none" w:sz="0" w:space="0" w:color="auto"/>
                <w:left w:val="none" w:sz="0" w:space="0" w:color="auto"/>
                <w:bottom w:val="none" w:sz="0" w:space="0" w:color="auto"/>
                <w:right w:val="none" w:sz="0" w:space="0" w:color="auto"/>
              </w:divBdr>
              <w:divsChild>
                <w:div w:id="2099910166">
                  <w:marLeft w:val="0"/>
                  <w:marRight w:val="0"/>
                  <w:marTop w:val="0"/>
                  <w:marBottom w:val="0"/>
                  <w:divBdr>
                    <w:top w:val="none" w:sz="0" w:space="0" w:color="auto"/>
                    <w:left w:val="none" w:sz="0" w:space="0" w:color="auto"/>
                    <w:bottom w:val="none" w:sz="0" w:space="0" w:color="auto"/>
                    <w:right w:val="none" w:sz="0" w:space="0" w:color="auto"/>
                  </w:divBdr>
                </w:div>
              </w:divsChild>
            </w:div>
            <w:div w:id="1394422724">
              <w:marLeft w:val="0"/>
              <w:marRight w:val="0"/>
              <w:marTop w:val="0"/>
              <w:marBottom w:val="0"/>
              <w:divBdr>
                <w:top w:val="none" w:sz="0" w:space="0" w:color="auto"/>
                <w:left w:val="none" w:sz="0" w:space="0" w:color="auto"/>
                <w:bottom w:val="none" w:sz="0" w:space="0" w:color="auto"/>
                <w:right w:val="none" w:sz="0" w:space="0" w:color="auto"/>
              </w:divBdr>
              <w:divsChild>
                <w:div w:id="810949412">
                  <w:marLeft w:val="0"/>
                  <w:marRight w:val="0"/>
                  <w:marTop w:val="0"/>
                  <w:marBottom w:val="0"/>
                  <w:divBdr>
                    <w:top w:val="none" w:sz="0" w:space="0" w:color="auto"/>
                    <w:left w:val="none" w:sz="0" w:space="0" w:color="auto"/>
                    <w:bottom w:val="none" w:sz="0" w:space="0" w:color="auto"/>
                    <w:right w:val="none" w:sz="0" w:space="0" w:color="auto"/>
                  </w:divBdr>
                </w:div>
              </w:divsChild>
            </w:div>
            <w:div w:id="1395087272">
              <w:marLeft w:val="0"/>
              <w:marRight w:val="0"/>
              <w:marTop w:val="0"/>
              <w:marBottom w:val="0"/>
              <w:divBdr>
                <w:top w:val="none" w:sz="0" w:space="0" w:color="auto"/>
                <w:left w:val="none" w:sz="0" w:space="0" w:color="auto"/>
                <w:bottom w:val="none" w:sz="0" w:space="0" w:color="auto"/>
                <w:right w:val="none" w:sz="0" w:space="0" w:color="auto"/>
              </w:divBdr>
              <w:divsChild>
                <w:div w:id="433213508">
                  <w:marLeft w:val="0"/>
                  <w:marRight w:val="0"/>
                  <w:marTop w:val="0"/>
                  <w:marBottom w:val="0"/>
                  <w:divBdr>
                    <w:top w:val="none" w:sz="0" w:space="0" w:color="auto"/>
                    <w:left w:val="none" w:sz="0" w:space="0" w:color="auto"/>
                    <w:bottom w:val="none" w:sz="0" w:space="0" w:color="auto"/>
                    <w:right w:val="none" w:sz="0" w:space="0" w:color="auto"/>
                  </w:divBdr>
                </w:div>
              </w:divsChild>
            </w:div>
            <w:div w:id="1402869838">
              <w:marLeft w:val="0"/>
              <w:marRight w:val="0"/>
              <w:marTop w:val="0"/>
              <w:marBottom w:val="0"/>
              <w:divBdr>
                <w:top w:val="none" w:sz="0" w:space="0" w:color="auto"/>
                <w:left w:val="none" w:sz="0" w:space="0" w:color="auto"/>
                <w:bottom w:val="none" w:sz="0" w:space="0" w:color="auto"/>
                <w:right w:val="none" w:sz="0" w:space="0" w:color="auto"/>
              </w:divBdr>
              <w:divsChild>
                <w:div w:id="2104757478">
                  <w:marLeft w:val="0"/>
                  <w:marRight w:val="0"/>
                  <w:marTop w:val="0"/>
                  <w:marBottom w:val="0"/>
                  <w:divBdr>
                    <w:top w:val="none" w:sz="0" w:space="0" w:color="auto"/>
                    <w:left w:val="none" w:sz="0" w:space="0" w:color="auto"/>
                    <w:bottom w:val="none" w:sz="0" w:space="0" w:color="auto"/>
                    <w:right w:val="none" w:sz="0" w:space="0" w:color="auto"/>
                  </w:divBdr>
                </w:div>
              </w:divsChild>
            </w:div>
            <w:div w:id="1403141568">
              <w:marLeft w:val="0"/>
              <w:marRight w:val="0"/>
              <w:marTop w:val="0"/>
              <w:marBottom w:val="0"/>
              <w:divBdr>
                <w:top w:val="none" w:sz="0" w:space="0" w:color="auto"/>
                <w:left w:val="none" w:sz="0" w:space="0" w:color="auto"/>
                <w:bottom w:val="none" w:sz="0" w:space="0" w:color="auto"/>
                <w:right w:val="none" w:sz="0" w:space="0" w:color="auto"/>
              </w:divBdr>
              <w:divsChild>
                <w:div w:id="1554580035">
                  <w:marLeft w:val="0"/>
                  <w:marRight w:val="0"/>
                  <w:marTop w:val="0"/>
                  <w:marBottom w:val="0"/>
                  <w:divBdr>
                    <w:top w:val="none" w:sz="0" w:space="0" w:color="auto"/>
                    <w:left w:val="none" w:sz="0" w:space="0" w:color="auto"/>
                    <w:bottom w:val="none" w:sz="0" w:space="0" w:color="auto"/>
                    <w:right w:val="none" w:sz="0" w:space="0" w:color="auto"/>
                  </w:divBdr>
                </w:div>
              </w:divsChild>
            </w:div>
            <w:div w:id="1403262112">
              <w:marLeft w:val="0"/>
              <w:marRight w:val="0"/>
              <w:marTop w:val="0"/>
              <w:marBottom w:val="0"/>
              <w:divBdr>
                <w:top w:val="none" w:sz="0" w:space="0" w:color="auto"/>
                <w:left w:val="none" w:sz="0" w:space="0" w:color="auto"/>
                <w:bottom w:val="none" w:sz="0" w:space="0" w:color="auto"/>
                <w:right w:val="none" w:sz="0" w:space="0" w:color="auto"/>
              </w:divBdr>
              <w:divsChild>
                <w:div w:id="1718356561">
                  <w:marLeft w:val="0"/>
                  <w:marRight w:val="0"/>
                  <w:marTop w:val="0"/>
                  <w:marBottom w:val="0"/>
                  <w:divBdr>
                    <w:top w:val="none" w:sz="0" w:space="0" w:color="auto"/>
                    <w:left w:val="none" w:sz="0" w:space="0" w:color="auto"/>
                    <w:bottom w:val="none" w:sz="0" w:space="0" w:color="auto"/>
                    <w:right w:val="none" w:sz="0" w:space="0" w:color="auto"/>
                  </w:divBdr>
                </w:div>
              </w:divsChild>
            </w:div>
            <w:div w:id="1406562207">
              <w:marLeft w:val="0"/>
              <w:marRight w:val="0"/>
              <w:marTop w:val="300"/>
              <w:marBottom w:val="300"/>
              <w:divBdr>
                <w:top w:val="none" w:sz="0" w:space="0" w:color="auto"/>
                <w:left w:val="none" w:sz="0" w:space="0" w:color="auto"/>
                <w:bottom w:val="none" w:sz="0" w:space="0" w:color="auto"/>
                <w:right w:val="none" w:sz="0" w:space="0" w:color="auto"/>
              </w:divBdr>
            </w:div>
            <w:div w:id="1407453070">
              <w:marLeft w:val="0"/>
              <w:marRight w:val="0"/>
              <w:marTop w:val="0"/>
              <w:marBottom w:val="0"/>
              <w:divBdr>
                <w:top w:val="none" w:sz="0" w:space="0" w:color="auto"/>
                <w:left w:val="none" w:sz="0" w:space="0" w:color="auto"/>
                <w:bottom w:val="none" w:sz="0" w:space="0" w:color="auto"/>
                <w:right w:val="none" w:sz="0" w:space="0" w:color="auto"/>
              </w:divBdr>
              <w:divsChild>
                <w:div w:id="741752311">
                  <w:marLeft w:val="0"/>
                  <w:marRight w:val="0"/>
                  <w:marTop w:val="0"/>
                  <w:marBottom w:val="0"/>
                  <w:divBdr>
                    <w:top w:val="none" w:sz="0" w:space="0" w:color="auto"/>
                    <w:left w:val="none" w:sz="0" w:space="0" w:color="auto"/>
                    <w:bottom w:val="none" w:sz="0" w:space="0" w:color="auto"/>
                    <w:right w:val="none" w:sz="0" w:space="0" w:color="auto"/>
                  </w:divBdr>
                </w:div>
              </w:divsChild>
            </w:div>
            <w:div w:id="1407533493">
              <w:marLeft w:val="0"/>
              <w:marRight w:val="0"/>
              <w:marTop w:val="0"/>
              <w:marBottom w:val="0"/>
              <w:divBdr>
                <w:top w:val="none" w:sz="0" w:space="0" w:color="auto"/>
                <w:left w:val="none" w:sz="0" w:space="0" w:color="auto"/>
                <w:bottom w:val="none" w:sz="0" w:space="0" w:color="auto"/>
                <w:right w:val="none" w:sz="0" w:space="0" w:color="auto"/>
              </w:divBdr>
              <w:divsChild>
                <w:div w:id="1640961725">
                  <w:marLeft w:val="0"/>
                  <w:marRight w:val="0"/>
                  <w:marTop w:val="0"/>
                  <w:marBottom w:val="0"/>
                  <w:divBdr>
                    <w:top w:val="none" w:sz="0" w:space="0" w:color="auto"/>
                    <w:left w:val="none" w:sz="0" w:space="0" w:color="auto"/>
                    <w:bottom w:val="none" w:sz="0" w:space="0" w:color="auto"/>
                    <w:right w:val="none" w:sz="0" w:space="0" w:color="auto"/>
                  </w:divBdr>
                </w:div>
              </w:divsChild>
            </w:div>
            <w:div w:id="1414157612">
              <w:marLeft w:val="0"/>
              <w:marRight w:val="0"/>
              <w:marTop w:val="0"/>
              <w:marBottom w:val="0"/>
              <w:divBdr>
                <w:top w:val="none" w:sz="0" w:space="0" w:color="auto"/>
                <w:left w:val="none" w:sz="0" w:space="0" w:color="auto"/>
                <w:bottom w:val="none" w:sz="0" w:space="0" w:color="auto"/>
                <w:right w:val="none" w:sz="0" w:space="0" w:color="auto"/>
              </w:divBdr>
              <w:divsChild>
                <w:div w:id="1661691863">
                  <w:marLeft w:val="0"/>
                  <w:marRight w:val="0"/>
                  <w:marTop w:val="0"/>
                  <w:marBottom w:val="0"/>
                  <w:divBdr>
                    <w:top w:val="none" w:sz="0" w:space="0" w:color="auto"/>
                    <w:left w:val="none" w:sz="0" w:space="0" w:color="auto"/>
                    <w:bottom w:val="none" w:sz="0" w:space="0" w:color="auto"/>
                    <w:right w:val="none" w:sz="0" w:space="0" w:color="auto"/>
                  </w:divBdr>
                </w:div>
              </w:divsChild>
            </w:div>
            <w:div w:id="1416974718">
              <w:marLeft w:val="0"/>
              <w:marRight w:val="0"/>
              <w:marTop w:val="300"/>
              <w:marBottom w:val="300"/>
              <w:divBdr>
                <w:top w:val="none" w:sz="0" w:space="0" w:color="auto"/>
                <w:left w:val="none" w:sz="0" w:space="0" w:color="auto"/>
                <w:bottom w:val="none" w:sz="0" w:space="0" w:color="auto"/>
                <w:right w:val="none" w:sz="0" w:space="0" w:color="auto"/>
              </w:divBdr>
            </w:div>
            <w:div w:id="1419132431">
              <w:marLeft w:val="0"/>
              <w:marRight w:val="0"/>
              <w:marTop w:val="0"/>
              <w:marBottom w:val="0"/>
              <w:divBdr>
                <w:top w:val="none" w:sz="0" w:space="0" w:color="auto"/>
                <w:left w:val="none" w:sz="0" w:space="0" w:color="auto"/>
                <w:bottom w:val="none" w:sz="0" w:space="0" w:color="auto"/>
                <w:right w:val="none" w:sz="0" w:space="0" w:color="auto"/>
              </w:divBdr>
              <w:divsChild>
                <w:div w:id="81605167">
                  <w:marLeft w:val="0"/>
                  <w:marRight w:val="0"/>
                  <w:marTop w:val="0"/>
                  <w:marBottom w:val="0"/>
                  <w:divBdr>
                    <w:top w:val="none" w:sz="0" w:space="0" w:color="auto"/>
                    <w:left w:val="none" w:sz="0" w:space="0" w:color="auto"/>
                    <w:bottom w:val="none" w:sz="0" w:space="0" w:color="auto"/>
                    <w:right w:val="none" w:sz="0" w:space="0" w:color="auto"/>
                  </w:divBdr>
                </w:div>
              </w:divsChild>
            </w:div>
            <w:div w:id="1426727461">
              <w:marLeft w:val="0"/>
              <w:marRight w:val="0"/>
              <w:marTop w:val="0"/>
              <w:marBottom w:val="0"/>
              <w:divBdr>
                <w:top w:val="none" w:sz="0" w:space="0" w:color="auto"/>
                <w:left w:val="none" w:sz="0" w:space="0" w:color="auto"/>
                <w:bottom w:val="none" w:sz="0" w:space="0" w:color="auto"/>
                <w:right w:val="none" w:sz="0" w:space="0" w:color="auto"/>
              </w:divBdr>
              <w:divsChild>
                <w:div w:id="2147040342">
                  <w:marLeft w:val="0"/>
                  <w:marRight w:val="0"/>
                  <w:marTop w:val="0"/>
                  <w:marBottom w:val="0"/>
                  <w:divBdr>
                    <w:top w:val="none" w:sz="0" w:space="0" w:color="auto"/>
                    <w:left w:val="none" w:sz="0" w:space="0" w:color="auto"/>
                    <w:bottom w:val="none" w:sz="0" w:space="0" w:color="auto"/>
                    <w:right w:val="none" w:sz="0" w:space="0" w:color="auto"/>
                  </w:divBdr>
                </w:div>
              </w:divsChild>
            </w:div>
            <w:div w:id="1427002259">
              <w:marLeft w:val="0"/>
              <w:marRight w:val="0"/>
              <w:marTop w:val="0"/>
              <w:marBottom w:val="0"/>
              <w:divBdr>
                <w:top w:val="none" w:sz="0" w:space="0" w:color="auto"/>
                <w:left w:val="none" w:sz="0" w:space="0" w:color="auto"/>
                <w:bottom w:val="none" w:sz="0" w:space="0" w:color="auto"/>
                <w:right w:val="none" w:sz="0" w:space="0" w:color="auto"/>
              </w:divBdr>
              <w:divsChild>
                <w:div w:id="923338408">
                  <w:marLeft w:val="0"/>
                  <w:marRight w:val="0"/>
                  <w:marTop w:val="0"/>
                  <w:marBottom w:val="0"/>
                  <w:divBdr>
                    <w:top w:val="none" w:sz="0" w:space="0" w:color="auto"/>
                    <w:left w:val="none" w:sz="0" w:space="0" w:color="auto"/>
                    <w:bottom w:val="none" w:sz="0" w:space="0" w:color="auto"/>
                    <w:right w:val="none" w:sz="0" w:space="0" w:color="auto"/>
                  </w:divBdr>
                </w:div>
              </w:divsChild>
            </w:div>
            <w:div w:id="1429422184">
              <w:marLeft w:val="0"/>
              <w:marRight w:val="0"/>
              <w:marTop w:val="0"/>
              <w:marBottom w:val="0"/>
              <w:divBdr>
                <w:top w:val="none" w:sz="0" w:space="0" w:color="auto"/>
                <w:left w:val="none" w:sz="0" w:space="0" w:color="auto"/>
                <w:bottom w:val="none" w:sz="0" w:space="0" w:color="auto"/>
                <w:right w:val="none" w:sz="0" w:space="0" w:color="auto"/>
              </w:divBdr>
              <w:divsChild>
                <w:div w:id="1554462512">
                  <w:marLeft w:val="0"/>
                  <w:marRight w:val="0"/>
                  <w:marTop w:val="0"/>
                  <w:marBottom w:val="0"/>
                  <w:divBdr>
                    <w:top w:val="none" w:sz="0" w:space="0" w:color="auto"/>
                    <w:left w:val="none" w:sz="0" w:space="0" w:color="auto"/>
                    <w:bottom w:val="none" w:sz="0" w:space="0" w:color="auto"/>
                    <w:right w:val="none" w:sz="0" w:space="0" w:color="auto"/>
                  </w:divBdr>
                </w:div>
              </w:divsChild>
            </w:div>
            <w:div w:id="1442071965">
              <w:marLeft w:val="0"/>
              <w:marRight w:val="0"/>
              <w:marTop w:val="0"/>
              <w:marBottom w:val="0"/>
              <w:divBdr>
                <w:top w:val="none" w:sz="0" w:space="0" w:color="auto"/>
                <w:left w:val="none" w:sz="0" w:space="0" w:color="auto"/>
                <w:bottom w:val="none" w:sz="0" w:space="0" w:color="auto"/>
                <w:right w:val="none" w:sz="0" w:space="0" w:color="auto"/>
              </w:divBdr>
              <w:divsChild>
                <w:div w:id="179855886">
                  <w:marLeft w:val="0"/>
                  <w:marRight w:val="0"/>
                  <w:marTop w:val="0"/>
                  <w:marBottom w:val="0"/>
                  <w:divBdr>
                    <w:top w:val="none" w:sz="0" w:space="0" w:color="auto"/>
                    <w:left w:val="none" w:sz="0" w:space="0" w:color="auto"/>
                    <w:bottom w:val="none" w:sz="0" w:space="0" w:color="auto"/>
                    <w:right w:val="none" w:sz="0" w:space="0" w:color="auto"/>
                  </w:divBdr>
                </w:div>
              </w:divsChild>
            </w:div>
            <w:div w:id="1450860355">
              <w:marLeft w:val="0"/>
              <w:marRight w:val="0"/>
              <w:marTop w:val="0"/>
              <w:marBottom w:val="0"/>
              <w:divBdr>
                <w:top w:val="none" w:sz="0" w:space="0" w:color="auto"/>
                <w:left w:val="none" w:sz="0" w:space="0" w:color="auto"/>
                <w:bottom w:val="none" w:sz="0" w:space="0" w:color="auto"/>
                <w:right w:val="none" w:sz="0" w:space="0" w:color="auto"/>
              </w:divBdr>
              <w:divsChild>
                <w:div w:id="602959422">
                  <w:marLeft w:val="0"/>
                  <w:marRight w:val="0"/>
                  <w:marTop w:val="0"/>
                  <w:marBottom w:val="0"/>
                  <w:divBdr>
                    <w:top w:val="none" w:sz="0" w:space="0" w:color="auto"/>
                    <w:left w:val="none" w:sz="0" w:space="0" w:color="auto"/>
                    <w:bottom w:val="none" w:sz="0" w:space="0" w:color="auto"/>
                    <w:right w:val="none" w:sz="0" w:space="0" w:color="auto"/>
                  </w:divBdr>
                </w:div>
              </w:divsChild>
            </w:div>
            <w:div w:id="1459029188">
              <w:marLeft w:val="0"/>
              <w:marRight w:val="0"/>
              <w:marTop w:val="300"/>
              <w:marBottom w:val="300"/>
              <w:divBdr>
                <w:top w:val="none" w:sz="0" w:space="0" w:color="auto"/>
                <w:left w:val="none" w:sz="0" w:space="0" w:color="auto"/>
                <w:bottom w:val="none" w:sz="0" w:space="0" w:color="auto"/>
                <w:right w:val="none" w:sz="0" w:space="0" w:color="auto"/>
              </w:divBdr>
            </w:div>
            <w:div w:id="1459377824">
              <w:marLeft w:val="0"/>
              <w:marRight w:val="0"/>
              <w:marTop w:val="0"/>
              <w:marBottom w:val="0"/>
              <w:divBdr>
                <w:top w:val="none" w:sz="0" w:space="0" w:color="auto"/>
                <w:left w:val="none" w:sz="0" w:space="0" w:color="auto"/>
                <w:bottom w:val="none" w:sz="0" w:space="0" w:color="auto"/>
                <w:right w:val="none" w:sz="0" w:space="0" w:color="auto"/>
              </w:divBdr>
              <w:divsChild>
                <w:div w:id="992178002">
                  <w:marLeft w:val="0"/>
                  <w:marRight w:val="0"/>
                  <w:marTop w:val="0"/>
                  <w:marBottom w:val="0"/>
                  <w:divBdr>
                    <w:top w:val="none" w:sz="0" w:space="0" w:color="auto"/>
                    <w:left w:val="none" w:sz="0" w:space="0" w:color="auto"/>
                    <w:bottom w:val="none" w:sz="0" w:space="0" w:color="auto"/>
                    <w:right w:val="none" w:sz="0" w:space="0" w:color="auto"/>
                  </w:divBdr>
                </w:div>
              </w:divsChild>
            </w:div>
            <w:div w:id="1459378346">
              <w:marLeft w:val="0"/>
              <w:marRight w:val="0"/>
              <w:marTop w:val="0"/>
              <w:marBottom w:val="0"/>
              <w:divBdr>
                <w:top w:val="none" w:sz="0" w:space="0" w:color="auto"/>
                <w:left w:val="none" w:sz="0" w:space="0" w:color="auto"/>
                <w:bottom w:val="none" w:sz="0" w:space="0" w:color="auto"/>
                <w:right w:val="none" w:sz="0" w:space="0" w:color="auto"/>
              </w:divBdr>
              <w:divsChild>
                <w:div w:id="1858735781">
                  <w:marLeft w:val="0"/>
                  <w:marRight w:val="0"/>
                  <w:marTop w:val="0"/>
                  <w:marBottom w:val="0"/>
                  <w:divBdr>
                    <w:top w:val="none" w:sz="0" w:space="0" w:color="auto"/>
                    <w:left w:val="none" w:sz="0" w:space="0" w:color="auto"/>
                    <w:bottom w:val="none" w:sz="0" w:space="0" w:color="auto"/>
                    <w:right w:val="none" w:sz="0" w:space="0" w:color="auto"/>
                  </w:divBdr>
                </w:div>
              </w:divsChild>
            </w:div>
            <w:div w:id="1461261472">
              <w:marLeft w:val="0"/>
              <w:marRight w:val="0"/>
              <w:marTop w:val="0"/>
              <w:marBottom w:val="0"/>
              <w:divBdr>
                <w:top w:val="none" w:sz="0" w:space="0" w:color="auto"/>
                <w:left w:val="none" w:sz="0" w:space="0" w:color="auto"/>
                <w:bottom w:val="none" w:sz="0" w:space="0" w:color="auto"/>
                <w:right w:val="none" w:sz="0" w:space="0" w:color="auto"/>
              </w:divBdr>
              <w:divsChild>
                <w:div w:id="1660692575">
                  <w:marLeft w:val="0"/>
                  <w:marRight w:val="0"/>
                  <w:marTop w:val="0"/>
                  <w:marBottom w:val="0"/>
                  <w:divBdr>
                    <w:top w:val="none" w:sz="0" w:space="0" w:color="auto"/>
                    <w:left w:val="none" w:sz="0" w:space="0" w:color="auto"/>
                    <w:bottom w:val="none" w:sz="0" w:space="0" w:color="auto"/>
                    <w:right w:val="none" w:sz="0" w:space="0" w:color="auto"/>
                  </w:divBdr>
                </w:div>
              </w:divsChild>
            </w:div>
            <w:div w:id="1462768090">
              <w:marLeft w:val="0"/>
              <w:marRight w:val="0"/>
              <w:marTop w:val="0"/>
              <w:marBottom w:val="0"/>
              <w:divBdr>
                <w:top w:val="none" w:sz="0" w:space="0" w:color="auto"/>
                <w:left w:val="none" w:sz="0" w:space="0" w:color="auto"/>
                <w:bottom w:val="none" w:sz="0" w:space="0" w:color="auto"/>
                <w:right w:val="none" w:sz="0" w:space="0" w:color="auto"/>
              </w:divBdr>
              <w:divsChild>
                <w:div w:id="971636798">
                  <w:marLeft w:val="0"/>
                  <w:marRight w:val="0"/>
                  <w:marTop w:val="0"/>
                  <w:marBottom w:val="0"/>
                  <w:divBdr>
                    <w:top w:val="none" w:sz="0" w:space="0" w:color="auto"/>
                    <w:left w:val="none" w:sz="0" w:space="0" w:color="auto"/>
                    <w:bottom w:val="none" w:sz="0" w:space="0" w:color="auto"/>
                    <w:right w:val="none" w:sz="0" w:space="0" w:color="auto"/>
                  </w:divBdr>
                </w:div>
              </w:divsChild>
            </w:div>
            <w:div w:id="1463883109">
              <w:marLeft w:val="0"/>
              <w:marRight w:val="0"/>
              <w:marTop w:val="300"/>
              <w:marBottom w:val="300"/>
              <w:divBdr>
                <w:top w:val="none" w:sz="0" w:space="0" w:color="auto"/>
                <w:left w:val="none" w:sz="0" w:space="0" w:color="auto"/>
                <w:bottom w:val="none" w:sz="0" w:space="0" w:color="auto"/>
                <w:right w:val="none" w:sz="0" w:space="0" w:color="auto"/>
              </w:divBdr>
            </w:div>
            <w:div w:id="1471706118">
              <w:marLeft w:val="0"/>
              <w:marRight w:val="0"/>
              <w:marTop w:val="0"/>
              <w:marBottom w:val="0"/>
              <w:divBdr>
                <w:top w:val="none" w:sz="0" w:space="0" w:color="auto"/>
                <w:left w:val="none" w:sz="0" w:space="0" w:color="auto"/>
                <w:bottom w:val="none" w:sz="0" w:space="0" w:color="auto"/>
                <w:right w:val="none" w:sz="0" w:space="0" w:color="auto"/>
              </w:divBdr>
              <w:divsChild>
                <w:div w:id="1665353085">
                  <w:marLeft w:val="0"/>
                  <w:marRight w:val="0"/>
                  <w:marTop w:val="0"/>
                  <w:marBottom w:val="0"/>
                  <w:divBdr>
                    <w:top w:val="none" w:sz="0" w:space="0" w:color="auto"/>
                    <w:left w:val="none" w:sz="0" w:space="0" w:color="auto"/>
                    <w:bottom w:val="none" w:sz="0" w:space="0" w:color="auto"/>
                    <w:right w:val="none" w:sz="0" w:space="0" w:color="auto"/>
                  </w:divBdr>
                </w:div>
              </w:divsChild>
            </w:div>
            <w:div w:id="1477141530">
              <w:marLeft w:val="0"/>
              <w:marRight w:val="0"/>
              <w:marTop w:val="0"/>
              <w:marBottom w:val="0"/>
              <w:divBdr>
                <w:top w:val="none" w:sz="0" w:space="0" w:color="auto"/>
                <w:left w:val="none" w:sz="0" w:space="0" w:color="auto"/>
                <w:bottom w:val="none" w:sz="0" w:space="0" w:color="auto"/>
                <w:right w:val="none" w:sz="0" w:space="0" w:color="auto"/>
              </w:divBdr>
              <w:divsChild>
                <w:div w:id="1651861246">
                  <w:marLeft w:val="0"/>
                  <w:marRight w:val="0"/>
                  <w:marTop w:val="0"/>
                  <w:marBottom w:val="0"/>
                  <w:divBdr>
                    <w:top w:val="none" w:sz="0" w:space="0" w:color="auto"/>
                    <w:left w:val="none" w:sz="0" w:space="0" w:color="auto"/>
                    <w:bottom w:val="none" w:sz="0" w:space="0" w:color="auto"/>
                    <w:right w:val="none" w:sz="0" w:space="0" w:color="auto"/>
                  </w:divBdr>
                </w:div>
              </w:divsChild>
            </w:div>
            <w:div w:id="1479029966">
              <w:marLeft w:val="0"/>
              <w:marRight w:val="0"/>
              <w:marTop w:val="300"/>
              <w:marBottom w:val="300"/>
              <w:divBdr>
                <w:top w:val="none" w:sz="0" w:space="0" w:color="auto"/>
                <w:left w:val="none" w:sz="0" w:space="0" w:color="auto"/>
                <w:bottom w:val="none" w:sz="0" w:space="0" w:color="auto"/>
                <w:right w:val="none" w:sz="0" w:space="0" w:color="auto"/>
              </w:divBdr>
            </w:div>
            <w:div w:id="1480028553">
              <w:marLeft w:val="0"/>
              <w:marRight w:val="0"/>
              <w:marTop w:val="300"/>
              <w:marBottom w:val="300"/>
              <w:divBdr>
                <w:top w:val="none" w:sz="0" w:space="0" w:color="auto"/>
                <w:left w:val="none" w:sz="0" w:space="0" w:color="auto"/>
                <w:bottom w:val="none" w:sz="0" w:space="0" w:color="auto"/>
                <w:right w:val="none" w:sz="0" w:space="0" w:color="auto"/>
              </w:divBdr>
            </w:div>
            <w:div w:id="1485199044">
              <w:marLeft w:val="0"/>
              <w:marRight w:val="0"/>
              <w:marTop w:val="0"/>
              <w:marBottom w:val="0"/>
              <w:divBdr>
                <w:top w:val="none" w:sz="0" w:space="0" w:color="auto"/>
                <w:left w:val="none" w:sz="0" w:space="0" w:color="auto"/>
                <w:bottom w:val="none" w:sz="0" w:space="0" w:color="auto"/>
                <w:right w:val="none" w:sz="0" w:space="0" w:color="auto"/>
              </w:divBdr>
              <w:divsChild>
                <w:div w:id="934903536">
                  <w:marLeft w:val="0"/>
                  <w:marRight w:val="0"/>
                  <w:marTop w:val="0"/>
                  <w:marBottom w:val="0"/>
                  <w:divBdr>
                    <w:top w:val="none" w:sz="0" w:space="0" w:color="auto"/>
                    <w:left w:val="none" w:sz="0" w:space="0" w:color="auto"/>
                    <w:bottom w:val="none" w:sz="0" w:space="0" w:color="auto"/>
                    <w:right w:val="none" w:sz="0" w:space="0" w:color="auto"/>
                  </w:divBdr>
                </w:div>
              </w:divsChild>
            </w:div>
            <w:div w:id="1494179178">
              <w:marLeft w:val="0"/>
              <w:marRight w:val="0"/>
              <w:marTop w:val="0"/>
              <w:marBottom w:val="0"/>
              <w:divBdr>
                <w:top w:val="none" w:sz="0" w:space="0" w:color="auto"/>
                <w:left w:val="none" w:sz="0" w:space="0" w:color="auto"/>
                <w:bottom w:val="none" w:sz="0" w:space="0" w:color="auto"/>
                <w:right w:val="none" w:sz="0" w:space="0" w:color="auto"/>
              </w:divBdr>
              <w:divsChild>
                <w:div w:id="988941889">
                  <w:marLeft w:val="0"/>
                  <w:marRight w:val="0"/>
                  <w:marTop w:val="0"/>
                  <w:marBottom w:val="0"/>
                  <w:divBdr>
                    <w:top w:val="none" w:sz="0" w:space="0" w:color="auto"/>
                    <w:left w:val="none" w:sz="0" w:space="0" w:color="auto"/>
                    <w:bottom w:val="none" w:sz="0" w:space="0" w:color="auto"/>
                    <w:right w:val="none" w:sz="0" w:space="0" w:color="auto"/>
                  </w:divBdr>
                </w:div>
              </w:divsChild>
            </w:div>
            <w:div w:id="1509442820">
              <w:marLeft w:val="0"/>
              <w:marRight w:val="0"/>
              <w:marTop w:val="0"/>
              <w:marBottom w:val="0"/>
              <w:divBdr>
                <w:top w:val="none" w:sz="0" w:space="0" w:color="auto"/>
                <w:left w:val="none" w:sz="0" w:space="0" w:color="auto"/>
                <w:bottom w:val="none" w:sz="0" w:space="0" w:color="auto"/>
                <w:right w:val="none" w:sz="0" w:space="0" w:color="auto"/>
              </w:divBdr>
              <w:divsChild>
                <w:div w:id="2038969800">
                  <w:marLeft w:val="0"/>
                  <w:marRight w:val="0"/>
                  <w:marTop w:val="0"/>
                  <w:marBottom w:val="0"/>
                  <w:divBdr>
                    <w:top w:val="none" w:sz="0" w:space="0" w:color="auto"/>
                    <w:left w:val="none" w:sz="0" w:space="0" w:color="auto"/>
                    <w:bottom w:val="none" w:sz="0" w:space="0" w:color="auto"/>
                    <w:right w:val="none" w:sz="0" w:space="0" w:color="auto"/>
                  </w:divBdr>
                </w:div>
              </w:divsChild>
            </w:div>
            <w:div w:id="1512841405">
              <w:marLeft w:val="0"/>
              <w:marRight w:val="0"/>
              <w:marTop w:val="300"/>
              <w:marBottom w:val="300"/>
              <w:divBdr>
                <w:top w:val="none" w:sz="0" w:space="0" w:color="auto"/>
                <w:left w:val="none" w:sz="0" w:space="0" w:color="auto"/>
                <w:bottom w:val="none" w:sz="0" w:space="0" w:color="auto"/>
                <w:right w:val="none" w:sz="0" w:space="0" w:color="auto"/>
              </w:divBdr>
            </w:div>
            <w:div w:id="1518277529">
              <w:marLeft w:val="0"/>
              <w:marRight w:val="0"/>
              <w:marTop w:val="0"/>
              <w:marBottom w:val="0"/>
              <w:divBdr>
                <w:top w:val="none" w:sz="0" w:space="0" w:color="auto"/>
                <w:left w:val="none" w:sz="0" w:space="0" w:color="auto"/>
                <w:bottom w:val="none" w:sz="0" w:space="0" w:color="auto"/>
                <w:right w:val="none" w:sz="0" w:space="0" w:color="auto"/>
              </w:divBdr>
              <w:divsChild>
                <w:div w:id="1556696529">
                  <w:marLeft w:val="0"/>
                  <w:marRight w:val="0"/>
                  <w:marTop w:val="0"/>
                  <w:marBottom w:val="0"/>
                  <w:divBdr>
                    <w:top w:val="none" w:sz="0" w:space="0" w:color="auto"/>
                    <w:left w:val="none" w:sz="0" w:space="0" w:color="auto"/>
                    <w:bottom w:val="none" w:sz="0" w:space="0" w:color="auto"/>
                    <w:right w:val="none" w:sz="0" w:space="0" w:color="auto"/>
                  </w:divBdr>
                </w:div>
              </w:divsChild>
            </w:div>
            <w:div w:id="1524896747">
              <w:marLeft w:val="0"/>
              <w:marRight w:val="0"/>
              <w:marTop w:val="0"/>
              <w:marBottom w:val="0"/>
              <w:divBdr>
                <w:top w:val="none" w:sz="0" w:space="0" w:color="auto"/>
                <w:left w:val="none" w:sz="0" w:space="0" w:color="auto"/>
                <w:bottom w:val="none" w:sz="0" w:space="0" w:color="auto"/>
                <w:right w:val="none" w:sz="0" w:space="0" w:color="auto"/>
              </w:divBdr>
              <w:divsChild>
                <w:div w:id="1286036839">
                  <w:marLeft w:val="0"/>
                  <w:marRight w:val="0"/>
                  <w:marTop w:val="0"/>
                  <w:marBottom w:val="0"/>
                  <w:divBdr>
                    <w:top w:val="none" w:sz="0" w:space="0" w:color="auto"/>
                    <w:left w:val="none" w:sz="0" w:space="0" w:color="auto"/>
                    <w:bottom w:val="none" w:sz="0" w:space="0" w:color="auto"/>
                    <w:right w:val="none" w:sz="0" w:space="0" w:color="auto"/>
                  </w:divBdr>
                </w:div>
              </w:divsChild>
            </w:div>
            <w:div w:id="1529373766">
              <w:marLeft w:val="0"/>
              <w:marRight w:val="0"/>
              <w:marTop w:val="0"/>
              <w:marBottom w:val="0"/>
              <w:divBdr>
                <w:top w:val="none" w:sz="0" w:space="0" w:color="auto"/>
                <w:left w:val="none" w:sz="0" w:space="0" w:color="auto"/>
                <w:bottom w:val="none" w:sz="0" w:space="0" w:color="auto"/>
                <w:right w:val="none" w:sz="0" w:space="0" w:color="auto"/>
              </w:divBdr>
              <w:divsChild>
                <w:div w:id="1017001123">
                  <w:marLeft w:val="0"/>
                  <w:marRight w:val="0"/>
                  <w:marTop w:val="0"/>
                  <w:marBottom w:val="0"/>
                  <w:divBdr>
                    <w:top w:val="none" w:sz="0" w:space="0" w:color="auto"/>
                    <w:left w:val="none" w:sz="0" w:space="0" w:color="auto"/>
                    <w:bottom w:val="none" w:sz="0" w:space="0" w:color="auto"/>
                    <w:right w:val="none" w:sz="0" w:space="0" w:color="auto"/>
                  </w:divBdr>
                </w:div>
              </w:divsChild>
            </w:div>
            <w:div w:id="1530607060">
              <w:marLeft w:val="0"/>
              <w:marRight w:val="0"/>
              <w:marTop w:val="0"/>
              <w:marBottom w:val="0"/>
              <w:divBdr>
                <w:top w:val="none" w:sz="0" w:space="0" w:color="auto"/>
                <w:left w:val="none" w:sz="0" w:space="0" w:color="auto"/>
                <w:bottom w:val="none" w:sz="0" w:space="0" w:color="auto"/>
                <w:right w:val="none" w:sz="0" w:space="0" w:color="auto"/>
              </w:divBdr>
              <w:divsChild>
                <w:div w:id="138808193">
                  <w:marLeft w:val="0"/>
                  <w:marRight w:val="0"/>
                  <w:marTop w:val="0"/>
                  <w:marBottom w:val="0"/>
                  <w:divBdr>
                    <w:top w:val="none" w:sz="0" w:space="0" w:color="auto"/>
                    <w:left w:val="none" w:sz="0" w:space="0" w:color="auto"/>
                    <w:bottom w:val="none" w:sz="0" w:space="0" w:color="auto"/>
                    <w:right w:val="none" w:sz="0" w:space="0" w:color="auto"/>
                  </w:divBdr>
                </w:div>
              </w:divsChild>
            </w:div>
            <w:div w:id="1532062302">
              <w:marLeft w:val="0"/>
              <w:marRight w:val="0"/>
              <w:marTop w:val="0"/>
              <w:marBottom w:val="0"/>
              <w:divBdr>
                <w:top w:val="none" w:sz="0" w:space="0" w:color="auto"/>
                <w:left w:val="none" w:sz="0" w:space="0" w:color="auto"/>
                <w:bottom w:val="none" w:sz="0" w:space="0" w:color="auto"/>
                <w:right w:val="none" w:sz="0" w:space="0" w:color="auto"/>
              </w:divBdr>
              <w:divsChild>
                <w:div w:id="1624341685">
                  <w:marLeft w:val="0"/>
                  <w:marRight w:val="0"/>
                  <w:marTop w:val="0"/>
                  <w:marBottom w:val="0"/>
                  <w:divBdr>
                    <w:top w:val="none" w:sz="0" w:space="0" w:color="auto"/>
                    <w:left w:val="none" w:sz="0" w:space="0" w:color="auto"/>
                    <w:bottom w:val="none" w:sz="0" w:space="0" w:color="auto"/>
                    <w:right w:val="none" w:sz="0" w:space="0" w:color="auto"/>
                  </w:divBdr>
                </w:div>
              </w:divsChild>
            </w:div>
            <w:div w:id="1533029459">
              <w:marLeft w:val="0"/>
              <w:marRight w:val="0"/>
              <w:marTop w:val="300"/>
              <w:marBottom w:val="300"/>
              <w:divBdr>
                <w:top w:val="none" w:sz="0" w:space="0" w:color="auto"/>
                <w:left w:val="none" w:sz="0" w:space="0" w:color="auto"/>
                <w:bottom w:val="none" w:sz="0" w:space="0" w:color="auto"/>
                <w:right w:val="none" w:sz="0" w:space="0" w:color="auto"/>
              </w:divBdr>
            </w:div>
            <w:div w:id="1534492467">
              <w:marLeft w:val="0"/>
              <w:marRight w:val="0"/>
              <w:marTop w:val="0"/>
              <w:marBottom w:val="0"/>
              <w:divBdr>
                <w:top w:val="none" w:sz="0" w:space="0" w:color="auto"/>
                <w:left w:val="none" w:sz="0" w:space="0" w:color="auto"/>
                <w:bottom w:val="none" w:sz="0" w:space="0" w:color="auto"/>
                <w:right w:val="none" w:sz="0" w:space="0" w:color="auto"/>
              </w:divBdr>
              <w:divsChild>
                <w:div w:id="1753769700">
                  <w:marLeft w:val="0"/>
                  <w:marRight w:val="0"/>
                  <w:marTop w:val="0"/>
                  <w:marBottom w:val="0"/>
                  <w:divBdr>
                    <w:top w:val="none" w:sz="0" w:space="0" w:color="auto"/>
                    <w:left w:val="none" w:sz="0" w:space="0" w:color="auto"/>
                    <w:bottom w:val="none" w:sz="0" w:space="0" w:color="auto"/>
                    <w:right w:val="none" w:sz="0" w:space="0" w:color="auto"/>
                  </w:divBdr>
                </w:div>
              </w:divsChild>
            </w:div>
            <w:div w:id="1536649597">
              <w:marLeft w:val="0"/>
              <w:marRight w:val="0"/>
              <w:marTop w:val="0"/>
              <w:marBottom w:val="0"/>
              <w:divBdr>
                <w:top w:val="none" w:sz="0" w:space="0" w:color="auto"/>
                <w:left w:val="none" w:sz="0" w:space="0" w:color="auto"/>
                <w:bottom w:val="none" w:sz="0" w:space="0" w:color="auto"/>
                <w:right w:val="none" w:sz="0" w:space="0" w:color="auto"/>
              </w:divBdr>
              <w:divsChild>
                <w:div w:id="1024790621">
                  <w:marLeft w:val="0"/>
                  <w:marRight w:val="0"/>
                  <w:marTop w:val="0"/>
                  <w:marBottom w:val="0"/>
                  <w:divBdr>
                    <w:top w:val="none" w:sz="0" w:space="0" w:color="auto"/>
                    <w:left w:val="none" w:sz="0" w:space="0" w:color="auto"/>
                    <w:bottom w:val="none" w:sz="0" w:space="0" w:color="auto"/>
                    <w:right w:val="none" w:sz="0" w:space="0" w:color="auto"/>
                  </w:divBdr>
                </w:div>
              </w:divsChild>
            </w:div>
            <w:div w:id="1540127098">
              <w:marLeft w:val="0"/>
              <w:marRight w:val="0"/>
              <w:marTop w:val="0"/>
              <w:marBottom w:val="0"/>
              <w:divBdr>
                <w:top w:val="none" w:sz="0" w:space="0" w:color="auto"/>
                <w:left w:val="none" w:sz="0" w:space="0" w:color="auto"/>
                <w:bottom w:val="none" w:sz="0" w:space="0" w:color="auto"/>
                <w:right w:val="none" w:sz="0" w:space="0" w:color="auto"/>
              </w:divBdr>
              <w:divsChild>
                <w:div w:id="450781533">
                  <w:marLeft w:val="0"/>
                  <w:marRight w:val="0"/>
                  <w:marTop w:val="0"/>
                  <w:marBottom w:val="0"/>
                  <w:divBdr>
                    <w:top w:val="none" w:sz="0" w:space="0" w:color="auto"/>
                    <w:left w:val="none" w:sz="0" w:space="0" w:color="auto"/>
                    <w:bottom w:val="none" w:sz="0" w:space="0" w:color="auto"/>
                    <w:right w:val="none" w:sz="0" w:space="0" w:color="auto"/>
                  </w:divBdr>
                </w:div>
              </w:divsChild>
            </w:div>
            <w:div w:id="1542552283">
              <w:marLeft w:val="0"/>
              <w:marRight w:val="0"/>
              <w:marTop w:val="0"/>
              <w:marBottom w:val="0"/>
              <w:divBdr>
                <w:top w:val="none" w:sz="0" w:space="0" w:color="auto"/>
                <w:left w:val="none" w:sz="0" w:space="0" w:color="auto"/>
                <w:bottom w:val="none" w:sz="0" w:space="0" w:color="auto"/>
                <w:right w:val="none" w:sz="0" w:space="0" w:color="auto"/>
              </w:divBdr>
              <w:divsChild>
                <w:div w:id="691567270">
                  <w:marLeft w:val="0"/>
                  <w:marRight w:val="0"/>
                  <w:marTop w:val="0"/>
                  <w:marBottom w:val="0"/>
                  <w:divBdr>
                    <w:top w:val="none" w:sz="0" w:space="0" w:color="auto"/>
                    <w:left w:val="none" w:sz="0" w:space="0" w:color="auto"/>
                    <w:bottom w:val="none" w:sz="0" w:space="0" w:color="auto"/>
                    <w:right w:val="none" w:sz="0" w:space="0" w:color="auto"/>
                  </w:divBdr>
                </w:div>
              </w:divsChild>
            </w:div>
            <w:div w:id="1548451449">
              <w:marLeft w:val="0"/>
              <w:marRight w:val="0"/>
              <w:marTop w:val="0"/>
              <w:marBottom w:val="0"/>
              <w:divBdr>
                <w:top w:val="none" w:sz="0" w:space="0" w:color="auto"/>
                <w:left w:val="none" w:sz="0" w:space="0" w:color="auto"/>
                <w:bottom w:val="none" w:sz="0" w:space="0" w:color="auto"/>
                <w:right w:val="none" w:sz="0" w:space="0" w:color="auto"/>
              </w:divBdr>
              <w:divsChild>
                <w:div w:id="1334335233">
                  <w:marLeft w:val="0"/>
                  <w:marRight w:val="0"/>
                  <w:marTop w:val="0"/>
                  <w:marBottom w:val="0"/>
                  <w:divBdr>
                    <w:top w:val="none" w:sz="0" w:space="0" w:color="auto"/>
                    <w:left w:val="none" w:sz="0" w:space="0" w:color="auto"/>
                    <w:bottom w:val="none" w:sz="0" w:space="0" w:color="auto"/>
                    <w:right w:val="none" w:sz="0" w:space="0" w:color="auto"/>
                  </w:divBdr>
                </w:div>
              </w:divsChild>
            </w:div>
            <w:div w:id="1550917891">
              <w:marLeft w:val="0"/>
              <w:marRight w:val="0"/>
              <w:marTop w:val="0"/>
              <w:marBottom w:val="0"/>
              <w:divBdr>
                <w:top w:val="none" w:sz="0" w:space="0" w:color="auto"/>
                <w:left w:val="none" w:sz="0" w:space="0" w:color="auto"/>
                <w:bottom w:val="none" w:sz="0" w:space="0" w:color="auto"/>
                <w:right w:val="none" w:sz="0" w:space="0" w:color="auto"/>
              </w:divBdr>
              <w:divsChild>
                <w:div w:id="688870291">
                  <w:marLeft w:val="0"/>
                  <w:marRight w:val="0"/>
                  <w:marTop w:val="0"/>
                  <w:marBottom w:val="0"/>
                  <w:divBdr>
                    <w:top w:val="none" w:sz="0" w:space="0" w:color="auto"/>
                    <w:left w:val="none" w:sz="0" w:space="0" w:color="auto"/>
                    <w:bottom w:val="none" w:sz="0" w:space="0" w:color="auto"/>
                    <w:right w:val="none" w:sz="0" w:space="0" w:color="auto"/>
                  </w:divBdr>
                </w:div>
              </w:divsChild>
            </w:div>
            <w:div w:id="1553730087">
              <w:marLeft w:val="0"/>
              <w:marRight w:val="0"/>
              <w:marTop w:val="0"/>
              <w:marBottom w:val="0"/>
              <w:divBdr>
                <w:top w:val="none" w:sz="0" w:space="0" w:color="auto"/>
                <w:left w:val="none" w:sz="0" w:space="0" w:color="auto"/>
                <w:bottom w:val="none" w:sz="0" w:space="0" w:color="auto"/>
                <w:right w:val="none" w:sz="0" w:space="0" w:color="auto"/>
              </w:divBdr>
              <w:divsChild>
                <w:div w:id="1806388879">
                  <w:marLeft w:val="0"/>
                  <w:marRight w:val="0"/>
                  <w:marTop w:val="0"/>
                  <w:marBottom w:val="0"/>
                  <w:divBdr>
                    <w:top w:val="none" w:sz="0" w:space="0" w:color="auto"/>
                    <w:left w:val="none" w:sz="0" w:space="0" w:color="auto"/>
                    <w:bottom w:val="none" w:sz="0" w:space="0" w:color="auto"/>
                    <w:right w:val="none" w:sz="0" w:space="0" w:color="auto"/>
                  </w:divBdr>
                </w:div>
              </w:divsChild>
            </w:div>
            <w:div w:id="1554534743">
              <w:marLeft w:val="0"/>
              <w:marRight w:val="0"/>
              <w:marTop w:val="0"/>
              <w:marBottom w:val="0"/>
              <w:divBdr>
                <w:top w:val="none" w:sz="0" w:space="0" w:color="auto"/>
                <w:left w:val="none" w:sz="0" w:space="0" w:color="auto"/>
                <w:bottom w:val="none" w:sz="0" w:space="0" w:color="auto"/>
                <w:right w:val="none" w:sz="0" w:space="0" w:color="auto"/>
              </w:divBdr>
              <w:divsChild>
                <w:div w:id="1361129107">
                  <w:marLeft w:val="0"/>
                  <w:marRight w:val="0"/>
                  <w:marTop w:val="0"/>
                  <w:marBottom w:val="0"/>
                  <w:divBdr>
                    <w:top w:val="none" w:sz="0" w:space="0" w:color="auto"/>
                    <w:left w:val="none" w:sz="0" w:space="0" w:color="auto"/>
                    <w:bottom w:val="none" w:sz="0" w:space="0" w:color="auto"/>
                    <w:right w:val="none" w:sz="0" w:space="0" w:color="auto"/>
                  </w:divBdr>
                </w:div>
              </w:divsChild>
            </w:div>
            <w:div w:id="1554733298">
              <w:marLeft w:val="0"/>
              <w:marRight w:val="0"/>
              <w:marTop w:val="0"/>
              <w:marBottom w:val="0"/>
              <w:divBdr>
                <w:top w:val="none" w:sz="0" w:space="0" w:color="auto"/>
                <w:left w:val="none" w:sz="0" w:space="0" w:color="auto"/>
                <w:bottom w:val="none" w:sz="0" w:space="0" w:color="auto"/>
                <w:right w:val="none" w:sz="0" w:space="0" w:color="auto"/>
              </w:divBdr>
              <w:divsChild>
                <w:div w:id="390083934">
                  <w:marLeft w:val="0"/>
                  <w:marRight w:val="0"/>
                  <w:marTop w:val="0"/>
                  <w:marBottom w:val="0"/>
                  <w:divBdr>
                    <w:top w:val="none" w:sz="0" w:space="0" w:color="auto"/>
                    <w:left w:val="none" w:sz="0" w:space="0" w:color="auto"/>
                    <w:bottom w:val="none" w:sz="0" w:space="0" w:color="auto"/>
                    <w:right w:val="none" w:sz="0" w:space="0" w:color="auto"/>
                  </w:divBdr>
                </w:div>
              </w:divsChild>
            </w:div>
            <w:div w:id="1567452011">
              <w:marLeft w:val="0"/>
              <w:marRight w:val="0"/>
              <w:marTop w:val="0"/>
              <w:marBottom w:val="0"/>
              <w:divBdr>
                <w:top w:val="none" w:sz="0" w:space="0" w:color="auto"/>
                <w:left w:val="none" w:sz="0" w:space="0" w:color="auto"/>
                <w:bottom w:val="none" w:sz="0" w:space="0" w:color="auto"/>
                <w:right w:val="none" w:sz="0" w:space="0" w:color="auto"/>
              </w:divBdr>
              <w:divsChild>
                <w:div w:id="1936665565">
                  <w:marLeft w:val="0"/>
                  <w:marRight w:val="0"/>
                  <w:marTop w:val="0"/>
                  <w:marBottom w:val="0"/>
                  <w:divBdr>
                    <w:top w:val="none" w:sz="0" w:space="0" w:color="auto"/>
                    <w:left w:val="none" w:sz="0" w:space="0" w:color="auto"/>
                    <w:bottom w:val="none" w:sz="0" w:space="0" w:color="auto"/>
                    <w:right w:val="none" w:sz="0" w:space="0" w:color="auto"/>
                  </w:divBdr>
                </w:div>
              </w:divsChild>
            </w:div>
            <w:div w:id="1567453152">
              <w:marLeft w:val="0"/>
              <w:marRight w:val="0"/>
              <w:marTop w:val="300"/>
              <w:marBottom w:val="300"/>
              <w:divBdr>
                <w:top w:val="none" w:sz="0" w:space="0" w:color="auto"/>
                <w:left w:val="none" w:sz="0" w:space="0" w:color="auto"/>
                <w:bottom w:val="none" w:sz="0" w:space="0" w:color="auto"/>
                <w:right w:val="none" w:sz="0" w:space="0" w:color="auto"/>
              </w:divBdr>
            </w:div>
            <w:div w:id="1569075454">
              <w:marLeft w:val="0"/>
              <w:marRight w:val="0"/>
              <w:marTop w:val="300"/>
              <w:marBottom w:val="300"/>
              <w:divBdr>
                <w:top w:val="none" w:sz="0" w:space="0" w:color="auto"/>
                <w:left w:val="none" w:sz="0" w:space="0" w:color="auto"/>
                <w:bottom w:val="none" w:sz="0" w:space="0" w:color="auto"/>
                <w:right w:val="none" w:sz="0" w:space="0" w:color="auto"/>
              </w:divBdr>
            </w:div>
            <w:div w:id="1577082662">
              <w:marLeft w:val="0"/>
              <w:marRight w:val="0"/>
              <w:marTop w:val="0"/>
              <w:marBottom w:val="0"/>
              <w:divBdr>
                <w:top w:val="none" w:sz="0" w:space="0" w:color="auto"/>
                <w:left w:val="none" w:sz="0" w:space="0" w:color="auto"/>
                <w:bottom w:val="none" w:sz="0" w:space="0" w:color="auto"/>
                <w:right w:val="none" w:sz="0" w:space="0" w:color="auto"/>
              </w:divBdr>
              <w:divsChild>
                <w:div w:id="905722700">
                  <w:marLeft w:val="0"/>
                  <w:marRight w:val="0"/>
                  <w:marTop w:val="0"/>
                  <w:marBottom w:val="0"/>
                  <w:divBdr>
                    <w:top w:val="none" w:sz="0" w:space="0" w:color="auto"/>
                    <w:left w:val="none" w:sz="0" w:space="0" w:color="auto"/>
                    <w:bottom w:val="none" w:sz="0" w:space="0" w:color="auto"/>
                    <w:right w:val="none" w:sz="0" w:space="0" w:color="auto"/>
                  </w:divBdr>
                </w:div>
              </w:divsChild>
            </w:div>
            <w:div w:id="1579630888">
              <w:marLeft w:val="0"/>
              <w:marRight w:val="0"/>
              <w:marTop w:val="0"/>
              <w:marBottom w:val="0"/>
              <w:divBdr>
                <w:top w:val="none" w:sz="0" w:space="0" w:color="auto"/>
                <w:left w:val="none" w:sz="0" w:space="0" w:color="auto"/>
                <w:bottom w:val="none" w:sz="0" w:space="0" w:color="auto"/>
                <w:right w:val="none" w:sz="0" w:space="0" w:color="auto"/>
              </w:divBdr>
              <w:divsChild>
                <w:div w:id="327221877">
                  <w:marLeft w:val="0"/>
                  <w:marRight w:val="0"/>
                  <w:marTop w:val="0"/>
                  <w:marBottom w:val="0"/>
                  <w:divBdr>
                    <w:top w:val="none" w:sz="0" w:space="0" w:color="auto"/>
                    <w:left w:val="none" w:sz="0" w:space="0" w:color="auto"/>
                    <w:bottom w:val="none" w:sz="0" w:space="0" w:color="auto"/>
                    <w:right w:val="none" w:sz="0" w:space="0" w:color="auto"/>
                  </w:divBdr>
                </w:div>
              </w:divsChild>
            </w:div>
            <w:div w:id="1579826934">
              <w:marLeft w:val="0"/>
              <w:marRight w:val="0"/>
              <w:marTop w:val="0"/>
              <w:marBottom w:val="0"/>
              <w:divBdr>
                <w:top w:val="none" w:sz="0" w:space="0" w:color="auto"/>
                <w:left w:val="none" w:sz="0" w:space="0" w:color="auto"/>
                <w:bottom w:val="none" w:sz="0" w:space="0" w:color="auto"/>
                <w:right w:val="none" w:sz="0" w:space="0" w:color="auto"/>
              </w:divBdr>
              <w:divsChild>
                <w:div w:id="1807813271">
                  <w:marLeft w:val="0"/>
                  <w:marRight w:val="0"/>
                  <w:marTop w:val="0"/>
                  <w:marBottom w:val="0"/>
                  <w:divBdr>
                    <w:top w:val="none" w:sz="0" w:space="0" w:color="auto"/>
                    <w:left w:val="none" w:sz="0" w:space="0" w:color="auto"/>
                    <w:bottom w:val="none" w:sz="0" w:space="0" w:color="auto"/>
                    <w:right w:val="none" w:sz="0" w:space="0" w:color="auto"/>
                  </w:divBdr>
                </w:div>
              </w:divsChild>
            </w:div>
            <w:div w:id="1594170223">
              <w:marLeft w:val="0"/>
              <w:marRight w:val="0"/>
              <w:marTop w:val="0"/>
              <w:marBottom w:val="0"/>
              <w:divBdr>
                <w:top w:val="none" w:sz="0" w:space="0" w:color="auto"/>
                <w:left w:val="none" w:sz="0" w:space="0" w:color="auto"/>
                <w:bottom w:val="none" w:sz="0" w:space="0" w:color="auto"/>
                <w:right w:val="none" w:sz="0" w:space="0" w:color="auto"/>
              </w:divBdr>
              <w:divsChild>
                <w:div w:id="196046935">
                  <w:marLeft w:val="0"/>
                  <w:marRight w:val="0"/>
                  <w:marTop w:val="0"/>
                  <w:marBottom w:val="0"/>
                  <w:divBdr>
                    <w:top w:val="none" w:sz="0" w:space="0" w:color="auto"/>
                    <w:left w:val="none" w:sz="0" w:space="0" w:color="auto"/>
                    <w:bottom w:val="none" w:sz="0" w:space="0" w:color="auto"/>
                    <w:right w:val="none" w:sz="0" w:space="0" w:color="auto"/>
                  </w:divBdr>
                </w:div>
              </w:divsChild>
            </w:div>
            <w:div w:id="1595475864">
              <w:marLeft w:val="0"/>
              <w:marRight w:val="0"/>
              <w:marTop w:val="0"/>
              <w:marBottom w:val="0"/>
              <w:divBdr>
                <w:top w:val="none" w:sz="0" w:space="0" w:color="auto"/>
                <w:left w:val="none" w:sz="0" w:space="0" w:color="auto"/>
                <w:bottom w:val="none" w:sz="0" w:space="0" w:color="auto"/>
                <w:right w:val="none" w:sz="0" w:space="0" w:color="auto"/>
              </w:divBdr>
              <w:divsChild>
                <w:div w:id="1548686433">
                  <w:marLeft w:val="0"/>
                  <w:marRight w:val="0"/>
                  <w:marTop w:val="0"/>
                  <w:marBottom w:val="0"/>
                  <w:divBdr>
                    <w:top w:val="none" w:sz="0" w:space="0" w:color="auto"/>
                    <w:left w:val="none" w:sz="0" w:space="0" w:color="auto"/>
                    <w:bottom w:val="none" w:sz="0" w:space="0" w:color="auto"/>
                    <w:right w:val="none" w:sz="0" w:space="0" w:color="auto"/>
                  </w:divBdr>
                </w:div>
              </w:divsChild>
            </w:div>
            <w:div w:id="1597055353">
              <w:marLeft w:val="0"/>
              <w:marRight w:val="0"/>
              <w:marTop w:val="0"/>
              <w:marBottom w:val="0"/>
              <w:divBdr>
                <w:top w:val="none" w:sz="0" w:space="0" w:color="auto"/>
                <w:left w:val="none" w:sz="0" w:space="0" w:color="auto"/>
                <w:bottom w:val="none" w:sz="0" w:space="0" w:color="auto"/>
                <w:right w:val="none" w:sz="0" w:space="0" w:color="auto"/>
              </w:divBdr>
              <w:divsChild>
                <w:div w:id="464855795">
                  <w:marLeft w:val="0"/>
                  <w:marRight w:val="0"/>
                  <w:marTop w:val="0"/>
                  <w:marBottom w:val="0"/>
                  <w:divBdr>
                    <w:top w:val="none" w:sz="0" w:space="0" w:color="auto"/>
                    <w:left w:val="none" w:sz="0" w:space="0" w:color="auto"/>
                    <w:bottom w:val="none" w:sz="0" w:space="0" w:color="auto"/>
                    <w:right w:val="none" w:sz="0" w:space="0" w:color="auto"/>
                  </w:divBdr>
                </w:div>
              </w:divsChild>
            </w:div>
            <w:div w:id="1598363083">
              <w:marLeft w:val="0"/>
              <w:marRight w:val="0"/>
              <w:marTop w:val="0"/>
              <w:marBottom w:val="0"/>
              <w:divBdr>
                <w:top w:val="none" w:sz="0" w:space="0" w:color="auto"/>
                <w:left w:val="none" w:sz="0" w:space="0" w:color="auto"/>
                <w:bottom w:val="none" w:sz="0" w:space="0" w:color="auto"/>
                <w:right w:val="none" w:sz="0" w:space="0" w:color="auto"/>
              </w:divBdr>
              <w:divsChild>
                <w:div w:id="1024403638">
                  <w:marLeft w:val="0"/>
                  <w:marRight w:val="0"/>
                  <w:marTop w:val="0"/>
                  <w:marBottom w:val="0"/>
                  <w:divBdr>
                    <w:top w:val="none" w:sz="0" w:space="0" w:color="auto"/>
                    <w:left w:val="none" w:sz="0" w:space="0" w:color="auto"/>
                    <w:bottom w:val="none" w:sz="0" w:space="0" w:color="auto"/>
                    <w:right w:val="none" w:sz="0" w:space="0" w:color="auto"/>
                  </w:divBdr>
                </w:div>
              </w:divsChild>
            </w:div>
            <w:div w:id="1602562530">
              <w:marLeft w:val="0"/>
              <w:marRight w:val="0"/>
              <w:marTop w:val="0"/>
              <w:marBottom w:val="0"/>
              <w:divBdr>
                <w:top w:val="none" w:sz="0" w:space="0" w:color="auto"/>
                <w:left w:val="none" w:sz="0" w:space="0" w:color="auto"/>
                <w:bottom w:val="none" w:sz="0" w:space="0" w:color="auto"/>
                <w:right w:val="none" w:sz="0" w:space="0" w:color="auto"/>
              </w:divBdr>
              <w:divsChild>
                <w:div w:id="1274675346">
                  <w:marLeft w:val="0"/>
                  <w:marRight w:val="0"/>
                  <w:marTop w:val="0"/>
                  <w:marBottom w:val="0"/>
                  <w:divBdr>
                    <w:top w:val="none" w:sz="0" w:space="0" w:color="auto"/>
                    <w:left w:val="none" w:sz="0" w:space="0" w:color="auto"/>
                    <w:bottom w:val="none" w:sz="0" w:space="0" w:color="auto"/>
                    <w:right w:val="none" w:sz="0" w:space="0" w:color="auto"/>
                  </w:divBdr>
                </w:div>
              </w:divsChild>
            </w:div>
            <w:div w:id="1603954101">
              <w:marLeft w:val="0"/>
              <w:marRight w:val="0"/>
              <w:marTop w:val="0"/>
              <w:marBottom w:val="0"/>
              <w:divBdr>
                <w:top w:val="none" w:sz="0" w:space="0" w:color="auto"/>
                <w:left w:val="none" w:sz="0" w:space="0" w:color="auto"/>
                <w:bottom w:val="none" w:sz="0" w:space="0" w:color="auto"/>
                <w:right w:val="none" w:sz="0" w:space="0" w:color="auto"/>
              </w:divBdr>
              <w:divsChild>
                <w:div w:id="509873736">
                  <w:marLeft w:val="0"/>
                  <w:marRight w:val="0"/>
                  <w:marTop w:val="0"/>
                  <w:marBottom w:val="0"/>
                  <w:divBdr>
                    <w:top w:val="none" w:sz="0" w:space="0" w:color="auto"/>
                    <w:left w:val="none" w:sz="0" w:space="0" w:color="auto"/>
                    <w:bottom w:val="none" w:sz="0" w:space="0" w:color="auto"/>
                    <w:right w:val="none" w:sz="0" w:space="0" w:color="auto"/>
                  </w:divBdr>
                </w:div>
              </w:divsChild>
            </w:div>
            <w:div w:id="1608196935">
              <w:marLeft w:val="0"/>
              <w:marRight w:val="0"/>
              <w:marTop w:val="0"/>
              <w:marBottom w:val="0"/>
              <w:divBdr>
                <w:top w:val="none" w:sz="0" w:space="0" w:color="auto"/>
                <w:left w:val="none" w:sz="0" w:space="0" w:color="auto"/>
                <w:bottom w:val="none" w:sz="0" w:space="0" w:color="auto"/>
                <w:right w:val="none" w:sz="0" w:space="0" w:color="auto"/>
              </w:divBdr>
              <w:divsChild>
                <w:div w:id="343629723">
                  <w:marLeft w:val="0"/>
                  <w:marRight w:val="0"/>
                  <w:marTop w:val="0"/>
                  <w:marBottom w:val="0"/>
                  <w:divBdr>
                    <w:top w:val="none" w:sz="0" w:space="0" w:color="auto"/>
                    <w:left w:val="none" w:sz="0" w:space="0" w:color="auto"/>
                    <w:bottom w:val="none" w:sz="0" w:space="0" w:color="auto"/>
                    <w:right w:val="none" w:sz="0" w:space="0" w:color="auto"/>
                  </w:divBdr>
                </w:div>
              </w:divsChild>
            </w:div>
            <w:div w:id="1611012638">
              <w:marLeft w:val="0"/>
              <w:marRight w:val="0"/>
              <w:marTop w:val="0"/>
              <w:marBottom w:val="0"/>
              <w:divBdr>
                <w:top w:val="none" w:sz="0" w:space="0" w:color="auto"/>
                <w:left w:val="none" w:sz="0" w:space="0" w:color="auto"/>
                <w:bottom w:val="none" w:sz="0" w:space="0" w:color="auto"/>
                <w:right w:val="none" w:sz="0" w:space="0" w:color="auto"/>
              </w:divBdr>
              <w:divsChild>
                <w:div w:id="937099800">
                  <w:marLeft w:val="0"/>
                  <w:marRight w:val="0"/>
                  <w:marTop w:val="0"/>
                  <w:marBottom w:val="0"/>
                  <w:divBdr>
                    <w:top w:val="none" w:sz="0" w:space="0" w:color="auto"/>
                    <w:left w:val="none" w:sz="0" w:space="0" w:color="auto"/>
                    <w:bottom w:val="none" w:sz="0" w:space="0" w:color="auto"/>
                    <w:right w:val="none" w:sz="0" w:space="0" w:color="auto"/>
                  </w:divBdr>
                </w:div>
              </w:divsChild>
            </w:div>
            <w:div w:id="1612977511">
              <w:marLeft w:val="0"/>
              <w:marRight w:val="0"/>
              <w:marTop w:val="300"/>
              <w:marBottom w:val="300"/>
              <w:divBdr>
                <w:top w:val="none" w:sz="0" w:space="0" w:color="auto"/>
                <w:left w:val="none" w:sz="0" w:space="0" w:color="auto"/>
                <w:bottom w:val="none" w:sz="0" w:space="0" w:color="auto"/>
                <w:right w:val="none" w:sz="0" w:space="0" w:color="auto"/>
              </w:divBdr>
            </w:div>
            <w:div w:id="1614970086">
              <w:marLeft w:val="0"/>
              <w:marRight w:val="0"/>
              <w:marTop w:val="0"/>
              <w:marBottom w:val="0"/>
              <w:divBdr>
                <w:top w:val="none" w:sz="0" w:space="0" w:color="auto"/>
                <w:left w:val="none" w:sz="0" w:space="0" w:color="auto"/>
                <w:bottom w:val="none" w:sz="0" w:space="0" w:color="auto"/>
                <w:right w:val="none" w:sz="0" w:space="0" w:color="auto"/>
              </w:divBdr>
              <w:divsChild>
                <w:div w:id="1976905423">
                  <w:marLeft w:val="0"/>
                  <w:marRight w:val="0"/>
                  <w:marTop w:val="0"/>
                  <w:marBottom w:val="0"/>
                  <w:divBdr>
                    <w:top w:val="none" w:sz="0" w:space="0" w:color="auto"/>
                    <w:left w:val="none" w:sz="0" w:space="0" w:color="auto"/>
                    <w:bottom w:val="none" w:sz="0" w:space="0" w:color="auto"/>
                    <w:right w:val="none" w:sz="0" w:space="0" w:color="auto"/>
                  </w:divBdr>
                </w:div>
              </w:divsChild>
            </w:div>
            <w:div w:id="1616015062">
              <w:marLeft w:val="0"/>
              <w:marRight w:val="0"/>
              <w:marTop w:val="300"/>
              <w:marBottom w:val="300"/>
              <w:divBdr>
                <w:top w:val="none" w:sz="0" w:space="0" w:color="auto"/>
                <w:left w:val="none" w:sz="0" w:space="0" w:color="auto"/>
                <w:bottom w:val="none" w:sz="0" w:space="0" w:color="auto"/>
                <w:right w:val="none" w:sz="0" w:space="0" w:color="auto"/>
              </w:divBdr>
            </w:div>
            <w:div w:id="1619071568">
              <w:marLeft w:val="0"/>
              <w:marRight w:val="0"/>
              <w:marTop w:val="0"/>
              <w:marBottom w:val="0"/>
              <w:divBdr>
                <w:top w:val="none" w:sz="0" w:space="0" w:color="auto"/>
                <w:left w:val="none" w:sz="0" w:space="0" w:color="auto"/>
                <w:bottom w:val="none" w:sz="0" w:space="0" w:color="auto"/>
                <w:right w:val="none" w:sz="0" w:space="0" w:color="auto"/>
              </w:divBdr>
              <w:divsChild>
                <w:div w:id="1055738037">
                  <w:marLeft w:val="0"/>
                  <w:marRight w:val="0"/>
                  <w:marTop w:val="0"/>
                  <w:marBottom w:val="0"/>
                  <w:divBdr>
                    <w:top w:val="none" w:sz="0" w:space="0" w:color="auto"/>
                    <w:left w:val="none" w:sz="0" w:space="0" w:color="auto"/>
                    <w:bottom w:val="none" w:sz="0" w:space="0" w:color="auto"/>
                    <w:right w:val="none" w:sz="0" w:space="0" w:color="auto"/>
                  </w:divBdr>
                </w:div>
              </w:divsChild>
            </w:div>
            <w:div w:id="1621648932">
              <w:marLeft w:val="0"/>
              <w:marRight w:val="0"/>
              <w:marTop w:val="0"/>
              <w:marBottom w:val="0"/>
              <w:divBdr>
                <w:top w:val="none" w:sz="0" w:space="0" w:color="auto"/>
                <w:left w:val="none" w:sz="0" w:space="0" w:color="auto"/>
                <w:bottom w:val="none" w:sz="0" w:space="0" w:color="auto"/>
                <w:right w:val="none" w:sz="0" w:space="0" w:color="auto"/>
              </w:divBdr>
              <w:divsChild>
                <w:div w:id="2054846802">
                  <w:marLeft w:val="0"/>
                  <w:marRight w:val="0"/>
                  <w:marTop w:val="0"/>
                  <w:marBottom w:val="0"/>
                  <w:divBdr>
                    <w:top w:val="none" w:sz="0" w:space="0" w:color="auto"/>
                    <w:left w:val="none" w:sz="0" w:space="0" w:color="auto"/>
                    <w:bottom w:val="none" w:sz="0" w:space="0" w:color="auto"/>
                    <w:right w:val="none" w:sz="0" w:space="0" w:color="auto"/>
                  </w:divBdr>
                </w:div>
              </w:divsChild>
            </w:div>
            <w:div w:id="1621912159">
              <w:marLeft w:val="0"/>
              <w:marRight w:val="0"/>
              <w:marTop w:val="0"/>
              <w:marBottom w:val="0"/>
              <w:divBdr>
                <w:top w:val="none" w:sz="0" w:space="0" w:color="auto"/>
                <w:left w:val="none" w:sz="0" w:space="0" w:color="auto"/>
                <w:bottom w:val="none" w:sz="0" w:space="0" w:color="auto"/>
                <w:right w:val="none" w:sz="0" w:space="0" w:color="auto"/>
              </w:divBdr>
              <w:divsChild>
                <w:div w:id="321852406">
                  <w:marLeft w:val="0"/>
                  <w:marRight w:val="0"/>
                  <w:marTop w:val="0"/>
                  <w:marBottom w:val="0"/>
                  <w:divBdr>
                    <w:top w:val="none" w:sz="0" w:space="0" w:color="auto"/>
                    <w:left w:val="none" w:sz="0" w:space="0" w:color="auto"/>
                    <w:bottom w:val="none" w:sz="0" w:space="0" w:color="auto"/>
                    <w:right w:val="none" w:sz="0" w:space="0" w:color="auto"/>
                  </w:divBdr>
                </w:div>
              </w:divsChild>
            </w:div>
            <w:div w:id="1627009212">
              <w:marLeft w:val="0"/>
              <w:marRight w:val="0"/>
              <w:marTop w:val="0"/>
              <w:marBottom w:val="0"/>
              <w:divBdr>
                <w:top w:val="none" w:sz="0" w:space="0" w:color="auto"/>
                <w:left w:val="none" w:sz="0" w:space="0" w:color="auto"/>
                <w:bottom w:val="none" w:sz="0" w:space="0" w:color="auto"/>
                <w:right w:val="none" w:sz="0" w:space="0" w:color="auto"/>
              </w:divBdr>
              <w:divsChild>
                <w:div w:id="769743380">
                  <w:marLeft w:val="0"/>
                  <w:marRight w:val="0"/>
                  <w:marTop w:val="0"/>
                  <w:marBottom w:val="0"/>
                  <w:divBdr>
                    <w:top w:val="none" w:sz="0" w:space="0" w:color="auto"/>
                    <w:left w:val="none" w:sz="0" w:space="0" w:color="auto"/>
                    <w:bottom w:val="none" w:sz="0" w:space="0" w:color="auto"/>
                    <w:right w:val="none" w:sz="0" w:space="0" w:color="auto"/>
                  </w:divBdr>
                </w:div>
              </w:divsChild>
            </w:div>
            <w:div w:id="1628701759">
              <w:marLeft w:val="0"/>
              <w:marRight w:val="0"/>
              <w:marTop w:val="0"/>
              <w:marBottom w:val="0"/>
              <w:divBdr>
                <w:top w:val="none" w:sz="0" w:space="0" w:color="auto"/>
                <w:left w:val="none" w:sz="0" w:space="0" w:color="auto"/>
                <w:bottom w:val="none" w:sz="0" w:space="0" w:color="auto"/>
                <w:right w:val="none" w:sz="0" w:space="0" w:color="auto"/>
              </w:divBdr>
              <w:divsChild>
                <w:div w:id="811407277">
                  <w:marLeft w:val="0"/>
                  <w:marRight w:val="0"/>
                  <w:marTop w:val="0"/>
                  <w:marBottom w:val="0"/>
                  <w:divBdr>
                    <w:top w:val="none" w:sz="0" w:space="0" w:color="auto"/>
                    <w:left w:val="none" w:sz="0" w:space="0" w:color="auto"/>
                    <w:bottom w:val="none" w:sz="0" w:space="0" w:color="auto"/>
                    <w:right w:val="none" w:sz="0" w:space="0" w:color="auto"/>
                  </w:divBdr>
                </w:div>
              </w:divsChild>
            </w:div>
            <w:div w:id="1631015036">
              <w:marLeft w:val="0"/>
              <w:marRight w:val="0"/>
              <w:marTop w:val="0"/>
              <w:marBottom w:val="0"/>
              <w:divBdr>
                <w:top w:val="none" w:sz="0" w:space="0" w:color="auto"/>
                <w:left w:val="none" w:sz="0" w:space="0" w:color="auto"/>
                <w:bottom w:val="none" w:sz="0" w:space="0" w:color="auto"/>
                <w:right w:val="none" w:sz="0" w:space="0" w:color="auto"/>
              </w:divBdr>
              <w:divsChild>
                <w:div w:id="615064117">
                  <w:marLeft w:val="0"/>
                  <w:marRight w:val="0"/>
                  <w:marTop w:val="0"/>
                  <w:marBottom w:val="0"/>
                  <w:divBdr>
                    <w:top w:val="none" w:sz="0" w:space="0" w:color="auto"/>
                    <w:left w:val="none" w:sz="0" w:space="0" w:color="auto"/>
                    <w:bottom w:val="none" w:sz="0" w:space="0" w:color="auto"/>
                    <w:right w:val="none" w:sz="0" w:space="0" w:color="auto"/>
                  </w:divBdr>
                </w:div>
              </w:divsChild>
            </w:div>
            <w:div w:id="1632050676">
              <w:marLeft w:val="0"/>
              <w:marRight w:val="0"/>
              <w:marTop w:val="0"/>
              <w:marBottom w:val="0"/>
              <w:divBdr>
                <w:top w:val="none" w:sz="0" w:space="0" w:color="auto"/>
                <w:left w:val="none" w:sz="0" w:space="0" w:color="auto"/>
                <w:bottom w:val="none" w:sz="0" w:space="0" w:color="auto"/>
                <w:right w:val="none" w:sz="0" w:space="0" w:color="auto"/>
              </w:divBdr>
              <w:divsChild>
                <w:div w:id="1256397228">
                  <w:marLeft w:val="0"/>
                  <w:marRight w:val="0"/>
                  <w:marTop w:val="0"/>
                  <w:marBottom w:val="0"/>
                  <w:divBdr>
                    <w:top w:val="none" w:sz="0" w:space="0" w:color="auto"/>
                    <w:left w:val="none" w:sz="0" w:space="0" w:color="auto"/>
                    <w:bottom w:val="none" w:sz="0" w:space="0" w:color="auto"/>
                    <w:right w:val="none" w:sz="0" w:space="0" w:color="auto"/>
                  </w:divBdr>
                </w:div>
              </w:divsChild>
            </w:div>
            <w:div w:id="1638334695">
              <w:marLeft w:val="0"/>
              <w:marRight w:val="0"/>
              <w:marTop w:val="0"/>
              <w:marBottom w:val="0"/>
              <w:divBdr>
                <w:top w:val="none" w:sz="0" w:space="0" w:color="auto"/>
                <w:left w:val="none" w:sz="0" w:space="0" w:color="auto"/>
                <w:bottom w:val="none" w:sz="0" w:space="0" w:color="auto"/>
                <w:right w:val="none" w:sz="0" w:space="0" w:color="auto"/>
              </w:divBdr>
              <w:divsChild>
                <w:div w:id="2112316359">
                  <w:marLeft w:val="0"/>
                  <w:marRight w:val="0"/>
                  <w:marTop w:val="0"/>
                  <w:marBottom w:val="0"/>
                  <w:divBdr>
                    <w:top w:val="none" w:sz="0" w:space="0" w:color="auto"/>
                    <w:left w:val="none" w:sz="0" w:space="0" w:color="auto"/>
                    <w:bottom w:val="none" w:sz="0" w:space="0" w:color="auto"/>
                    <w:right w:val="none" w:sz="0" w:space="0" w:color="auto"/>
                  </w:divBdr>
                </w:div>
              </w:divsChild>
            </w:div>
            <w:div w:id="1641421796">
              <w:marLeft w:val="0"/>
              <w:marRight w:val="0"/>
              <w:marTop w:val="0"/>
              <w:marBottom w:val="0"/>
              <w:divBdr>
                <w:top w:val="none" w:sz="0" w:space="0" w:color="auto"/>
                <w:left w:val="none" w:sz="0" w:space="0" w:color="auto"/>
                <w:bottom w:val="none" w:sz="0" w:space="0" w:color="auto"/>
                <w:right w:val="none" w:sz="0" w:space="0" w:color="auto"/>
              </w:divBdr>
              <w:divsChild>
                <w:div w:id="500698309">
                  <w:marLeft w:val="0"/>
                  <w:marRight w:val="0"/>
                  <w:marTop w:val="0"/>
                  <w:marBottom w:val="0"/>
                  <w:divBdr>
                    <w:top w:val="none" w:sz="0" w:space="0" w:color="auto"/>
                    <w:left w:val="none" w:sz="0" w:space="0" w:color="auto"/>
                    <w:bottom w:val="none" w:sz="0" w:space="0" w:color="auto"/>
                    <w:right w:val="none" w:sz="0" w:space="0" w:color="auto"/>
                  </w:divBdr>
                </w:div>
              </w:divsChild>
            </w:div>
            <w:div w:id="1642728743">
              <w:marLeft w:val="0"/>
              <w:marRight w:val="0"/>
              <w:marTop w:val="0"/>
              <w:marBottom w:val="0"/>
              <w:divBdr>
                <w:top w:val="none" w:sz="0" w:space="0" w:color="auto"/>
                <w:left w:val="none" w:sz="0" w:space="0" w:color="auto"/>
                <w:bottom w:val="none" w:sz="0" w:space="0" w:color="auto"/>
                <w:right w:val="none" w:sz="0" w:space="0" w:color="auto"/>
              </w:divBdr>
              <w:divsChild>
                <w:div w:id="1132017757">
                  <w:marLeft w:val="0"/>
                  <w:marRight w:val="0"/>
                  <w:marTop w:val="0"/>
                  <w:marBottom w:val="0"/>
                  <w:divBdr>
                    <w:top w:val="none" w:sz="0" w:space="0" w:color="auto"/>
                    <w:left w:val="none" w:sz="0" w:space="0" w:color="auto"/>
                    <w:bottom w:val="none" w:sz="0" w:space="0" w:color="auto"/>
                    <w:right w:val="none" w:sz="0" w:space="0" w:color="auto"/>
                  </w:divBdr>
                </w:div>
              </w:divsChild>
            </w:div>
            <w:div w:id="1646465902">
              <w:marLeft w:val="0"/>
              <w:marRight w:val="0"/>
              <w:marTop w:val="0"/>
              <w:marBottom w:val="0"/>
              <w:divBdr>
                <w:top w:val="none" w:sz="0" w:space="0" w:color="auto"/>
                <w:left w:val="none" w:sz="0" w:space="0" w:color="auto"/>
                <w:bottom w:val="none" w:sz="0" w:space="0" w:color="auto"/>
                <w:right w:val="none" w:sz="0" w:space="0" w:color="auto"/>
              </w:divBdr>
              <w:divsChild>
                <w:div w:id="386614773">
                  <w:marLeft w:val="0"/>
                  <w:marRight w:val="0"/>
                  <w:marTop w:val="0"/>
                  <w:marBottom w:val="0"/>
                  <w:divBdr>
                    <w:top w:val="none" w:sz="0" w:space="0" w:color="auto"/>
                    <w:left w:val="none" w:sz="0" w:space="0" w:color="auto"/>
                    <w:bottom w:val="none" w:sz="0" w:space="0" w:color="auto"/>
                    <w:right w:val="none" w:sz="0" w:space="0" w:color="auto"/>
                  </w:divBdr>
                </w:div>
              </w:divsChild>
            </w:div>
            <w:div w:id="1647126986">
              <w:marLeft w:val="0"/>
              <w:marRight w:val="0"/>
              <w:marTop w:val="0"/>
              <w:marBottom w:val="0"/>
              <w:divBdr>
                <w:top w:val="none" w:sz="0" w:space="0" w:color="auto"/>
                <w:left w:val="none" w:sz="0" w:space="0" w:color="auto"/>
                <w:bottom w:val="none" w:sz="0" w:space="0" w:color="auto"/>
                <w:right w:val="none" w:sz="0" w:space="0" w:color="auto"/>
              </w:divBdr>
              <w:divsChild>
                <w:div w:id="194269896">
                  <w:marLeft w:val="0"/>
                  <w:marRight w:val="0"/>
                  <w:marTop w:val="0"/>
                  <w:marBottom w:val="0"/>
                  <w:divBdr>
                    <w:top w:val="none" w:sz="0" w:space="0" w:color="auto"/>
                    <w:left w:val="none" w:sz="0" w:space="0" w:color="auto"/>
                    <w:bottom w:val="none" w:sz="0" w:space="0" w:color="auto"/>
                    <w:right w:val="none" w:sz="0" w:space="0" w:color="auto"/>
                  </w:divBdr>
                </w:div>
              </w:divsChild>
            </w:div>
            <w:div w:id="1649625177">
              <w:marLeft w:val="0"/>
              <w:marRight w:val="0"/>
              <w:marTop w:val="0"/>
              <w:marBottom w:val="0"/>
              <w:divBdr>
                <w:top w:val="none" w:sz="0" w:space="0" w:color="auto"/>
                <w:left w:val="none" w:sz="0" w:space="0" w:color="auto"/>
                <w:bottom w:val="none" w:sz="0" w:space="0" w:color="auto"/>
                <w:right w:val="none" w:sz="0" w:space="0" w:color="auto"/>
              </w:divBdr>
              <w:divsChild>
                <w:div w:id="1805389868">
                  <w:marLeft w:val="0"/>
                  <w:marRight w:val="0"/>
                  <w:marTop w:val="0"/>
                  <w:marBottom w:val="0"/>
                  <w:divBdr>
                    <w:top w:val="none" w:sz="0" w:space="0" w:color="auto"/>
                    <w:left w:val="none" w:sz="0" w:space="0" w:color="auto"/>
                    <w:bottom w:val="none" w:sz="0" w:space="0" w:color="auto"/>
                    <w:right w:val="none" w:sz="0" w:space="0" w:color="auto"/>
                  </w:divBdr>
                </w:div>
              </w:divsChild>
            </w:div>
            <w:div w:id="1655137542">
              <w:marLeft w:val="0"/>
              <w:marRight w:val="0"/>
              <w:marTop w:val="300"/>
              <w:marBottom w:val="300"/>
              <w:divBdr>
                <w:top w:val="none" w:sz="0" w:space="0" w:color="auto"/>
                <w:left w:val="none" w:sz="0" w:space="0" w:color="auto"/>
                <w:bottom w:val="none" w:sz="0" w:space="0" w:color="auto"/>
                <w:right w:val="none" w:sz="0" w:space="0" w:color="auto"/>
              </w:divBdr>
            </w:div>
            <w:div w:id="1662544584">
              <w:marLeft w:val="0"/>
              <w:marRight w:val="0"/>
              <w:marTop w:val="0"/>
              <w:marBottom w:val="0"/>
              <w:divBdr>
                <w:top w:val="none" w:sz="0" w:space="0" w:color="auto"/>
                <w:left w:val="none" w:sz="0" w:space="0" w:color="auto"/>
                <w:bottom w:val="none" w:sz="0" w:space="0" w:color="auto"/>
                <w:right w:val="none" w:sz="0" w:space="0" w:color="auto"/>
              </w:divBdr>
              <w:divsChild>
                <w:div w:id="927423093">
                  <w:marLeft w:val="0"/>
                  <w:marRight w:val="0"/>
                  <w:marTop w:val="0"/>
                  <w:marBottom w:val="0"/>
                  <w:divBdr>
                    <w:top w:val="none" w:sz="0" w:space="0" w:color="auto"/>
                    <w:left w:val="none" w:sz="0" w:space="0" w:color="auto"/>
                    <w:bottom w:val="none" w:sz="0" w:space="0" w:color="auto"/>
                    <w:right w:val="none" w:sz="0" w:space="0" w:color="auto"/>
                  </w:divBdr>
                </w:div>
              </w:divsChild>
            </w:div>
            <w:div w:id="1665014791">
              <w:marLeft w:val="0"/>
              <w:marRight w:val="0"/>
              <w:marTop w:val="0"/>
              <w:marBottom w:val="0"/>
              <w:divBdr>
                <w:top w:val="none" w:sz="0" w:space="0" w:color="auto"/>
                <w:left w:val="none" w:sz="0" w:space="0" w:color="auto"/>
                <w:bottom w:val="none" w:sz="0" w:space="0" w:color="auto"/>
                <w:right w:val="none" w:sz="0" w:space="0" w:color="auto"/>
              </w:divBdr>
              <w:divsChild>
                <w:div w:id="470446654">
                  <w:marLeft w:val="0"/>
                  <w:marRight w:val="0"/>
                  <w:marTop w:val="0"/>
                  <w:marBottom w:val="0"/>
                  <w:divBdr>
                    <w:top w:val="none" w:sz="0" w:space="0" w:color="auto"/>
                    <w:left w:val="none" w:sz="0" w:space="0" w:color="auto"/>
                    <w:bottom w:val="none" w:sz="0" w:space="0" w:color="auto"/>
                    <w:right w:val="none" w:sz="0" w:space="0" w:color="auto"/>
                  </w:divBdr>
                </w:div>
              </w:divsChild>
            </w:div>
            <w:div w:id="1666011129">
              <w:marLeft w:val="0"/>
              <w:marRight w:val="0"/>
              <w:marTop w:val="300"/>
              <w:marBottom w:val="300"/>
              <w:divBdr>
                <w:top w:val="none" w:sz="0" w:space="0" w:color="auto"/>
                <w:left w:val="none" w:sz="0" w:space="0" w:color="auto"/>
                <w:bottom w:val="none" w:sz="0" w:space="0" w:color="auto"/>
                <w:right w:val="none" w:sz="0" w:space="0" w:color="auto"/>
              </w:divBdr>
            </w:div>
            <w:div w:id="1671592146">
              <w:marLeft w:val="0"/>
              <w:marRight w:val="0"/>
              <w:marTop w:val="0"/>
              <w:marBottom w:val="0"/>
              <w:divBdr>
                <w:top w:val="none" w:sz="0" w:space="0" w:color="auto"/>
                <w:left w:val="none" w:sz="0" w:space="0" w:color="auto"/>
                <w:bottom w:val="none" w:sz="0" w:space="0" w:color="auto"/>
                <w:right w:val="none" w:sz="0" w:space="0" w:color="auto"/>
              </w:divBdr>
              <w:divsChild>
                <w:div w:id="1695618576">
                  <w:marLeft w:val="0"/>
                  <w:marRight w:val="0"/>
                  <w:marTop w:val="0"/>
                  <w:marBottom w:val="0"/>
                  <w:divBdr>
                    <w:top w:val="none" w:sz="0" w:space="0" w:color="auto"/>
                    <w:left w:val="none" w:sz="0" w:space="0" w:color="auto"/>
                    <w:bottom w:val="none" w:sz="0" w:space="0" w:color="auto"/>
                    <w:right w:val="none" w:sz="0" w:space="0" w:color="auto"/>
                  </w:divBdr>
                </w:div>
              </w:divsChild>
            </w:div>
            <w:div w:id="1672369462">
              <w:marLeft w:val="0"/>
              <w:marRight w:val="0"/>
              <w:marTop w:val="0"/>
              <w:marBottom w:val="0"/>
              <w:divBdr>
                <w:top w:val="none" w:sz="0" w:space="0" w:color="auto"/>
                <w:left w:val="none" w:sz="0" w:space="0" w:color="auto"/>
                <w:bottom w:val="none" w:sz="0" w:space="0" w:color="auto"/>
                <w:right w:val="none" w:sz="0" w:space="0" w:color="auto"/>
              </w:divBdr>
              <w:divsChild>
                <w:div w:id="1180924078">
                  <w:marLeft w:val="0"/>
                  <w:marRight w:val="0"/>
                  <w:marTop w:val="0"/>
                  <w:marBottom w:val="0"/>
                  <w:divBdr>
                    <w:top w:val="none" w:sz="0" w:space="0" w:color="auto"/>
                    <w:left w:val="none" w:sz="0" w:space="0" w:color="auto"/>
                    <w:bottom w:val="none" w:sz="0" w:space="0" w:color="auto"/>
                    <w:right w:val="none" w:sz="0" w:space="0" w:color="auto"/>
                  </w:divBdr>
                </w:div>
              </w:divsChild>
            </w:div>
            <w:div w:id="1675838225">
              <w:marLeft w:val="0"/>
              <w:marRight w:val="0"/>
              <w:marTop w:val="0"/>
              <w:marBottom w:val="0"/>
              <w:divBdr>
                <w:top w:val="none" w:sz="0" w:space="0" w:color="auto"/>
                <w:left w:val="none" w:sz="0" w:space="0" w:color="auto"/>
                <w:bottom w:val="none" w:sz="0" w:space="0" w:color="auto"/>
                <w:right w:val="none" w:sz="0" w:space="0" w:color="auto"/>
              </w:divBdr>
              <w:divsChild>
                <w:div w:id="1772047254">
                  <w:marLeft w:val="0"/>
                  <w:marRight w:val="0"/>
                  <w:marTop w:val="0"/>
                  <w:marBottom w:val="0"/>
                  <w:divBdr>
                    <w:top w:val="none" w:sz="0" w:space="0" w:color="auto"/>
                    <w:left w:val="none" w:sz="0" w:space="0" w:color="auto"/>
                    <w:bottom w:val="none" w:sz="0" w:space="0" w:color="auto"/>
                    <w:right w:val="none" w:sz="0" w:space="0" w:color="auto"/>
                  </w:divBdr>
                </w:div>
              </w:divsChild>
            </w:div>
            <w:div w:id="1688749434">
              <w:marLeft w:val="0"/>
              <w:marRight w:val="0"/>
              <w:marTop w:val="0"/>
              <w:marBottom w:val="0"/>
              <w:divBdr>
                <w:top w:val="none" w:sz="0" w:space="0" w:color="auto"/>
                <w:left w:val="none" w:sz="0" w:space="0" w:color="auto"/>
                <w:bottom w:val="none" w:sz="0" w:space="0" w:color="auto"/>
                <w:right w:val="none" w:sz="0" w:space="0" w:color="auto"/>
              </w:divBdr>
              <w:divsChild>
                <w:div w:id="1839492353">
                  <w:marLeft w:val="0"/>
                  <w:marRight w:val="0"/>
                  <w:marTop w:val="0"/>
                  <w:marBottom w:val="0"/>
                  <w:divBdr>
                    <w:top w:val="none" w:sz="0" w:space="0" w:color="auto"/>
                    <w:left w:val="none" w:sz="0" w:space="0" w:color="auto"/>
                    <w:bottom w:val="none" w:sz="0" w:space="0" w:color="auto"/>
                    <w:right w:val="none" w:sz="0" w:space="0" w:color="auto"/>
                  </w:divBdr>
                </w:div>
              </w:divsChild>
            </w:div>
            <w:div w:id="1688749712">
              <w:marLeft w:val="0"/>
              <w:marRight w:val="0"/>
              <w:marTop w:val="0"/>
              <w:marBottom w:val="0"/>
              <w:divBdr>
                <w:top w:val="none" w:sz="0" w:space="0" w:color="auto"/>
                <w:left w:val="none" w:sz="0" w:space="0" w:color="auto"/>
                <w:bottom w:val="none" w:sz="0" w:space="0" w:color="auto"/>
                <w:right w:val="none" w:sz="0" w:space="0" w:color="auto"/>
              </w:divBdr>
              <w:divsChild>
                <w:div w:id="1816098440">
                  <w:marLeft w:val="0"/>
                  <w:marRight w:val="0"/>
                  <w:marTop w:val="0"/>
                  <w:marBottom w:val="0"/>
                  <w:divBdr>
                    <w:top w:val="none" w:sz="0" w:space="0" w:color="auto"/>
                    <w:left w:val="none" w:sz="0" w:space="0" w:color="auto"/>
                    <w:bottom w:val="none" w:sz="0" w:space="0" w:color="auto"/>
                    <w:right w:val="none" w:sz="0" w:space="0" w:color="auto"/>
                  </w:divBdr>
                </w:div>
              </w:divsChild>
            </w:div>
            <w:div w:id="1688824419">
              <w:marLeft w:val="0"/>
              <w:marRight w:val="0"/>
              <w:marTop w:val="0"/>
              <w:marBottom w:val="0"/>
              <w:divBdr>
                <w:top w:val="none" w:sz="0" w:space="0" w:color="auto"/>
                <w:left w:val="none" w:sz="0" w:space="0" w:color="auto"/>
                <w:bottom w:val="none" w:sz="0" w:space="0" w:color="auto"/>
                <w:right w:val="none" w:sz="0" w:space="0" w:color="auto"/>
              </w:divBdr>
              <w:divsChild>
                <w:div w:id="1532691235">
                  <w:marLeft w:val="0"/>
                  <w:marRight w:val="0"/>
                  <w:marTop w:val="0"/>
                  <w:marBottom w:val="0"/>
                  <w:divBdr>
                    <w:top w:val="none" w:sz="0" w:space="0" w:color="auto"/>
                    <w:left w:val="none" w:sz="0" w:space="0" w:color="auto"/>
                    <w:bottom w:val="none" w:sz="0" w:space="0" w:color="auto"/>
                    <w:right w:val="none" w:sz="0" w:space="0" w:color="auto"/>
                  </w:divBdr>
                </w:div>
              </w:divsChild>
            </w:div>
            <w:div w:id="1690256920">
              <w:marLeft w:val="0"/>
              <w:marRight w:val="0"/>
              <w:marTop w:val="0"/>
              <w:marBottom w:val="0"/>
              <w:divBdr>
                <w:top w:val="none" w:sz="0" w:space="0" w:color="auto"/>
                <w:left w:val="none" w:sz="0" w:space="0" w:color="auto"/>
                <w:bottom w:val="none" w:sz="0" w:space="0" w:color="auto"/>
                <w:right w:val="none" w:sz="0" w:space="0" w:color="auto"/>
              </w:divBdr>
              <w:divsChild>
                <w:div w:id="974137146">
                  <w:marLeft w:val="0"/>
                  <w:marRight w:val="0"/>
                  <w:marTop w:val="0"/>
                  <w:marBottom w:val="0"/>
                  <w:divBdr>
                    <w:top w:val="none" w:sz="0" w:space="0" w:color="auto"/>
                    <w:left w:val="none" w:sz="0" w:space="0" w:color="auto"/>
                    <w:bottom w:val="none" w:sz="0" w:space="0" w:color="auto"/>
                    <w:right w:val="none" w:sz="0" w:space="0" w:color="auto"/>
                  </w:divBdr>
                </w:div>
              </w:divsChild>
            </w:div>
            <w:div w:id="1691104005">
              <w:marLeft w:val="0"/>
              <w:marRight w:val="0"/>
              <w:marTop w:val="0"/>
              <w:marBottom w:val="0"/>
              <w:divBdr>
                <w:top w:val="none" w:sz="0" w:space="0" w:color="auto"/>
                <w:left w:val="none" w:sz="0" w:space="0" w:color="auto"/>
                <w:bottom w:val="none" w:sz="0" w:space="0" w:color="auto"/>
                <w:right w:val="none" w:sz="0" w:space="0" w:color="auto"/>
              </w:divBdr>
              <w:divsChild>
                <w:div w:id="330447562">
                  <w:marLeft w:val="0"/>
                  <w:marRight w:val="0"/>
                  <w:marTop w:val="0"/>
                  <w:marBottom w:val="0"/>
                  <w:divBdr>
                    <w:top w:val="none" w:sz="0" w:space="0" w:color="auto"/>
                    <w:left w:val="none" w:sz="0" w:space="0" w:color="auto"/>
                    <w:bottom w:val="none" w:sz="0" w:space="0" w:color="auto"/>
                    <w:right w:val="none" w:sz="0" w:space="0" w:color="auto"/>
                  </w:divBdr>
                </w:div>
              </w:divsChild>
            </w:div>
            <w:div w:id="1696882443">
              <w:marLeft w:val="0"/>
              <w:marRight w:val="0"/>
              <w:marTop w:val="0"/>
              <w:marBottom w:val="0"/>
              <w:divBdr>
                <w:top w:val="none" w:sz="0" w:space="0" w:color="auto"/>
                <w:left w:val="none" w:sz="0" w:space="0" w:color="auto"/>
                <w:bottom w:val="none" w:sz="0" w:space="0" w:color="auto"/>
                <w:right w:val="none" w:sz="0" w:space="0" w:color="auto"/>
              </w:divBdr>
              <w:divsChild>
                <w:div w:id="1802576727">
                  <w:marLeft w:val="0"/>
                  <w:marRight w:val="0"/>
                  <w:marTop w:val="0"/>
                  <w:marBottom w:val="0"/>
                  <w:divBdr>
                    <w:top w:val="none" w:sz="0" w:space="0" w:color="auto"/>
                    <w:left w:val="none" w:sz="0" w:space="0" w:color="auto"/>
                    <w:bottom w:val="none" w:sz="0" w:space="0" w:color="auto"/>
                    <w:right w:val="none" w:sz="0" w:space="0" w:color="auto"/>
                  </w:divBdr>
                </w:div>
              </w:divsChild>
            </w:div>
            <w:div w:id="1698313259">
              <w:marLeft w:val="0"/>
              <w:marRight w:val="0"/>
              <w:marTop w:val="0"/>
              <w:marBottom w:val="0"/>
              <w:divBdr>
                <w:top w:val="none" w:sz="0" w:space="0" w:color="auto"/>
                <w:left w:val="none" w:sz="0" w:space="0" w:color="auto"/>
                <w:bottom w:val="none" w:sz="0" w:space="0" w:color="auto"/>
                <w:right w:val="none" w:sz="0" w:space="0" w:color="auto"/>
              </w:divBdr>
              <w:divsChild>
                <w:div w:id="1731729452">
                  <w:marLeft w:val="0"/>
                  <w:marRight w:val="0"/>
                  <w:marTop w:val="0"/>
                  <w:marBottom w:val="0"/>
                  <w:divBdr>
                    <w:top w:val="none" w:sz="0" w:space="0" w:color="auto"/>
                    <w:left w:val="none" w:sz="0" w:space="0" w:color="auto"/>
                    <w:bottom w:val="none" w:sz="0" w:space="0" w:color="auto"/>
                    <w:right w:val="none" w:sz="0" w:space="0" w:color="auto"/>
                  </w:divBdr>
                </w:div>
              </w:divsChild>
            </w:div>
            <w:div w:id="1701860024">
              <w:marLeft w:val="0"/>
              <w:marRight w:val="0"/>
              <w:marTop w:val="0"/>
              <w:marBottom w:val="0"/>
              <w:divBdr>
                <w:top w:val="none" w:sz="0" w:space="0" w:color="auto"/>
                <w:left w:val="none" w:sz="0" w:space="0" w:color="auto"/>
                <w:bottom w:val="none" w:sz="0" w:space="0" w:color="auto"/>
                <w:right w:val="none" w:sz="0" w:space="0" w:color="auto"/>
              </w:divBdr>
              <w:divsChild>
                <w:div w:id="1912502710">
                  <w:marLeft w:val="0"/>
                  <w:marRight w:val="0"/>
                  <w:marTop w:val="0"/>
                  <w:marBottom w:val="0"/>
                  <w:divBdr>
                    <w:top w:val="none" w:sz="0" w:space="0" w:color="auto"/>
                    <w:left w:val="none" w:sz="0" w:space="0" w:color="auto"/>
                    <w:bottom w:val="none" w:sz="0" w:space="0" w:color="auto"/>
                    <w:right w:val="none" w:sz="0" w:space="0" w:color="auto"/>
                  </w:divBdr>
                </w:div>
              </w:divsChild>
            </w:div>
            <w:div w:id="1703438440">
              <w:marLeft w:val="0"/>
              <w:marRight w:val="0"/>
              <w:marTop w:val="0"/>
              <w:marBottom w:val="0"/>
              <w:divBdr>
                <w:top w:val="none" w:sz="0" w:space="0" w:color="auto"/>
                <w:left w:val="none" w:sz="0" w:space="0" w:color="auto"/>
                <w:bottom w:val="none" w:sz="0" w:space="0" w:color="auto"/>
                <w:right w:val="none" w:sz="0" w:space="0" w:color="auto"/>
              </w:divBdr>
              <w:divsChild>
                <w:div w:id="648287433">
                  <w:marLeft w:val="0"/>
                  <w:marRight w:val="0"/>
                  <w:marTop w:val="0"/>
                  <w:marBottom w:val="0"/>
                  <w:divBdr>
                    <w:top w:val="none" w:sz="0" w:space="0" w:color="auto"/>
                    <w:left w:val="none" w:sz="0" w:space="0" w:color="auto"/>
                    <w:bottom w:val="none" w:sz="0" w:space="0" w:color="auto"/>
                    <w:right w:val="none" w:sz="0" w:space="0" w:color="auto"/>
                  </w:divBdr>
                </w:div>
              </w:divsChild>
            </w:div>
            <w:div w:id="1707488606">
              <w:marLeft w:val="0"/>
              <w:marRight w:val="0"/>
              <w:marTop w:val="0"/>
              <w:marBottom w:val="0"/>
              <w:divBdr>
                <w:top w:val="none" w:sz="0" w:space="0" w:color="auto"/>
                <w:left w:val="none" w:sz="0" w:space="0" w:color="auto"/>
                <w:bottom w:val="none" w:sz="0" w:space="0" w:color="auto"/>
                <w:right w:val="none" w:sz="0" w:space="0" w:color="auto"/>
              </w:divBdr>
              <w:divsChild>
                <w:div w:id="307633383">
                  <w:marLeft w:val="0"/>
                  <w:marRight w:val="0"/>
                  <w:marTop w:val="0"/>
                  <w:marBottom w:val="0"/>
                  <w:divBdr>
                    <w:top w:val="none" w:sz="0" w:space="0" w:color="auto"/>
                    <w:left w:val="none" w:sz="0" w:space="0" w:color="auto"/>
                    <w:bottom w:val="none" w:sz="0" w:space="0" w:color="auto"/>
                    <w:right w:val="none" w:sz="0" w:space="0" w:color="auto"/>
                  </w:divBdr>
                </w:div>
              </w:divsChild>
            </w:div>
            <w:div w:id="1708095505">
              <w:marLeft w:val="0"/>
              <w:marRight w:val="0"/>
              <w:marTop w:val="0"/>
              <w:marBottom w:val="0"/>
              <w:divBdr>
                <w:top w:val="none" w:sz="0" w:space="0" w:color="auto"/>
                <w:left w:val="none" w:sz="0" w:space="0" w:color="auto"/>
                <w:bottom w:val="none" w:sz="0" w:space="0" w:color="auto"/>
                <w:right w:val="none" w:sz="0" w:space="0" w:color="auto"/>
              </w:divBdr>
              <w:divsChild>
                <w:div w:id="1820922066">
                  <w:marLeft w:val="0"/>
                  <w:marRight w:val="0"/>
                  <w:marTop w:val="0"/>
                  <w:marBottom w:val="0"/>
                  <w:divBdr>
                    <w:top w:val="none" w:sz="0" w:space="0" w:color="auto"/>
                    <w:left w:val="none" w:sz="0" w:space="0" w:color="auto"/>
                    <w:bottom w:val="none" w:sz="0" w:space="0" w:color="auto"/>
                    <w:right w:val="none" w:sz="0" w:space="0" w:color="auto"/>
                  </w:divBdr>
                </w:div>
              </w:divsChild>
            </w:div>
            <w:div w:id="1709723986">
              <w:marLeft w:val="0"/>
              <w:marRight w:val="0"/>
              <w:marTop w:val="0"/>
              <w:marBottom w:val="0"/>
              <w:divBdr>
                <w:top w:val="none" w:sz="0" w:space="0" w:color="auto"/>
                <w:left w:val="none" w:sz="0" w:space="0" w:color="auto"/>
                <w:bottom w:val="none" w:sz="0" w:space="0" w:color="auto"/>
                <w:right w:val="none" w:sz="0" w:space="0" w:color="auto"/>
              </w:divBdr>
              <w:divsChild>
                <w:div w:id="302976964">
                  <w:marLeft w:val="0"/>
                  <w:marRight w:val="0"/>
                  <w:marTop w:val="0"/>
                  <w:marBottom w:val="0"/>
                  <w:divBdr>
                    <w:top w:val="none" w:sz="0" w:space="0" w:color="auto"/>
                    <w:left w:val="none" w:sz="0" w:space="0" w:color="auto"/>
                    <w:bottom w:val="none" w:sz="0" w:space="0" w:color="auto"/>
                    <w:right w:val="none" w:sz="0" w:space="0" w:color="auto"/>
                  </w:divBdr>
                </w:div>
              </w:divsChild>
            </w:div>
            <w:div w:id="1711758016">
              <w:marLeft w:val="0"/>
              <w:marRight w:val="0"/>
              <w:marTop w:val="0"/>
              <w:marBottom w:val="0"/>
              <w:divBdr>
                <w:top w:val="none" w:sz="0" w:space="0" w:color="auto"/>
                <w:left w:val="none" w:sz="0" w:space="0" w:color="auto"/>
                <w:bottom w:val="none" w:sz="0" w:space="0" w:color="auto"/>
                <w:right w:val="none" w:sz="0" w:space="0" w:color="auto"/>
              </w:divBdr>
              <w:divsChild>
                <w:div w:id="1511678035">
                  <w:marLeft w:val="0"/>
                  <w:marRight w:val="0"/>
                  <w:marTop w:val="0"/>
                  <w:marBottom w:val="0"/>
                  <w:divBdr>
                    <w:top w:val="none" w:sz="0" w:space="0" w:color="auto"/>
                    <w:left w:val="none" w:sz="0" w:space="0" w:color="auto"/>
                    <w:bottom w:val="none" w:sz="0" w:space="0" w:color="auto"/>
                    <w:right w:val="none" w:sz="0" w:space="0" w:color="auto"/>
                  </w:divBdr>
                </w:div>
              </w:divsChild>
            </w:div>
            <w:div w:id="1715084029">
              <w:marLeft w:val="0"/>
              <w:marRight w:val="0"/>
              <w:marTop w:val="0"/>
              <w:marBottom w:val="0"/>
              <w:divBdr>
                <w:top w:val="none" w:sz="0" w:space="0" w:color="auto"/>
                <w:left w:val="none" w:sz="0" w:space="0" w:color="auto"/>
                <w:bottom w:val="none" w:sz="0" w:space="0" w:color="auto"/>
                <w:right w:val="none" w:sz="0" w:space="0" w:color="auto"/>
              </w:divBdr>
              <w:divsChild>
                <w:div w:id="184711436">
                  <w:marLeft w:val="0"/>
                  <w:marRight w:val="0"/>
                  <w:marTop w:val="0"/>
                  <w:marBottom w:val="0"/>
                  <w:divBdr>
                    <w:top w:val="none" w:sz="0" w:space="0" w:color="auto"/>
                    <w:left w:val="none" w:sz="0" w:space="0" w:color="auto"/>
                    <w:bottom w:val="none" w:sz="0" w:space="0" w:color="auto"/>
                    <w:right w:val="none" w:sz="0" w:space="0" w:color="auto"/>
                  </w:divBdr>
                </w:div>
              </w:divsChild>
            </w:div>
            <w:div w:id="1717311532">
              <w:marLeft w:val="0"/>
              <w:marRight w:val="0"/>
              <w:marTop w:val="300"/>
              <w:marBottom w:val="300"/>
              <w:divBdr>
                <w:top w:val="none" w:sz="0" w:space="0" w:color="auto"/>
                <w:left w:val="none" w:sz="0" w:space="0" w:color="auto"/>
                <w:bottom w:val="none" w:sz="0" w:space="0" w:color="auto"/>
                <w:right w:val="none" w:sz="0" w:space="0" w:color="auto"/>
              </w:divBdr>
            </w:div>
            <w:div w:id="1717464109">
              <w:marLeft w:val="0"/>
              <w:marRight w:val="0"/>
              <w:marTop w:val="300"/>
              <w:marBottom w:val="300"/>
              <w:divBdr>
                <w:top w:val="none" w:sz="0" w:space="0" w:color="auto"/>
                <w:left w:val="none" w:sz="0" w:space="0" w:color="auto"/>
                <w:bottom w:val="none" w:sz="0" w:space="0" w:color="auto"/>
                <w:right w:val="none" w:sz="0" w:space="0" w:color="auto"/>
              </w:divBdr>
            </w:div>
            <w:div w:id="1726879852">
              <w:marLeft w:val="0"/>
              <w:marRight w:val="0"/>
              <w:marTop w:val="0"/>
              <w:marBottom w:val="0"/>
              <w:divBdr>
                <w:top w:val="none" w:sz="0" w:space="0" w:color="auto"/>
                <w:left w:val="none" w:sz="0" w:space="0" w:color="auto"/>
                <w:bottom w:val="none" w:sz="0" w:space="0" w:color="auto"/>
                <w:right w:val="none" w:sz="0" w:space="0" w:color="auto"/>
              </w:divBdr>
              <w:divsChild>
                <w:div w:id="1677803844">
                  <w:marLeft w:val="0"/>
                  <w:marRight w:val="0"/>
                  <w:marTop w:val="0"/>
                  <w:marBottom w:val="0"/>
                  <w:divBdr>
                    <w:top w:val="none" w:sz="0" w:space="0" w:color="auto"/>
                    <w:left w:val="none" w:sz="0" w:space="0" w:color="auto"/>
                    <w:bottom w:val="none" w:sz="0" w:space="0" w:color="auto"/>
                    <w:right w:val="none" w:sz="0" w:space="0" w:color="auto"/>
                  </w:divBdr>
                </w:div>
              </w:divsChild>
            </w:div>
            <w:div w:id="1727144801">
              <w:marLeft w:val="0"/>
              <w:marRight w:val="0"/>
              <w:marTop w:val="0"/>
              <w:marBottom w:val="0"/>
              <w:divBdr>
                <w:top w:val="none" w:sz="0" w:space="0" w:color="auto"/>
                <w:left w:val="none" w:sz="0" w:space="0" w:color="auto"/>
                <w:bottom w:val="none" w:sz="0" w:space="0" w:color="auto"/>
                <w:right w:val="none" w:sz="0" w:space="0" w:color="auto"/>
              </w:divBdr>
              <w:divsChild>
                <w:div w:id="1497187108">
                  <w:marLeft w:val="0"/>
                  <w:marRight w:val="0"/>
                  <w:marTop w:val="0"/>
                  <w:marBottom w:val="0"/>
                  <w:divBdr>
                    <w:top w:val="none" w:sz="0" w:space="0" w:color="auto"/>
                    <w:left w:val="none" w:sz="0" w:space="0" w:color="auto"/>
                    <w:bottom w:val="none" w:sz="0" w:space="0" w:color="auto"/>
                    <w:right w:val="none" w:sz="0" w:space="0" w:color="auto"/>
                  </w:divBdr>
                </w:div>
              </w:divsChild>
            </w:div>
            <w:div w:id="1728607753">
              <w:marLeft w:val="0"/>
              <w:marRight w:val="0"/>
              <w:marTop w:val="0"/>
              <w:marBottom w:val="0"/>
              <w:divBdr>
                <w:top w:val="none" w:sz="0" w:space="0" w:color="auto"/>
                <w:left w:val="none" w:sz="0" w:space="0" w:color="auto"/>
                <w:bottom w:val="none" w:sz="0" w:space="0" w:color="auto"/>
                <w:right w:val="none" w:sz="0" w:space="0" w:color="auto"/>
              </w:divBdr>
              <w:divsChild>
                <w:div w:id="639846775">
                  <w:marLeft w:val="0"/>
                  <w:marRight w:val="0"/>
                  <w:marTop w:val="0"/>
                  <w:marBottom w:val="0"/>
                  <w:divBdr>
                    <w:top w:val="none" w:sz="0" w:space="0" w:color="auto"/>
                    <w:left w:val="none" w:sz="0" w:space="0" w:color="auto"/>
                    <w:bottom w:val="none" w:sz="0" w:space="0" w:color="auto"/>
                    <w:right w:val="none" w:sz="0" w:space="0" w:color="auto"/>
                  </w:divBdr>
                </w:div>
              </w:divsChild>
            </w:div>
            <w:div w:id="1729496670">
              <w:marLeft w:val="0"/>
              <w:marRight w:val="0"/>
              <w:marTop w:val="300"/>
              <w:marBottom w:val="300"/>
              <w:divBdr>
                <w:top w:val="none" w:sz="0" w:space="0" w:color="auto"/>
                <w:left w:val="none" w:sz="0" w:space="0" w:color="auto"/>
                <w:bottom w:val="none" w:sz="0" w:space="0" w:color="auto"/>
                <w:right w:val="none" w:sz="0" w:space="0" w:color="auto"/>
              </w:divBdr>
            </w:div>
            <w:div w:id="1729836649">
              <w:marLeft w:val="0"/>
              <w:marRight w:val="0"/>
              <w:marTop w:val="0"/>
              <w:marBottom w:val="0"/>
              <w:divBdr>
                <w:top w:val="none" w:sz="0" w:space="0" w:color="auto"/>
                <w:left w:val="none" w:sz="0" w:space="0" w:color="auto"/>
                <w:bottom w:val="none" w:sz="0" w:space="0" w:color="auto"/>
                <w:right w:val="none" w:sz="0" w:space="0" w:color="auto"/>
              </w:divBdr>
              <w:divsChild>
                <w:div w:id="1713575433">
                  <w:marLeft w:val="0"/>
                  <w:marRight w:val="0"/>
                  <w:marTop w:val="0"/>
                  <w:marBottom w:val="0"/>
                  <w:divBdr>
                    <w:top w:val="none" w:sz="0" w:space="0" w:color="auto"/>
                    <w:left w:val="none" w:sz="0" w:space="0" w:color="auto"/>
                    <w:bottom w:val="none" w:sz="0" w:space="0" w:color="auto"/>
                    <w:right w:val="none" w:sz="0" w:space="0" w:color="auto"/>
                  </w:divBdr>
                </w:div>
              </w:divsChild>
            </w:div>
            <w:div w:id="1729836954">
              <w:marLeft w:val="0"/>
              <w:marRight w:val="0"/>
              <w:marTop w:val="0"/>
              <w:marBottom w:val="0"/>
              <w:divBdr>
                <w:top w:val="none" w:sz="0" w:space="0" w:color="auto"/>
                <w:left w:val="none" w:sz="0" w:space="0" w:color="auto"/>
                <w:bottom w:val="none" w:sz="0" w:space="0" w:color="auto"/>
                <w:right w:val="none" w:sz="0" w:space="0" w:color="auto"/>
              </w:divBdr>
              <w:divsChild>
                <w:div w:id="1356882396">
                  <w:marLeft w:val="0"/>
                  <w:marRight w:val="0"/>
                  <w:marTop w:val="0"/>
                  <w:marBottom w:val="0"/>
                  <w:divBdr>
                    <w:top w:val="none" w:sz="0" w:space="0" w:color="auto"/>
                    <w:left w:val="none" w:sz="0" w:space="0" w:color="auto"/>
                    <w:bottom w:val="none" w:sz="0" w:space="0" w:color="auto"/>
                    <w:right w:val="none" w:sz="0" w:space="0" w:color="auto"/>
                  </w:divBdr>
                </w:div>
              </w:divsChild>
            </w:div>
            <w:div w:id="1733384485">
              <w:marLeft w:val="0"/>
              <w:marRight w:val="0"/>
              <w:marTop w:val="0"/>
              <w:marBottom w:val="0"/>
              <w:divBdr>
                <w:top w:val="none" w:sz="0" w:space="0" w:color="auto"/>
                <w:left w:val="none" w:sz="0" w:space="0" w:color="auto"/>
                <w:bottom w:val="none" w:sz="0" w:space="0" w:color="auto"/>
                <w:right w:val="none" w:sz="0" w:space="0" w:color="auto"/>
              </w:divBdr>
              <w:divsChild>
                <w:div w:id="555119850">
                  <w:marLeft w:val="0"/>
                  <w:marRight w:val="0"/>
                  <w:marTop w:val="0"/>
                  <w:marBottom w:val="0"/>
                  <w:divBdr>
                    <w:top w:val="none" w:sz="0" w:space="0" w:color="auto"/>
                    <w:left w:val="none" w:sz="0" w:space="0" w:color="auto"/>
                    <w:bottom w:val="none" w:sz="0" w:space="0" w:color="auto"/>
                    <w:right w:val="none" w:sz="0" w:space="0" w:color="auto"/>
                  </w:divBdr>
                </w:div>
              </w:divsChild>
            </w:div>
            <w:div w:id="1735616300">
              <w:marLeft w:val="0"/>
              <w:marRight w:val="0"/>
              <w:marTop w:val="0"/>
              <w:marBottom w:val="0"/>
              <w:divBdr>
                <w:top w:val="none" w:sz="0" w:space="0" w:color="auto"/>
                <w:left w:val="none" w:sz="0" w:space="0" w:color="auto"/>
                <w:bottom w:val="none" w:sz="0" w:space="0" w:color="auto"/>
                <w:right w:val="none" w:sz="0" w:space="0" w:color="auto"/>
              </w:divBdr>
              <w:divsChild>
                <w:div w:id="56251324">
                  <w:marLeft w:val="0"/>
                  <w:marRight w:val="0"/>
                  <w:marTop w:val="0"/>
                  <w:marBottom w:val="0"/>
                  <w:divBdr>
                    <w:top w:val="none" w:sz="0" w:space="0" w:color="auto"/>
                    <w:left w:val="none" w:sz="0" w:space="0" w:color="auto"/>
                    <w:bottom w:val="none" w:sz="0" w:space="0" w:color="auto"/>
                    <w:right w:val="none" w:sz="0" w:space="0" w:color="auto"/>
                  </w:divBdr>
                </w:div>
              </w:divsChild>
            </w:div>
            <w:div w:id="1736312770">
              <w:marLeft w:val="0"/>
              <w:marRight w:val="0"/>
              <w:marTop w:val="0"/>
              <w:marBottom w:val="0"/>
              <w:divBdr>
                <w:top w:val="none" w:sz="0" w:space="0" w:color="auto"/>
                <w:left w:val="none" w:sz="0" w:space="0" w:color="auto"/>
                <w:bottom w:val="none" w:sz="0" w:space="0" w:color="auto"/>
                <w:right w:val="none" w:sz="0" w:space="0" w:color="auto"/>
              </w:divBdr>
              <w:divsChild>
                <w:div w:id="1149906199">
                  <w:marLeft w:val="0"/>
                  <w:marRight w:val="0"/>
                  <w:marTop w:val="0"/>
                  <w:marBottom w:val="0"/>
                  <w:divBdr>
                    <w:top w:val="none" w:sz="0" w:space="0" w:color="auto"/>
                    <w:left w:val="none" w:sz="0" w:space="0" w:color="auto"/>
                    <w:bottom w:val="none" w:sz="0" w:space="0" w:color="auto"/>
                    <w:right w:val="none" w:sz="0" w:space="0" w:color="auto"/>
                  </w:divBdr>
                </w:div>
              </w:divsChild>
            </w:div>
            <w:div w:id="1736514685">
              <w:marLeft w:val="0"/>
              <w:marRight w:val="0"/>
              <w:marTop w:val="300"/>
              <w:marBottom w:val="300"/>
              <w:divBdr>
                <w:top w:val="none" w:sz="0" w:space="0" w:color="auto"/>
                <w:left w:val="none" w:sz="0" w:space="0" w:color="auto"/>
                <w:bottom w:val="none" w:sz="0" w:space="0" w:color="auto"/>
                <w:right w:val="none" w:sz="0" w:space="0" w:color="auto"/>
              </w:divBdr>
            </w:div>
            <w:div w:id="1738092280">
              <w:marLeft w:val="0"/>
              <w:marRight w:val="0"/>
              <w:marTop w:val="0"/>
              <w:marBottom w:val="0"/>
              <w:divBdr>
                <w:top w:val="none" w:sz="0" w:space="0" w:color="auto"/>
                <w:left w:val="none" w:sz="0" w:space="0" w:color="auto"/>
                <w:bottom w:val="none" w:sz="0" w:space="0" w:color="auto"/>
                <w:right w:val="none" w:sz="0" w:space="0" w:color="auto"/>
              </w:divBdr>
              <w:divsChild>
                <w:div w:id="220673851">
                  <w:marLeft w:val="0"/>
                  <w:marRight w:val="0"/>
                  <w:marTop w:val="0"/>
                  <w:marBottom w:val="0"/>
                  <w:divBdr>
                    <w:top w:val="none" w:sz="0" w:space="0" w:color="auto"/>
                    <w:left w:val="none" w:sz="0" w:space="0" w:color="auto"/>
                    <w:bottom w:val="none" w:sz="0" w:space="0" w:color="auto"/>
                    <w:right w:val="none" w:sz="0" w:space="0" w:color="auto"/>
                  </w:divBdr>
                </w:div>
              </w:divsChild>
            </w:div>
            <w:div w:id="1741176740">
              <w:marLeft w:val="0"/>
              <w:marRight w:val="0"/>
              <w:marTop w:val="300"/>
              <w:marBottom w:val="300"/>
              <w:divBdr>
                <w:top w:val="none" w:sz="0" w:space="0" w:color="auto"/>
                <w:left w:val="none" w:sz="0" w:space="0" w:color="auto"/>
                <w:bottom w:val="none" w:sz="0" w:space="0" w:color="auto"/>
                <w:right w:val="none" w:sz="0" w:space="0" w:color="auto"/>
              </w:divBdr>
            </w:div>
            <w:div w:id="1745762711">
              <w:marLeft w:val="0"/>
              <w:marRight w:val="0"/>
              <w:marTop w:val="0"/>
              <w:marBottom w:val="0"/>
              <w:divBdr>
                <w:top w:val="none" w:sz="0" w:space="0" w:color="auto"/>
                <w:left w:val="none" w:sz="0" w:space="0" w:color="auto"/>
                <w:bottom w:val="none" w:sz="0" w:space="0" w:color="auto"/>
                <w:right w:val="none" w:sz="0" w:space="0" w:color="auto"/>
              </w:divBdr>
              <w:divsChild>
                <w:div w:id="1221092185">
                  <w:marLeft w:val="0"/>
                  <w:marRight w:val="0"/>
                  <w:marTop w:val="0"/>
                  <w:marBottom w:val="0"/>
                  <w:divBdr>
                    <w:top w:val="none" w:sz="0" w:space="0" w:color="auto"/>
                    <w:left w:val="none" w:sz="0" w:space="0" w:color="auto"/>
                    <w:bottom w:val="none" w:sz="0" w:space="0" w:color="auto"/>
                    <w:right w:val="none" w:sz="0" w:space="0" w:color="auto"/>
                  </w:divBdr>
                </w:div>
              </w:divsChild>
            </w:div>
            <w:div w:id="1749964925">
              <w:marLeft w:val="0"/>
              <w:marRight w:val="0"/>
              <w:marTop w:val="0"/>
              <w:marBottom w:val="0"/>
              <w:divBdr>
                <w:top w:val="none" w:sz="0" w:space="0" w:color="auto"/>
                <w:left w:val="none" w:sz="0" w:space="0" w:color="auto"/>
                <w:bottom w:val="none" w:sz="0" w:space="0" w:color="auto"/>
                <w:right w:val="none" w:sz="0" w:space="0" w:color="auto"/>
              </w:divBdr>
              <w:divsChild>
                <w:div w:id="1330910496">
                  <w:marLeft w:val="0"/>
                  <w:marRight w:val="0"/>
                  <w:marTop w:val="0"/>
                  <w:marBottom w:val="0"/>
                  <w:divBdr>
                    <w:top w:val="none" w:sz="0" w:space="0" w:color="auto"/>
                    <w:left w:val="none" w:sz="0" w:space="0" w:color="auto"/>
                    <w:bottom w:val="none" w:sz="0" w:space="0" w:color="auto"/>
                    <w:right w:val="none" w:sz="0" w:space="0" w:color="auto"/>
                  </w:divBdr>
                </w:div>
              </w:divsChild>
            </w:div>
            <w:div w:id="1751347692">
              <w:marLeft w:val="0"/>
              <w:marRight w:val="0"/>
              <w:marTop w:val="0"/>
              <w:marBottom w:val="0"/>
              <w:divBdr>
                <w:top w:val="none" w:sz="0" w:space="0" w:color="auto"/>
                <w:left w:val="none" w:sz="0" w:space="0" w:color="auto"/>
                <w:bottom w:val="none" w:sz="0" w:space="0" w:color="auto"/>
                <w:right w:val="none" w:sz="0" w:space="0" w:color="auto"/>
              </w:divBdr>
              <w:divsChild>
                <w:div w:id="526255280">
                  <w:marLeft w:val="0"/>
                  <w:marRight w:val="0"/>
                  <w:marTop w:val="0"/>
                  <w:marBottom w:val="0"/>
                  <w:divBdr>
                    <w:top w:val="none" w:sz="0" w:space="0" w:color="auto"/>
                    <w:left w:val="none" w:sz="0" w:space="0" w:color="auto"/>
                    <w:bottom w:val="none" w:sz="0" w:space="0" w:color="auto"/>
                    <w:right w:val="none" w:sz="0" w:space="0" w:color="auto"/>
                  </w:divBdr>
                </w:div>
              </w:divsChild>
            </w:div>
            <w:div w:id="1751463132">
              <w:marLeft w:val="0"/>
              <w:marRight w:val="0"/>
              <w:marTop w:val="0"/>
              <w:marBottom w:val="0"/>
              <w:divBdr>
                <w:top w:val="none" w:sz="0" w:space="0" w:color="auto"/>
                <w:left w:val="none" w:sz="0" w:space="0" w:color="auto"/>
                <w:bottom w:val="none" w:sz="0" w:space="0" w:color="auto"/>
                <w:right w:val="none" w:sz="0" w:space="0" w:color="auto"/>
              </w:divBdr>
              <w:divsChild>
                <w:div w:id="1484279619">
                  <w:marLeft w:val="0"/>
                  <w:marRight w:val="0"/>
                  <w:marTop w:val="0"/>
                  <w:marBottom w:val="0"/>
                  <w:divBdr>
                    <w:top w:val="none" w:sz="0" w:space="0" w:color="auto"/>
                    <w:left w:val="none" w:sz="0" w:space="0" w:color="auto"/>
                    <w:bottom w:val="none" w:sz="0" w:space="0" w:color="auto"/>
                    <w:right w:val="none" w:sz="0" w:space="0" w:color="auto"/>
                  </w:divBdr>
                </w:div>
              </w:divsChild>
            </w:div>
            <w:div w:id="1752579623">
              <w:marLeft w:val="0"/>
              <w:marRight w:val="0"/>
              <w:marTop w:val="0"/>
              <w:marBottom w:val="0"/>
              <w:divBdr>
                <w:top w:val="none" w:sz="0" w:space="0" w:color="auto"/>
                <w:left w:val="none" w:sz="0" w:space="0" w:color="auto"/>
                <w:bottom w:val="none" w:sz="0" w:space="0" w:color="auto"/>
                <w:right w:val="none" w:sz="0" w:space="0" w:color="auto"/>
              </w:divBdr>
              <w:divsChild>
                <w:div w:id="317538081">
                  <w:marLeft w:val="0"/>
                  <w:marRight w:val="0"/>
                  <w:marTop w:val="0"/>
                  <w:marBottom w:val="0"/>
                  <w:divBdr>
                    <w:top w:val="none" w:sz="0" w:space="0" w:color="auto"/>
                    <w:left w:val="none" w:sz="0" w:space="0" w:color="auto"/>
                    <w:bottom w:val="none" w:sz="0" w:space="0" w:color="auto"/>
                    <w:right w:val="none" w:sz="0" w:space="0" w:color="auto"/>
                  </w:divBdr>
                </w:div>
              </w:divsChild>
            </w:div>
            <w:div w:id="1760516025">
              <w:marLeft w:val="0"/>
              <w:marRight w:val="0"/>
              <w:marTop w:val="0"/>
              <w:marBottom w:val="0"/>
              <w:divBdr>
                <w:top w:val="none" w:sz="0" w:space="0" w:color="auto"/>
                <w:left w:val="none" w:sz="0" w:space="0" w:color="auto"/>
                <w:bottom w:val="none" w:sz="0" w:space="0" w:color="auto"/>
                <w:right w:val="none" w:sz="0" w:space="0" w:color="auto"/>
              </w:divBdr>
              <w:divsChild>
                <w:div w:id="1403602668">
                  <w:marLeft w:val="0"/>
                  <w:marRight w:val="0"/>
                  <w:marTop w:val="0"/>
                  <w:marBottom w:val="0"/>
                  <w:divBdr>
                    <w:top w:val="none" w:sz="0" w:space="0" w:color="auto"/>
                    <w:left w:val="none" w:sz="0" w:space="0" w:color="auto"/>
                    <w:bottom w:val="none" w:sz="0" w:space="0" w:color="auto"/>
                    <w:right w:val="none" w:sz="0" w:space="0" w:color="auto"/>
                  </w:divBdr>
                </w:div>
              </w:divsChild>
            </w:div>
            <w:div w:id="1760910412">
              <w:marLeft w:val="0"/>
              <w:marRight w:val="0"/>
              <w:marTop w:val="0"/>
              <w:marBottom w:val="0"/>
              <w:divBdr>
                <w:top w:val="none" w:sz="0" w:space="0" w:color="auto"/>
                <w:left w:val="none" w:sz="0" w:space="0" w:color="auto"/>
                <w:bottom w:val="none" w:sz="0" w:space="0" w:color="auto"/>
                <w:right w:val="none" w:sz="0" w:space="0" w:color="auto"/>
              </w:divBdr>
              <w:divsChild>
                <w:div w:id="1605306258">
                  <w:marLeft w:val="0"/>
                  <w:marRight w:val="0"/>
                  <w:marTop w:val="0"/>
                  <w:marBottom w:val="0"/>
                  <w:divBdr>
                    <w:top w:val="none" w:sz="0" w:space="0" w:color="auto"/>
                    <w:left w:val="none" w:sz="0" w:space="0" w:color="auto"/>
                    <w:bottom w:val="none" w:sz="0" w:space="0" w:color="auto"/>
                    <w:right w:val="none" w:sz="0" w:space="0" w:color="auto"/>
                  </w:divBdr>
                </w:div>
              </w:divsChild>
            </w:div>
            <w:div w:id="1764034499">
              <w:marLeft w:val="0"/>
              <w:marRight w:val="0"/>
              <w:marTop w:val="0"/>
              <w:marBottom w:val="0"/>
              <w:divBdr>
                <w:top w:val="none" w:sz="0" w:space="0" w:color="auto"/>
                <w:left w:val="none" w:sz="0" w:space="0" w:color="auto"/>
                <w:bottom w:val="none" w:sz="0" w:space="0" w:color="auto"/>
                <w:right w:val="none" w:sz="0" w:space="0" w:color="auto"/>
              </w:divBdr>
              <w:divsChild>
                <w:div w:id="356736776">
                  <w:marLeft w:val="0"/>
                  <w:marRight w:val="0"/>
                  <w:marTop w:val="0"/>
                  <w:marBottom w:val="0"/>
                  <w:divBdr>
                    <w:top w:val="none" w:sz="0" w:space="0" w:color="auto"/>
                    <w:left w:val="none" w:sz="0" w:space="0" w:color="auto"/>
                    <w:bottom w:val="none" w:sz="0" w:space="0" w:color="auto"/>
                    <w:right w:val="none" w:sz="0" w:space="0" w:color="auto"/>
                  </w:divBdr>
                </w:div>
              </w:divsChild>
            </w:div>
            <w:div w:id="1767075460">
              <w:marLeft w:val="0"/>
              <w:marRight w:val="0"/>
              <w:marTop w:val="0"/>
              <w:marBottom w:val="0"/>
              <w:divBdr>
                <w:top w:val="none" w:sz="0" w:space="0" w:color="auto"/>
                <w:left w:val="none" w:sz="0" w:space="0" w:color="auto"/>
                <w:bottom w:val="none" w:sz="0" w:space="0" w:color="auto"/>
                <w:right w:val="none" w:sz="0" w:space="0" w:color="auto"/>
              </w:divBdr>
              <w:divsChild>
                <w:div w:id="1072237355">
                  <w:marLeft w:val="0"/>
                  <w:marRight w:val="0"/>
                  <w:marTop w:val="0"/>
                  <w:marBottom w:val="0"/>
                  <w:divBdr>
                    <w:top w:val="none" w:sz="0" w:space="0" w:color="auto"/>
                    <w:left w:val="none" w:sz="0" w:space="0" w:color="auto"/>
                    <w:bottom w:val="none" w:sz="0" w:space="0" w:color="auto"/>
                    <w:right w:val="none" w:sz="0" w:space="0" w:color="auto"/>
                  </w:divBdr>
                </w:div>
              </w:divsChild>
            </w:div>
            <w:div w:id="1779442826">
              <w:marLeft w:val="0"/>
              <w:marRight w:val="0"/>
              <w:marTop w:val="0"/>
              <w:marBottom w:val="0"/>
              <w:divBdr>
                <w:top w:val="none" w:sz="0" w:space="0" w:color="auto"/>
                <w:left w:val="none" w:sz="0" w:space="0" w:color="auto"/>
                <w:bottom w:val="none" w:sz="0" w:space="0" w:color="auto"/>
                <w:right w:val="none" w:sz="0" w:space="0" w:color="auto"/>
              </w:divBdr>
              <w:divsChild>
                <w:div w:id="639578862">
                  <w:marLeft w:val="0"/>
                  <w:marRight w:val="0"/>
                  <w:marTop w:val="0"/>
                  <w:marBottom w:val="0"/>
                  <w:divBdr>
                    <w:top w:val="none" w:sz="0" w:space="0" w:color="auto"/>
                    <w:left w:val="none" w:sz="0" w:space="0" w:color="auto"/>
                    <w:bottom w:val="none" w:sz="0" w:space="0" w:color="auto"/>
                    <w:right w:val="none" w:sz="0" w:space="0" w:color="auto"/>
                  </w:divBdr>
                </w:div>
              </w:divsChild>
            </w:div>
            <w:div w:id="1782794398">
              <w:marLeft w:val="0"/>
              <w:marRight w:val="0"/>
              <w:marTop w:val="0"/>
              <w:marBottom w:val="0"/>
              <w:divBdr>
                <w:top w:val="none" w:sz="0" w:space="0" w:color="auto"/>
                <w:left w:val="none" w:sz="0" w:space="0" w:color="auto"/>
                <w:bottom w:val="none" w:sz="0" w:space="0" w:color="auto"/>
                <w:right w:val="none" w:sz="0" w:space="0" w:color="auto"/>
              </w:divBdr>
              <w:divsChild>
                <w:div w:id="1870756261">
                  <w:marLeft w:val="0"/>
                  <w:marRight w:val="0"/>
                  <w:marTop w:val="0"/>
                  <w:marBottom w:val="0"/>
                  <w:divBdr>
                    <w:top w:val="none" w:sz="0" w:space="0" w:color="auto"/>
                    <w:left w:val="none" w:sz="0" w:space="0" w:color="auto"/>
                    <w:bottom w:val="none" w:sz="0" w:space="0" w:color="auto"/>
                    <w:right w:val="none" w:sz="0" w:space="0" w:color="auto"/>
                  </w:divBdr>
                </w:div>
              </w:divsChild>
            </w:div>
            <w:div w:id="1785808854">
              <w:marLeft w:val="0"/>
              <w:marRight w:val="0"/>
              <w:marTop w:val="0"/>
              <w:marBottom w:val="0"/>
              <w:divBdr>
                <w:top w:val="none" w:sz="0" w:space="0" w:color="auto"/>
                <w:left w:val="none" w:sz="0" w:space="0" w:color="auto"/>
                <w:bottom w:val="none" w:sz="0" w:space="0" w:color="auto"/>
                <w:right w:val="none" w:sz="0" w:space="0" w:color="auto"/>
              </w:divBdr>
              <w:divsChild>
                <w:div w:id="1602375014">
                  <w:marLeft w:val="0"/>
                  <w:marRight w:val="0"/>
                  <w:marTop w:val="0"/>
                  <w:marBottom w:val="0"/>
                  <w:divBdr>
                    <w:top w:val="none" w:sz="0" w:space="0" w:color="auto"/>
                    <w:left w:val="none" w:sz="0" w:space="0" w:color="auto"/>
                    <w:bottom w:val="none" w:sz="0" w:space="0" w:color="auto"/>
                    <w:right w:val="none" w:sz="0" w:space="0" w:color="auto"/>
                  </w:divBdr>
                </w:div>
              </w:divsChild>
            </w:div>
            <w:div w:id="1788312828">
              <w:marLeft w:val="0"/>
              <w:marRight w:val="0"/>
              <w:marTop w:val="0"/>
              <w:marBottom w:val="0"/>
              <w:divBdr>
                <w:top w:val="none" w:sz="0" w:space="0" w:color="auto"/>
                <w:left w:val="none" w:sz="0" w:space="0" w:color="auto"/>
                <w:bottom w:val="none" w:sz="0" w:space="0" w:color="auto"/>
                <w:right w:val="none" w:sz="0" w:space="0" w:color="auto"/>
              </w:divBdr>
              <w:divsChild>
                <w:div w:id="755173202">
                  <w:marLeft w:val="0"/>
                  <w:marRight w:val="0"/>
                  <w:marTop w:val="0"/>
                  <w:marBottom w:val="0"/>
                  <w:divBdr>
                    <w:top w:val="none" w:sz="0" w:space="0" w:color="auto"/>
                    <w:left w:val="none" w:sz="0" w:space="0" w:color="auto"/>
                    <w:bottom w:val="none" w:sz="0" w:space="0" w:color="auto"/>
                    <w:right w:val="none" w:sz="0" w:space="0" w:color="auto"/>
                  </w:divBdr>
                </w:div>
              </w:divsChild>
            </w:div>
            <w:div w:id="1792093758">
              <w:marLeft w:val="0"/>
              <w:marRight w:val="0"/>
              <w:marTop w:val="0"/>
              <w:marBottom w:val="0"/>
              <w:divBdr>
                <w:top w:val="none" w:sz="0" w:space="0" w:color="auto"/>
                <w:left w:val="none" w:sz="0" w:space="0" w:color="auto"/>
                <w:bottom w:val="none" w:sz="0" w:space="0" w:color="auto"/>
                <w:right w:val="none" w:sz="0" w:space="0" w:color="auto"/>
              </w:divBdr>
              <w:divsChild>
                <w:div w:id="387842678">
                  <w:marLeft w:val="0"/>
                  <w:marRight w:val="0"/>
                  <w:marTop w:val="0"/>
                  <w:marBottom w:val="0"/>
                  <w:divBdr>
                    <w:top w:val="none" w:sz="0" w:space="0" w:color="auto"/>
                    <w:left w:val="none" w:sz="0" w:space="0" w:color="auto"/>
                    <w:bottom w:val="none" w:sz="0" w:space="0" w:color="auto"/>
                    <w:right w:val="none" w:sz="0" w:space="0" w:color="auto"/>
                  </w:divBdr>
                </w:div>
              </w:divsChild>
            </w:div>
            <w:div w:id="1796869694">
              <w:marLeft w:val="0"/>
              <w:marRight w:val="0"/>
              <w:marTop w:val="300"/>
              <w:marBottom w:val="300"/>
              <w:divBdr>
                <w:top w:val="none" w:sz="0" w:space="0" w:color="auto"/>
                <w:left w:val="none" w:sz="0" w:space="0" w:color="auto"/>
                <w:bottom w:val="none" w:sz="0" w:space="0" w:color="auto"/>
                <w:right w:val="none" w:sz="0" w:space="0" w:color="auto"/>
              </w:divBdr>
            </w:div>
            <w:div w:id="1804033423">
              <w:marLeft w:val="0"/>
              <w:marRight w:val="0"/>
              <w:marTop w:val="0"/>
              <w:marBottom w:val="0"/>
              <w:divBdr>
                <w:top w:val="none" w:sz="0" w:space="0" w:color="auto"/>
                <w:left w:val="none" w:sz="0" w:space="0" w:color="auto"/>
                <w:bottom w:val="none" w:sz="0" w:space="0" w:color="auto"/>
                <w:right w:val="none" w:sz="0" w:space="0" w:color="auto"/>
              </w:divBdr>
              <w:divsChild>
                <w:div w:id="1808429831">
                  <w:marLeft w:val="0"/>
                  <w:marRight w:val="0"/>
                  <w:marTop w:val="0"/>
                  <w:marBottom w:val="0"/>
                  <w:divBdr>
                    <w:top w:val="none" w:sz="0" w:space="0" w:color="auto"/>
                    <w:left w:val="none" w:sz="0" w:space="0" w:color="auto"/>
                    <w:bottom w:val="none" w:sz="0" w:space="0" w:color="auto"/>
                    <w:right w:val="none" w:sz="0" w:space="0" w:color="auto"/>
                  </w:divBdr>
                </w:div>
              </w:divsChild>
            </w:div>
            <w:div w:id="1805467922">
              <w:marLeft w:val="0"/>
              <w:marRight w:val="0"/>
              <w:marTop w:val="0"/>
              <w:marBottom w:val="0"/>
              <w:divBdr>
                <w:top w:val="none" w:sz="0" w:space="0" w:color="auto"/>
                <w:left w:val="none" w:sz="0" w:space="0" w:color="auto"/>
                <w:bottom w:val="none" w:sz="0" w:space="0" w:color="auto"/>
                <w:right w:val="none" w:sz="0" w:space="0" w:color="auto"/>
              </w:divBdr>
              <w:divsChild>
                <w:div w:id="495267162">
                  <w:marLeft w:val="0"/>
                  <w:marRight w:val="0"/>
                  <w:marTop w:val="0"/>
                  <w:marBottom w:val="0"/>
                  <w:divBdr>
                    <w:top w:val="none" w:sz="0" w:space="0" w:color="auto"/>
                    <w:left w:val="none" w:sz="0" w:space="0" w:color="auto"/>
                    <w:bottom w:val="none" w:sz="0" w:space="0" w:color="auto"/>
                    <w:right w:val="none" w:sz="0" w:space="0" w:color="auto"/>
                  </w:divBdr>
                </w:div>
              </w:divsChild>
            </w:div>
            <w:div w:id="1810440138">
              <w:marLeft w:val="0"/>
              <w:marRight w:val="0"/>
              <w:marTop w:val="300"/>
              <w:marBottom w:val="300"/>
              <w:divBdr>
                <w:top w:val="none" w:sz="0" w:space="0" w:color="auto"/>
                <w:left w:val="none" w:sz="0" w:space="0" w:color="auto"/>
                <w:bottom w:val="none" w:sz="0" w:space="0" w:color="auto"/>
                <w:right w:val="none" w:sz="0" w:space="0" w:color="auto"/>
              </w:divBdr>
            </w:div>
            <w:div w:id="1818717805">
              <w:marLeft w:val="0"/>
              <w:marRight w:val="0"/>
              <w:marTop w:val="0"/>
              <w:marBottom w:val="0"/>
              <w:divBdr>
                <w:top w:val="none" w:sz="0" w:space="0" w:color="auto"/>
                <w:left w:val="none" w:sz="0" w:space="0" w:color="auto"/>
                <w:bottom w:val="none" w:sz="0" w:space="0" w:color="auto"/>
                <w:right w:val="none" w:sz="0" w:space="0" w:color="auto"/>
              </w:divBdr>
              <w:divsChild>
                <w:div w:id="1636450194">
                  <w:marLeft w:val="0"/>
                  <w:marRight w:val="0"/>
                  <w:marTop w:val="0"/>
                  <w:marBottom w:val="0"/>
                  <w:divBdr>
                    <w:top w:val="none" w:sz="0" w:space="0" w:color="auto"/>
                    <w:left w:val="none" w:sz="0" w:space="0" w:color="auto"/>
                    <w:bottom w:val="none" w:sz="0" w:space="0" w:color="auto"/>
                    <w:right w:val="none" w:sz="0" w:space="0" w:color="auto"/>
                  </w:divBdr>
                </w:div>
              </w:divsChild>
            </w:div>
            <w:div w:id="1821581906">
              <w:marLeft w:val="0"/>
              <w:marRight w:val="0"/>
              <w:marTop w:val="300"/>
              <w:marBottom w:val="300"/>
              <w:divBdr>
                <w:top w:val="none" w:sz="0" w:space="0" w:color="auto"/>
                <w:left w:val="none" w:sz="0" w:space="0" w:color="auto"/>
                <w:bottom w:val="none" w:sz="0" w:space="0" w:color="auto"/>
                <w:right w:val="none" w:sz="0" w:space="0" w:color="auto"/>
              </w:divBdr>
            </w:div>
            <w:div w:id="1823080657">
              <w:marLeft w:val="0"/>
              <w:marRight w:val="0"/>
              <w:marTop w:val="0"/>
              <w:marBottom w:val="0"/>
              <w:divBdr>
                <w:top w:val="none" w:sz="0" w:space="0" w:color="auto"/>
                <w:left w:val="none" w:sz="0" w:space="0" w:color="auto"/>
                <w:bottom w:val="none" w:sz="0" w:space="0" w:color="auto"/>
                <w:right w:val="none" w:sz="0" w:space="0" w:color="auto"/>
              </w:divBdr>
              <w:divsChild>
                <w:div w:id="1779400552">
                  <w:marLeft w:val="0"/>
                  <w:marRight w:val="0"/>
                  <w:marTop w:val="0"/>
                  <w:marBottom w:val="0"/>
                  <w:divBdr>
                    <w:top w:val="none" w:sz="0" w:space="0" w:color="auto"/>
                    <w:left w:val="none" w:sz="0" w:space="0" w:color="auto"/>
                    <w:bottom w:val="none" w:sz="0" w:space="0" w:color="auto"/>
                    <w:right w:val="none" w:sz="0" w:space="0" w:color="auto"/>
                  </w:divBdr>
                </w:div>
              </w:divsChild>
            </w:div>
            <w:div w:id="1824076446">
              <w:marLeft w:val="0"/>
              <w:marRight w:val="0"/>
              <w:marTop w:val="300"/>
              <w:marBottom w:val="300"/>
              <w:divBdr>
                <w:top w:val="none" w:sz="0" w:space="0" w:color="auto"/>
                <w:left w:val="none" w:sz="0" w:space="0" w:color="auto"/>
                <w:bottom w:val="none" w:sz="0" w:space="0" w:color="auto"/>
                <w:right w:val="none" w:sz="0" w:space="0" w:color="auto"/>
              </w:divBdr>
            </w:div>
            <w:div w:id="1826387830">
              <w:marLeft w:val="0"/>
              <w:marRight w:val="0"/>
              <w:marTop w:val="0"/>
              <w:marBottom w:val="0"/>
              <w:divBdr>
                <w:top w:val="none" w:sz="0" w:space="0" w:color="auto"/>
                <w:left w:val="none" w:sz="0" w:space="0" w:color="auto"/>
                <w:bottom w:val="none" w:sz="0" w:space="0" w:color="auto"/>
                <w:right w:val="none" w:sz="0" w:space="0" w:color="auto"/>
              </w:divBdr>
              <w:divsChild>
                <w:div w:id="56704157">
                  <w:marLeft w:val="0"/>
                  <w:marRight w:val="0"/>
                  <w:marTop w:val="0"/>
                  <w:marBottom w:val="0"/>
                  <w:divBdr>
                    <w:top w:val="none" w:sz="0" w:space="0" w:color="auto"/>
                    <w:left w:val="none" w:sz="0" w:space="0" w:color="auto"/>
                    <w:bottom w:val="none" w:sz="0" w:space="0" w:color="auto"/>
                    <w:right w:val="none" w:sz="0" w:space="0" w:color="auto"/>
                  </w:divBdr>
                </w:div>
              </w:divsChild>
            </w:div>
            <w:div w:id="1831215766">
              <w:marLeft w:val="0"/>
              <w:marRight w:val="0"/>
              <w:marTop w:val="0"/>
              <w:marBottom w:val="0"/>
              <w:divBdr>
                <w:top w:val="none" w:sz="0" w:space="0" w:color="auto"/>
                <w:left w:val="none" w:sz="0" w:space="0" w:color="auto"/>
                <w:bottom w:val="none" w:sz="0" w:space="0" w:color="auto"/>
                <w:right w:val="none" w:sz="0" w:space="0" w:color="auto"/>
              </w:divBdr>
              <w:divsChild>
                <w:div w:id="1526285206">
                  <w:marLeft w:val="0"/>
                  <w:marRight w:val="0"/>
                  <w:marTop w:val="0"/>
                  <w:marBottom w:val="0"/>
                  <w:divBdr>
                    <w:top w:val="none" w:sz="0" w:space="0" w:color="auto"/>
                    <w:left w:val="none" w:sz="0" w:space="0" w:color="auto"/>
                    <w:bottom w:val="none" w:sz="0" w:space="0" w:color="auto"/>
                    <w:right w:val="none" w:sz="0" w:space="0" w:color="auto"/>
                  </w:divBdr>
                </w:div>
              </w:divsChild>
            </w:div>
            <w:div w:id="1834906387">
              <w:marLeft w:val="0"/>
              <w:marRight w:val="0"/>
              <w:marTop w:val="0"/>
              <w:marBottom w:val="0"/>
              <w:divBdr>
                <w:top w:val="none" w:sz="0" w:space="0" w:color="auto"/>
                <w:left w:val="none" w:sz="0" w:space="0" w:color="auto"/>
                <w:bottom w:val="none" w:sz="0" w:space="0" w:color="auto"/>
                <w:right w:val="none" w:sz="0" w:space="0" w:color="auto"/>
              </w:divBdr>
              <w:divsChild>
                <w:div w:id="1599749731">
                  <w:marLeft w:val="0"/>
                  <w:marRight w:val="0"/>
                  <w:marTop w:val="0"/>
                  <w:marBottom w:val="0"/>
                  <w:divBdr>
                    <w:top w:val="none" w:sz="0" w:space="0" w:color="auto"/>
                    <w:left w:val="none" w:sz="0" w:space="0" w:color="auto"/>
                    <w:bottom w:val="none" w:sz="0" w:space="0" w:color="auto"/>
                    <w:right w:val="none" w:sz="0" w:space="0" w:color="auto"/>
                  </w:divBdr>
                </w:div>
              </w:divsChild>
            </w:div>
            <w:div w:id="1835994995">
              <w:marLeft w:val="0"/>
              <w:marRight w:val="0"/>
              <w:marTop w:val="0"/>
              <w:marBottom w:val="0"/>
              <w:divBdr>
                <w:top w:val="none" w:sz="0" w:space="0" w:color="auto"/>
                <w:left w:val="none" w:sz="0" w:space="0" w:color="auto"/>
                <w:bottom w:val="none" w:sz="0" w:space="0" w:color="auto"/>
                <w:right w:val="none" w:sz="0" w:space="0" w:color="auto"/>
              </w:divBdr>
              <w:divsChild>
                <w:div w:id="764377209">
                  <w:marLeft w:val="0"/>
                  <w:marRight w:val="0"/>
                  <w:marTop w:val="0"/>
                  <w:marBottom w:val="0"/>
                  <w:divBdr>
                    <w:top w:val="none" w:sz="0" w:space="0" w:color="auto"/>
                    <w:left w:val="none" w:sz="0" w:space="0" w:color="auto"/>
                    <w:bottom w:val="none" w:sz="0" w:space="0" w:color="auto"/>
                    <w:right w:val="none" w:sz="0" w:space="0" w:color="auto"/>
                  </w:divBdr>
                </w:div>
              </w:divsChild>
            </w:div>
            <w:div w:id="1836342607">
              <w:marLeft w:val="0"/>
              <w:marRight w:val="0"/>
              <w:marTop w:val="0"/>
              <w:marBottom w:val="0"/>
              <w:divBdr>
                <w:top w:val="none" w:sz="0" w:space="0" w:color="auto"/>
                <w:left w:val="none" w:sz="0" w:space="0" w:color="auto"/>
                <w:bottom w:val="none" w:sz="0" w:space="0" w:color="auto"/>
                <w:right w:val="none" w:sz="0" w:space="0" w:color="auto"/>
              </w:divBdr>
              <w:divsChild>
                <w:div w:id="884947548">
                  <w:marLeft w:val="0"/>
                  <w:marRight w:val="0"/>
                  <w:marTop w:val="0"/>
                  <w:marBottom w:val="0"/>
                  <w:divBdr>
                    <w:top w:val="none" w:sz="0" w:space="0" w:color="auto"/>
                    <w:left w:val="none" w:sz="0" w:space="0" w:color="auto"/>
                    <w:bottom w:val="none" w:sz="0" w:space="0" w:color="auto"/>
                    <w:right w:val="none" w:sz="0" w:space="0" w:color="auto"/>
                  </w:divBdr>
                </w:div>
              </w:divsChild>
            </w:div>
            <w:div w:id="1836456965">
              <w:marLeft w:val="0"/>
              <w:marRight w:val="0"/>
              <w:marTop w:val="0"/>
              <w:marBottom w:val="0"/>
              <w:divBdr>
                <w:top w:val="none" w:sz="0" w:space="0" w:color="auto"/>
                <w:left w:val="none" w:sz="0" w:space="0" w:color="auto"/>
                <w:bottom w:val="none" w:sz="0" w:space="0" w:color="auto"/>
                <w:right w:val="none" w:sz="0" w:space="0" w:color="auto"/>
              </w:divBdr>
              <w:divsChild>
                <w:div w:id="101734062">
                  <w:marLeft w:val="0"/>
                  <w:marRight w:val="0"/>
                  <w:marTop w:val="0"/>
                  <w:marBottom w:val="0"/>
                  <w:divBdr>
                    <w:top w:val="none" w:sz="0" w:space="0" w:color="auto"/>
                    <w:left w:val="none" w:sz="0" w:space="0" w:color="auto"/>
                    <w:bottom w:val="none" w:sz="0" w:space="0" w:color="auto"/>
                    <w:right w:val="none" w:sz="0" w:space="0" w:color="auto"/>
                  </w:divBdr>
                </w:div>
              </w:divsChild>
            </w:div>
            <w:div w:id="1837726320">
              <w:marLeft w:val="0"/>
              <w:marRight w:val="0"/>
              <w:marTop w:val="0"/>
              <w:marBottom w:val="0"/>
              <w:divBdr>
                <w:top w:val="none" w:sz="0" w:space="0" w:color="auto"/>
                <w:left w:val="none" w:sz="0" w:space="0" w:color="auto"/>
                <w:bottom w:val="none" w:sz="0" w:space="0" w:color="auto"/>
                <w:right w:val="none" w:sz="0" w:space="0" w:color="auto"/>
              </w:divBdr>
              <w:divsChild>
                <w:div w:id="335420010">
                  <w:marLeft w:val="0"/>
                  <w:marRight w:val="0"/>
                  <w:marTop w:val="0"/>
                  <w:marBottom w:val="0"/>
                  <w:divBdr>
                    <w:top w:val="none" w:sz="0" w:space="0" w:color="auto"/>
                    <w:left w:val="none" w:sz="0" w:space="0" w:color="auto"/>
                    <w:bottom w:val="none" w:sz="0" w:space="0" w:color="auto"/>
                    <w:right w:val="none" w:sz="0" w:space="0" w:color="auto"/>
                  </w:divBdr>
                </w:div>
              </w:divsChild>
            </w:div>
            <w:div w:id="1839147905">
              <w:marLeft w:val="0"/>
              <w:marRight w:val="0"/>
              <w:marTop w:val="0"/>
              <w:marBottom w:val="0"/>
              <w:divBdr>
                <w:top w:val="none" w:sz="0" w:space="0" w:color="auto"/>
                <w:left w:val="none" w:sz="0" w:space="0" w:color="auto"/>
                <w:bottom w:val="none" w:sz="0" w:space="0" w:color="auto"/>
                <w:right w:val="none" w:sz="0" w:space="0" w:color="auto"/>
              </w:divBdr>
              <w:divsChild>
                <w:div w:id="1476410332">
                  <w:marLeft w:val="0"/>
                  <w:marRight w:val="0"/>
                  <w:marTop w:val="0"/>
                  <w:marBottom w:val="0"/>
                  <w:divBdr>
                    <w:top w:val="none" w:sz="0" w:space="0" w:color="auto"/>
                    <w:left w:val="none" w:sz="0" w:space="0" w:color="auto"/>
                    <w:bottom w:val="none" w:sz="0" w:space="0" w:color="auto"/>
                    <w:right w:val="none" w:sz="0" w:space="0" w:color="auto"/>
                  </w:divBdr>
                </w:div>
              </w:divsChild>
            </w:div>
            <w:div w:id="1847282475">
              <w:marLeft w:val="0"/>
              <w:marRight w:val="0"/>
              <w:marTop w:val="300"/>
              <w:marBottom w:val="300"/>
              <w:divBdr>
                <w:top w:val="none" w:sz="0" w:space="0" w:color="auto"/>
                <w:left w:val="none" w:sz="0" w:space="0" w:color="auto"/>
                <w:bottom w:val="none" w:sz="0" w:space="0" w:color="auto"/>
                <w:right w:val="none" w:sz="0" w:space="0" w:color="auto"/>
              </w:divBdr>
            </w:div>
            <w:div w:id="1848401521">
              <w:marLeft w:val="0"/>
              <w:marRight w:val="0"/>
              <w:marTop w:val="0"/>
              <w:marBottom w:val="0"/>
              <w:divBdr>
                <w:top w:val="none" w:sz="0" w:space="0" w:color="auto"/>
                <w:left w:val="none" w:sz="0" w:space="0" w:color="auto"/>
                <w:bottom w:val="none" w:sz="0" w:space="0" w:color="auto"/>
                <w:right w:val="none" w:sz="0" w:space="0" w:color="auto"/>
              </w:divBdr>
              <w:divsChild>
                <w:div w:id="1156649711">
                  <w:marLeft w:val="0"/>
                  <w:marRight w:val="0"/>
                  <w:marTop w:val="0"/>
                  <w:marBottom w:val="0"/>
                  <w:divBdr>
                    <w:top w:val="none" w:sz="0" w:space="0" w:color="auto"/>
                    <w:left w:val="none" w:sz="0" w:space="0" w:color="auto"/>
                    <w:bottom w:val="none" w:sz="0" w:space="0" w:color="auto"/>
                    <w:right w:val="none" w:sz="0" w:space="0" w:color="auto"/>
                  </w:divBdr>
                </w:div>
              </w:divsChild>
            </w:div>
            <w:div w:id="1851338374">
              <w:marLeft w:val="0"/>
              <w:marRight w:val="0"/>
              <w:marTop w:val="0"/>
              <w:marBottom w:val="0"/>
              <w:divBdr>
                <w:top w:val="none" w:sz="0" w:space="0" w:color="auto"/>
                <w:left w:val="none" w:sz="0" w:space="0" w:color="auto"/>
                <w:bottom w:val="none" w:sz="0" w:space="0" w:color="auto"/>
                <w:right w:val="none" w:sz="0" w:space="0" w:color="auto"/>
              </w:divBdr>
              <w:divsChild>
                <w:div w:id="879974466">
                  <w:marLeft w:val="0"/>
                  <w:marRight w:val="0"/>
                  <w:marTop w:val="0"/>
                  <w:marBottom w:val="0"/>
                  <w:divBdr>
                    <w:top w:val="none" w:sz="0" w:space="0" w:color="auto"/>
                    <w:left w:val="none" w:sz="0" w:space="0" w:color="auto"/>
                    <w:bottom w:val="none" w:sz="0" w:space="0" w:color="auto"/>
                    <w:right w:val="none" w:sz="0" w:space="0" w:color="auto"/>
                  </w:divBdr>
                </w:div>
              </w:divsChild>
            </w:div>
            <w:div w:id="1856267420">
              <w:marLeft w:val="0"/>
              <w:marRight w:val="0"/>
              <w:marTop w:val="0"/>
              <w:marBottom w:val="0"/>
              <w:divBdr>
                <w:top w:val="none" w:sz="0" w:space="0" w:color="auto"/>
                <w:left w:val="none" w:sz="0" w:space="0" w:color="auto"/>
                <w:bottom w:val="none" w:sz="0" w:space="0" w:color="auto"/>
                <w:right w:val="none" w:sz="0" w:space="0" w:color="auto"/>
              </w:divBdr>
              <w:divsChild>
                <w:div w:id="1083795950">
                  <w:marLeft w:val="0"/>
                  <w:marRight w:val="0"/>
                  <w:marTop w:val="0"/>
                  <w:marBottom w:val="0"/>
                  <w:divBdr>
                    <w:top w:val="none" w:sz="0" w:space="0" w:color="auto"/>
                    <w:left w:val="none" w:sz="0" w:space="0" w:color="auto"/>
                    <w:bottom w:val="none" w:sz="0" w:space="0" w:color="auto"/>
                    <w:right w:val="none" w:sz="0" w:space="0" w:color="auto"/>
                  </w:divBdr>
                </w:div>
              </w:divsChild>
            </w:div>
            <w:div w:id="1856382104">
              <w:marLeft w:val="0"/>
              <w:marRight w:val="0"/>
              <w:marTop w:val="0"/>
              <w:marBottom w:val="0"/>
              <w:divBdr>
                <w:top w:val="none" w:sz="0" w:space="0" w:color="auto"/>
                <w:left w:val="none" w:sz="0" w:space="0" w:color="auto"/>
                <w:bottom w:val="none" w:sz="0" w:space="0" w:color="auto"/>
                <w:right w:val="none" w:sz="0" w:space="0" w:color="auto"/>
              </w:divBdr>
              <w:divsChild>
                <w:div w:id="622881645">
                  <w:marLeft w:val="0"/>
                  <w:marRight w:val="0"/>
                  <w:marTop w:val="0"/>
                  <w:marBottom w:val="0"/>
                  <w:divBdr>
                    <w:top w:val="none" w:sz="0" w:space="0" w:color="auto"/>
                    <w:left w:val="none" w:sz="0" w:space="0" w:color="auto"/>
                    <w:bottom w:val="none" w:sz="0" w:space="0" w:color="auto"/>
                    <w:right w:val="none" w:sz="0" w:space="0" w:color="auto"/>
                  </w:divBdr>
                </w:div>
              </w:divsChild>
            </w:div>
            <w:div w:id="1863012227">
              <w:marLeft w:val="0"/>
              <w:marRight w:val="0"/>
              <w:marTop w:val="0"/>
              <w:marBottom w:val="0"/>
              <w:divBdr>
                <w:top w:val="none" w:sz="0" w:space="0" w:color="auto"/>
                <w:left w:val="none" w:sz="0" w:space="0" w:color="auto"/>
                <w:bottom w:val="none" w:sz="0" w:space="0" w:color="auto"/>
                <w:right w:val="none" w:sz="0" w:space="0" w:color="auto"/>
              </w:divBdr>
              <w:divsChild>
                <w:div w:id="723409886">
                  <w:marLeft w:val="0"/>
                  <w:marRight w:val="0"/>
                  <w:marTop w:val="0"/>
                  <w:marBottom w:val="0"/>
                  <w:divBdr>
                    <w:top w:val="none" w:sz="0" w:space="0" w:color="auto"/>
                    <w:left w:val="none" w:sz="0" w:space="0" w:color="auto"/>
                    <w:bottom w:val="none" w:sz="0" w:space="0" w:color="auto"/>
                    <w:right w:val="none" w:sz="0" w:space="0" w:color="auto"/>
                  </w:divBdr>
                </w:div>
              </w:divsChild>
            </w:div>
            <w:div w:id="1866361991">
              <w:marLeft w:val="0"/>
              <w:marRight w:val="0"/>
              <w:marTop w:val="0"/>
              <w:marBottom w:val="0"/>
              <w:divBdr>
                <w:top w:val="none" w:sz="0" w:space="0" w:color="auto"/>
                <w:left w:val="none" w:sz="0" w:space="0" w:color="auto"/>
                <w:bottom w:val="none" w:sz="0" w:space="0" w:color="auto"/>
                <w:right w:val="none" w:sz="0" w:space="0" w:color="auto"/>
              </w:divBdr>
              <w:divsChild>
                <w:div w:id="1722823126">
                  <w:marLeft w:val="0"/>
                  <w:marRight w:val="0"/>
                  <w:marTop w:val="0"/>
                  <w:marBottom w:val="0"/>
                  <w:divBdr>
                    <w:top w:val="none" w:sz="0" w:space="0" w:color="auto"/>
                    <w:left w:val="none" w:sz="0" w:space="0" w:color="auto"/>
                    <w:bottom w:val="none" w:sz="0" w:space="0" w:color="auto"/>
                    <w:right w:val="none" w:sz="0" w:space="0" w:color="auto"/>
                  </w:divBdr>
                </w:div>
              </w:divsChild>
            </w:div>
            <w:div w:id="1875920158">
              <w:marLeft w:val="0"/>
              <w:marRight w:val="0"/>
              <w:marTop w:val="0"/>
              <w:marBottom w:val="0"/>
              <w:divBdr>
                <w:top w:val="none" w:sz="0" w:space="0" w:color="auto"/>
                <w:left w:val="none" w:sz="0" w:space="0" w:color="auto"/>
                <w:bottom w:val="none" w:sz="0" w:space="0" w:color="auto"/>
                <w:right w:val="none" w:sz="0" w:space="0" w:color="auto"/>
              </w:divBdr>
              <w:divsChild>
                <w:div w:id="544753615">
                  <w:marLeft w:val="0"/>
                  <w:marRight w:val="0"/>
                  <w:marTop w:val="0"/>
                  <w:marBottom w:val="0"/>
                  <w:divBdr>
                    <w:top w:val="none" w:sz="0" w:space="0" w:color="auto"/>
                    <w:left w:val="none" w:sz="0" w:space="0" w:color="auto"/>
                    <w:bottom w:val="none" w:sz="0" w:space="0" w:color="auto"/>
                    <w:right w:val="none" w:sz="0" w:space="0" w:color="auto"/>
                  </w:divBdr>
                </w:div>
              </w:divsChild>
            </w:div>
            <w:div w:id="1877548232">
              <w:marLeft w:val="0"/>
              <w:marRight w:val="0"/>
              <w:marTop w:val="0"/>
              <w:marBottom w:val="0"/>
              <w:divBdr>
                <w:top w:val="none" w:sz="0" w:space="0" w:color="auto"/>
                <w:left w:val="none" w:sz="0" w:space="0" w:color="auto"/>
                <w:bottom w:val="none" w:sz="0" w:space="0" w:color="auto"/>
                <w:right w:val="none" w:sz="0" w:space="0" w:color="auto"/>
              </w:divBdr>
              <w:divsChild>
                <w:div w:id="511921604">
                  <w:marLeft w:val="0"/>
                  <w:marRight w:val="0"/>
                  <w:marTop w:val="0"/>
                  <w:marBottom w:val="0"/>
                  <w:divBdr>
                    <w:top w:val="none" w:sz="0" w:space="0" w:color="auto"/>
                    <w:left w:val="none" w:sz="0" w:space="0" w:color="auto"/>
                    <w:bottom w:val="none" w:sz="0" w:space="0" w:color="auto"/>
                    <w:right w:val="none" w:sz="0" w:space="0" w:color="auto"/>
                  </w:divBdr>
                </w:div>
              </w:divsChild>
            </w:div>
            <w:div w:id="1877966152">
              <w:marLeft w:val="0"/>
              <w:marRight w:val="0"/>
              <w:marTop w:val="0"/>
              <w:marBottom w:val="0"/>
              <w:divBdr>
                <w:top w:val="none" w:sz="0" w:space="0" w:color="auto"/>
                <w:left w:val="none" w:sz="0" w:space="0" w:color="auto"/>
                <w:bottom w:val="none" w:sz="0" w:space="0" w:color="auto"/>
                <w:right w:val="none" w:sz="0" w:space="0" w:color="auto"/>
              </w:divBdr>
              <w:divsChild>
                <w:div w:id="1504469529">
                  <w:marLeft w:val="0"/>
                  <w:marRight w:val="0"/>
                  <w:marTop w:val="0"/>
                  <w:marBottom w:val="0"/>
                  <w:divBdr>
                    <w:top w:val="none" w:sz="0" w:space="0" w:color="auto"/>
                    <w:left w:val="none" w:sz="0" w:space="0" w:color="auto"/>
                    <w:bottom w:val="none" w:sz="0" w:space="0" w:color="auto"/>
                    <w:right w:val="none" w:sz="0" w:space="0" w:color="auto"/>
                  </w:divBdr>
                </w:div>
              </w:divsChild>
            </w:div>
            <w:div w:id="1881551548">
              <w:marLeft w:val="0"/>
              <w:marRight w:val="0"/>
              <w:marTop w:val="300"/>
              <w:marBottom w:val="300"/>
              <w:divBdr>
                <w:top w:val="none" w:sz="0" w:space="0" w:color="auto"/>
                <w:left w:val="none" w:sz="0" w:space="0" w:color="auto"/>
                <w:bottom w:val="none" w:sz="0" w:space="0" w:color="auto"/>
                <w:right w:val="none" w:sz="0" w:space="0" w:color="auto"/>
              </w:divBdr>
            </w:div>
            <w:div w:id="1884052797">
              <w:marLeft w:val="0"/>
              <w:marRight w:val="0"/>
              <w:marTop w:val="0"/>
              <w:marBottom w:val="0"/>
              <w:divBdr>
                <w:top w:val="none" w:sz="0" w:space="0" w:color="auto"/>
                <w:left w:val="none" w:sz="0" w:space="0" w:color="auto"/>
                <w:bottom w:val="none" w:sz="0" w:space="0" w:color="auto"/>
                <w:right w:val="none" w:sz="0" w:space="0" w:color="auto"/>
              </w:divBdr>
              <w:divsChild>
                <w:div w:id="1958440086">
                  <w:marLeft w:val="0"/>
                  <w:marRight w:val="0"/>
                  <w:marTop w:val="0"/>
                  <w:marBottom w:val="0"/>
                  <w:divBdr>
                    <w:top w:val="none" w:sz="0" w:space="0" w:color="auto"/>
                    <w:left w:val="none" w:sz="0" w:space="0" w:color="auto"/>
                    <w:bottom w:val="none" w:sz="0" w:space="0" w:color="auto"/>
                    <w:right w:val="none" w:sz="0" w:space="0" w:color="auto"/>
                  </w:divBdr>
                </w:div>
              </w:divsChild>
            </w:div>
            <w:div w:id="1884251904">
              <w:marLeft w:val="0"/>
              <w:marRight w:val="0"/>
              <w:marTop w:val="0"/>
              <w:marBottom w:val="0"/>
              <w:divBdr>
                <w:top w:val="none" w:sz="0" w:space="0" w:color="auto"/>
                <w:left w:val="none" w:sz="0" w:space="0" w:color="auto"/>
                <w:bottom w:val="none" w:sz="0" w:space="0" w:color="auto"/>
                <w:right w:val="none" w:sz="0" w:space="0" w:color="auto"/>
              </w:divBdr>
              <w:divsChild>
                <w:div w:id="1245144824">
                  <w:marLeft w:val="0"/>
                  <w:marRight w:val="0"/>
                  <w:marTop w:val="0"/>
                  <w:marBottom w:val="0"/>
                  <w:divBdr>
                    <w:top w:val="none" w:sz="0" w:space="0" w:color="auto"/>
                    <w:left w:val="none" w:sz="0" w:space="0" w:color="auto"/>
                    <w:bottom w:val="none" w:sz="0" w:space="0" w:color="auto"/>
                    <w:right w:val="none" w:sz="0" w:space="0" w:color="auto"/>
                  </w:divBdr>
                </w:div>
              </w:divsChild>
            </w:div>
            <w:div w:id="1886529429">
              <w:marLeft w:val="0"/>
              <w:marRight w:val="0"/>
              <w:marTop w:val="0"/>
              <w:marBottom w:val="0"/>
              <w:divBdr>
                <w:top w:val="none" w:sz="0" w:space="0" w:color="auto"/>
                <w:left w:val="none" w:sz="0" w:space="0" w:color="auto"/>
                <w:bottom w:val="none" w:sz="0" w:space="0" w:color="auto"/>
                <w:right w:val="none" w:sz="0" w:space="0" w:color="auto"/>
              </w:divBdr>
              <w:divsChild>
                <w:div w:id="683095427">
                  <w:marLeft w:val="0"/>
                  <w:marRight w:val="0"/>
                  <w:marTop w:val="0"/>
                  <w:marBottom w:val="0"/>
                  <w:divBdr>
                    <w:top w:val="none" w:sz="0" w:space="0" w:color="auto"/>
                    <w:left w:val="none" w:sz="0" w:space="0" w:color="auto"/>
                    <w:bottom w:val="none" w:sz="0" w:space="0" w:color="auto"/>
                    <w:right w:val="none" w:sz="0" w:space="0" w:color="auto"/>
                  </w:divBdr>
                </w:div>
              </w:divsChild>
            </w:div>
            <w:div w:id="1888179045">
              <w:marLeft w:val="0"/>
              <w:marRight w:val="0"/>
              <w:marTop w:val="0"/>
              <w:marBottom w:val="0"/>
              <w:divBdr>
                <w:top w:val="none" w:sz="0" w:space="0" w:color="auto"/>
                <w:left w:val="none" w:sz="0" w:space="0" w:color="auto"/>
                <w:bottom w:val="none" w:sz="0" w:space="0" w:color="auto"/>
                <w:right w:val="none" w:sz="0" w:space="0" w:color="auto"/>
              </w:divBdr>
              <w:divsChild>
                <w:div w:id="520509222">
                  <w:marLeft w:val="0"/>
                  <w:marRight w:val="0"/>
                  <w:marTop w:val="0"/>
                  <w:marBottom w:val="0"/>
                  <w:divBdr>
                    <w:top w:val="none" w:sz="0" w:space="0" w:color="auto"/>
                    <w:left w:val="none" w:sz="0" w:space="0" w:color="auto"/>
                    <w:bottom w:val="none" w:sz="0" w:space="0" w:color="auto"/>
                    <w:right w:val="none" w:sz="0" w:space="0" w:color="auto"/>
                  </w:divBdr>
                </w:div>
              </w:divsChild>
            </w:div>
            <w:div w:id="1891378786">
              <w:marLeft w:val="0"/>
              <w:marRight w:val="0"/>
              <w:marTop w:val="0"/>
              <w:marBottom w:val="0"/>
              <w:divBdr>
                <w:top w:val="none" w:sz="0" w:space="0" w:color="auto"/>
                <w:left w:val="none" w:sz="0" w:space="0" w:color="auto"/>
                <w:bottom w:val="none" w:sz="0" w:space="0" w:color="auto"/>
                <w:right w:val="none" w:sz="0" w:space="0" w:color="auto"/>
              </w:divBdr>
              <w:divsChild>
                <w:div w:id="1543861202">
                  <w:marLeft w:val="0"/>
                  <w:marRight w:val="0"/>
                  <w:marTop w:val="0"/>
                  <w:marBottom w:val="0"/>
                  <w:divBdr>
                    <w:top w:val="none" w:sz="0" w:space="0" w:color="auto"/>
                    <w:left w:val="none" w:sz="0" w:space="0" w:color="auto"/>
                    <w:bottom w:val="none" w:sz="0" w:space="0" w:color="auto"/>
                    <w:right w:val="none" w:sz="0" w:space="0" w:color="auto"/>
                  </w:divBdr>
                </w:div>
              </w:divsChild>
            </w:div>
            <w:div w:id="1892036584">
              <w:marLeft w:val="0"/>
              <w:marRight w:val="0"/>
              <w:marTop w:val="0"/>
              <w:marBottom w:val="0"/>
              <w:divBdr>
                <w:top w:val="none" w:sz="0" w:space="0" w:color="auto"/>
                <w:left w:val="none" w:sz="0" w:space="0" w:color="auto"/>
                <w:bottom w:val="none" w:sz="0" w:space="0" w:color="auto"/>
                <w:right w:val="none" w:sz="0" w:space="0" w:color="auto"/>
              </w:divBdr>
              <w:divsChild>
                <w:div w:id="1784611519">
                  <w:marLeft w:val="0"/>
                  <w:marRight w:val="0"/>
                  <w:marTop w:val="0"/>
                  <w:marBottom w:val="0"/>
                  <w:divBdr>
                    <w:top w:val="none" w:sz="0" w:space="0" w:color="auto"/>
                    <w:left w:val="none" w:sz="0" w:space="0" w:color="auto"/>
                    <w:bottom w:val="none" w:sz="0" w:space="0" w:color="auto"/>
                    <w:right w:val="none" w:sz="0" w:space="0" w:color="auto"/>
                  </w:divBdr>
                </w:div>
              </w:divsChild>
            </w:div>
            <w:div w:id="1896770164">
              <w:marLeft w:val="0"/>
              <w:marRight w:val="0"/>
              <w:marTop w:val="0"/>
              <w:marBottom w:val="0"/>
              <w:divBdr>
                <w:top w:val="none" w:sz="0" w:space="0" w:color="auto"/>
                <w:left w:val="none" w:sz="0" w:space="0" w:color="auto"/>
                <w:bottom w:val="none" w:sz="0" w:space="0" w:color="auto"/>
                <w:right w:val="none" w:sz="0" w:space="0" w:color="auto"/>
              </w:divBdr>
              <w:divsChild>
                <w:div w:id="1881941197">
                  <w:marLeft w:val="0"/>
                  <w:marRight w:val="0"/>
                  <w:marTop w:val="0"/>
                  <w:marBottom w:val="0"/>
                  <w:divBdr>
                    <w:top w:val="none" w:sz="0" w:space="0" w:color="auto"/>
                    <w:left w:val="none" w:sz="0" w:space="0" w:color="auto"/>
                    <w:bottom w:val="none" w:sz="0" w:space="0" w:color="auto"/>
                    <w:right w:val="none" w:sz="0" w:space="0" w:color="auto"/>
                  </w:divBdr>
                </w:div>
              </w:divsChild>
            </w:div>
            <w:div w:id="1899776629">
              <w:marLeft w:val="0"/>
              <w:marRight w:val="0"/>
              <w:marTop w:val="0"/>
              <w:marBottom w:val="0"/>
              <w:divBdr>
                <w:top w:val="none" w:sz="0" w:space="0" w:color="auto"/>
                <w:left w:val="none" w:sz="0" w:space="0" w:color="auto"/>
                <w:bottom w:val="none" w:sz="0" w:space="0" w:color="auto"/>
                <w:right w:val="none" w:sz="0" w:space="0" w:color="auto"/>
              </w:divBdr>
              <w:divsChild>
                <w:div w:id="703364191">
                  <w:marLeft w:val="0"/>
                  <w:marRight w:val="0"/>
                  <w:marTop w:val="0"/>
                  <w:marBottom w:val="0"/>
                  <w:divBdr>
                    <w:top w:val="none" w:sz="0" w:space="0" w:color="auto"/>
                    <w:left w:val="none" w:sz="0" w:space="0" w:color="auto"/>
                    <w:bottom w:val="none" w:sz="0" w:space="0" w:color="auto"/>
                    <w:right w:val="none" w:sz="0" w:space="0" w:color="auto"/>
                  </w:divBdr>
                </w:div>
              </w:divsChild>
            </w:div>
            <w:div w:id="1902054196">
              <w:marLeft w:val="0"/>
              <w:marRight w:val="0"/>
              <w:marTop w:val="0"/>
              <w:marBottom w:val="0"/>
              <w:divBdr>
                <w:top w:val="none" w:sz="0" w:space="0" w:color="auto"/>
                <w:left w:val="none" w:sz="0" w:space="0" w:color="auto"/>
                <w:bottom w:val="none" w:sz="0" w:space="0" w:color="auto"/>
                <w:right w:val="none" w:sz="0" w:space="0" w:color="auto"/>
              </w:divBdr>
              <w:divsChild>
                <w:div w:id="395973399">
                  <w:marLeft w:val="0"/>
                  <w:marRight w:val="0"/>
                  <w:marTop w:val="0"/>
                  <w:marBottom w:val="0"/>
                  <w:divBdr>
                    <w:top w:val="none" w:sz="0" w:space="0" w:color="auto"/>
                    <w:left w:val="none" w:sz="0" w:space="0" w:color="auto"/>
                    <w:bottom w:val="none" w:sz="0" w:space="0" w:color="auto"/>
                    <w:right w:val="none" w:sz="0" w:space="0" w:color="auto"/>
                  </w:divBdr>
                </w:div>
              </w:divsChild>
            </w:div>
            <w:div w:id="1902056310">
              <w:marLeft w:val="0"/>
              <w:marRight w:val="0"/>
              <w:marTop w:val="0"/>
              <w:marBottom w:val="0"/>
              <w:divBdr>
                <w:top w:val="none" w:sz="0" w:space="0" w:color="auto"/>
                <w:left w:val="none" w:sz="0" w:space="0" w:color="auto"/>
                <w:bottom w:val="none" w:sz="0" w:space="0" w:color="auto"/>
                <w:right w:val="none" w:sz="0" w:space="0" w:color="auto"/>
              </w:divBdr>
              <w:divsChild>
                <w:div w:id="1811285442">
                  <w:marLeft w:val="0"/>
                  <w:marRight w:val="0"/>
                  <w:marTop w:val="0"/>
                  <w:marBottom w:val="0"/>
                  <w:divBdr>
                    <w:top w:val="none" w:sz="0" w:space="0" w:color="auto"/>
                    <w:left w:val="none" w:sz="0" w:space="0" w:color="auto"/>
                    <w:bottom w:val="none" w:sz="0" w:space="0" w:color="auto"/>
                    <w:right w:val="none" w:sz="0" w:space="0" w:color="auto"/>
                  </w:divBdr>
                </w:div>
              </w:divsChild>
            </w:div>
            <w:div w:id="1908110337">
              <w:marLeft w:val="0"/>
              <w:marRight w:val="0"/>
              <w:marTop w:val="0"/>
              <w:marBottom w:val="0"/>
              <w:divBdr>
                <w:top w:val="none" w:sz="0" w:space="0" w:color="auto"/>
                <w:left w:val="none" w:sz="0" w:space="0" w:color="auto"/>
                <w:bottom w:val="none" w:sz="0" w:space="0" w:color="auto"/>
                <w:right w:val="none" w:sz="0" w:space="0" w:color="auto"/>
              </w:divBdr>
              <w:divsChild>
                <w:div w:id="1467352200">
                  <w:marLeft w:val="0"/>
                  <w:marRight w:val="0"/>
                  <w:marTop w:val="0"/>
                  <w:marBottom w:val="0"/>
                  <w:divBdr>
                    <w:top w:val="none" w:sz="0" w:space="0" w:color="auto"/>
                    <w:left w:val="none" w:sz="0" w:space="0" w:color="auto"/>
                    <w:bottom w:val="none" w:sz="0" w:space="0" w:color="auto"/>
                    <w:right w:val="none" w:sz="0" w:space="0" w:color="auto"/>
                  </w:divBdr>
                </w:div>
              </w:divsChild>
            </w:div>
            <w:div w:id="1908572032">
              <w:marLeft w:val="0"/>
              <w:marRight w:val="0"/>
              <w:marTop w:val="300"/>
              <w:marBottom w:val="300"/>
              <w:divBdr>
                <w:top w:val="none" w:sz="0" w:space="0" w:color="auto"/>
                <w:left w:val="none" w:sz="0" w:space="0" w:color="auto"/>
                <w:bottom w:val="none" w:sz="0" w:space="0" w:color="auto"/>
                <w:right w:val="none" w:sz="0" w:space="0" w:color="auto"/>
              </w:divBdr>
            </w:div>
            <w:div w:id="1909345376">
              <w:marLeft w:val="0"/>
              <w:marRight w:val="0"/>
              <w:marTop w:val="0"/>
              <w:marBottom w:val="0"/>
              <w:divBdr>
                <w:top w:val="none" w:sz="0" w:space="0" w:color="auto"/>
                <w:left w:val="none" w:sz="0" w:space="0" w:color="auto"/>
                <w:bottom w:val="none" w:sz="0" w:space="0" w:color="auto"/>
                <w:right w:val="none" w:sz="0" w:space="0" w:color="auto"/>
              </w:divBdr>
              <w:divsChild>
                <w:div w:id="342243435">
                  <w:marLeft w:val="0"/>
                  <w:marRight w:val="0"/>
                  <w:marTop w:val="0"/>
                  <w:marBottom w:val="0"/>
                  <w:divBdr>
                    <w:top w:val="none" w:sz="0" w:space="0" w:color="auto"/>
                    <w:left w:val="none" w:sz="0" w:space="0" w:color="auto"/>
                    <w:bottom w:val="none" w:sz="0" w:space="0" w:color="auto"/>
                    <w:right w:val="none" w:sz="0" w:space="0" w:color="auto"/>
                  </w:divBdr>
                </w:div>
              </w:divsChild>
            </w:div>
            <w:div w:id="1910118970">
              <w:marLeft w:val="0"/>
              <w:marRight w:val="0"/>
              <w:marTop w:val="0"/>
              <w:marBottom w:val="0"/>
              <w:divBdr>
                <w:top w:val="none" w:sz="0" w:space="0" w:color="auto"/>
                <w:left w:val="none" w:sz="0" w:space="0" w:color="auto"/>
                <w:bottom w:val="none" w:sz="0" w:space="0" w:color="auto"/>
                <w:right w:val="none" w:sz="0" w:space="0" w:color="auto"/>
              </w:divBdr>
              <w:divsChild>
                <w:div w:id="2074421767">
                  <w:marLeft w:val="0"/>
                  <w:marRight w:val="0"/>
                  <w:marTop w:val="0"/>
                  <w:marBottom w:val="0"/>
                  <w:divBdr>
                    <w:top w:val="none" w:sz="0" w:space="0" w:color="auto"/>
                    <w:left w:val="none" w:sz="0" w:space="0" w:color="auto"/>
                    <w:bottom w:val="none" w:sz="0" w:space="0" w:color="auto"/>
                    <w:right w:val="none" w:sz="0" w:space="0" w:color="auto"/>
                  </w:divBdr>
                </w:div>
              </w:divsChild>
            </w:div>
            <w:div w:id="1912620764">
              <w:marLeft w:val="0"/>
              <w:marRight w:val="0"/>
              <w:marTop w:val="0"/>
              <w:marBottom w:val="0"/>
              <w:divBdr>
                <w:top w:val="none" w:sz="0" w:space="0" w:color="auto"/>
                <w:left w:val="none" w:sz="0" w:space="0" w:color="auto"/>
                <w:bottom w:val="none" w:sz="0" w:space="0" w:color="auto"/>
                <w:right w:val="none" w:sz="0" w:space="0" w:color="auto"/>
              </w:divBdr>
              <w:divsChild>
                <w:div w:id="1894196186">
                  <w:marLeft w:val="0"/>
                  <w:marRight w:val="0"/>
                  <w:marTop w:val="0"/>
                  <w:marBottom w:val="0"/>
                  <w:divBdr>
                    <w:top w:val="none" w:sz="0" w:space="0" w:color="auto"/>
                    <w:left w:val="none" w:sz="0" w:space="0" w:color="auto"/>
                    <w:bottom w:val="none" w:sz="0" w:space="0" w:color="auto"/>
                    <w:right w:val="none" w:sz="0" w:space="0" w:color="auto"/>
                  </w:divBdr>
                </w:div>
              </w:divsChild>
            </w:div>
            <w:div w:id="1914311608">
              <w:marLeft w:val="0"/>
              <w:marRight w:val="0"/>
              <w:marTop w:val="0"/>
              <w:marBottom w:val="0"/>
              <w:divBdr>
                <w:top w:val="none" w:sz="0" w:space="0" w:color="auto"/>
                <w:left w:val="none" w:sz="0" w:space="0" w:color="auto"/>
                <w:bottom w:val="none" w:sz="0" w:space="0" w:color="auto"/>
                <w:right w:val="none" w:sz="0" w:space="0" w:color="auto"/>
              </w:divBdr>
              <w:divsChild>
                <w:div w:id="1470826923">
                  <w:marLeft w:val="0"/>
                  <w:marRight w:val="0"/>
                  <w:marTop w:val="0"/>
                  <w:marBottom w:val="0"/>
                  <w:divBdr>
                    <w:top w:val="none" w:sz="0" w:space="0" w:color="auto"/>
                    <w:left w:val="none" w:sz="0" w:space="0" w:color="auto"/>
                    <w:bottom w:val="none" w:sz="0" w:space="0" w:color="auto"/>
                    <w:right w:val="none" w:sz="0" w:space="0" w:color="auto"/>
                  </w:divBdr>
                </w:div>
              </w:divsChild>
            </w:div>
            <w:div w:id="1915623138">
              <w:marLeft w:val="0"/>
              <w:marRight w:val="0"/>
              <w:marTop w:val="0"/>
              <w:marBottom w:val="0"/>
              <w:divBdr>
                <w:top w:val="none" w:sz="0" w:space="0" w:color="auto"/>
                <w:left w:val="none" w:sz="0" w:space="0" w:color="auto"/>
                <w:bottom w:val="none" w:sz="0" w:space="0" w:color="auto"/>
                <w:right w:val="none" w:sz="0" w:space="0" w:color="auto"/>
              </w:divBdr>
              <w:divsChild>
                <w:div w:id="393554089">
                  <w:marLeft w:val="0"/>
                  <w:marRight w:val="0"/>
                  <w:marTop w:val="0"/>
                  <w:marBottom w:val="0"/>
                  <w:divBdr>
                    <w:top w:val="none" w:sz="0" w:space="0" w:color="auto"/>
                    <w:left w:val="none" w:sz="0" w:space="0" w:color="auto"/>
                    <w:bottom w:val="none" w:sz="0" w:space="0" w:color="auto"/>
                    <w:right w:val="none" w:sz="0" w:space="0" w:color="auto"/>
                  </w:divBdr>
                </w:div>
              </w:divsChild>
            </w:div>
            <w:div w:id="1919755017">
              <w:marLeft w:val="0"/>
              <w:marRight w:val="0"/>
              <w:marTop w:val="0"/>
              <w:marBottom w:val="0"/>
              <w:divBdr>
                <w:top w:val="none" w:sz="0" w:space="0" w:color="auto"/>
                <w:left w:val="none" w:sz="0" w:space="0" w:color="auto"/>
                <w:bottom w:val="none" w:sz="0" w:space="0" w:color="auto"/>
                <w:right w:val="none" w:sz="0" w:space="0" w:color="auto"/>
              </w:divBdr>
              <w:divsChild>
                <w:div w:id="1497258747">
                  <w:marLeft w:val="0"/>
                  <w:marRight w:val="0"/>
                  <w:marTop w:val="0"/>
                  <w:marBottom w:val="0"/>
                  <w:divBdr>
                    <w:top w:val="none" w:sz="0" w:space="0" w:color="auto"/>
                    <w:left w:val="none" w:sz="0" w:space="0" w:color="auto"/>
                    <w:bottom w:val="none" w:sz="0" w:space="0" w:color="auto"/>
                    <w:right w:val="none" w:sz="0" w:space="0" w:color="auto"/>
                  </w:divBdr>
                </w:div>
              </w:divsChild>
            </w:div>
            <w:div w:id="1927420301">
              <w:marLeft w:val="0"/>
              <w:marRight w:val="0"/>
              <w:marTop w:val="300"/>
              <w:marBottom w:val="300"/>
              <w:divBdr>
                <w:top w:val="none" w:sz="0" w:space="0" w:color="auto"/>
                <w:left w:val="none" w:sz="0" w:space="0" w:color="auto"/>
                <w:bottom w:val="none" w:sz="0" w:space="0" w:color="auto"/>
                <w:right w:val="none" w:sz="0" w:space="0" w:color="auto"/>
              </w:divBdr>
            </w:div>
            <w:div w:id="1928032975">
              <w:marLeft w:val="0"/>
              <w:marRight w:val="0"/>
              <w:marTop w:val="0"/>
              <w:marBottom w:val="0"/>
              <w:divBdr>
                <w:top w:val="none" w:sz="0" w:space="0" w:color="auto"/>
                <w:left w:val="none" w:sz="0" w:space="0" w:color="auto"/>
                <w:bottom w:val="none" w:sz="0" w:space="0" w:color="auto"/>
                <w:right w:val="none" w:sz="0" w:space="0" w:color="auto"/>
              </w:divBdr>
              <w:divsChild>
                <w:div w:id="1905795457">
                  <w:marLeft w:val="0"/>
                  <w:marRight w:val="0"/>
                  <w:marTop w:val="0"/>
                  <w:marBottom w:val="0"/>
                  <w:divBdr>
                    <w:top w:val="none" w:sz="0" w:space="0" w:color="auto"/>
                    <w:left w:val="none" w:sz="0" w:space="0" w:color="auto"/>
                    <w:bottom w:val="none" w:sz="0" w:space="0" w:color="auto"/>
                    <w:right w:val="none" w:sz="0" w:space="0" w:color="auto"/>
                  </w:divBdr>
                </w:div>
              </w:divsChild>
            </w:div>
            <w:div w:id="1936160257">
              <w:marLeft w:val="0"/>
              <w:marRight w:val="0"/>
              <w:marTop w:val="0"/>
              <w:marBottom w:val="0"/>
              <w:divBdr>
                <w:top w:val="none" w:sz="0" w:space="0" w:color="auto"/>
                <w:left w:val="none" w:sz="0" w:space="0" w:color="auto"/>
                <w:bottom w:val="none" w:sz="0" w:space="0" w:color="auto"/>
                <w:right w:val="none" w:sz="0" w:space="0" w:color="auto"/>
              </w:divBdr>
              <w:divsChild>
                <w:div w:id="312950765">
                  <w:marLeft w:val="0"/>
                  <w:marRight w:val="0"/>
                  <w:marTop w:val="0"/>
                  <w:marBottom w:val="0"/>
                  <w:divBdr>
                    <w:top w:val="none" w:sz="0" w:space="0" w:color="auto"/>
                    <w:left w:val="none" w:sz="0" w:space="0" w:color="auto"/>
                    <w:bottom w:val="none" w:sz="0" w:space="0" w:color="auto"/>
                    <w:right w:val="none" w:sz="0" w:space="0" w:color="auto"/>
                  </w:divBdr>
                </w:div>
              </w:divsChild>
            </w:div>
            <w:div w:id="1943872841">
              <w:marLeft w:val="0"/>
              <w:marRight w:val="0"/>
              <w:marTop w:val="0"/>
              <w:marBottom w:val="0"/>
              <w:divBdr>
                <w:top w:val="none" w:sz="0" w:space="0" w:color="auto"/>
                <w:left w:val="none" w:sz="0" w:space="0" w:color="auto"/>
                <w:bottom w:val="none" w:sz="0" w:space="0" w:color="auto"/>
                <w:right w:val="none" w:sz="0" w:space="0" w:color="auto"/>
              </w:divBdr>
              <w:divsChild>
                <w:div w:id="601497522">
                  <w:marLeft w:val="0"/>
                  <w:marRight w:val="0"/>
                  <w:marTop w:val="0"/>
                  <w:marBottom w:val="0"/>
                  <w:divBdr>
                    <w:top w:val="none" w:sz="0" w:space="0" w:color="auto"/>
                    <w:left w:val="none" w:sz="0" w:space="0" w:color="auto"/>
                    <w:bottom w:val="none" w:sz="0" w:space="0" w:color="auto"/>
                    <w:right w:val="none" w:sz="0" w:space="0" w:color="auto"/>
                  </w:divBdr>
                </w:div>
              </w:divsChild>
            </w:div>
            <w:div w:id="1955405381">
              <w:marLeft w:val="0"/>
              <w:marRight w:val="0"/>
              <w:marTop w:val="300"/>
              <w:marBottom w:val="300"/>
              <w:divBdr>
                <w:top w:val="none" w:sz="0" w:space="0" w:color="auto"/>
                <w:left w:val="none" w:sz="0" w:space="0" w:color="auto"/>
                <w:bottom w:val="none" w:sz="0" w:space="0" w:color="auto"/>
                <w:right w:val="none" w:sz="0" w:space="0" w:color="auto"/>
              </w:divBdr>
            </w:div>
            <w:div w:id="1958952248">
              <w:marLeft w:val="0"/>
              <w:marRight w:val="0"/>
              <w:marTop w:val="0"/>
              <w:marBottom w:val="0"/>
              <w:divBdr>
                <w:top w:val="none" w:sz="0" w:space="0" w:color="auto"/>
                <w:left w:val="none" w:sz="0" w:space="0" w:color="auto"/>
                <w:bottom w:val="none" w:sz="0" w:space="0" w:color="auto"/>
                <w:right w:val="none" w:sz="0" w:space="0" w:color="auto"/>
              </w:divBdr>
              <w:divsChild>
                <w:div w:id="1032537566">
                  <w:marLeft w:val="0"/>
                  <w:marRight w:val="0"/>
                  <w:marTop w:val="0"/>
                  <w:marBottom w:val="0"/>
                  <w:divBdr>
                    <w:top w:val="none" w:sz="0" w:space="0" w:color="auto"/>
                    <w:left w:val="none" w:sz="0" w:space="0" w:color="auto"/>
                    <w:bottom w:val="none" w:sz="0" w:space="0" w:color="auto"/>
                    <w:right w:val="none" w:sz="0" w:space="0" w:color="auto"/>
                  </w:divBdr>
                </w:div>
              </w:divsChild>
            </w:div>
            <w:div w:id="1959331095">
              <w:marLeft w:val="0"/>
              <w:marRight w:val="0"/>
              <w:marTop w:val="0"/>
              <w:marBottom w:val="0"/>
              <w:divBdr>
                <w:top w:val="none" w:sz="0" w:space="0" w:color="auto"/>
                <w:left w:val="none" w:sz="0" w:space="0" w:color="auto"/>
                <w:bottom w:val="none" w:sz="0" w:space="0" w:color="auto"/>
                <w:right w:val="none" w:sz="0" w:space="0" w:color="auto"/>
              </w:divBdr>
              <w:divsChild>
                <w:div w:id="1300303863">
                  <w:marLeft w:val="0"/>
                  <w:marRight w:val="0"/>
                  <w:marTop w:val="0"/>
                  <w:marBottom w:val="0"/>
                  <w:divBdr>
                    <w:top w:val="none" w:sz="0" w:space="0" w:color="auto"/>
                    <w:left w:val="none" w:sz="0" w:space="0" w:color="auto"/>
                    <w:bottom w:val="none" w:sz="0" w:space="0" w:color="auto"/>
                    <w:right w:val="none" w:sz="0" w:space="0" w:color="auto"/>
                  </w:divBdr>
                </w:div>
              </w:divsChild>
            </w:div>
            <w:div w:id="1959793576">
              <w:marLeft w:val="0"/>
              <w:marRight w:val="0"/>
              <w:marTop w:val="0"/>
              <w:marBottom w:val="0"/>
              <w:divBdr>
                <w:top w:val="none" w:sz="0" w:space="0" w:color="auto"/>
                <w:left w:val="none" w:sz="0" w:space="0" w:color="auto"/>
                <w:bottom w:val="none" w:sz="0" w:space="0" w:color="auto"/>
                <w:right w:val="none" w:sz="0" w:space="0" w:color="auto"/>
              </w:divBdr>
              <w:divsChild>
                <w:div w:id="1947612280">
                  <w:marLeft w:val="0"/>
                  <w:marRight w:val="0"/>
                  <w:marTop w:val="0"/>
                  <w:marBottom w:val="0"/>
                  <w:divBdr>
                    <w:top w:val="none" w:sz="0" w:space="0" w:color="auto"/>
                    <w:left w:val="none" w:sz="0" w:space="0" w:color="auto"/>
                    <w:bottom w:val="none" w:sz="0" w:space="0" w:color="auto"/>
                    <w:right w:val="none" w:sz="0" w:space="0" w:color="auto"/>
                  </w:divBdr>
                </w:div>
              </w:divsChild>
            </w:div>
            <w:div w:id="1959991969">
              <w:marLeft w:val="0"/>
              <w:marRight w:val="0"/>
              <w:marTop w:val="0"/>
              <w:marBottom w:val="0"/>
              <w:divBdr>
                <w:top w:val="none" w:sz="0" w:space="0" w:color="auto"/>
                <w:left w:val="none" w:sz="0" w:space="0" w:color="auto"/>
                <w:bottom w:val="none" w:sz="0" w:space="0" w:color="auto"/>
                <w:right w:val="none" w:sz="0" w:space="0" w:color="auto"/>
              </w:divBdr>
              <w:divsChild>
                <w:div w:id="1794979103">
                  <w:marLeft w:val="0"/>
                  <w:marRight w:val="0"/>
                  <w:marTop w:val="0"/>
                  <w:marBottom w:val="0"/>
                  <w:divBdr>
                    <w:top w:val="none" w:sz="0" w:space="0" w:color="auto"/>
                    <w:left w:val="none" w:sz="0" w:space="0" w:color="auto"/>
                    <w:bottom w:val="none" w:sz="0" w:space="0" w:color="auto"/>
                    <w:right w:val="none" w:sz="0" w:space="0" w:color="auto"/>
                  </w:divBdr>
                </w:div>
              </w:divsChild>
            </w:div>
            <w:div w:id="1963686674">
              <w:marLeft w:val="0"/>
              <w:marRight w:val="0"/>
              <w:marTop w:val="0"/>
              <w:marBottom w:val="0"/>
              <w:divBdr>
                <w:top w:val="none" w:sz="0" w:space="0" w:color="auto"/>
                <w:left w:val="none" w:sz="0" w:space="0" w:color="auto"/>
                <w:bottom w:val="none" w:sz="0" w:space="0" w:color="auto"/>
                <w:right w:val="none" w:sz="0" w:space="0" w:color="auto"/>
              </w:divBdr>
              <w:divsChild>
                <w:div w:id="1626348145">
                  <w:marLeft w:val="0"/>
                  <w:marRight w:val="0"/>
                  <w:marTop w:val="0"/>
                  <w:marBottom w:val="0"/>
                  <w:divBdr>
                    <w:top w:val="none" w:sz="0" w:space="0" w:color="auto"/>
                    <w:left w:val="none" w:sz="0" w:space="0" w:color="auto"/>
                    <w:bottom w:val="none" w:sz="0" w:space="0" w:color="auto"/>
                    <w:right w:val="none" w:sz="0" w:space="0" w:color="auto"/>
                  </w:divBdr>
                </w:div>
              </w:divsChild>
            </w:div>
            <w:div w:id="1965843261">
              <w:marLeft w:val="0"/>
              <w:marRight w:val="0"/>
              <w:marTop w:val="0"/>
              <w:marBottom w:val="0"/>
              <w:divBdr>
                <w:top w:val="none" w:sz="0" w:space="0" w:color="auto"/>
                <w:left w:val="none" w:sz="0" w:space="0" w:color="auto"/>
                <w:bottom w:val="none" w:sz="0" w:space="0" w:color="auto"/>
                <w:right w:val="none" w:sz="0" w:space="0" w:color="auto"/>
              </w:divBdr>
              <w:divsChild>
                <w:div w:id="662201761">
                  <w:marLeft w:val="0"/>
                  <w:marRight w:val="0"/>
                  <w:marTop w:val="0"/>
                  <w:marBottom w:val="0"/>
                  <w:divBdr>
                    <w:top w:val="none" w:sz="0" w:space="0" w:color="auto"/>
                    <w:left w:val="none" w:sz="0" w:space="0" w:color="auto"/>
                    <w:bottom w:val="none" w:sz="0" w:space="0" w:color="auto"/>
                    <w:right w:val="none" w:sz="0" w:space="0" w:color="auto"/>
                  </w:divBdr>
                </w:div>
              </w:divsChild>
            </w:div>
            <w:div w:id="1968007560">
              <w:marLeft w:val="0"/>
              <w:marRight w:val="0"/>
              <w:marTop w:val="0"/>
              <w:marBottom w:val="0"/>
              <w:divBdr>
                <w:top w:val="none" w:sz="0" w:space="0" w:color="auto"/>
                <w:left w:val="none" w:sz="0" w:space="0" w:color="auto"/>
                <w:bottom w:val="none" w:sz="0" w:space="0" w:color="auto"/>
                <w:right w:val="none" w:sz="0" w:space="0" w:color="auto"/>
              </w:divBdr>
              <w:divsChild>
                <w:div w:id="1517428644">
                  <w:marLeft w:val="0"/>
                  <w:marRight w:val="0"/>
                  <w:marTop w:val="0"/>
                  <w:marBottom w:val="0"/>
                  <w:divBdr>
                    <w:top w:val="none" w:sz="0" w:space="0" w:color="auto"/>
                    <w:left w:val="none" w:sz="0" w:space="0" w:color="auto"/>
                    <w:bottom w:val="none" w:sz="0" w:space="0" w:color="auto"/>
                    <w:right w:val="none" w:sz="0" w:space="0" w:color="auto"/>
                  </w:divBdr>
                </w:div>
              </w:divsChild>
            </w:div>
            <w:div w:id="1974093919">
              <w:marLeft w:val="0"/>
              <w:marRight w:val="0"/>
              <w:marTop w:val="0"/>
              <w:marBottom w:val="0"/>
              <w:divBdr>
                <w:top w:val="none" w:sz="0" w:space="0" w:color="auto"/>
                <w:left w:val="none" w:sz="0" w:space="0" w:color="auto"/>
                <w:bottom w:val="none" w:sz="0" w:space="0" w:color="auto"/>
                <w:right w:val="none" w:sz="0" w:space="0" w:color="auto"/>
              </w:divBdr>
              <w:divsChild>
                <w:div w:id="242299146">
                  <w:marLeft w:val="0"/>
                  <w:marRight w:val="0"/>
                  <w:marTop w:val="0"/>
                  <w:marBottom w:val="0"/>
                  <w:divBdr>
                    <w:top w:val="none" w:sz="0" w:space="0" w:color="auto"/>
                    <w:left w:val="none" w:sz="0" w:space="0" w:color="auto"/>
                    <w:bottom w:val="none" w:sz="0" w:space="0" w:color="auto"/>
                    <w:right w:val="none" w:sz="0" w:space="0" w:color="auto"/>
                  </w:divBdr>
                </w:div>
              </w:divsChild>
            </w:div>
            <w:div w:id="1976638846">
              <w:marLeft w:val="0"/>
              <w:marRight w:val="0"/>
              <w:marTop w:val="0"/>
              <w:marBottom w:val="0"/>
              <w:divBdr>
                <w:top w:val="none" w:sz="0" w:space="0" w:color="auto"/>
                <w:left w:val="none" w:sz="0" w:space="0" w:color="auto"/>
                <w:bottom w:val="none" w:sz="0" w:space="0" w:color="auto"/>
                <w:right w:val="none" w:sz="0" w:space="0" w:color="auto"/>
              </w:divBdr>
              <w:divsChild>
                <w:div w:id="1675184243">
                  <w:marLeft w:val="0"/>
                  <w:marRight w:val="0"/>
                  <w:marTop w:val="0"/>
                  <w:marBottom w:val="0"/>
                  <w:divBdr>
                    <w:top w:val="none" w:sz="0" w:space="0" w:color="auto"/>
                    <w:left w:val="none" w:sz="0" w:space="0" w:color="auto"/>
                    <w:bottom w:val="none" w:sz="0" w:space="0" w:color="auto"/>
                    <w:right w:val="none" w:sz="0" w:space="0" w:color="auto"/>
                  </w:divBdr>
                </w:div>
              </w:divsChild>
            </w:div>
            <w:div w:id="1978298431">
              <w:marLeft w:val="0"/>
              <w:marRight w:val="0"/>
              <w:marTop w:val="0"/>
              <w:marBottom w:val="0"/>
              <w:divBdr>
                <w:top w:val="none" w:sz="0" w:space="0" w:color="auto"/>
                <w:left w:val="none" w:sz="0" w:space="0" w:color="auto"/>
                <w:bottom w:val="none" w:sz="0" w:space="0" w:color="auto"/>
                <w:right w:val="none" w:sz="0" w:space="0" w:color="auto"/>
              </w:divBdr>
              <w:divsChild>
                <w:div w:id="571042716">
                  <w:marLeft w:val="0"/>
                  <w:marRight w:val="0"/>
                  <w:marTop w:val="0"/>
                  <w:marBottom w:val="0"/>
                  <w:divBdr>
                    <w:top w:val="none" w:sz="0" w:space="0" w:color="auto"/>
                    <w:left w:val="none" w:sz="0" w:space="0" w:color="auto"/>
                    <w:bottom w:val="none" w:sz="0" w:space="0" w:color="auto"/>
                    <w:right w:val="none" w:sz="0" w:space="0" w:color="auto"/>
                  </w:divBdr>
                </w:div>
              </w:divsChild>
            </w:div>
            <w:div w:id="1983273032">
              <w:marLeft w:val="0"/>
              <w:marRight w:val="0"/>
              <w:marTop w:val="0"/>
              <w:marBottom w:val="0"/>
              <w:divBdr>
                <w:top w:val="none" w:sz="0" w:space="0" w:color="auto"/>
                <w:left w:val="none" w:sz="0" w:space="0" w:color="auto"/>
                <w:bottom w:val="none" w:sz="0" w:space="0" w:color="auto"/>
                <w:right w:val="none" w:sz="0" w:space="0" w:color="auto"/>
              </w:divBdr>
              <w:divsChild>
                <w:div w:id="1718551679">
                  <w:marLeft w:val="0"/>
                  <w:marRight w:val="0"/>
                  <w:marTop w:val="0"/>
                  <w:marBottom w:val="0"/>
                  <w:divBdr>
                    <w:top w:val="none" w:sz="0" w:space="0" w:color="auto"/>
                    <w:left w:val="none" w:sz="0" w:space="0" w:color="auto"/>
                    <w:bottom w:val="none" w:sz="0" w:space="0" w:color="auto"/>
                    <w:right w:val="none" w:sz="0" w:space="0" w:color="auto"/>
                  </w:divBdr>
                </w:div>
              </w:divsChild>
            </w:div>
            <w:div w:id="1986543483">
              <w:marLeft w:val="0"/>
              <w:marRight w:val="0"/>
              <w:marTop w:val="0"/>
              <w:marBottom w:val="0"/>
              <w:divBdr>
                <w:top w:val="none" w:sz="0" w:space="0" w:color="auto"/>
                <w:left w:val="none" w:sz="0" w:space="0" w:color="auto"/>
                <w:bottom w:val="none" w:sz="0" w:space="0" w:color="auto"/>
                <w:right w:val="none" w:sz="0" w:space="0" w:color="auto"/>
              </w:divBdr>
              <w:divsChild>
                <w:div w:id="867719824">
                  <w:marLeft w:val="0"/>
                  <w:marRight w:val="0"/>
                  <w:marTop w:val="0"/>
                  <w:marBottom w:val="0"/>
                  <w:divBdr>
                    <w:top w:val="none" w:sz="0" w:space="0" w:color="auto"/>
                    <w:left w:val="none" w:sz="0" w:space="0" w:color="auto"/>
                    <w:bottom w:val="none" w:sz="0" w:space="0" w:color="auto"/>
                    <w:right w:val="none" w:sz="0" w:space="0" w:color="auto"/>
                  </w:divBdr>
                </w:div>
              </w:divsChild>
            </w:div>
            <w:div w:id="1988775422">
              <w:marLeft w:val="0"/>
              <w:marRight w:val="0"/>
              <w:marTop w:val="0"/>
              <w:marBottom w:val="0"/>
              <w:divBdr>
                <w:top w:val="none" w:sz="0" w:space="0" w:color="auto"/>
                <w:left w:val="none" w:sz="0" w:space="0" w:color="auto"/>
                <w:bottom w:val="none" w:sz="0" w:space="0" w:color="auto"/>
                <w:right w:val="none" w:sz="0" w:space="0" w:color="auto"/>
              </w:divBdr>
              <w:divsChild>
                <w:div w:id="1353649660">
                  <w:marLeft w:val="0"/>
                  <w:marRight w:val="0"/>
                  <w:marTop w:val="0"/>
                  <w:marBottom w:val="0"/>
                  <w:divBdr>
                    <w:top w:val="none" w:sz="0" w:space="0" w:color="auto"/>
                    <w:left w:val="none" w:sz="0" w:space="0" w:color="auto"/>
                    <w:bottom w:val="none" w:sz="0" w:space="0" w:color="auto"/>
                    <w:right w:val="none" w:sz="0" w:space="0" w:color="auto"/>
                  </w:divBdr>
                </w:div>
              </w:divsChild>
            </w:div>
            <w:div w:id="1989895948">
              <w:marLeft w:val="0"/>
              <w:marRight w:val="0"/>
              <w:marTop w:val="0"/>
              <w:marBottom w:val="0"/>
              <w:divBdr>
                <w:top w:val="none" w:sz="0" w:space="0" w:color="auto"/>
                <w:left w:val="none" w:sz="0" w:space="0" w:color="auto"/>
                <w:bottom w:val="none" w:sz="0" w:space="0" w:color="auto"/>
                <w:right w:val="none" w:sz="0" w:space="0" w:color="auto"/>
              </w:divBdr>
              <w:divsChild>
                <w:div w:id="1206798501">
                  <w:marLeft w:val="0"/>
                  <w:marRight w:val="0"/>
                  <w:marTop w:val="0"/>
                  <w:marBottom w:val="0"/>
                  <w:divBdr>
                    <w:top w:val="none" w:sz="0" w:space="0" w:color="auto"/>
                    <w:left w:val="none" w:sz="0" w:space="0" w:color="auto"/>
                    <w:bottom w:val="none" w:sz="0" w:space="0" w:color="auto"/>
                    <w:right w:val="none" w:sz="0" w:space="0" w:color="auto"/>
                  </w:divBdr>
                </w:div>
              </w:divsChild>
            </w:div>
            <w:div w:id="1989942135">
              <w:marLeft w:val="0"/>
              <w:marRight w:val="0"/>
              <w:marTop w:val="0"/>
              <w:marBottom w:val="0"/>
              <w:divBdr>
                <w:top w:val="none" w:sz="0" w:space="0" w:color="auto"/>
                <w:left w:val="none" w:sz="0" w:space="0" w:color="auto"/>
                <w:bottom w:val="none" w:sz="0" w:space="0" w:color="auto"/>
                <w:right w:val="none" w:sz="0" w:space="0" w:color="auto"/>
              </w:divBdr>
              <w:divsChild>
                <w:div w:id="413018989">
                  <w:marLeft w:val="0"/>
                  <w:marRight w:val="0"/>
                  <w:marTop w:val="0"/>
                  <w:marBottom w:val="0"/>
                  <w:divBdr>
                    <w:top w:val="none" w:sz="0" w:space="0" w:color="auto"/>
                    <w:left w:val="none" w:sz="0" w:space="0" w:color="auto"/>
                    <w:bottom w:val="none" w:sz="0" w:space="0" w:color="auto"/>
                    <w:right w:val="none" w:sz="0" w:space="0" w:color="auto"/>
                  </w:divBdr>
                </w:div>
              </w:divsChild>
            </w:div>
            <w:div w:id="1992324934">
              <w:marLeft w:val="0"/>
              <w:marRight w:val="0"/>
              <w:marTop w:val="300"/>
              <w:marBottom w:val="300"/>
              <w:divBdr>
                <w:top w:val="none" w:sz="0" w:space="0" w:color="auto"/>
                <w:left w:val="none" w:sz="0" w:space="0" w:color="auto"/>
                <w:bottom w:val="none" w:sz="0" w:space="0" w:color="auto"/>
                <w:right w:val="none" w:sz="0" w:space="0" w:color="auto"/>
              </w:divBdr>
            </w:div>
            <w:div w:id="1997227525">
              <w:marLeft w:val="0"/>
              <w:marRight w:val="0"/>
              <w:marTop w:val="300"/>
              <w:marBottom w:val="300"/>
              <w:divBdr>
                <w:top w:val="none" w:sz="0" w:space="0" w:color="auto"/>
                <w:left w:val="none" w:sz="0" w:space="0" w:color="auto"/>
                <w:bottom w:val="none" w:sz="0" w:space="0" w:color="auto"/>
                <w:right w:val="none" w:sz="0" w:space="0" w:color="auto"/>
              </w:divBdr>
            </w:div>
            <w:div w:id="2000304313">
              <w:marLeft w:val="0"/>
              <w:marRight w:val="0"/>
              <w:marTop w:val="0"/>
              <w:marBottom w:val="0"/>
              <w:divBdr>
                <w:top w:val="none" w:sz="0" w:space="0" w:color="auto"/>
                <w:left w:val="none" w:sz="0" w:space="0" w:color="auto"/>
                <w:bottom w:val="none" w:sz="0" w:space="0" w:color="auto"/>
                <w:right w:val="none" w:sz="0" w:space="0" w:color="auto"/>
              </w:divBdr>
              <w:divsChild>
                <w:div w:id="243494582">
                  <w:marLeft w:val="0"/>
                  <w:marRight w:val="0"/>
                  <w:marTop w:val="0"/>
                  <w:marBottom w:val="0"/>
                  <w:divBdr>
                    <w:top w:val="none" w:sz="0" w:space="0" w:color="auto"/>
                    <w:left w:val="none" w:sz="0" w:space="0" w:color="auto"/>
                    <w:bottom w:val="none" w:sz="0" w:space="0" w:color="auto"/>
                    <w:right w:val="none" w:sz="0" w:space="0" w:color="auto"/>
                  </w:divBdr>
                </w:div>
              </w:divsChild>
            </w:div>
            <w:div w:id="2005932585">
              <w:marLeft w:val="0"/>
              <w:marRight w:val="0"/>
              <w:marTop w:val="300"/>
              <w:marBottom w:val="300"/>
              <w:divBdr>
                <w:top w:val="none" w:sz="0" w:space="0" w:color="auto"/>
                <w:left w:val="none" w:sz="0" w:space="0" w:color="auto"/>
                <w:bottom w:val="none" w:sz="0" w:space="0" w:color="auto"/>
                <w:right w:val="none" w:sz="0" w:space="0" w:color="auto"/>
              </w:divBdr>
            </w:div>
            <w:div w:id="2006010287">
              <w:marLeft w:val="0"/>
              <w:marRight w:val="0"/>
              <w:marTop w:val="0"/>
              <w:marBottom w:val="0"/>
              <w:divBdr>
                <w:top w:val="none" w:sz="0" w:space="0" w:color="auto"/>
                <w:left w:val="none" w:sz="0" w:space="0" w:color="auto"/>
                <w:bottom w:val="none" w:sz="0" w:space="0" w:color="auto"/>
                <w:right w:val="none" w:sz="0" w:space="0" w:color="auto"/>
              </w:divBdr>
              <w:divsChild>
                <w:div w:id="2022537678">
                  <w:marLeft w:val="0"/>
                  <w:marRight w:val="0"/>
                  <w:marTop w:val="0"/>
                  <w:marBottom w:val="0"/>
                  <w:divBdr>
                    <w:top w:val="none" w:sz="0" w:space="0" w:color="auto"/>
                    <w:left w:val="none" w:sz="0" w:space="0" w:color="auto"/>
                    <w:bottom w:val="none" w:sz="0" w:space="0" w:color="auto"/>
                    <w:right w:val="none" w:sz="0" w:space="0" w:color="auto"/>
                  </w:divBdr>
                </w:div>
              </w:divsChild>
            </w:div>
            <w:div w:id="2008053368">
              <w:marLeft w:val="0"/>
              <w:marRight w:val="0"/>
              <w:marTop w:val="0"/>
              <w:marBottom w:val="0"/>
              <w:divBdr>
                <w:top w:val="none" w:sz="0" w:space="0" w:color="auto"/>
                <w:left w:val="none" w:sz="0" w:space="0" w:color="auto"/>
                <w:bottom w:val="none" w:sz="0" w:space="0" w:color="auto"/>
                <w:right w:val="none" w:sz="0" w:space="0" w:color="auto"/>
              </w:divBdr>
              <w:divsChild>
                <w:div w:id="580338636">
                  <w:marLeft w:val="0"/>
                  <w:marRight w:val="0"/>
                  <w:marTop w:val="0"/>
                  <w:marBottom w:val="0"/>
                  <w:divBdr>
                    <w:top w:val="none" w:sz="0" w:space="0" w:color="auto"/>
                    <w:left w:val="none" w:sz="0" w:space="0" w:color="auto"/>
                    <w:bottom w:val="none" w:sz="0" w:space="0" w:color="auto"/>
                    <w:right w:val="none" w:sz="0" w:space="0" w:color="auto"/>
                  </w:divBdr>
                </w:div>
              </w:divsChild>
            </w:div>
            <w:div w:id="2008748735">
              <w:marLeft w:val="0"/>
              <w:marRight w:val="0"/>
              <w:marTop w:val="300"/>
              <w:marBottom w:val="300"/>
              <w:divBdr>
                <w:top w:val="none" w:sz="0" w:space="0" w:color="auto"/>
                <w:left w:val="none" w:sz="0" w:space="0" w:color="auto"/>
                <w:bottom w:val="none" w:sz="0" w:space="0" w:color="auto"/>
                <w:right w:val="none" w:sz="0" w:space="0" w:color="auto"/>
              </w:divBdr>
            </w:div>
            <w:div w:id="2008826913">
              <w:marLeft w:val="0"/>
              <w:marRight w:val="0"/>
              <w:marTop w:val="0"/>
              <w:marBottom w:val="0"/>
              <w:divBdr>
                <w:top w:val="none" w:sz="0" w:space="0" w:color="auto"/>
                <w:left w:val="none" w:sz="0" w:space="0" w:color="auto"/>
                <w:bottom w:val="none" w:sz="0" w:space="0" w:color="auto"/>
                <w:right w:val="none" w:sz="0" w:space="0" w:color="auto"/>
              </w:divBdr>
              <w:divsChild>
                <w:div w:id="1610577141">
                  <w:marLeft w:val="0"/>
                  <w:marRight w:val="0"/>
                  <w:marTop w:val="0"/>
                  <w:marBottom w:val="0"/>
                  <w:divBdr>
                    <w:top w:val="none" w:sz="0" w:space="0" w:color="auto"/>
                    <w:left w:val="none" w:sz="0" w:space="0" w:color="auto"/>
                    <w:bottom w:val="none" w:sz="0" w:space="0" w:color="auto"/>
                    <w:right w:val="none" w:sz="0" w:space="0" w:color="auto"/>
                  </w:divBdr>
                </w:div>
              </w:divsChild>
            </w:div>
            <w:div w:id="2014986952">
              <w:marLeft w:val="0"/>
              <w:marRight w:val="0"/>
              <w:marTop w:val="0"/>
              <w:marBottom w:val="0"/>
              <w:divBdr>
                <w:top w:val="none" w:sz="0" w:space="0" w:color="auto"/>
                <w:left w:val="none" w:sz="0" w:space="0" w:color="auto"/>
                <w:bottom w:val="none" w:sz="0" w:space="0" w:color="auto"/>
                <w:right w:val="none" w:sz="0" w:space="0" w:color="auto"/>
              </w:divBdr>
              <w:divsChild>
                <w:div w:id="252326074">
                  <w:marLeft w:val="0"/>
                  <w:marRight w:val="0"/>
                  <w:marTop w:val="0"/>
                  <w:marBottom w:val="0"/>
                  <w:divBdr>
                    <w:top w:val="none" w:sz="0" w:space="0" w:color="auto"/>
                    <w:left w:val="none" w:sz="0" w:space="0" w:color="auto"/>
                    <w:bottom w:val="none" w:sz="0" w:space="0" w:color="auto"/>
                    <w:right w:val="none" w:sz="0" w:space="0" w:color="auto"/>
                  </w:divBdr>
                </w:div>
              </w:divsChild>
            </w:div>
            <w:div w:id="2017682840">
              <w:marLeft w:val="0"/>
              <w:marRight w:val="0"/>
              <w:marTop w:val="300"/>
              <w:marBottom w:val="300"/>
              <w:divBdr>
                <w:top w:val="none" w:sz="0" w:space="0" w:color="auto"/>
                <w:left w:val="none" w:sz="0" w:space="0" w:color="auto"/>
                <w:bottom w:val="none" w:sz="0" w:space="0" w:color="auto"/>
                <w:right w:val="none" w:sz="0" w:space="0" w:color="auto"/>
              </w:divBdr>
            </w:div>
            <w:div w:id="2018117767">
              <w:marLeft w:val="0"/>
              <w:marRight w:val="0"/>
              <w:marTop w:val="0"/>
              <w:marBottom w:val="0"/>
              <w:divBdr>
                <w:top w:val="none" w:sz="0" w:space="0" w:color="auto"/>
                <w:left w:val="none" w:sz="0" w:space="0" w:color="auto"/>
                <w:bottom w:val="none" w:sz="0" w:space="0" w:color="auto"/>
                <w:right w:val="none" w:sz="0" w:space="0" w:color="auto"/>
              </w:divBdr>
              <w:divsChild>
                <w:div w:id="1157650625">
                  <w:marLeft w:val="0"/>
                  <w:marRight w:val="0"/>
                  <w:marTop w:val="0"/>
                  <w:marBottom w:val="0"/>
                  <w:divBdr>
                    <w:top w:val="none" w:sz="0" w:space="0" w:color="auto"/>
                    <w:left w:val="none" w:sz="0" w:space="0" w:color="auto"/>
                    <w:bottom w:val="none" w:sz="0" w:space="0" w:color="auto"/>
                    <w:right w:val="none" w:sz="0" w:space="0" w:color="auto"/>
                  </w:divBdr>
                </w:div>
              </w:divsChild>
            </w:div>
            <w:div w:id="2022076966">
              <w:marLeft w:val="0"/>
              <w:marRight w:val="0"/>
              <w:marTop w:val="0"/>
              <w:marBottom w:val="0"/>
              <w:divBdr>
                <w:top w:val="none" w:sz="0" w:space="0" w:color="auto"/>
                <w:left w:val="none" w:sz="0" w:space="0" w:color="auto"/>
                <w:bottom w:val="none" w:sz="0" w:space="0" w:color="auto"/>
                <w:right w:val="none" w:sz="0" w:space="0" w:color="auto"/>
              </w:divBdr>
              <w:divsChild>
                <w:div w:id="1612736115">
                  <w:marLeft w:val="0"/>
                  <w:marRight w:val="0"/>
                  <w:marTop w:val="0"/>
                  <w:marBottom w:val="0"/>
                  <w:divBdr>
                    <w:top w:val="none" w:sz="0" w:space="0" w:color="auto"/>
                    <w:left w:val="none" w:sz="0" w:space="0" w:color="auto"/>
                    <w:bottom w:val="none" w:sz="0" w:space="0" w:color="auto"/>
                    <w:right w:val="none" w:sz="0" w:space="0" w:color="auto"/>
                  </w:divBdr>
                </w:div>
              </w:divsChild>
            </w:div>
            <w:div w:id="2029598157">
              <w:marLeft w:val="0"/>
              <w:marRight w:val="0"/>
              <w:marTop w:val="0"/>
              <w:marBottom w:val="0"/>
              <w:divBdr>
                <w:top w:val="none" w:sz="0" w:space="0" w:color="auto"/>
                <w:left w:val="none" w:sz="0" w:space="0" w:color="auto"/>
                <w:bottom w:val="none" w:sz="0" w:space="0" w:color="auto"/>
                <w:right w:val="none" w:sz="0" w:space="0" w:color="auto"/>
              </w:divBdr>
              <w:divsChild>
                <w:div w:id="1327708290">
                  <w:marLeft w:val="0"/>
                  <w:marRight w:val="0"/>
                  <w:marTop w:val="0"/>
                  <w:marBottom w:val="0"/>
                  <w:divBdr>
                    <w:top w:val="none" w:sz="0" w:space="0" w:color="auto"/>
                    <w:left w:val="none" w:sz="0" w:space="0" w:color="auto"/>
                    <w:bottom w:val="none" w:sz="0" w:space="0" w:color="auto"/>
                    <w:right w:val="none" w:sz="0" w:space="0" w:color="auto"/>
                  </w:divBdr>
                </w:div>
              </w:divsChild>
            </w:div>
            <w:div w:id="2034071111">
              <w:marLeft w:val="0"/>
              <w:marRight w:val="0"/>
              <w:marTop w:val="0"/>
              <w:marBottom w:val="0"/>
              <w:divBdr>
                <w:top w:val="none" w:sz="0" w:space="0" w:color="auto"/>
                <w:left w:val="none" w:sz="0" w:space="0" w:color="auto"/>
                <w:bottom w:val="none" w:sz="0" w:space="0" w:color="auto"/>
                <w:right w:val="none" w:sz="0" w:space="0" w:color="auto"/>
              </w:divBdr>
              <w:divsChild>
                <w:div w:id="1173031049">
                  <w:marLeft w:val="0"/>
                  <w:marRight w:val="0"/>
                  <w:marTop w:val="0"/>
                  <w:marBottom w:val="0"/>
                  <w:divBdr>
                    <w:top w:val="none" w:sz="0" w:space="0" w:color="auto"/>
                    <w:left w:val="none" w:sz="0" w:space="0" w:color="auto"/>
                    <w:bottom w:val="none" w:sz="0" w:space="0" w:color="auto"/>
                    <w:right w:val="none" w:sz="0" w:space="0" w:color="auto"/>
                  </w:divBdr>
                </w:div>
              </w:divsChild>
            </w:div>
            <w:div w:id="2038004286">
              <w:marLeft w:val="0"/>
              <w:marRight w:val="0"/>
              <w:marTop w:val="0"/>
              <w:marBottom w:val="0"/>
              <w:divBdr>
                <w:top w:val="none" w:sz="0" w:space="0" w:color="auto"/>
                <w:left w:val="none" w:sz="0" w:space="0" w:color="auto"/>
                <w:bottom w:val="none" w:sz="0" w:space="0" w:color="auto"/>
                <w:right w:val="none" w:sz="0" w:space="0" w:color="auto"/>
              </w:divBdr>
              <w:divsChild>
                <w:div w:id="1478451176">
                  <w:marLeft w:val="0"/>
                  <w:marRight w:val="0"/>
                  <w:marTop w:val="0"/>
                  <w:marBottom w:val="0"/>
                  <w:divBdr>
                    <w:top w:val="none" w:sz="0" w:space="0" w:color="auto"/>
                    <w:left w:val="none" w:sz="0" w:space="0" w:color="auto"/>
                    <w:bottom w:val="none" w:sz="0" w:space="0" w:color="auto"/>
                    <w:right w:val="none" w:sz="0" w:space="0" w:color="auto"/>
                  </w:divBdr>
                </w:div>
              </w:divsChild>
            </w:div>
            <w:div w:id="2040424962">
              <w:marLeft w:val="0"/>
              <w:marRight w:val="0"/>
              <w:marTop w:val="0"/>
              <w:marBottom w:val="0"/>
              <w:divBdr>
                <w:top w:val="none" w:sz="0" w:space="0" w:color="auto"/>
                <w:left w:val="none" w:sz="0" w:space="0" w:color="auto"/>
                <w:bottom w:val="none" w:sz="0" w:space="0" w:color="auto"/>
                <w:right w:val="none" w:sz="0" w:space="0" w:color="auto"/>
              </w:divBdr>
              <w:divsChild>
                <w:div w:id="182091511">
                  <w:marLeft w:val="0"/>
                  <w:marRight w:val="0"/>
                  <w:marTop w:val="0"/>
                  <w:marBottom w:val="0"/>
                  <w:divBdr>
                    <w:top w:val="none" w:sz="0" w:space="0" w:color="auto"/>
                    <w:left w:val="none" w:sz="0" w:space="0" w:color="auto"/>
                    <w:bottom w:val="none" w:sz="0" w:space="0" w:color="auto"/>
                    <w:right w:val="none" w:sz="0" w:space="0" w:color="auto"/>
                  </w:divBdr>
                </w:div>
              </w:divsChild>
            </w:div>
            <w:div w:id="2041782177">
              <w:marLeft w:val="0"/>
              <w:marRight w:val="0"/>
              <w:marTop w:val="0"/>
              <w:marBottom w:val="0"/>
              <w:divBdr>
                <w:top w:val="none" w:sz="0" w:space="0" w:color="auto"/>
                <w:left w:val="none" w:sz="0" w:space="0" w:color="auto"/>
                <w:bottom w:val="none" w:sz="0" w:space="0" w:color="auto"/>
                <w:right w:val="none" w:sz="0" w:space="0" w:color="auto"/>
              </w:divBdr>
              <w:divsChild>
                <w:div w:id="448671397">
                  <w:marLeft w:val="0"/>
                  <w:marRight w:val="0"/>
                  <w:marTop w:val="0"/>
                  <w:marBottom w:val="0"/>
                  <w:divBdr>
                    <w:top w:val="none" w:sz="0" w:space="0" w:color="auto"/>
                    <w:left w:val="none" w:sz="0" w:space="0" w:color="auto"/>
                    <w:bottom w:val="none" w:sz="0" w:space="0" w:color="auto"/>
                    <w:right w:val="none" w:sz="0" w:space="0" w:color="auto"/>
                  </w:divBdr>
                </w:div>
              </w:divsChild>
            </w:div>
            <w:div w:id="2043745045">
              <w:marLeft w:val="0"/>
              <w:marRight w:val="0"/>
              <w:marTop w:val="0"/>
              <w:marBottom w:val="0"/>
              <w:divBdr>
                <w:top w:val="none" w:sz="0" w:space="0" w:color="auto"/>
                <w:left w:val="none" w:sz="0" w:space="0" w:color="auto"/>
                <w:bottom w:val="none" w:sz="0" w:space="0" w:color="auto"/>
                <w:right w:val="none" w:sz="0" w:space="0" w:color="auto"/>
              </w:divBdr>
              <w:divsChild>
                <w:div w:id="762533257">
                  <w:marLeft w:val="0"/>
                  <w:marRight w:val="0"/>
                  <w:marTop w:val="0"/>
                  <w:marBottom w:val="0"/>
                  <w:divBdr>
                    <w:top w:val="none" w:sz="0" w:space="0" w:color="auto"/>
                    <w:left w:val="none" w:sz="0" w:space="0" w:color="auto"/>
                    <w:bottom w:val="none" w:sz="0" w:space="0" w:color="auto"/>
                    <w:right w:val="none" w:sz="0" w:space="0" w:color="auto"/>
                  </w:divBdr>
                </w:div>
              </w:divsChild>
            </w:div>
            <w:div w:id="2047639545">
              <w:marLeft w:val="0"/>
              <w:marRight w:val="0"/>
              <w:marTop w:val="300"/>
              <w:marBottom w:val="300"/>
              <w:divBdr>
                <w:top w:val="none" w:sz="0" w:space="0" w:color="auto"/>
                <w:left w:val="none" w:sz="0" w:space="0" w:color="auto"/>
                <w:bottom w:val="none" w:sz="0" w:space="0" w:color="auto"/>
                <w:right w:val="none" w:sz="0" w:space="0" w:color="auto"/>
              </w:divBdr>
            </w:div>
            <w:div w:id="2052030247">
              <w:marLeft w:val="0"/>
              <w:marRight w:val="0"/>
              <w:marTop w:val="0"/>
              <w:marBottom w:val="0"/>
              <w:divBdr>
                <w:top w:val="none" w:sz="0" w:space="0" w:color="auto"/>
                <w:left w:val="none" w:sz="0" w:space="0" w:color="auto"/>
                <w:bottom w:val="none" w:sz="0" w:space="0" w:color="auto"/>
                <w:right w:val="none" w:sz="0" w:space="0" w:color="auto"/>
              </w:divBdr>
              <w:divsChild>
                <w:div w:id="2098936105">
                  <w:marLeft w:val="0"/>
                  <w:marRight w:val="0"/>
                  <w:marTop w:val="0"/>
                  <w:marBottom w:val="0"/>
                  <w:divBdr>
                    <w:top w:val="none" w:sz="0" w:space="0" w:color="auto"/>
                    <w:left w:val="none" w:sz="0" w:space="0" w:color="auto"/>
                    <w:bottom w:val="none" w:sz="0" w:space="0" w:color="auto"/>
                    <w:right w:val="none" w:sz="0" w:space="0" w:color="auto"/>
                  </w:divBdr>
                </w:div>
              </w:divsChild>
            </w:div>
            <w:div w:id="2062055214">
              <w:marLeft w:val="0"/>
              <w:marRight w:val="0"/>
              <w:marTop w:val="0"/>
              <w:marBottom w:val="0"/>
              <w:divBdr>
                <w:top w:val="none" w:sz="0" w:space="0" w:color="auto"/>
                <w:left w:val="none" w:sz="0" w:space="0" w:color="auto"/>
                <w:bottom w:val="none" w:sz="0" w:space="0" w:color="auto"/>
                <w:right w:val="none" w:sz="0" w:space="0" w:color="auto"/>
              </w:divBdr>
              <w:divsChild>
                <w:div w:id="1553812231">
                  <w:marLeft w:val="0"/>
                  <w:marRight w:val="0"/>
                  <w:marTop w:val="0"/>
                  <w:marBottom w:val="0"/>
                  <w:divBdr>
                    <w:top w:val="none" w:sz="0" w:space="0" w:color="auto"/>
                    <w:left w:val="none" w:sz="0" w:space="0" w:color="auto"/>
                    <w:bottom w:val="none" w:sz="0" w:space="0" w:color="auto"/>
                    <w:right w:val="none" w:sz="0" w:space="0" w:color="auto"/>
                  </w:divBdr>
                </w:div>
              </w:divsChild>
            </w:div>
            <w:div w:id="2063020706">
              <w:marLeft w:val="0"/>
              <w:marRight w:val="0"/>
              <w:marTop w:val="0"/>
              <w:marBottom w:val="0"/>
              <w:divBdr>
                <w:top w:val="none" w:sz="0" w:space="0" w:color="auto"/>
                <w:left w:val="none" w:sz="0" w:space="0" w:color="auto"/>
                <w:bottom w:val="none" w:sz="0" w:space="0" w:color="auto"/>
                <w:right w:val="none" w:sz="0" w:space="0" w:color="auto"/>
              </w:divBdr>
              <w:divsChild>
                <w:div w:id="723799262">
                  <w:marLeft w:val="0"/>
                  <w:marRight w:val="0"/>
                  <w:marTop w:val="0"/>
                  <w:marBottom w:val="0"/>
                  <w:divBdr>
                    <w:top w:val="none" w:sz="0" w:space="0" w:color="auto"/>
                    <w:left w:val="none" w:sz="0" w:space="0" w:color="auto"/>
                    <w:bottom w:val="none" w:sz="0" w:space="0" w:color="auto"/>
                    <w:right w:val="none" w:sz="0" w:space="0" w:color="auto"/>
                  </w:divBdr>
                </w:div>
              </w:divsChild>
            </w:div>
            <w:div w:id="2063629587">
              <w:marLeft w:val="0"/>
              <w:marRight w:val="0"/>
              <w:marTop w:val="0"/>
              <w:marBottom w:val="0"/>
              <w:divBdr>
                <w:top w:val="none" w:sz="0" w:space="0" w:color="auto"/>
                <w:left w:val="none" w:sz="0" w:space="0" w:color="auto"/>
                <w:bottom w:val="none" w:sz="0" w:space="0" w:color="auto"/>
                <w:right w:val="none" w:sz="0" w:space="0" w:color="auto"/>
              </w:divBdr>
              <w:divsChild>
                <w:div w:id="932320374">
                  <w:marLeft w:val="0"/>
                  <w:marRight w:val="0"/>
                  <w:marTop w:val="0"/>
                  <w:marBottom w:val="0"/>
                  <w:divBdr>
                    <w:top w:val="none" w:sz="0" w:space="0" w:color="auto"/>
                    <w:left w:val="none" w:sz="0" w:space="0" w:color="auto"/>
                    <w:bottom w:val="none" w:sz="0" w:space="0" w:color="auto"/>
                    <w:right w:val="none" w:sz="0" w:space="0" w:color="auto"/>
                  </w:divBdr>
                </w:div>
              </w:divsChild>
            </w:div>
            <w:div w:id="2068264612">
              <w:marLeft w:val="0"/>
              <w:marRight w:val="0"/>
              <w:marTop w:val="300"/>
              <w:marBottom w:val="300"/>
              <w:divBdr>
                <w:top w:val="none" w:sz="0" w:space="0" w:color="auto"/>
                <w:left w:val="none" w:sz="0" w:space="0" w:color="auto"/>
                <w:bottom w:val="none" w:sz="0" w:space="0" w:color="auto"/>
                <w:right w:val="none" w:sz="0" w:space="0" w:color="auto"/>
              </w:divBdr>
            </w:div>
            <w:div w:id="2072729758">
              <w:marLeft w:val="0"/>
              <w:marRight w:val="0"/>
              <w:marTop w:val="0"/>
              <w:marBottom w:val="0"/>
              <w:divBdr>
                <w:top w:val="none" w:sz="0" w:space="0" w:color="auto"/>
                <w:left w:val="none" w:sz="0" w:space="0" w:color="auto"/>
                <w:bottom w:val="none" w:sz="0" w:space="0" w:color="auto"/>
                <w:right w:val="none" w:sz="0" w:space="0" w:color="auto"/>
              </w:divBdr>
              <w:divsChild>
                <w:div w:id="1905675182">
                  <w:marLeft w:val="0"/>
                  <w:marRight w:val="0"/>
                  <w:marTop w:val="0"/>
                  <w:marBottom w:val="0"/>
                  <w:divBdr>
                    <w:top w:val="none" w:sz="0" w:space="0" w:color="auto"/>
                    <w:left w:val="none" w:sz="0" w:space="0" w:color="auto"/>
                    <w:bottom w:val="none" w:sz="0" w:space="0" w:color="auto"/>
                    <w:right w:val="none" w:sz="0" w:space="0" w:color="auto"/>
                  </w:divBdr>
                </w:div>
              </w:divsChild>
            </w:div>
            <w:div w:id="2073692777">
              <w:marLeft w:val="0"/>
              <w:marRight w:val="0"/>
              <w:marTop w:val="0"/>
              <w:marBottom w:val="0"/>
              <w:divBdr>
                <w:top w:val="none" w:sz="0" w:space="0" w:color="auto"/>
                <w:left w:val="none" w:sz="0" w:space="0" w:color="auto"/>
                <w:bottom w:val="none" w:sz="0" w:space="0" w:color="auto"/>
                <w:right w:val="none" w:sz="0" w:space="0" w:color="auto"/>
              </w:divBdr>
              <w:divsChild>
                <w:div w:id="800996399">
                  <w:marLeft w:val="0"/>
                  <w:marRight w:val="0"/>
                  <w:marTop w:val="0"/>
                  <w:marBottom w:val="0"/>
                  <w:divBdr>
                    <w:top w:val="none" w:sz="0" w:space="0" w:color="auto"/>
                    <w:left w:val="none" w:sz="0" w:space="0" w:color="auto"/>
                    <w:bottom w:val="none" w:sz="0" w:space="0" w:color="auto"/>
                    <w:right w:val="none" w:sz="0" w:space="0" w:color="auto"/>
                  </w:divBdr>
                </w:div>
              </w:divsChild>
            </w:div>
            <w:div w:id="2076313056">
              <w:marLeft w:val="0"/>
              <w:marRight w:val="0"/>
              <w:marTop w:val="0"/>
              <w:marBottom w:val="0"/>
              <w:divBdr>
                <w:top w:val="none" w:sz="0" w:space="0" w:color="auto"/>
                <w:left w:val="none" w:sz="0" w:space="0" w:color="auto"/>
                <w:bottom w:val="none" w:sz="0" w:space="0" w:color="auto"/>
                <w:right w:val="none" w:sz="0" w:space="0" w:color="auto"/>
              </w:divBdr>
              <w:divsChild>
                <w:div w:id="1280331031">
                  <w:marLeft w:val="0"/>
                  <w:marRight w:val="0"/>
                  <w:marTop w:val="0"/>
                  <w:marBottom w:val="0"/>
                  <w:divBdr>
                    <w:top w:val="none" w:sz="0" w:space="0" w:color="auto"/>
                    <w:left w:val="none" w:sz="0" w:space="0" w:color="auto"/>
                    <w:bottom w:val="none" w:sz="0" w:space="0" w:color="auto"/>
                    <w:right w:val="none" w:sz="0" w:space="0" w:color="auto"/>
                  </w:divBdr>
                </w:div>
              </w:divsChild>
            </w:div>
            <w:div w:id="2076974488">
              <w:marLeft w:val="0"/>
              <w:marRight w:val="0"/>
              <w:marTop w:val="0"/>
              <w:marBottom w:val="0"/>
              <w:divBdr>
                <w:top w:val="none" w:sz="0" w:space="0" w:color="auto"/>
                <w:left w:val="none" w:sz="0" w:space="0" w:color="auto"/>
                <w:bottom w:val="none" w:sz="0" w:space="0" w:color="auto"/>
                <w:right w:val="none" w:sz="0" w:space="0" w:color="auto"/>
              </w:divBdr>
              <w:divsChild>
                <w:div w:id="1291862541">
                  <w:marLeft w:val="0"/>
                  <w:marRight w:val="0"/>
                  <w:marTop w:val="0"/>
                  <w:marBottom w:val="0"/>
                  <w:divBdr>
                    <w:top w:val="none" w:sz="0" w:space="0" w:color="auto"/>
                    <w:left w:val="none" w:sz="0" w:space="0" w:color="auto"/>
                    <w:bottom w:val="none" w:sz="0" w:space="0" w:color="auto"/>
                    <w:right w:val="none" w:sz="0" w:space="0" w:color="auto"/>
                  </w:divBdr>
                </w:div>
              </w:divsChild>
            </w:div>
            <w:div w:id="2079282414">
              <w:marLeft w:val="0"/>
              <w:marRight w:val="0"/>
              <w:marTop w:val="0"/>
              <w:marBottom w:val="0"/>
              <w:divBdr>
                <w:top w:val="none" w:sz="0" w:space="0" w:color="auto"/>
                <w:left w:val="none" w:sz="0" w:space="0" w:color="auto"/>
                <w:bottom w:val="none" w:sz="0" w:space="0" w:color="auto"/>
                <w:right w:val="none" w:sz="0" w:space="0" w:color="auto"/>
              </w:divBdr>
              <w:divsChild>
                <w:div w:id="910848315">
                  <w:marLeft w:val="0"/>
                  <w:marRight w:val="0"/>
                  <w:marTop w:val="0"/>
                  <w:marBottom w:val="0"/>
                  <w:divBdr>
                    <w:top w:val="none" w:sz="0" w:space="0" w:color="auto"/>
                    <w:left w:val="none" w:sz="0" w:space="0" w:color="auto"/>
                    <w:bottom w:val="none" w:sz="0" w:space="0" w:color="auto"/>
                    <w:right w:val="none" w:sz="0" w:space="0" w:color="auto"/>
                  </w:divBdr>
                </w:div>
              </w:divsChild>
            </w:div>
            <w:div w:id="2079396999">
              <w:marLeft w:val="0"/>
              <w:marRight w:val="0"/>
              <w:marTop w:val="300"/>
              <w:marBottom w:val="300"/>
              <w:divBdr>
                <w:top w:val="none" w:sz="0" w:space="0" w:color="auto"/>
                <w:left w:val="none" w:sz="0" w:space="0" w:color="auto"/>
                <w:bottom w:val="none" w:sz="0" w:space="0" w:color="auto"/>
                <w:right w:val="none" w:sz="0" w:space="0" w:color="auto"/>
              </w:divBdr>
            </w:div>
            <w:div w:id="2080059489">
              <w:marLeft w:val="0"/>
              <w:marRight w:val="0"/>
              <w:marTop w:val="0"/>
              <w:marBottom w:val="0"/>
              <w:divBdr>
                <w:top w:val="none" w:sz="0" w:space="0" w:color="auto"/>
                <w:left w:val="none" w:sz="0" w:space="0" w:color="auto"/>
                <w:bottom w:val="none" w:sz="0" w:space="0" w:color="auto"/>
                <w:right w:val="none" w:sz="0" w:space="0" w:color="auto"/>
              </w:divBdr>
              <w:divsChild>
                <w:div w:id="828521096">
                  <w:marLeft w:val="0"/>
                  <w:marRight w:val="0"/>
                  <w:marTop w:val="0"/>
                  <w:marBottom w:val="0"/>
                  <w:divBdr>
                    <w:top w:val="none" w:sz="0" w:space="0" w:color="auto"/>
                    <w:left w:val="none" w:sz="0" w:space="0" w:color="auto"/>
                    <w:bottom w:val="none" w:sz="0" w:space="0" w:color="auto"/>
                    <w:right w:val="none" w:sz="0" w:space="0" w:color="auto"/>
                  </w:divBdr>
                </w:div>
              </w:divsChild>
            </w:div>
            <w:div w:id="2083747742">
              <w:marLeft w:val="0"/>
              <w:marRight w:val="0"/>
              <w:marTop w:val="0"/>
              <w:marBottom w:val="0"/>
              <w:divBdr>
                <w:top w:val="none" w:sz="0" w:space="0" w:color="auto"/>
                <w:left w:val="none" w:sz="0" w:space="0" w:color="auto"/>
                <w:bottom w:val="none" w:sz="0" w:space="0" w:color="auto"/>
                <w:right w:val="none" w:sz="0" w:space="0" w:color="auto"/>
              </w:divBdr>
              <w:divsChild>
                <w:div w:id="1074206751">
                  <w:marLeft w:val="0"/>
                  <w:marRight w:val="0"/>
                  <w:marTop w:val="0"/>
                  <w:marBottom w:val="0"/>
                  <w:divBdr>
                    <w:top w:val="none" w:sz="0" w:space="0" w:color="auto"/>
                    <w:left w:val="none" w:sz="0" w:space="0" w:color="auto"/>
                    <w:bottom w:val="none" w:sz="0" w:space="0" w:color="auto"/>
                    <w:right w:val="none" w:sz="0" w:space="0" w:color="auto"/>
                  </w:divBdr>
                </w:div>
              </w:divsChild>
            </w:div>
            <w:div w:id="2093970805">
              <w:marLeft w:val="0"/>
              <w:marRight w:val="0"/>
              <w:marTop w:val="0"/>
              <w:marBottom w:val="0"/>
              <w:divBdr>
                <w:top w:val="none" w:sz="0" w:space="0" w:color="auto"/>
                <w:left w:val="none" w:sz="0" w:space="0" w:color="auto"/>
                <w:bottom w:val="none" w:sz="0" w:space="0" w:color="auto"/>
                <w:right w:val="none" w:sz="0" w:space="0" w:color="auto"/>
              </w:divBdr>
              <w:divsChild>
                <w:div w:id="1969236708">
                  <w:marLeft w:val="0"/>
                  <w:marRight w:val="0"/>
                  <w:marTop w:val="0"/>
                  <w:marBottom w:val="0"/>
                  <w:divBdr>
                    <w:top w:val="none" w:sz="0" w:space="0" w:color="auto"/>
                    <w:left w:val="none" w:sz="0" w:space="0" w:color="auto"/>
                    <w:bottom w:val="none" w:sz="0" w:space="0" w:color="auto"/>
                    <w:right w:val="none" w:sz="0" w:space="0" w:color="auto"/>
                  </w:divBdr>
                </w:div>
              </w:divsChild>
            </w:div>
            <w:div w:id="2094618637">
              <w:marLeft w:val="0"/>
              <w:marRight w:val="0"/>
              <w:marTop w:val="0"/>
              <w:marBottom w:val="0"/>
              <w:divBdr>
                <w:top w:val="none" w:sz="0" w:space="0" w:color="auto"/>
                <w:left w:val="none" w:sz="0" w:space="0" w:color="auto"/>
                <w:bottom w:val="none" w:sz="0" w:space="0" w:color="auto"/>
                <w:right w:val="none" w:sz="0" w:space="0" w:color="auto"/>
              </w:divBdr>
              <w:divsChild>
                <w:div w:id="384374212">
                  <w:marLeft w:val="0"/>
                  <w:marRight w:val="0"/>
                  <w:marTop w:val="0"/>
                  <w:marBottom w:val="0"/>
                  <w:divBdr>
                    <w:top w:val="none" w:sz="0" w:space="0" w:color="auto"/>
                    <w:left w:val="none" w:sz="0" w:space="0" w:color="auto"/>
                    <w:bottom w:val="none" w:sz="0" w:space="0" w:color="auto"/>
                    <w:right w:val="none" w:sz="0" w:space="0" w:color="auto"/>
                  </w:divBdr>
                </w:div>
              </w:divsChild>
            </w:div>
            <w:div w:id="2098595861">
              <w:marLeft w:val="0"/>
              <w:marRight w:val="0"/>
              <w:marTop w:val="0"/>
              <w:marBottom w:val="0"/>
              <w:divBdr>
                <w:top w:val="none" w:sz="0" w:space="0" w:color="auto"/>
                <w:left w:val="none" w:sz="0" w:space="0" w:color="auto"/>
                <w:bottom w:val="none" w:sz="0" w:space="0" w:color="auto"/>
                <w:right w:val="none" w:sz="0" w:space="0" w:color="auto"/>
              </w:divBdr>
              <w:divsChild>
                <w:div w:id="685986218">
                  <w:marLeft w:val="0"/>
                  <w:marRight w:val="0"/>
                  <w:marTop w:val="0"/>
                  <w:marBottom w:val="0"/>
                  <w:divBdr>
                    <w:top w:val="none" w:sz="0" w:space="0" w:color="auto"/>
                    <w:left w:val="none" w:sz="0" w:space="0" w:color="auto"/>
                    <w:bottom w:val="none" w:sz="0" w:space="0" w:color="auto"/>
                    <w:right w:val="none" w:sz="0" w:space="0" w:color="auto"/>
                  </w:divBdr>
                </w:div>
              </w:divsChild>
            </w:div>
            <w:div w:id="2099905769">
              <w:marLeft w:val="0"/>
              <w:marRight w:val="0"/>
              <w:marTop w:val="300"/>
              <w:marBottom w:val="300"/>
              <w:divBdr>
                <w:top w:val="none" w:sz="0" w:space="0" w:color="auto"/>
                <w:left w:val="none" w:sz="0" w:space="0" w:color="auto"/>
                <w:bottom w:val="none" w:sz="0" w:space="0" w:color="auto"/>
                <w:right w:val="none" w:sz="0" w:space="0" w:color="auto"/>
              </w:divBdr>
            </w:div>
            <w:div w:id="2101633452">
              <w:marLeft w:val="0"/>
              <w:marRight w:val="0"/>
              <w:marTop w:val="0"/>
              <w:marBottom w:val="0"/>
              <w:divBdr>
                <w:top w:val="none" w:sz="0" w:space="0" w:color="auto"/>
                <w:left w:val="none" w:sz="0" w:space="0" w:color="auto"/>
                <w:bottom w:val="none" w:sz="0" w:space="0" w:color="auto"/>
                <w:right w:val="none" w:sz="0" w:space="0" w:color="auto"/>
              </w:divBdr>
              <w:divsChild>
                <w:div w:id="2075734776">
                  <w:marLeft w:val="0"/>
                  <w:marRight w:val="0"/>
                  <w:marTop w:val="0"/>
                  <w:marBottom w:val="0"/>
                  <w:divBdr>
                    <w:top w:val="none" w:sz="0" w:space="0" w:color="auto"/>
                    <w:left w:val="none" w:sz="0" w:space="0" w:color="auto"/>
                    <w:bottom w:val="none" w:sz="0" w:space="0" w:color="auto"/>
                    <w:right w:val="none" w:sz="0" w:space="0" w:color="auto"/>
                  </w:divBdr>
                </w:div>
              </w:divsChild>
            </w:div>
            <w:div w:id="2106343465">
              <w:marLeft w:val="0"/>
              <w:marRight w:val="0"/>
              <w:marTop w:val="0"/>
              <w:marBottom w:val="0"/>
              <w:divBdr>
                <w:top w:val="none" w:sz="0" w:space="0" w:color="auto"/>
                <w:left w:val="none" w:sz="0" w:space="0" w:color="auto"/>
                <w:bottom w:val="none" w:sz="0" w:space="0" w:color="auto"/>
                <w:right w:val="none" w:sz="0" w:space="0" w:color="auto"/>
              </w:divBdr>
              <w:divsChild>
                <w:div w:id="1043749684">
                  <w:marLeft w:val="0"/>
                  <w:marRight w:val="0"/>
                  <w:marTop w:val="0"/>
                  <w:marBottom w:val="0"/>
                  <w:divBdr>
                    <w:top w:val="none" w:sz="0" w:space="0" w:color="auto"/>
                    <w:left w:val="none" w:sz="0" w:space="0" w:color="auto"/>
                    <w:bottom w:val="none" w:sz="0" w:space="0" w:color="auto"/>
                    <w:right w:val="none" w:sz="0" w:space="0" w:color="auto"/>
                  </w:divBdr>
                </w:div>
              </w:divsChild>
            </w:div>
            <w:div w:id="2106531999">
              <w:marLeft w:val="0"/>
              <w:marRight w:val="0"/>
              <w:marTop w:val="0"/>
              <w:marBottom w:val="0"/>
              <w:divBdr>
                <w:top w:val="none" w:sz="0" w:space="0" w:color="auto"/>
                <w:left w:val="none" w:sz="0" w:space="0" w:color="auto"/>
                <w:bottom w:val="none" w:sz="0" w:space="0" w:color="auto"/>
                <w:right w:val="none" w:sz="0" w:space="0" w:color="auto"/>
              </w:divBdr>
              <w:divsChild>
                <w:div w:id="1333339372">
                  <w:marLeft w:val="0"/>
                  <w:marRight w:val="0"/>
                  <w:marTop w:val="0"/>
                  <w:marBottom w:val="0"/>
                  <w:divBdr>
                    <w:top w:val="none" w:sz="0" w:space="0" w:color="auto"/>
                    <w:left w:val="none" w:sz="0" w:space="0" w:color="auto"/>
                    <w:bottom w:val="none" w:sz="0" w:space="0" w:color="auto"/>
                    <w:right w:val="none" w:sz="0" w:space="0" w:color="auto"/>
                  </w:divBdr>
                </w:div>
              </w:divsChild>
            </w:div>
            <w:div w:id="2112580319">
              <w:marLeft w:val="0"/>
              <w:marRight w:val="0"/>
              <w:marTop w:val="0"/>
              <w:marBottom w:val="0"/>
              <w:divBdr>
                <w:top w:val="none" w:sz="0" w:space="0" w:color="auto"/>
                <w:left w:val="none" w:sz="0" w:space="0" w:color="auto"/>
                <w:bottom w:val="none" w:sz="0" w:space="0" w:color="auto"/>
                <w:right w:val="none" w:sz="0" w:space="0" w:color="auto"/>
              </w:divBdr>
              <w:divsChild>
                <w:div w:id="1414468469">
                  <w:marLeft w:val="0"/>
                  <w:marRight w:val="0"/>
                  <w:marTop w:val="0"/>
                  <w:marBottom w:val="0"/>
                  <w:divBdr>
                    <w:top w:val="none" w:sz="0" w:space="0" w:color="auto"/>
                    <w:left w:val="none" w:sz="0" w:space="0" w:color="auto"/>
                    <w:bottom w:val="none" w:sz="0" w:space="0" w:color="auto"/>
                    <w:right w:val="none" w:sz="0" w:space="0" w:color="auto"/>
                  </w:divBdr>
                </w:div>
              </w:divsChild>
            </w:div>
            <w:div w:id="2115779653">
              <w:marLeft w:val="0"/>
              <w:marRight w:val="0"/>
              <w:marTop w:val="300"/>
              <w:marBottom w:val="300"/>
              <w:divBdr>
                <w:top w:val="none" w:sz="0" w:space="0" w:color="auto"/>
                <w:left w:val="none" w:sz="0" w:space="0" w:color="auto"/>
                <w:bottom w:val="none" w:sz="0" w:space="0" w:color="auto"/>
                <w:right w:val="none" w:sz="0" w:space="0" w:color="auto"/>
              </w:divBdr>
            </w:div>
            <w:div w:id="2116631386">
              <w:marLeft w:val="0"/>
              <w:marRight w:val="0"/>
              <w:marTop w:val="300"/>
              <w:marBottom w:val="300"/>
              <w:divBdr>
                <w:top w:val="none" w:sz="0" w:space="0" w:color="auto"/>
                <w:left w:val="none" w:sz="0" w:space="0" w:color="auto"/>
                <w:bottom w:val="none" w:sz="0" w:space="0" w:color="auto"/>
                <w:right w:val="none" w:sz="0" w:space="0" w:color="auto"/>
              </w:divBdr>
            </w:div>
            <w:div w:id="2117167067">
              <w:marLeft w:val="0"/>
              <w:marRight w:val="0"/>
              <w:marTop w:val="300"/>
              <w:marBottom w:val="300"/>
              <w:divBdr>
                <w:top w:val="none" w:sz="0" w:space="0" w:color="auto"/>
                <w:left w:val="none" w:sz="0" w:space="0" w:color="auto"/>
                <w:bottom w:val="none" w:sz="0" w:space="0" w:color="auto"/>
                <w:right w:val="none" w:sz="0" w:space="0" w:color="auto"/>
              </w:divBdr>
            </w:div>
            <w:div w:id="2118328021">
              <w:marLeft w:val="0"/>
              <w:marRight w:val="0"/>
              <w:marTop w:val="0"/>
              <w:marBottom w:val="0"/>
              <w:divBdr>
                <w:top w:val="none" w:sz="0" w:space="0" w:color="auto"/>
                <w:left w:val="none" w:sz="0" w:space="0" w:color="auto"/>
                <w:bottom w:val="none" w:sz="0" w:space="0" w:color="auto"/>
                <w:right w:val="none" w:sz="0" w:space="0" w:color="auto"/>
              </w:divBdr>
              <w:divsChild>
                <w:div w:id="379864639">
                  <w:marLeft w:val="0"/>
                  <w:marRight w:val="0"/>
                  <w:marTop w:val="0"/>
                  <w:marBottom w:val="0"/>
                  <w:divBdr>
                    <w:top w:val="none" w:sz="0" w:space="0" w:color="auto"/>
                    <w:left w:val="none" w:sz="0" w:space="0" w:color="auto"/>
                    <w:bottom w:val="none" w:sz="0" w:space="0" w:color="auto"/>
                    <w:right w:val="none" w:sz="0" w:space="0" w:color="auto"/>
                  </w:divBdr>
                </w:div>
              </w:divsChild>
            </w:div>
            <w:div w:id="2118674239">
              <w:marLeft w:val="0"/>
              <w:marRight w:val="0"/>
              <w:marTop w:val="0"/>
              <w:marBottom w:val="0"/>
              <w:divBdr>
                <w:top w:val="none" w:sz="0" w:space="0" w:color="auto"/>
                <w:left w:val="none" w:sz="0" w:space="0" w:color="auto"/>
                <w:bottom w:val="none" w:sz="0" w:space="0" w:color="auto"/>
                <w:right w:val="none" w:sz="0" w:space="0" w:color="auto"/>
              </w:divBdr>
              <w:divsChild>
                <w:div w:id="1492797201">
                  <w:marLeft w:val="0"/>
                  <w:marRight w:val="0"/>
                  <w:marTop w:val="0"/>
                  <w:marBottom w:val="0"/>
                  <w:divBdr>
                    <w:top w:val="none" w:sz="0" w:space="0" w:color="auto"/>
                    <w:left w:val="none" w:sz="0" w:space="0" w:color="auto"/>
                    <w:bottom w:val="none" w:sz="0" w:space="0" w:color="auto"/>
                    <w:right w:val="none" w:sz="0" w:space="0" w:color="auto"/>
                  </w:divBdr>
                </w:div>
              </w:divsChild>
            </w:div>
            <w:div w:id="2119717479">
              <w:marLeft w:val="0"/>
              <w:marRight w:val="0"/>
              <w:marTop w:val="300"/>
              <w:marBottom w:val="300"/>
              <w:divBdr>
                <w:top w:val="none" w:sz="0" w:space="0" w:color="auto"/>
                <w:left w:val="none" w:sz="0" w:space="0" w:color="auto"/>
                <w:bottom w:val="none" w:sz="0" w:space="0" w:color="auto"/>
                <w:right w:val="none" w:sz="0" w:space="0" w:color="auto"/>
              </w:divBdr>
            </w:div>
            <w:div w:id="2120833387">
              <w:marLeft w:val="0"/>
              <w:marRight w:val="0"/>
              <w:marTop w:val="0"/>
              <w:marBottom w:val="0"/>
              <w:divBdr>
                <w:top w:val="none" w:sz="0" w:space="0" w:color="auto"/>
                <w:left w:val="none" w:sz="0" w:space="0" w:color="auto"/>
                <w:bottom w:val="none" w:sz="0" w:space="0" w:color="auto"/>
                <w:right w:val="none" w:sz="0" w:space="0" w:color="auto"/>
              </w:divBdr>
              <w:divsChild>
                <w:div w:id="373047804">
                  <w:marLeft w:val="0"/>
                  <w:marRight w:val="0"/>
                  <w:marTop w:val="0"/>
                  <w:marBottom w:val="0"/>
                  <w:divBdr>
                    <w:top w:val="none" w:sz="0" w:space="0" w:color="auto"/>
                    <w:left w:val="none" w:sz="0" w:space="0" w:color="auto"/>
                    <w:bottom w:val="none" w:sz="0" w:space="0" w:color="auto"/>
                    <w:right w:val="none" w:sz="0" w:space="0" w:color="auto"/>
                  </w:divBdr>
                </w:div>
              </w:divsChild>
            </w:div>
            <w:div w:id="2122456326">
              <w:marLeft w:val="0"/>
              <w:marRight w:val="0"/>
              <w:marTop w:val="0"/>
              <w:marBottom w:val="0"/>
              <w:divBdr>
                <w:top w:val="none" w:sz="0" w:space="0" w:color="auto"/>
                <w:left w:val="none" w:sz="0" w:space="0" w:color="auto"/>
                <w:bottom w:val="none" w:sz="0" w:space="0" w:color="auto"/>
                <w:right w:val="none" w:sz="0" w:space="0" w:color="auto"/>
              </w:divBdr>
              <w:divsChild>
                <w:div w:id="734428702">
                  <w:marLeft w:val="0"/>
                  <w:marRight w:val="0"/>
                  <w:marTop w:val="0"/>
                  <w:marBottom w:val="0"/>
                  <w:divBdr>
                    <w:top w:val="none" w:sz="0" w:space="0" w:color="auto"/>
                    <w:left w:val="none" w:sz="0" w:space="0" w:color="auto"/>
                    <w:bottom w:val="none" w:sz="0" w:space="0" w:color="auto"/>
                    <w:right w:val="none" w:sz="0" w:space="0" w:color="auto"/>
                  </w:divBdr>
                </w:div>
              </w:divsChild>
            </w:div>
            <w:div w:id="2123917976">
              <w:marLeft w:val="0"/>
              <w:marRight w:val="0"/>
              <w:marTop w:val="300"/>
              <w:marBottom w:val="300"/>
              <w:divBdr>
                <w:top w:val="none" w:sz="0" w:space="0" w:color="auto"/>
                <w:left w:val="none" w:sz="0" w:space="0" w:color="auto"/>
                <w:bottom w:val="none" w:sz="0" w:space="0" w:color="auto"/>
                <w:right w:val="none" w:sz="0" w:space="0" w:color="auto"/>
              </w:divBdr>
            </w:div>
            <w:div w:id="2124304707">
              <w:marLeft w:val="0"/>
              <w:marRight w:val="0"/>
              <w:marTop w:val="0"/>
              <w:marBottom w:val="0"/>
              <w:divBdr>
                <w:top w:val="none" w:sz="0" w:space="0" w:color="auto"/>
                <w:left w:val="none" w:sz="0" w:space="0" w:color="auto"/>
                <w:bottom w:val="none" w:sz="0" w:space="0" w:color="auto"/>
                <w:right w:val="none" w:sz="0" w:space="0" w:color="auto"/>
              </w:divBdr>
              <w:divsChild>
                <w:div w:id="897741265">
                  <w:marLeft w:val="0"/>
                  <w:marRight w:val="0"/>
                  <w:marTop w:val="0"/>
                  <w:marBottom w:val="0"/>
                  <w:divBdr>
                    <w:top w:val="none" w:sz="0" w:space="0" w:color="auto"/>
                    <w:left w:val="none" w:sz="0" w:space="0" w:color="auto"/>
                    <w:bottom w:val="none" w:sz="0" w:space="0" w:color="auto"/>
                    <w:right w:val="none" w:sz="0" w:space="0" w:color="auto"/>
                  </w:divBdr>
                </w:div>
              </w:divsChild>
            </w:div>
            <w:div w:id="2124421066">
              <w:marLeft w:val="0"/>
              <w:marRight w:val="0"/>
              <w:marTop w:val="0"/>
              <w:marBottom w:val="0"/>
              <w:divBdr>
                <w:top w:val="none" w:sz="0" w:space="0" w:color="auto"/>
                <w:left w:val="none" w:sz="0" w:space="0" w:color="auto"/>
                <w:bottom w:val="none" w:sz="0" w:space="0" w:color="auto"/>
                <w:right w:val="none" w:sz="0" w:space="0" w:color="auto"/>
              </w:divBdr>
              <w:divsChild>
                <w:div w:id="1250701085">
                  <w:marLeft w:val="0"/>
                  <w:marRight w:val="0"/>
                  <w:marTop w:val="0"/>
                  <w:marBottom w:val="0"/>
                  <w:divBdr>
                    <w:top w:val="none" w:sz="0" w:space="0" w:color="auto"/>
                    <w:left w:val="none" w:sz="0" w:space="0" w:color="auto"/>
                    <w:bottom w:val="none" w:sz="0" w:space="0" w:color="auto"/>
                    <w:right w:val="none" w:sz="0" w:space="0" w:color="auto"/>
                  </w:divBdr>
                </w:div>
              </w:divsChild>
            </w:div>
            <w:div w:id="2127848506">
              <w:marLeft w:val="0"/>
              <w:marRight w:val="0"/>
              <w:marTop w:val="0"/>
              <w:marBottom w:val="0"/>
              <w:divBdr>
                <w:top w:val="none" w:sz="0" w:space="0" w:color="auto"/>
                <w:left w:val="none" w:sz="0" w:space="0" w:color="auto"/>
                <w:bottom w:val="none" w:sz="0" w:space="0" w:color="auto"/>
                <w:right w:val="none" w:sz="0" w:space="0" w:color="auto"/>
              </w:divBdr>
              <w:divsChild>
                <w:div w:id="2050952176">
                  <w:marLeft w:val="0"/>
                  <w:marRight w:val="0"/>
                  <w:marTop w:val="0"/>
                  <w:marBottom w:val="0"/>
                  <w:divBdr>
                    <w:top w:val="none" w:sz="0" w:space="0" w:color="auto"/>
                    <w:left w:val="none" w:sz="0" w:space="0" w:color="auto"/>
                    <w:bottom w:val="none" w:sz="0" w:space="0" w:color="auto"/>
                    <w:right w:val="none" w:sz="0" w:space="0" w:color="auto"/>
                  </w:divBdr>
                </w:div>
              </w:divsChild>
            </w:div>
            <w:div w:id="2129005554">
              <w:marLeft w:val="0"/>
              <w:marRight w:val="0"/>
              <w:marTop w:val="0"/>
              <w:marBottom w:val="0"/>
              <w:divBdr>
                <w:top w:val="none" w:sz="0" w:space="0" w:color="auto"/>
                <w:left w:val="none" w:sz="0" w:space="0" w:color="auto"/>
                <w:bottom w:val="none" w:sz="0" w:space="0" w:color="auto"/>
                <w:right w:val="none" w:sz="0" w:space="0" w:color="auto"/>
              </w:divBdr>
              <w:divsChild>
                <w:div w:id="422073877">
                  <w:marLeft w:val="0"/>
                  <w:marRight w:val="0"/>
                  <w:marTop w:val="0"/>
                  <w:marBottom w:val="0"/>
                  <w:divBdr>
                    <w:top w:val="none" w:sz="0" w:space="0" w:color="auto"/>
                    <w:left w:val="none" w:sz="0" w:space="0" w:color="auto"/>
                    <w:bottom w:val="none" w:sz="0" w:space="0" w:color="auto"/>
                    <w:right w:val="none" w:sz="0" w:space="0" w:color="auto"/>
                  </w:divBdr>
                </w:div>
              </w:divsChild>
            </w:div>
            <w:div w:id="2132359451">
              <w:marLeft w:val="0"/>
              <w:marRight w:val="0"/>
              <w:marTop w:val="300"/>
              <w:marBottom w:val="300"/>
              <w:divBdr>
                <w:top w:val="none" w:sz="0" w:space="0" w:color="auto"/>
                <w:left w:val="none" w:sz="0" w:space="0" w:color="auto"/>
                <w:bottom w:val="none" w:sz="0" w:space="0" w:color="auto"/>
                <w:right w:val="none" w:sz="0" w:space="0" w:color="auto"/>
              </w:divBdr>
            </w:div>
            <w:div w:id="2133277855">
              <w:marLeft w:val="0"/>
              <w:marRight w:val="0"/>
              <w:marTop w:val="300"/>
              <w:marBottom w:val="300"/>
              <w:divBdr>
                <w:top w:val="none" w:sz="0" w:space="0" w:color="auto"/>
                <w:left w:val="none" w:sz="0" w:space="0" w:color="auto"/>
                <w:bottom w:val="none" w:sz="0" w:space="0" w:color="auto"/>
                <w:right w:val="none" w:sz="0" w:space="0" w:color="auto"/>
              </w:divBdr>
            </w:div>
            <w:div w:id="2136018006">
              <w:marLeft w:val="0"/>
              <w:marRight w:val="0"/>
              <w:marTop w:val="0"/>
              <w:marBottom w:val="0"/>
              <w:divBdr>
                <w:top w:val="none" w:sz="0" w:space="0" w:color="auto"/>
                <w:left w:val="none" w:sz="0" w:space="0" w:color="auto"/>
                <w:bottom w:val="none" w:sz="0" w:space="0" w:color="auto"/>
                <w:right w:val="none" w:sz="0" w:space="0" w:color="auto"/>
              </w:divBdr>
              <w:divsChild>
                <w:div w:id="172184872">
                  <w:marLeft w:val="0"/>
                  <w:marRight w:val="0"/>
                  <w:marTop w:val="0"/>
                  <w:marBottom w:val="0"/>
                  <w:divBdr>
                    <w:top w:val="none" w:sz="0" w:space="0" w:color="auto"/>
                    <w:left w:val="none" w:sz="0" w:space="0" w:color="auto"/>
                    <w:bottom w:val="none" w:sz="0" w:space="0" w:color="auto"/>
                    <w:right w:val="none" w:sz="0" w:space="0" w:color="auto"/>
                  </w:divBdr>
                </w:div>
              </w:divsChild>
            </w:div>
            <w:div w:id="2143185675">
              <w:marLeft w:val="0"/>
              <w:marRight w:val="0"/>
              <w:marTop w:val="0"/>
              <w:marBottom w:val="0"/>
              <w:divBdr>
                <w:top w:val="none" w:sz="0" w:space="0" w:color="auto"/>
                <w:left w:val="none" w:sz="0" w:space="0" w:color="auto"/>
                <w:bottom w:val="none" w:sz="0" w:space="0" w:color="auto"/>
                <w:right w:val="none" w:sz="0" w:space="0" w:color="auto"/>
              </w:divBdr>
              <w:divsChild>
                <w:div w:id="358702136">
                  <w:marLeft w:val="0"/>
                  <w:marRight w:val="0"/>
                  <w:marTop w:val="0"/>
                  <w:marBottom w:val="0"/>
                  <w:divBdr>
                    <w:top w:val="none" w:sz="0" w:space="0" w:color="auto"/>
                    <w:left w:val="none" w:sz="0" w:space="0" w:color="auto"/>
                    <w:bottom w:val="none" w:sz="0" w:space="0" w:color="auto"/>
                    <w:right w:val="none" w:sz="0" w:space="0" w:color="auto"/>
                  </w:divBdr>
                </w:div>
              </w:divsChild>
            </w:div>
            <w:div w:id="2146894122">
              <w:marLeft w:val="0"/>
              <w:marRight w:val="0"/>
              <w:marTop w:val="0"/>
              <w:marBottom w:val="0"/>
              <w:divBdr>
                <w:top w:val="none" w:sz="0" w:space="0" w:color="auto"/>
                <w:left w:val="none" w:sz="0" w:space="0" w:color="auto"/>
                <w:bottom w:val="none" w:sz="0" w:space="0" w:color="auto"/>
                <w:right w:val="none" w:sz="0" w:space="0" w:color="auto"/>
              </w:divBdr>
              <w:divsChild>
                <w:div w:id="20585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2639">
          <w:marLeft w:val="0"/>
          <w:marRight w:val="0"/>
          <w:marTop w:val="0"/>
          <w:marBottom w:val="150"/>
          <w:divBdr>
            <w:top w:val="none" w:sz="0" w:space="0" w:color="auto"/>
            <w:left w:val="none" w:sz="0" w:space="0" w:color="auto"/>
            <w:bottom w:val="none" w:sz="0" w:space="0" w:color="auto"/>
            <w:right w:val="none" w:sz="0" w:space="0" w:color="auto"/>
          </w:divBdr>
        </w:div>
        <w:div w:id="1351181780">
          <w:marLeft w:val="0"/>
          <w:marRight w:val="0"/>
          <w:marTop w:val="0"/>
          <w:marBottom w:val="150"/>
          <w:divBdr>
            <w:top w:val="none" w:sz="0" w:space="0" w:color="auto"/>
            <w:left w:val="none" w:sz="0" w:space="0" w:color="auto"/>
            <w:bottom w:val="none" w:sz="0" w:space="0" w:color="auto"/>
            <w:right w:val="none" w:sz="0" w:space="0" w:color="auto"/>
          </w:divBdr>
        </w:div>
        <w:div w:id="1387142655">
          <w:marLeft w:val="0"/>
          <w:marRight w:val="0"/>
          <w:marTop w:val="0"/>
          <w:marBottom w:val="0"/>
          <w:divBdr>
            <w:top w:val="none" w:sz="0" w:space="0" w:color="auto"/>
            <w:left w:val="none" w:sz="0" w:space="0" w:color="auto"/>
            <w:bottom w:val="none" w:sz="0" w:space="0" w:color="auto"/>
            <w:right w:val="none" w:sz="0" w:space="0" w:color="auto"/>
          </w:divBdr>
        </w:div>
        <w:div w:id="2024354191">
          <w:marLeft w:val="0"/>
          <w:marRight w:val="0"/>
          <w:marTop w:val="0"/>
          <w:marBottom w:val="0"/>
          <w:divBdr>
            <w:top w:val="none" w:sz="0" w:space="0" w:color="auto"/>
            <w:left w:val="none" w:sz="0" w:space="0" w:color="auto"/>
            <w:bottom w:val="none" w:sz="0" w:space="0" w:color="auto"/>
            <w:right w:val="none" w:sz="0" w:space="0" w:color="auto"/>
          </w:divBdr>
        </w:div>
      </w:divsChild>
    </w:div>
    <w:div w:id="1601253098">
      <w:bodyDiv w:val="1"/>
      <w:marLeft w:val="0"/>
      <w:marRight w:val="0"/>
      <w:marTop w:val="0"/>
      <w:marBottom w:val="0"/>
      <w:divBdr>
        <w:top w:val="none" w:sz="0" w:space="0" w:color="auto"/>
        <w:left w:val="none" w:sz="0" w:space="0" w:color="auto"/>
        <w:bottom w:val="none" w:sz="0" w:space="0" w:color="auto"/>
        <w:right w:val="none" w:sz="0" w:space="0" w:color="auto"/>
      </w:divBdr>
    </w:div>
    <w:div w:id="1665814045">
      <w:bodyDiv w:val="1"/>
      <w:marLeft w:val="0"/>
      <w:marRight w:val="0"/>
      <w:marTop w:val="0"/>
      <w:marBottom w:val="0"/>
      <w:divBdr>
        <w:top w:val="none" w:sz="0" w:space="0" w:color="auto"/>
        <w:left w:val="none" w:sz="0" w:space="0" w:color="auto"/>
        <w:bottom w:val="none" w:sz="0" w:space="0" w:color="auto"/>
        <w:right w:val="none" w:sz="0" w:space="0" w:color="auto"/>
      </w:divBdr>
    </w:div>
    <w:div w:id="199101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latoria.colombiacompra.gov.co/ficha/C-543%20de%202020" TargetMode="External"/><Relationship Id="rId117" Type="http://schemas.openxmlformats.org/officeDocument/2006/relationships/image" Target="media/image20.jpg"/><Relationship Id="rId21" Type="http://schemas.openxmlformats.org/officeDocument/2006/relationships/hyperlink" Target="http://relatoria.colombiacompra.gov.co/ficha/CU-367%20de%202020" TargetMode="External"/><Relationship Id="rId42" Type="http://schemas.openxmlformats.org/officeDocument/2006/relationships/hyperlink" Target="http://relatoria.colombiacompra.gov.co/ficha/C-270%20de%202020" TargetMode="External"/><Relationship Id="rId47" Type="http://schemas.openxmlformats.org/officeDocument/2006/relationships/hyperlink" Target="http://relatoria.colombiacompra.gov.co/ficha/C-504%20de%202020" TargetMode="External"/><Relationship Id="rId63" Type="http://schemas.openxmlformats.org/officeDocument/2006/relationships/hyperlink" Target="http://relatoria.colombiacompra.gov.co/ficha/C-433%20de%202020" TargetMode="External"/><Relationship Id="rId68" Type="http://schemas.openxmlformats.org/officeDocument/2006/relationships/hyperlink" Target="http://relatoria.colombiacompra.gov.co/ficha/C-574%20de%202020" TargetMode="External"/><Relationship Id="rId84" Type="http://schemas.openxmlformats.org/officeDocument/2006/relationships/hyperlink" Target="http://relatoria.colombiacompra.gov.co/ficha/C-474%20de%202020" TargetMode="External"/><Relationship Id="rId89" Type="http://schemas.openxmlformats.org/officeDocument/2006/relationships/hyperlink" Target="https://relatoria.colombiacompra.gov.co/ficha/C-758%20de%202021" TargetMode="External"/><Relationship Id="rId112" Type="http://schemas.openxmlformats.org/officeDocument/2006/relationships/image" Target="media/image15.jpg"/><Relationship Id="rId16" Type="http://schemas.openxmlformats.org/officeDocument/2006/relationships/hyperlink" Target="http://relatoria.colombiacompra.gov.co/ficha/C-249%20de%202020" TargetMode="External"/><Relationship Id="rId107" Type="http://schemas.openxmlformats.org/officeDocument/2006/relationships/image" Target="media/image10.jpg"/><Relationship Id="rId11" Type="http://schemas.openxmlformats.org/officeDocument/2006/relationships/hyperlink" Target="http://relatoria.colombiacompra.gov.co/ficha/C-095%20de%202020" TargetMode="External"/><Relationship Id="rId32" Type="http://schemas.openxmlformats.org/officeDocument/2006/relationships/hyperlink" Target="http://relatoria.colombiacompra.gov.co/ficha/C-719%20de%202020" TargetMode="External"/><Relationship Id="rId37" Type="http://schemas.openxmlformats.org/officeDocument/2006/relationships/hyperlink" Target="https://relatoria.colombiacompra.gov.co/ficha/C-709%20%20de%202022" TargetMode="External"/><Relationship Id="rId53" Type="http://schemas.openxmlformats.org/officeDocument/2006/relationships/hyperlink" Target="http://relatoria.colombiacompra.gov.co/ficha/C-719%20de%202020" TargetMode="External"/><Relationship Id="rId58" Type="http://schemas.openxmlformats.org/officeDocument/2006/relationships/hyperlink" Target="http://relatoria.colombiacompra.gov.co/ficha/C-135%20de%202021" TargetMode="External"/><Relationship Id="rId74" Type="http://schemas.openxmlformats.org/officeDocument/2006/relationships/hyperlink" Target="https://relatoria.colombiacompra.gov.co/ficha/C-032%20de%202021" TargetMode="External"/><Relationship Id="rId79" Type="http://schemas.openxmlformats.org/officeDocument/2006/relationships/hyperlink" Target="http://relatoria.colombiacompra.gov.co/ficha/C-232%20de%202020" TargetMode="External"/><Relationship Id="rId102" Type="http://schemas.openxmlformats.org/officeDocument/2006/relationships/image" Target="media/image5.jpg"/><Relationship Id="rId123"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yperlink" Target="https://relatoria.colombiacompra.gov.co/ficha/C-508%20de%202020" TargetMode="External"/><Relationship Id="rId95" Type="http://schemas.openxmlformats.org/officeDocument/2006/relationships/hyperlink" Target="https://relatoria.colombiacompra.gov.co/ficha/C-332%20de%202022" TargetMode="External"/><Relationship Id="rId22" Type="http://schemas.openxmlformats.org/officeDocument/2006/relationships/hyperlink" Target="http://relatoria.colombiacompra.gov.co/ficha/C-433%20de%202020" TargetMode="External"/><Relationship Id="rId27" Type="http://schemas.openxmlformats.org/officeDocument/2006/relationships/hyperlink" Target="http://relatoria.colombiacompra.gov.co/ficha/C-562%20de%202020" TargetMode="External"/><Relationship Id="rId43" Type="http://schemas.openxmlformats.org/officeDocument/2006/relationships/hyperlink" Target="http://relatoria.colombiacompra.gov.co/ficha/C-271%20de%202020" TargetMode="External"/><Relationship Id="rId48" Type="http://schemas.openxmlformats.org/officeDocument/2006/relationships/hyperlink" Target="http://relatoria.colombiacompra.gov.co/ficha/C-544%20de%202020" TargetMode="External"/><Relationship Id="rId64" Type="http://schemas.openxmlformats.org/officeDocument/2006/relationships/hyperlink" Target="http://relatoria.colombiacompra.gov.co/ficha/C-474%20de%202020" TargetMode="External"/><Relationship Id="rId69" Type="http://schemas.openxmlformats.org/officeDocument/2006/relationships/hyperlink" Target="http://relatoria.colombiacompra.gov.co/ficha/C-575%20de%202020" TargetMode="External"/><Relationship Id="rId113" Type="http://schemas.openxmlformats.org/officeDocument/2006/relationships/image" Target="media/image16.jpg"/><Relationship Id="rId118" Type="http://schemas.openxmlformats.org/officeDocument/2006/relationships/image" Target="media/image21.jpg"/><Relationship Id="rId80" Type="http://schemas.openxmlformats.org/officeDocument/2006/relationships/hyperlink" Target="http://relatoria.colombiacompra.gov.co/ficha/C-331%20de%202020" TargetMode="External"/><Relationship Id="rId85" Type="http://schemas.openxmlformats.org/officeDocument/2006/relationships/hyperlink" Target="http://relatoria.colombiacompra.gov.co/ficha/C-544%20de%202020" TargetMode="External"/><Relationship Id="rId12" Type="http://schemas.openxmlformats.org/officeDocument/2006/relationships/hyperlink" Target="http://relatoria.colombiacompra.gov.co/ficha/C-197%20de%202020" TargetMode="External"/><Relationship Id="rId17" Type="http://schemas.openxmlformats.org/officeDocument/2006/relationships/hyperlink" Target="http://relatoria.colombiacompra.gov.co/ficha/C-270%20de%202020" TargetMode="External"/><Relationship Id="rId33" Type="http://schemas.openxmlformats.org/officeDocument/2006/relationships/hyperlink" Target="http://relatoria.colombiacompra.gov.co/ficha/C-032%20de%202021" TargetMode="External"/><Relationship Id="rId38" Type="http://schemas.openxmlformats.org/officeDocument/2006/relationships/hyperlink" Target="https://relatoria.colombiacompra.gov.co/ficha/C-508%20de%202020" TargetMode="External"/><Relationship Id="rId59" Type="http://schemas.openxmlformats.org/officeDocument/2006/relationships/hyperlink" Target="https://relatoria.colombiacompra.gov.co/ficha/C-543%20de%202020" TargetMode="External"/><Relationship Id="rId103" Type="http://schemas.openxmlformats.org/officeDocument/2006/relationships/image" Target="media/image6.jpg"/><Relationship Id="rId108" Type="http://schemas.openxmlformats.org/officeDocument/2006/relationships/image" Target="media/image11.jpg"/><Relationship Id="rId54" Type="http://schemas.openxmlformats.org/officeDocument/2006/relationships/hyperlink" Target="https://relatoria.colombiacompra.gov.co/ficha/C-093%20de%202022" TargetMode="External"/><Relationship Id="rId70" Type="http://schemas.openxmlformats.org/officeDocument/2006/relationships/hyperlink" Target="http://relatoria.colombiacompra.gov.co/ficha/C-604%20de%202020" TargetMode="External"/><Relationship Id="rId75" Type="http://schemas.openxmlformats.org/officeDocument/2006/relationships/hyperlink" Target="https://relatoria.colombiacompra.gov.co/ficha/C-508%20de%202020" TargetMode="External"/><Relationship Id="rId91" Type="http://schemas.openxmlformats.org/officeDocument/2006/relationships/hyperlink" Target="https://relatoria.colombiacompra.gov.co/ficha/C-521%20de%202020" TargetMode="External"/><Relationship Id="rId96" Type="http://schemas.openxmlformats.org/officeDocument/2006/relationships/hyperlink" Target="http://relatoria.colombiacompra.gov.co/ficha/C-607%20de%202020"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relatoria.colombiacompra.gov.co/ficha/C-474%20de%202020" TargetMode="External"/><Relationship Id="rId28" Type="http://schemas.openxmlformats.org/officeDocument/2006/relationships/hyperlink" Target="http://relatoria.colombiacompra.gov.co/ficha/C-574%20de%202020" TargetMode="External"/><Relationship Id="rId49" Type="http://schemas.openxmlformats.org/officeDocument/2006/relationships/hyperlink" Target="http://relatoria.colombiacompra.gov.co/ficha/C-562%20de%202020" TargetMode="External"/><Relationship Id="rId114" Type="http://schemas.openxmlformats.org/officeDocument/2006/relationships/image" Target="media/image17.jpg"/><Relationship Id="rId119" Type="http://schemas.openxmlformats.org/officeDocument/2006/relationships/image" Target="media/image22.jpg"/><Relationship Id="rId44" Type="http://schemas.openxmlformats.org/officeDocument/2006/relationships/hyperlink" Target="http://relatoria.colombiacompra.gov.co/ficha/CU-367%20de%202020" TargetMode="External"/><Relationship Id="rId60" Type="http://schemas.openxmlformats.org/officeDocument/2006/relationships/hyperlink" Target="https://relatoria.colombiacompra.gov.co/ficha/C-332%20de%202022" TargetMode="External"/><Relationship Id="rId65" Type="http://schemas.openxmlformats.org/officeDocument/2006/relationships/hyperlink" Target="http://relatoria.colombiacompra.gov.co/ficha/C-504%20de%202020" TargetMode="External"/><Relationship Id="rId81" Type="http://schemas.openxmlformats.org/officeDocument/2006/relationships/hyperlink" Target="http://relatoria.colombiacompra.gov.co/ficha/CU-348%20de%202020" TargetMode="External"/><Relationship Id="rId86" Type="http://schemas.openxmlformats.org/officeDocument/2006/relationships/hyperlink" Target="https://relatoria.colombiacompra.gov.co/ficha/C-032%20de%202021" TargetMode="External"/><Relationship Id="rId4" Type="http://schemas.openxmlformats.org/officeDocument/2006/relationships/numbering" Target="numbering.xml"/><Relationship Id="rId9" Type="http://schemas.openxmlformats.org/officeDocument/2006/relationships/hyperlink" Target="http://relatoria.colombiacompra.gov.co/ficha/C-055%20%20de%202020" TargetMode="External"/><Relationship Id="rId13" Type="http://schemas.openxmlformats.org/officeDocument/2006/relationships/hyperlink" Target="http://relatoria.colombiacompra.gov.co/ficha/C-206%20de%202020" TargetMode="External"/><Relationship Id="rId18" Type="http://schemas.openxmlformats.org/officeDocument/2006/relationships/hyperlink" Target="http://relatoria.colombiacompra.gov.co/ficha/C-190%20de%202020" TargetMode="External"/><Relationship Id="rId39" Type="http://schemas.openxmlformats.org/officeDocument/2006/relationships/hyperlink" Target="https://relatoria.colombiacompra.gov.co/ficha/C-544%20de%202020" TargetMode="External"/><Relationship Id="rId109" Type="http://schemas.openxmlformats.org/officeDocument/2006/relationships/image" Target="media/image12.jpg"/><Relationship Id="rId34" Type="http://schemas.openxmlformats.org/officeDocument/2006/relationships/hyperlink" Target="http://relatoria.colombiacompra.gov.co/ficha/C-118%20de%202021" TargetMode="External"/><Relationship Id="rId50" Type="http://schemas.openxmlformats.org/officeDocument/2006/relationships/hyperlink" Target="http://relatoria.colombiacompra.gov.co/ficha/C-574%20de%202020" TargetMode="External"/><Relationship Id="rId55" Type="http://schemas.openxmlformats.org/officeDocument/2006/relationships/hyperlink" Target="https://relatoria.colombiacompra.gov.co/ficha/C-313%20de%202022" TargetMode="External"/><Relationship Id="rId76" Type="http://schemas.openxmlformats.org/officeDocument/2006/relationships/hyperlink" Target="https://relatoria.colombiacompra.gov.co/ficha/C-521%20de%202020" TargetMode="External"/><Relationship Id="rId97" Type="http://schemas.openxmlformats.org/officeDocument/2006/relationships/hyperlink" Target="http://suin.gov.co/viewDocument.asp?id=30019925" TargetMode="External"/><Relationship Id="rId104" Type="http://schemas.openxmlformats.org/officeDocument/2006/relationships/image" Target="media/image7.jpg"/><Relationship Id="rId120" Type="http://schemas.openxmlformats.org/officeDocument/2006/relationships/image" Target="media/image23.jpg"/><Relationship Id="rId7" Type="http://schemas.openxmlformats.org/officeDocument/2006/relationships/webSettings" Target="webSettings.xml"/><Relationship Id="rId71" Type="http://schemas.openxmlformats.org/officeDocument/2006/relationships/hyperlink" Target="http://relatoria.colombiacompra.gov.co/ficha/C-719%20de%202020" TargetMode="External"/><Relationship Id="rId92" Type="http://schemas.openxmlformats.org/officeDocument/2006/relationships/hyperlink" Target="https://relatoria.colombiacompra.gov.co/ficha/C-543%20de%202020" TargetMode="External"/><Relationship Id="rId2" Type="http://schemas.openxmlformats.org/officeDocument/2006/relationships/customXml" Target="../customXml/item2.xml"/><Relationship Id="rId29" Type="http://schemas.openxmlformats.org/officeDocument/2006/relationships/hyperlink" Target="http://relatoria.colombiacompra.gov.co/ficha/C-575%20de%202020" TargetMode="External"/><Relationship Id="rId24" Type="http://schemas.openxmlformats.org/officeDocument/2006/relationships/hyperlink" Target="http://relatoria.colombiacompra.gov.co/ficha/C-504%20de%202020" TargetMode="External"/><Relationship Id="rId40" Type="http://schemas.openxmlformats.org/officeDocument/2006/relationships/hyperlink" Target="https://relatoria.colombiacompra.gov.co/ficha/C-332%20de%202022" TargetMode="External"/><Relationship Id="rId45" Type="http://schemas.openxmlformats.org/officeDocument/2006/relationships/hyperlink" Target="http://relatoria.colombiacompra.gov.co/ficha/C-433%20de%202020" TargetMode="External"/><Relationship Id="rId66" Type="http://schemas.openxmlformats.org/officeDocument/2006/relationships/hyperlink" Target="http://relatoria.colombiacompra.gov.co/ficha/C-544%20de%202020" TargetMode="External"/><Relationship Id="rId87" Type="http://schemas.openxmlformats.org/officeDocument/2006/relationships/hyperlink" Target="http://relatoria.colombiacompra.gov.co/ficha/C-135%20de%202021" TargetMode="External"/><Relationship Id="rId110" Type="http://schemas.openxmlformats.org/officeDocument/2006/relationships/image" Target="media/image13.jpg"/><Relationship Id="rId115" Type="http://schemas.openxmlformats.org/officeDocument/2006/relationships/image" Target="media/image18.jpg"/><Relationship Id="rId61" Type="http://schemas.openxmlformats.org/officeDocument/2006/relationships/hyperlink" Target="http://relatoria.colombiacompra.gov.co/ficha/C-055%20%20de%202020" TargetMode="External"/><Relationship Id="rId82" Type="http://schemas.openxmlformats.org/officeDocument/2006/relationships/hyperlink" Target="http://relatoria.colombiacompra.gov.co/ficha/CU-367%20de%202020" TargetMode="External"/><Relationship Id="rId19" Type="http://schemas.openxmlformats.org/officeDocument/2006/relationships/hyperlink" Target="http://relatoria.colombiacompra.gov.co/ficha/C-271%20de%202020" TargetMode="External"/><Relationship Id="rId14" Type="http://schemas.openxmlformats.org/officeDocument/2006/relationships/hyperlink" Target="http://relatoria.colombiacompra.gov.co/ficha/C-181%20de%202020" TargetMode="External"/><Relationship Id="rId30" Type="http://schemas.openxmlformats.org/officeDocument/2006/relationships/hyperlink" Target="http://relatoria.colombiacompra.gov.co/ficha/C-604%20de%202020" TargetMode="External"/><Relationship Id="rId35" Type="http://schemas.openxmlformats.org/officeDocument/2006/relationships/hyperlink" Target="http://relatoria.colombiacompra.gov.co/ficha/C-135%20de%202021" TargetMode="External"/><Relationship Id="rId56" Type="http://schemas.openxmlformats.org/officeDocument/2006/relationships/hyperlink" Target="https://relatoria.colombiacompra.gov.co/ficha/C-508%20de%202020" TargetMode="External"/><Relationship Id="rId77" Type="http://schemas.openxmlformats.org/officeDocument/2006/relationships/hyperlink" Target="https://relatoria.colombiacompra.gov.co/ficha/C-543%20de%202020" TargetMode="External"/><Relationship Id="rId100" Type="http://schemas.openxmlformats.org/officeDocument/2006/relationships/image" Target="media/image3.jpg"/><Relationship Id="rId105" Type="http://schemas.openxmlformats.org/officeDocument/2006/relationships/image" Target="media/image8.jpg"/><Relationship Id="rId8" Type="http://schemas.openxmlformats.org/officeDocument/2006/relationships/hyperlink" Target="http://relatoria.colombiacompra.gov.co/ficha/4201913000006442" TargetMode="External"/><Relationship Id="rId51" Type="http://schemas.openxmlformats.org/officeDocument/2006/relationships/hyperlink" Target="http://relatoria.colombiacompra.gov.co/ficha/C-575%20de%202020" TargetMode="External"/><Relationship Id="rId72" Type="http://schemas.openxmlformats.org/officeDocument/2006/relationships/hyperlink" Target="http://relatoria.colombiacompra.gov.co/ficha/C-135%20de%202021" TargetMode="External"/><Relationship Id="rId93" Type="http://schemas.openxmlformats.org/officeDocument/2006/relationships/hyperlink" Target="https://relatoria.colombiacompra.gov.co/ficha/C-575%20de%202020" TargetMode="External"/><Relationship Id="rId98" Type="http://schemas.openxmlformats.org/officeDocument/2006/relationships/image" Target="media/image1.jpg"/><Relationship Id="rId121" Type="http://schemas.openxmlformats.org/officeDocument/2006/relationships/image" Target="media/image24.jpg"/><Relationship Id="rId3" Type="http://schemas.openxmlformats.org/officeDocument/2006/relationships/customXml" Target="../customXml/item3.xml"/><Relationship Id="rId25" Type="http://schemas.openxmlformats.org/officeDocument/2006/relationships/hyperlink" Target="http://relatoria.colombiacompra.gov.co/ficha/C-521%20de%202020" TargetMode="External"/><Relationship Id="rId46" Type="http://schemas.openxmlformats.org/officeDocument/2006/relationships/hyperlink" Target="http://relatoria.colombiacompra.gov.co/ficha/C-474%20de%202020" TargetMode="External"/><Relationship Id="rId67" Type="http://schemas.openxmlformats.org/officeDocument/2006/relationships/hyperlink" Target="http://relatoria.colombiacompra.gov.co/ficha/C-562%20de%202020" TargetMode="External"/><Relationship Id="rId116" Type="http://schemas.openxmlformats.org/officeDocument/2006/relationships/image" Target="media/image19.jpg"/><Relationship Id="rId20" Type="http://schemas.openxmlformats.org/officeDocument/2006/relationships/hyperlink" Target="https://relatoria.colombiacompra.gov.co/ficha/C-313%20de%202021" TargetMode="External"/><Relationship Id="rId41" Type="http://schemas.openxmlformats.org/officeDocument/2006/relationships/hyperlink" Target="http://relatoria.colombiacompra.gov.co/ficha/C-055%20%20de%202020" TargetMode="External"/><Relationship Id="rId62" Type="http://schemas.openxmlformats.org/officeDocument/2006/relationships/hyperlink" Target="http://relatoria.colombiacompra.gov.co/ficha/CU-367%20de%202020" TargetMode="External"/><Relationship Id="rId83" Type="http://schemas.openxmlformats.org/officeDocument/2006/relationships/hyperlink" Target="http://relatoria.colombiacompra.gov.co/ficha/C-433%20de%202020" TargetMode="External"/><Relationship Id="rId88" Type="http://schemas.openxmlformats.org/officeDocument/2006/relationships/hyperlink" Target="https://relatoria.colombiacompra.gov.co/ficha/C-472%20de%202021" TargetMode="External"/><Relationship Id="rId111" Type="http://schemas.openxmlformats.org/officeDocument/2006/relationships/image" Target="media/image14.jpg"/><Relationship Id="rId15" Type="http://schemas.openxmlformats.org/officeDocument/2006/relationships/hyperlink" Target="http://relatoria.colombiacompra.gov.co/ficha/C-264%20de%202020" TargetMode="External"/><Relationship Id="rId36" Type="http://schemas.openxmlformats.org/officeDocument/2006/relationships/hyperlink" Target="https://relatoria.colombiacompra.gov.co/ficha/C-472%20de%202021" TargetMode="External"/><Relationship Id="rId57" Type="http://schemas.openxmlformats.org/officeDocument/2006/relationships/hyperlink" Target="https://relatoria.colombiacompra.gov.co/ficha/C-521%20de%202020" TargetMode="External"/><Relationship Id="rId106" Type="http://schemas.openxmlformats.org/officeDocument/2006/relationships/image" Target="media/image9.jpg"/><Relationship Id="rId10" Type="http://schemas.openxmlformats.org/officeDocument/2006/relationships/hyperlink" Target="http://relatoria.colombiacompra.gov.co/ficha/C-088%20de%202020" TargetMode="External"/><Relationship Id="rId31" Type="http://schemas.openxmlformats.org/officeDocument/2006/relationships/hyperlink" Target="http://relatoria.colombiacompra.gov.co/ficha/C-680%20de%202020" TargetMode="External"/><Relationship Id="rId52" Type="http://schemas.openxmlformats.org/officeDocument/2006/relationships/hyperlink" Target="http://relatoria.colombiacompra.gov.co/ficha/C-604%20de%202020" TargetMode="External"/><Relationship Id="rId73" Type="http://schemas.openxmlformats.org/officeDocument/2006/relationships/hyperlink" Target="https://relatoria.colombiacompra.gov.co/ficha/C-472%20de%202021" TargetMode="External"/><Relationship Id="rId78" Type="http://schemas.openxmlformats.org/officeDocument/2006/relationships/hyperlink" Target="https://relatoria.colombiacompra.gov.co/ficha/C-332%20de%202022" TargetMode="External"/><Relationship Id="rId94" Type="http://schemas.openxmlformats.org/officeDocument/2006/relationships/hyperlink" Target="https://relatoria.colombiacompra.gov.co/ficha/C-758%20de%202021" TargetMode="External"/><Relationship Id="rId99" Type="http://schemas.openxmlformats.org/officeDocument/2006/relationships/image" Target="media/image2.jpg"/><Relationship Id="rId101" Type="http://schemas.openxmlformats.org/officeDocument/2006/relationships/image" Target="media/image4.jpg"/><Relationship Id="rId1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6" ma:contentTypeDescription="Crear nuevo documento." ma:contentTypeScope="" ma:versionID="4d0aff64a573d8785e6a72518a5ad9d8">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36a2f457a6205ac8ec841d28bbb076c"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1B3183-155D-4D51-9662-1440AAECA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3AD458-AAA1-4E3C-B46D-4937D9EC6C5A}">
  <ds:schemaRefs>
    <ds:schemaRef ds:uri="http://schemas.microsoft.com/sharepoint/v3/contenttype/forms"/>
  </ds:schemaRefs>
</ds:datastoreItem>
</file>

<file path=customXml/itemProps3.xml><?xml version="1.0" encoding="utf-8"?>
<ds:datastoreItem xmlns:ds="http://schemas.openxmlformats.org/officeDocument/2006/customXml" ds:itemID="{50F47F99-6849-4E3A-9011-054B90E28754}">
  <ds:schemaRefs>
    <ds:schemaRef ds:uri="http://schemas.microsoft.com/office/infopath/2007/PartnerControls"/>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a6cb9e4b-f1d1-4245-83ec-6cad768d538a"/>
    <ds:schemaRef ds:uri="9d85dbaf-23eb-4e57-a637-93dcacc8b1a1"/>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91759</Words>
  <Characters>504680</Characters>
  <Application>Microsoft Office Word</Application>
  <DocSecurity>0</DocSecurity>
  <Lines>4205</Lines>
  <Paragraphs>1190</Paragraphs>
  <ScaleCrop>false</ScaleCrop>
  <Company/>
  <LinksUpToDate>false</LinksUpToDate>
  <CharactersWithSpaces>595249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Mario Castrillón Endo</dc:creator>
  <cp:keywords/>
  <dc:description/>
  <cp:lastModifiedBy>Manuela Mantilla Pacheco</cp:lastModifiedBy>
  <cp:revision>2</cp:revision>
  <dcterms:created xsi:type="dcterms:W3CDTF">2022-10-18T19:28:00Z</dcterms:created>
  <dcterms:modified xsi:type="dcterms:W3CDTF">2022-10-18T19:28:00Z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