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57FC0" w14:textId="77777777" w:rsidR="00513593" w:rsidRPr="00513593" w:rsidRDefault="00513593" w:rsidP="006475D7">
      <w:pPr>
        <w:pStyle w:val="Textoindependiente"/>
        <w:ind w:left="100" w:right="105"/>
        <w:jc w:val="both"/>
        <w:rPr>
          <w:b/>
        </w:rPr>
      </w:pPr>
    </w:p>
    <w:p w14:paraId="41AF5476" w14:textId="0391E97C" w:rsidR="0875CD15" w:rsidRDefault="0875CD15" w:rsidP="314DE88F">
      <w:pPr>
        <w:pStyle w:val="Textoindependiente"/>
        <w:spacing w:line="259" w:lineRule="auto"/>
        <w:ind w:left="100" w:right="105"/>
        <w:jc w:val="both"/>
        <w:rPr>
          <w:b/>
          <w:bCs/>
        </w:rPr>
      </w:pPr>
      <w:r w:rsidRPr="314DE88F">
        <w:rPr>
          <w:b/>
          <w:bCs/>
        </w:rPr>
        <w:t xml:space="preserve">LEY DE </w:t>
      </w:r>
      <w:r w:rsidR="6A4E892E" w:rsidRPr="314DE88F">
        <w:rPr>
          <w:b/>
          <w:bCs/>
        </w:rPr>
        <w:t>G</w:t>
      </w:r>
      <w:r w:rsidRPr="314DE88F">
        <w:rPr>
          <w:b/>
          <w:bCs/>
        </w:rPr>
        <w:t xml:space="preserve">ARANTÍAS ELECTORALES – Prohibición – Servidores públicos </w:t>
      </w:r>
    </w:p>
    <w:p w14:paraId="42FE7A26" w14:textId="77777777" w:rsidR="004A2D00" w:rsidRPr="00513593" w:rsidRDefault="004A2D00" w:rsidP="006475D7">
      <w:pPr>
        <w:pStyle w:val="Textoindependiente"/>
        <w:ind w:left="100" w:right="105"/>
        <w:jc w:val="both"/>
      </w:pPr>
    </w:p>
    <w:p w14:paraId="37A0C9CA" w14:textId="77777777" w:rsidR="004A2D00" w:rsidRPr="00513593" w:rsidRDefault="004A2D00" w:rsidP="006475D7">
      <w:pPr>
        <w:pStyle w:val="Textoindependiente"/>
        <w:ind w:left="100" w:right="105"/>
        <w:jc w:val="both"/>
        <w:rPr>
          <w:sz w:val="20"/>
          <w:szCs w:val="20"/>
        </w:rPr>
      </w:pPr>
      <w:r w:rsidRPr="00513593">
        <w:rPr>
          <w:sz w:val="20"/>
          <w:szCs w:val="20"/>
        </w:rPr>
        <w:t>Es claro que la Ley de Garantías Electorales, para el cumplimiento de los objetivos que dieron lugar a su expedición, fijó una serie de regulaciones y prohibiciones dirigidas a los servidores públicos. No obstante, es menester tener claro que estas disposiciones se dirigen a dos tipos de campañas electorales claramente diferenciadas: las presidenciales y las demás que se adelanten para la elección de los demás cargos de elección popular, tanto a nivel nacional como a nivel territorial.</w:t>
      </w:r>
    </w:p>
    <w:p w14:paraId="2E6A16E3" w14:textId="77777777" w:rsidR="004A2D00" w:rsidRPr="00513593" w:rsidRDefault="004A2D00" w:rsidP="006475D7">
      <w:pPr>
        <w:pStyle w:val="Textoindependiente"/>
        <w:ind w:left="100" w:right="105"/>
        <w:jc w:val="both"/>
      </w:pPr>
    </w:p>
    <w:p w14:paraId="36FCC766" w14:textId="41C63E37" w:rsidR="004A2D00" w:rsidRPr="00513593" w:rsidRDefault="488F4118" w:rsidP="314DE88F">
      <w:pPr>
        <w:pStyle w:val="Textoindependiente"/>
        <w:ind w:left="100" w:right="105"/>
        <w:jc w:val="both"/>
        <w:rPr>
          <w:b/>
          <w:bCs/>
        </w:rPr>
      </w:pPr>
      <w:r w:rsidRPr="314DE88F">
        <w:rPr>
          <w:b/>
          <w:bCs/>
        </w:rPr>
        <w:t xml:space="preserve">LEY DE </w:t>
      </w:r>
      <w:r w:rsidR="3B1C9C9A" w:rsidRPr="314DE88F">
        <w:rPr>
          <w:b/>
          <w:bCs/>
        </w:rPr>
        <w:t>G</w:t>
      </w:r>
      <w:r w:rsidRPr="314DE88F">
        <w:rPr>
          <w:b/>
          <w:bCs/>
        </w:rPr>
        <w:t>ARANTÍAS ELECTORALES</w:t>
      </w:r>
      <w:r w:rsidR="004A2D00" w:rsidRPr="314DE88F">
        <w:rPr>
          <w:b/>
          <w:bCs/>
        </w:rPr>
        <w:t xml:space="preserve"> – Prohibición – Parágrafo del articulo 38</w:t>
      </w:r>
    </w:p>
    <w:p w14:paraId="1A7A7218" w14:textId="77777777" w:rsidR="004A2D00" w:rsidRPr="00513593" w:rsidRDefault="004A2D00" w:rsidP="006475D7">
      <w:pPr>
        <w:pStyle w:val="Textoindependiente"/>
        <w:ind w:left="100" w:right="105"/>
        <w:jc w:val="both"/>
      </w:pPr>
    </w:p>
    <w:p w14:paraId="1959108E" w14:textId="5CC87D3C" w:rsidR="006475D7" w:rsidRPr="00513593" w:rsidRDefault="004A2D00" w:rsidP="00513593">
      <w:pPr>
        <w:pStyle w:val="Textoindependiente"/>
        <w:spacing w:after="120"/>
        <w:ind w:left="102" w:right="108"/>
        <w:jc w:val="both"/>
        <w:rPr>
          <w:sz w:val="20"/>
          <w:szCs w:val="20"/>
        </w:rPr>
      </w:pPr>
      <w:r w:rsidRPr="00513593">
        <w:rPr>
          <w:sz w:val="20"/>
          <w:szCs w:val="20"/>
        </w:rPr>
        <w:t>Para las elecciones territoriales, esto es, las que se celebran para elegir autoridades locales: alcaldes, gobernadores, diputados, concejales y miembros de las juntas administradoras locales, la prohibición en cuanto a la contratación pública aplicable es la contenida en el parágrafo del artículo 38 y no las de los artículos 32 y 33 de la Ley de Garantías Electorales.</w:t>
      </w:r>
      <w:r w:rsidR="006475D7" w:rsidRPr="00513593">
        <w:rPr>
          <w:sz w:val="20"/>
          <w:szCs w:val="20"/>
        </w:rPr>
        <w:t xml:space="preserve"> </w:t>
      </w:r>
    </w:p>
    <w:p w14:paraId="08DCD46E" w14:textId="77777777" w:rsidR="004A2D00" w:rsidRPr="00513593" w:rsidRDefault="004A2D00" w:rsidP="00513593">
      <w:pPr>
        <w:pStyle w:val="Textoindependiente"/>
        <w:ind w:left="102" w:right="108"/>
        <w:jc w:val="both"/>
        <w:rPr>
          <w:sz w:val="20"/>
          <w:szCs w:val="20"/>
        </w:rPr>
      </w:pPr>
      <w:r w:rsidRPr="00513593">
        <w:rPr>
          <w:sz w:val="20"/>
          <w:szCs w:val="20"/>
        </w:rPr>
        <w:t>La única restricción a la contratación directa que supone la Ley de Garantías Electorales es la contenida en el literal c) del numeral 4 del artículo 2º de la Ley 1150 de 2007, es decir, los contratos o convenios interadministrativos, por lo que el resto de los eventos de contratación directa que enlista esta norma están permitidos durante el período de 4 meses anteriores a las elecciones.</w:t>
      </w:r>
    </w:p>
    <w:p w14:paraId="1ACE4652" w14:textId="77777777" w:rsidR="004A2D00" w:rsidRPr="00513593" w:rsidRDefault="004A2D00" w:rsidP="00513593">
      <w:pPr>
        <w:pStyle w:val="Textoindependiente"/>
        <w:ind w:left="100" w:right="105"/>
        <w:jc w:val="both"/>
      </w:pPr>
    </w:p>
    <w:p w14:paraId="766C80C4" w14:textId="4E21ACA5" w:rsidR="004A2D00" w:rsidRPr="00513593" w:rsidRDefault="004A2D00" w:rsidP="314DE88F">
      <w:pPr>
        <w:pStyle w:val="Textoindependiente"/>
        <w:ind w:left="100" w:right="105"/>
        <w:jc w:val="both"/>
        <w:rPr>
          <w:b/>
          <w:bCs/>
        </w:rPr>
      </w:pPr>
      <w:r w:rsidRPr="314DE88F">
        <w:rPr>
          <w:b/>
          <w:bCs/>
        </w:rPr>
        <w:t xml:space="preserve">CONTRATO </w:t>
      </w:r>
      <w:r w:rsidR="002A3D17">
        <w:rPr>
          <w:b/>
          <w:bCs/>
        </w:rPr>
        <w:t>Y/</w:t>
      </w:r>
      <w:bookmarkStart w:id="0" w:name="_GoBack"/>
      <w:bookmarkEnd w:id="0"/>
      <w:r w:rsidRPr="314DE88F">
        <w:rPr>
          <w:b/>
          <w:bCs/>
        </w:rPr>
        <w:t xml:space="preserve">O CONVENIO INTERADMINISTRATIVO – Naturaleza </w:t>
      </w:r>
      <w:r w:rsidR="2310AB66" w:rsidRPr="314DE88F">
        <w:rPr>
          <w:b/>
          <w:bCs/>
        </w:rPr>
        <w:t>– Definición</w:t>
      </w:r>
    </w:p>
    <w:p w14:paraId="3B94DC42" w14:textId="77777777" w:rsidR="004A2D00" w:rsidRPr="00513593" w:rsidRDefault="004A2D00" w:rsidP="006475D7">
      <w:pPr>
        <w:pStyle w:val="Textoindependiente"/>
        <w:ind w:left="100" w:right="105"/>
        <w:jc w:val="both"/>
        <w:rPr>
          <w:b/>
        </w:rPr>
      </w:pPr>
    </w:p>
    <w:p w14:paraId="25B53DFF" w14:textId="7E00EEA0" w:rsidR="006475D7" w:rsidRPr="00513593" w:rsidRDefault="004A2D00" w:rsidP="00513593">
      <w:pPr>
        <w:pStyle w:val="Textoindependiente"/>
        <w:spacing w:after="120"/>
        <w:ind w:left="102" w:right="108"/>
        <w:jc w:val="both"/>
        <w:rPr>
          <w:sz w:val="20"/>
          <w:szCs w:val="20"/>
        </w:rPr>
      </w:pPr>
      <w:r w:rsidRPr="00513593">
        <w:rPr>
          <w:sz w:val="20"/>
          <w:szCs w:val="20"/>
        </w:rPr>
        <w:t>La calidad de un contrato o convenio interadministrativo no está determinada por la modalidad de selección utilizada para celebrar el respectivo acuerdo de voluntades entre entidades de derecho público.</w:t>
      </w:r>
      <w:r w:rsidR="006475D7" w:rsidRPr="00513593">
        <w:rPr>
          <w:sz w:val="20"/>
          <w:szCs w:val="20"/>
        </w:rPr>
        <w:t xml:space="preserve"> </w:t>
      </w:r>
    </w:p>
    <w:p w14:paraId="35181A02" w14:textId="77777777" w:rsidR="004A2D00" w:rsidRPr="00513593" w:rsidRDefault="006475D7" w:rsidP="00513593">
      <w:pPr>
        <w:pStyle w:val="Textoindependiente"/>
        <w:ind w:left="102" w:right="108"/>
        <w:jc w:val="both"/>
        <w:rPr>
          <w:sz w:val="20"/>
          <w:szCs w:val="20"/>
        </w:rPr>
      </w:pPr>
      <w:r w:rsidRPr="00513593">
        <w:rPr>
          <w:sz w:val="20"/>
          <w:szCs w:val="20"/>
        </w:rPr>
        <w:t>L</w:t>
      </w:r>
      <w:r w:rsidR="004A2D00" w:rsidRPr="00513593">
        <w:rPr>
          <w:sz w:val="20"/>
          <w:szCs w:val="20"/>
        </w:rPr>
        <w:t>os contratos o convenios interadministrativos son aquellos celebrados entre dos o más entidades estatales.</w:t>
      </w:r>
    </w:p>
    <w:p w14:paraId="78AA854E" w14:textId="77777777" w:rsidR="004A2D00" w:rsidRPr="00513593" w:rsidRDefault="004A2D00" w:rsidP="00513593">
      <w:pPr>
        <w:pStyle w:val="Textoindependiente"/>
        <w:ind w:left="100" w:right="105"/>
        <w:jc w:val="both"/>
      </w:pPr>
    </w:p>
    <w:p w14:paraId="40C90596" w14:textId="5D94835E" w:rsidR="004A2D00" w:rsidRPr="00513593" w:rsidRDefault="004A2D00" w:rsidP="314DE88F">
      <w:pPr>
        <w:pStyle w:val="Textoindependiente"/>
        <w:ind w:left="102" w:right="108"/>
        <w:jc w:val="both"/>
        <w:rPr>
          <w:b/>
          <w:bCs/>
        </w:rPr>
      </w:pPr>
      <w:r w:rsidRPr="314DE88F">
        <w:rPr>
          <w:b/>
          <w:bCs/>
        </w:rPr>
        <w:t>EMPRESAS DE SERVICIOS PÚBLICOS – Naturaleza jurídica – Sociedades de Economía Mixta</w:t>
      </w:r>
      <w:r w:rsidR="4D2CA2B4" w:rsidRPr="314DE88F">
        <w:rPr>
          <w:b/>
          <w:bCs/>
        </w:rPr>
        <w:t xml:space="preserve"> – Diferencias</w:t>
      </w:r>
    </w:p>
    <w:p w14:paraId="7AE815E5" w14:textId="77777777" w:rsidR="004A2D00" w:rsidRPr="00513593" w:rsidRDefault="004A2D00" w:rsidP="00513593">
      <w:pPr>
        <w:pStyle w:val="Textoindependiente"/>
        <w:ind w:left="102" w:right="108"/>
        <w:jc w:val="both"/>
      </w:pPr>
    </w:p>
    <w:p w14:paraId="349CDA31" w14:textId="77777777" w:rsidR="004A2D00" w:rsidRPr="00513593" w:rsidRDefault="004A2D00" w:rsidP="00513593">
      <w:pPr>
        <w:pStyle w:val="Textoindependiente"/>
        <w:ind w:left="102" w:right="108"/>
        <w:jc w:val="both"/>
        <w:rPr>
          <w:sz w:val="20"/>
          <w:szCs w:val="20"/>
        </w:rPr>
      </w:pPr>
      <w:r w:rsidRPr="00513593">
        <w:rPr>
          <w:sz w:val="20"/>
          <w:szCs w:val="20"/>
        </w:rPr>
        <w:t>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p>
    <w:p w14:paraId="542D2578" w14:textId="77777777" w:rsidR="00363E4F" w:rsidRPr="00513593" w:rsidRDefault="00363E4F" w:rsidP="00513593">
      <w:pPr>
        <w:pStyle w:val="Textoindependiente"/>
        <w:rPr>
          <w:rFonts w:ascii="Times New Roman"/>
          <w:sz w:val="20"/>
        </w:rPr>
      </w:pPr>
    </w:p>
    <w:p w14:paraId="630359D6" w14:textId="77777777" w:rsidR="00363E4F" w:rsidRPr="00513593" w:rsidRDefault="00363E4F" w:rsidP="00513593">
      <w:pPr>
        <w:pStyle w:val="Textoindependiente"/>
        <w:rPr>
          <w:rFonts w:ascii="Times New Roman"/>
          <w:sz w:val="20"/>
        </w:rPr>
      </w:pPr>
    </w:p>
    <w:p w14:paraId="129A6081" w14:textId="77777777" w:rsidR="00363E4F" w:rsidRPr="00513593" w:rsidRDefault="004C7E1F" w:rsidP="00513593">
      <w:pPr>
        <w:pStyle w:val="Textoindependiente"/>
        <w:ind w:left="100"/>
      </w:pPr>
      <w:r w:rsidRPr="00513593">
        <w:t>Bogotá D.C., 05/12/2019 Hora 17:18:32s</w:t>
      </w:r>
    </w:p>
    <w:p w14:paraId="4774EEB5" w14:textId="77777777" w:rsidR="00363E4F" w:rsidRPr="00513593" w:rsidRDefault="004C7E1F">
      <w:pPr>
        <w:pStyle w:val="Textoindependiente"/>
        <w:spacing w:before="37"/>
        <w:ind w:left="5714"/>
      </w:pPr>
      <w:r w:rsidRPr="00513593">
        <w:t>N° Radicado: 2201913000008999</w:t>
      </w:r>
    </w:p>
    <w:p w14:paraId="6BF67848" w14:textId="77777777" w:rsidR="00363E4F" w:rsidRPr="00513593" w:rsidRDefault="00363E4F">
      <w:pPr>
        <w:pStyle w:val="Textoindependiente"/>
        <w:spacing w:before="7"/>
        <w:rPr>
          <w:sz w:val="20"/>
        </w:rPr>
      </w:pPr>
    </w:p>
    <w:p w14:paraId="69715CE3" w14:textId="77777777" w:rsidR="00363E4F" w:rsidRPr="00513593" w:rsidRDefault="004C7E1F">
      <w:pPr>
        <w:pStyle w:val="Textoindependiente"/>
        <w:spacing w:before="93"/>
        <w:ind w:left="100"/>
      </w:pPr>
      <w:r w:rsidRPr="00513593">
        <w:t>Señor</w:t>
      </w:r>
    </w:p>
    <w:p w14:paraId="3D055EAF" w14:textId="77777777" w:rsidR="00363E4F" w:rsidRPr="00513593" w:rsidRDefault="004C7E1F">
      <w:pPr>
        <w:pStyle w:val="Ttulo1"/>
        <w:spacing w:before="37"/>
        <w:ind w:left="100" w:firstLine="0"/>
      </w:pPr>
      <w:r w:rsidRPr="00513593">
        <w:t>David Durán</w:t>
      </w:r>
    </w:p>
    <w:p w14:paraId="120E40D6" w14:textId="77777777" w:rsidR="00363E4F" w:rsidRPr="00513593" w:rsidRDefault="004C7E1F">
      <w:pPr>
        <w:pStyle w:val="Textoindependiente"/>
        <w:spacing w:before="39"/>
        <w:ind w:left="100"/>
      </w:pPr>
      <w:r w:rsidRPr="00513593">
        <w:t>Pamplona, Norte de Santander</w:t>
      </w:r>
    </w:p>
    <w:p w14:paraId="47D9FC60" w14:textId="77777777" w:rsidR="00363E4F" w:rsidRPr="00513593" w:rsidRDefault="00363E4F">
      <w:pPr>
        <w:pStyle w:val="Textoindependiente"/>
        <w:rPr>
          <w:sz w:val="24"/>
        </w:rPr>
      </w:pPr>
    </w:p>
    <w:p w14:paraId="10B3D647" w14:textId="77777777" w:rsidR="00363E4F" w:rsidRPr="00513593" w:rsidRDefault="00363E4F">
      <w:pPr>
        <w:pStyle w:val="Textoindependiente"/>
        <w:spacing w:before="10"/>
        <w:rPr>
          <w:sz w:val="29"/>
        </w:rPr>
      </w:pPr>
    </w:p>
    <w:p w14:paraId="5E302EBE" w14:textId="77777777" w:rsidR="00363E4F" w:rsidRPr="00513593" w:rsidRDefault="004C7E1F">
      <w:pPr>
        <w:pStyle w:val="Textoindependiente"/>
        <w:tabs>
          <w:tab w:val="left" w:pos="3640"/>
        </w:tabs>
        <w:spacing w:before="1"/>
        <w:ind w:left="100"/>
      </w:pPr>
      <w:r w:rsidRPr="00513593">
        <w:t>Radicación:</w:t>
      </w:r>
      <w:r w:rsidRPr="00513593">
        <w:tab/>
        <w:t>Respuesta a consulta #</w:t>
      </w:r>
      <w:r w:rsidRPr="00513593">
        <w:rPr>
          <w:spacing w:val="-6"/>
        </w:rPr>
        <w:t xml:space="preserve"> </w:t>
      </w:r>
      <w:r w:rsidRPr="00513593">
        <w:t>4201913000007243</w:t>
      </w:r>
    </w:p>
    <w:p w14:paraId="797E1DC4" w14:textId="77777777" w:rsidR="00363E4F" w:rsidRPr="00513593" w:rsidRDefault="004C7E1F">
      <w:pPr>
        <w:pStyle w:val="Textoindependiente"/>
        <w:tabs>
          <w:tab w:val="left" w:pos="3640"/>
        </w:tabs>
        <w:spacing w:before="37"/>
        <w:ind w:left="100"/>
      </w:pPr>
      <w:r w:rsidRPr="00513593">
        <w:t>Temas:</w:t>
      </w:r>
      <w:r w:rsidRPr="00513593">
        <w:tab/>
        <w:t>Aplicación de Ley de</w:t>
      </w:r>
      <w:r w:rsidRPr="00513593">
        <w:rPr>
          <w:spacing w:val="-7"/>
        </w:rPr>
        <w:t xml:space="preserve"> </w:t>
      </w:r>
      <w:r w:rsidRPr="00513593">
        <w:t>Garantías</w:t>
      </w:r>
    </w:p>
    <w:p w14:paraId="7648D3DF" w14:textId="77777777" w:rsidR="00363E4F" w:rsidRPr="00513593" w:rsidRDefault="004C7E1F">
      <w:pPr>
        <w:pStyle w:val="Textoindependiente"/>
        <w:tabs>
          <w:tab w:val="left" w:pos="3640"/>
        </w:tabs>
        <w:spacing w:before="37"/>
        <w:ind w:left="100"/>
      </w:pPr>
      <w:r w:rsidRPr="00513593">
        <w:t>Tipo de</w:t>
      </w:r>
      <w:r w:rsidRPr="00513593">
        <w:rPr>
          <w:spacing w:val="-6"/>
        </w:rPr>
        <w:t xml:space="preserve"> </w:t>
      </w:r>
      <w:r w:rsidRPr="00513593">
        <w:t>asunto</w:t>
      </w:r>
      <w:r w:rsidRPr="00513593">
        <w:rPr>
          <w:spacing w:val="-4"/>
        </w:rPr>
        <w:t xml:space="preserve"> </w:t>
      </w:r>
      <w:r w:rsidRPr="00513593">
        <w:t>consultado:</w:t>
      </w:r>
      <w:r w:rsidRPr="00513593">
        <w:tab/>
        <w:t>Aplicación de Ley de Garantías para Empresas</w:t>
      </w:r>
      <w:r w:rsidRPr="00513593">
        <w:rPr>
          <w:spacing w:val="-17"/>
        </w:rPr>
        <w:t xml:space="preserve"> </w:t>
      </w:r>
      <w:r w:rsidRPr="00513593">
        <w:t>de</w:t>
      </w:r>
    </w:p>
    <w:p w14:paraId="62F512F6" w14:textId="77777777" w:rsidR="00363E4F" w:rsidRPr="00513593" w:rsidRDefault="004C7E1F">
      <w:pPr>
        <w:pStyle w:val="Textoindependiente"/>
        <w:spacing w:before="39"/>
        <w:ind w:left="3641"/>
      </w:pPr>
      <w:r w:rsidRPr="00513593">
        <w:t>Servicios Públicos</w:t>
      </w:r>
    </w:p>
    <w:p w14:paraId="6EE5586E" w14:textId="77777777" w:rsidR="00363E4F" w:rsidRPr="00513593" w:rsidRDefault="00363E4F">
      <w:pPr>
        <w:pStyle w:val="Textoindependiente"/>
        <w:spacing w:before="7"/>
        <w:rPr>
          <w:sz w:val="28"/>
        </w:rPr>
      </w:pPr>
    </w:p>
    <w:p w14:paraId="6F7E77D5" w14:textId="77777777" w:rsidR="00363E4F" w:rsidRPr="00513593" w:rsidRDefault="004C7E1F">
      <w:pPr>
        <w:pStyle w:val="Textoindependiente"/>
        <w:spacing w:before="1"/>
        <w:ind w:left="100"/>
      </w:pPr>
      <w:r w:rsidRPr="00513593">
        <w:t>Estimado señor Durán,</w:t>
      </w:r>
    </w:p>
    <w:p w14:paraId="61C81A97" w14:textId="77777777" w:rsidR="00363E4F" w:rsidRPr="00513593" w:rsidRDefault="00363E4F">
      <w:pPr>
        <w:pStyle w:val="Textoindependiente"/>
        <w:spacing w:before="5"/>
        <w:rPr>
          <w:sz w:val="28"/>
        </w:rPr>
      </w:pPr>
    </w:p>
    <w:p w14:paraId="54B10891" w14:textId="77777777" w:rsidR="00363E4F" w:rsidRPr="00513593" w:rsidRDefault="004C7E1F">
      <w:pPr>
        <w:pStyle w:val="Textoindependiente"/>
        <w:spacing w:line="276" w:lineRule="auto"/>
        <w:ind w:left="100" w:right="105"/>
        <w:jc w:val="both"/>
      </w:pPr>
      <w:r w:rsidRPr="00513593">
        <w:t>La Agencia Nacional de Contratación Pública - Colombia Compra Eficiente responde su consulta del 25 de septiembre de 2019, en ejercicio de la competencia otorgada por el numeral 5 del artículo 3 y el numeral 8 del artículo 11 del Decreto 4170 de 2011, la cual fue remitida a esta entidad el 22 de octubre de 2019 por el Departamento Administrativo de la Función Pública.</w:t>
      </w:r>
    </w:p>
    <w:p w14:paraId="26A28A3B" w14:textId="77777777" w:rsidR="00363E4F" w:rsidRPr="00513593" w:rsidRDefault="00363E4F">
      <w:pPr>
        <w:pStyle w:val="Textoindependiente"/>
        <w:spacing w:before="5"/>
        <w:rPr>
          <w:sz w:val="25"/>
        </w:rPr>
      </w:pPr>
    </w:p>
    <w:p w14:paraId="449DADF5" w14:textId="77777777" w:rsidR="00363E4F" w:rsidRPr="00513593" w:rsidRDefault="004C7E1F">
      <w:pPr>
        <w:pStyle w:val="Ttulo1"/>
        <w:numPr>
          <w:ilvl w:val="0"/>
          <w:numId w:val="2"/>
        </w:numPr>
        <w:tabs>
          <w:tab w:val="left" w:pos="343"/>
        </w:tabs>
        <w:spacing w:before="1"/>
      </w:pPr>
      <w:r w:rsidRPr="00513593">
        <w:t>Problema</w:t>
      </w:r>
      <w:r w:rsidRPr="00513593">
        <w:rPr>
          <w:spacing w:val="-2"/>
        </w:rPr>
        <w:t xml:space="preserve"> </w:t>
      </w:r>
      <w:r w:rsidRPr="00513593">
        <w:t>planteado</w:t>
      </w:r>
    </w:p>
    <w:p w14:paraId="70277681" w14:textId="77777777" w:rsidR="00363E4F" w:rsidRPr="00513593" w:rsidRDefault="00363E4F">
      <w:pPr>
        <w:pStyle w:val="Textoindependiente"/>
        <w:spacing w:before="4"/>
        <w:rPr>
          <w:b/>
          <w:sz w:val="28"/>
        </w:rPr>
      </w:pPr>
    </w:p>
    <w:p w14:paraId="34FA1F49" w14:textId="77777777" w:rsidR="00363E4F" w:rsidRPr="00513593" w:rsidRDefault="004C7E1F">
      <w:pPr>
        <w:pStyle w:val="Textoindependiente"/>
        <w:spacing w:before="1" w:line="276" w:lineRule="auto"/>
        <w:ind w:left="100" w:right="109"/>
        <w:jc w:val="both"/>
      </w:pPr>
      <w:proofErr w:type="gramStart"/>
      <w:r w:rsidRPr="00513593">
        <w:t>El</w:t>
      </w:r>
      <w:proofErr w:type="gramEnd"/>
      <w:r w:rsidRPr="00513593">
        <w:t xml:space="preserve"> solicitante pregunta: “¿Las Empresas prestadoras de servicios públicos domiciliarios, cuya naturaleza es economía mixta, se encuentran inmersas dentro del marco normativo de la ley de</w:t>
      </w:r>
      <w:r w:rsidRPr="00513593">
        <w:rPr>
          <w:spacing w:val="-6"/>
        </w:rPr>
        <w:t xml:space="preserve"> </w:t>
      </w:r>
      <w:r w:rsidRPr="00513593">
        <w:t>garantías?</w:t>
      </w:r>
    </w:p>
    <w:p w14:paraId="7A8F0710" w14:textId="77777777" w:rsidR="00363E4F" w:rsidRPr="00513593" w:rsidRDefault="00363E4F">
      <w:pPr>
        <w:pStyle w:val="Textoindependiente"/>
        <w:spacing w:before="4"/>
        <w:rPr>
          <w:sz w:val="25"/>
        </w:rPr>
      </w:pPr>
    </w:p>
    <w:p w14:paraId="5C0EDEF5" w14:textId="77777777" w:rsidR="00363E4F" w:rsidRPr="00513593" w:rsidRDefault="004C7E1F">
      <w:pPr>
        <w:pStyle w:val="Textoindependiente"/>
        <w:spacing w:before="1" w:line="276" w:lineRule="auto"/>
        <w:ind w:left="100" w:right="110"/>
        <w:jc w:val="both"/>
      </w:pPr>
      <w:r w:rsidRPr="00513593">
        <w:t>“¿Durante el período de ley de garantías (elecciones locales) pueden las empresas de servicios públicos celebrar contratos de obra de reposición de redes de alcantarillado, adiciones a los contratos, modificaciones u otro sí en tiempo o dinero?”</w:t>
      </w:r>
    </w:p>
    <w:p w14:paraId="418C3771" w14:textId="77777777" w:rsidR="00363E4F" w:rsidRPr="00513593" w:rsidRDefault="00363E4F">
      <w:pPr>
        <w:pStyle w:val="Textoindependiente"/>
        <w:spacing w:before="2"/>
        <w:rPr>
          <w:sz w:val="25"/>
        </w:rPr>
      </w:pPr>
    </w:p>
    <w:p w14:paraId="3B37CD1B" w14:textId="77777777" w:rsidR="00363E4F" w:rsidRPr="00513593" w:rsidRDefault="004C7E1F">
      <w:pPr>
        <w:pStyle w:val="Ttulo1"/>
        <w:numPr>
          <w:ilvl w:val="0"/>
          <w:numId w:val="2"/>
        </w:numPr>
        <w:tabs>
          <w:tab w:val="left" w:pos="343"/>
        </w:tabs>
      </w:pPr>
      <w:r w:rsidRPr="00513593">
        <w:t>Consideraciones</w:t>
      </w:r>
    </w:p>
    <w:p w14:paraId="66C46397" w14:textId="77777777" w:rsidR="00363E4F" w:rsidRPr="00513593" w:rsidRDefault="00363E4F">
      <w:pPr>
        <w:pStyle w:val="Textoindependiente"/>
        <w:spacing w:before="8"/>
        <w:rPr>
          <w:b/>
          <w:sz w:val="28"/>
        </w:rPr>
      </w:pPr>
    </w:p>
    <w:p w14:paraId="172D8F72" w14:textId="77777777" w:rsidR="00363E4F" w:rsidRPr="00513593" w:rsidRDefault="004C7E1F">
      <w:pPr>
        <w:pStyle w:val="Textoindependiente"/>
        <w:spacing w:line="276" w:lineRule="auto"/>
        <w:ind w:left="100" w:right="111"/>
        <w:jc w:val="both"/>
      </w:pPr>
      <w:r w:rsidRPr="00513593">
        <w:t>Para resolver la presente consulta se analizarán los siguientes temas: i) la prohibición del parágrafo del artículo 38 de la Ley 966 de 2005 y ii) los contratos o convenios interadministrativos y iii) la naturaleza jurídica las Empresas de Servicios Públicos Domiciliarios.</w:t>
      </w:r>
    </w:p>
    <w:p w14:paraId="49E4B7FE" w14:textId="77777777" w:rsidR="00363E4F" w:rsidRPr="00513593" w:rsidRDefault="00363E4F">
      <w:pPr>
        <w:pStyle w:val="Textoindependiente"/>
        <w:spacing w:before="5"/>
        <w:rPr>
          <w:sz w:val="16"/>
        </w:rPr>
      </w:pPr>
    </w:p>
    <w:p w14:paraId="66737239" w14:textId="77777777" w:rsidR="00363E4F" w:rsidRPr="00513593" w:rsidRDefault="004C7E1F">
      <w:pPr>
        <w:pStyle w:val="Ttulo1"/>
        <w:numPr>
          <w:ilvl w:val="1"/>
          <w:numId w:val="2"/>
        </w:numPr>
        <w:tabs>
          <w:tab w:val="left" w:pos="526"/>
        </w:tabs>
        <w:spacing w:before="93"/>
        <w:ind w:hanging="426"/>
      </w:pPr>
      <w:r w:rsidRPr="00513593">
        <w:t>La prohibición del parágrafo del artículo 38 de la Ley 996 de</w:t>
      </w:r>
      <w:r w:rsidRPr="00513593">
        <w:rPr>
          <w:spacing w:val="-18"/>
        </w:rPr>
        <w:t xml:space="preserve"> </w:t>
      </w:r>
      <w:r w:rsidRPr="00513593">
        <w:t>2005</w:t>
      </w:r>
    </w:p>
    <w:p w14:paraId="75F1E492" w14:textId="77777777" w:rsidR="00363E4F" w:rsidRPr="00513593" w:rsidRDefault="00363E4F">
      <w:pPr>
        <w:pStyle w:val="Textoindependiente"/>
        <w:spacing w:before="8"/>
        <w:rPr>
          <w:b/>
          <w:sz w:val="28"/>
        </w:rPr>
      </w:pPr>
    </w:p>
    <w:p w14:paraId="5BDABC82" w14:textId="6C685EE8" w:rsidR="00363E4F" w:rsidRPr="00513593" w:rsidRDefault="004C7E1F">
      <w:pPr>
        <w:pStyle w:val="Textoindependiente"/>
        <w:spacing w:line="276" w:lineRule="auto"/>
        <w:ind w:left="100" w:right="109"/>
        <w:jc w:val="both"/>
      </w:pPr>
      <w:r w:rsidRPr="00513593">
        <w:t>La Ley 996 de 2005 o Ley de Garantías Electorales es, en palabras de la Corte Constitucional, “una guía para el ejercicio equitativo y transparente de la democracia representativa”</w:t>
      </w:r>
      <w:r w:rsidR="001007CA">
        <w:rPr>
          <w:rStyle w:val="Refdenotaalpie"/>
        </w:rPr>
        <w:footnoteReference w:id="1"/>
      </w:r>
      <w:r w:rsidRPr="00513593">
        <w:t xml:space="preserve">. En similar sentido se ha pronunciado la Sala de Consulta y Servicio Civil del Consejo de Estado, quien se ha referido a esta ley como un instrumento adoptado por el </w:t>
      </w:r>
      <w:proofErr w:type="gramStart"/>
      <w:r w:rsidRPr="00513593">
        <w:t>ordenamiento</w:t>
      </w:r>
      <w:proofErr w:type="gramEnd"/>
      <w:r w:rsidRPr="00513593">
        <w:t xml:space="preserve"> jurídico para garantizar igualdad y equidad en la contienda</w:t>
      </w:r>
      <w:r w:rsidRPr="00513593">
        <w:rPr>
          <w:spacing w:val="-29"/>
        </w:rPr>
        <w:t xml:space="preserve"> </w:t>
      </w:r>
      <w:r w:rsidRPr="00513593">
        <w:t>electoral:</w:t>
      </w:r>
    </w:p>
    <w:p w14:paraId="717EB0A6" w14:textId="77777777" w:rsidR="00363E4F" w:rsidRPr="00513593" w:rsidRDefault="00363E4F">
      <w:pPr>
        <w:pStyle w:val="Textoindependiente"/>
        <w:spacing w:before="3"/>
        <w:rPr>
          <w:sz w:val="25"/>
        </w:rPr>
      </w:pPr>
    </w:p>
    <w:p w14:paraId="244BBFF3" w14:textId="693602C8" w:rsidR="00363E4F" w:rsidRPr="00513593" w:rsidRDefault="004C7E1F">
      <w:pPr>
        <w:pStyle w:val="Textoindependiente"/>
        <w:spacing w:line="242" w:lineRule="auto"/>
        <w:ind w:left="805" w:right="812"/>
        <w:jc w:val="both"/>
      </w:pPr>
      <w:r w:rsidRPr="00513593">
        <w:t xml:space="preserve">Así las cosas, la ley 996 de 2005 es el instrumento jurídico garantizador de </w:t>
      </w:r>
      <w:r w:rsidRPr="00513593">
        <w:lastRenderedPageBreak/>
        <w:t>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que igualmente adopta disposiciones especiales  de aplicación en las elecciones presidenciales cuando participen como candidatos quienes estén en ejercicio de los cargos de Presidente o Vicepresidente de la República; y también se ocupa de la ‘participación en política de los servidores</w:t>
      </w:r>
      <w:r w:rsidRPr="00513593">
        <w:rPr>
          <w:spacing w:val="-5"/>
        </w:rPr>
        <w:t xml:space="preserve"> </w:t>
      </w:r>
      <w:r w:rsidRPr="00513593">
        <w:t>públicos’”</w:t>
      </w:r>
      <w:r w:rsidR="001007CA">
        <w:rPr>
          <w:rStyle w:val="Refdenotaalpie"/>
        </w:rPr>
        <w:footnoteReference w:id="2"/>
      </w:r>
    </w:p>
    <w:p w14:paraId="090F99A2" w14:textId="77777777" w:rsidR="00363E4F" w:rsidRPr="00513593" w:rsidRDefault="00363E4F">
      <w:pPr>
        <w:pStyle w:val="Textoindependiente"/>
        <w:spacing w:before="1"/>
        <w:rPr>
          <w:sz w:val="25"/>
        </w:rPr>
      </w:pPr>
    </w:p>
    <w:p w14:paraId="368592DA" w14:textId="77777777" w:rsidR="00363E4F" w:rsidRPr="00513593" w:rsidRDefault="004C7E1F">
      <w:pPr>
        <w:pStyle w:val="Textoindependiente"/>
        <w:spacing w:before="1" w:line="276" w:lineRule="auto"/>
        <w:ind w:left="100" w:right="108"/>
        <w:jc w:val="both"/>
      </w:pPr>
      <w:r w:rsidRPr="00513593">
        <w:t>De conformidad con lo anterior, es claro que la Ley de Garantías Electorales, para el cumplimiento de los objetivos que dieron lugar a su expedición, fijó una serie de regulaciones y prohibiciones dirigidas a los servidores públicos. No obstante, es menester tener claro que estas disposiciones se dirigen a dos tipos de campañas electorales claramente diferenciadas: las presidenciales y las demás que se adelanten para la elección de los demás cargos de elección popular, tanto a nivel nacional como a nivel territorial.</w:t>
      </w:r>
    </w:p>
    <w:p w14:paraId="3D5F751C" w14:textId="77777777" w:rsidR="00363E4F" w:rsidRPr="00513593" w:rsidRDefault="00363E4F">
      <w:pPr>
        <w:pStyle w:val="Textoindependiente"/>
        <w:spacing w:before="2"/>
        <w:rPr>
          <w:sz w:val="25"/>
        </w:rPr>
      </w:pPr>
    </w:p>
    <w:p w14:paraId="121C8AB1" w14:textId="77777777" w:rsidR="00363E4F" w:rsidRPr="00513593" w:rsidRDefault="004C7E1F">
      <w:pPr>
        <w:pStyle w:val="Textoindependiente"/>
        <w:spacing w:line="276" w:lineRule="auto"/>
        <w:ind w:left="100" w:right="113"/>
        <w:jc w:val="both"/>
      </w:pPr>
      <w:r w:rsidRPr="00513593">
        <w:t>La Sala de Consulta y Servicio Civil del Consejo de Estado ha aclarado la distinción en la aplicación de las prohibiciones de la Ley 996 de 2005, dependiendo del tipo de elección que se trate, así:</w:t>
      </w:r>
    </w:p>
    <w:p w14:paraId="6C0161C5" w14:textId="77777777" w:rsidR="00363E4F" w:rsidRPr="00513593" w:rsidRDefault="00363E4F">
      <w:pPr>
        <w:pStyle w:val="Textoindependiente"/>
        <w:spacing w:before="5"/>
        <w:rPr>
          <w:sz w:val="25"/>
        </w:rPr>
      </w:pPr>
    </w:p>
    <w:p w14:paraId="6D64E70F" w14:textId="34F56914" w:rsidR="00363E4F" w:rsidRPr="00513593" w:rsidRDefault="004C7E1F" w:rsidP="001007CA">
      <w:pPr>
        <w:pStyle w:val="Textoindependiente"/>
        <w:ind w:left="805" w:right="816"/>
        <w:jc w:val="both"/>
      </w:pPr>
      <w:r w:rsidRPr="00513593">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w:t>
      </w:r>
      <w:r w:rsidR="001007CA">
        <w:t xml:space="preserve"> </w:t>
      </w:r>
      <w:r w:rsidRPr="00513593">
        <w:t xml:space="preserve">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3593">
        <w:rPr>
          <w:b/>
        </w:rPr>
        <w:t>En cambio, para elecciones en general, excluyendo las correspondientes a Presidente de la República, a las autoridades territoriales allí mencionadas sólo se aplican las restricciones contenidas en el parágrafo del artículo 38</w:t>
      </w:r>
      <w:r w:rsidR="001007CA">
        <w:rPr>
          <w:rStyle w:val="Refdenotaalpie"/>
          <w:b/>
        </w:rPr>
        <w:footnoteReference w:id="3"/>
      </w:r>
      <w:r w:rsidRPr="00513593">
        <w:t>. (Negrillas fuera de</w:t>
      </w:r>
      <w:r w:rsidRPr="00513593">
        <w:rPr>
          <w:spacing w:val="-30"/>
        </w:rPr>
        <w:t xml:space="preserve"> </w:t>
      </w:r>
      <w:r w:rsidRPr="00513593">
        <w:t>texto)</w:t>
      </w:r>
    </w:p>
    <w:p w14:paraId="53012362" w14:textId="77777777" w:rsidR="00363E4F" w:rsidRPr="00513593" w:rsidRDefault="00363E4F">
      <w:pPr>
        <w:pStyle w:val="Textoindependiente"/>
        <w:spacing w:before="3"/>
        <w:rPr>
          <w:sz w:val="26"/>
        </w:rPr>
      </w:pPr>
    </w:p>
    <w:p w14:paraId="6DB74708" w14:textId="77777777" w:rsidR="00363E4F" w:rsidRPr="00513593" w:rsidRDefault="004C7E1F">
      <w:pPr>
        <w:pStyle w:val="Textoindependiente"/>
        <w:spacing w:line="276" w:lineRule="auto"/>
        <w:ind w:left="100" w:right="109"/>
        <w:jc w:val="both"/>
      </w:pPr>
      <w:r w:rsidRPr="00513593">
        <w:t xml:space="preserve">El parágrafo del artículo 38 de la Ley 996 de 2005, al que se refiere el anterior concepto, </w:t>
      </w:r>
      <w:r w:rsidRPr="00513593">
        <w:lastRenderedPageBreak/>
        <w:t>consagra una prohibición para gobernadores, alcaldes, secretarios, gerentes y directores de entidades del orden municipal, departamental o distrital, para celebrar convenios o contratos</w:t>
      </w:r>
      <w:r w:rsidRPr="00513593">
        <w:rPr>
          <w:spacing w:val="19"/>
        </w:rPr>
        <w:t xml:space="preserve"> </w:t>
      </w:r>
      <w:r w:rsidRPr="00513593">
        <w:t>interadministrativos</w:t>
      </w:r>
      <w:r w:rsidRPr="00513593">
        <w:rPr>
          <w:spacing w:val="19"/>
        </w:rPr>
        <w:t xml:space="preserve"> </w:t>
      </w:r>
      <w:r w:rsidRPr="00513593">
        <w:t>para</w:t>
      </w:r>
      <w:r w:rsidRPr="00513593">
        <w:rPr>
          <w:spacing w:val="19"/>
        </w:rPr>
        <w:t xml:space="preserve"> </w:t>
      </w:r>
      <w:r w:rsidRPr="00513593">
        <w:t>la</w:t>
      </w:r>
      <w:r w:rsidRPr="00513593">
        <w:rPr>
          <w:spacing w:val="19"/>
        </w:rPr>
        <w:t xml:space="preserve"> </w:t>
      </w:r>
      <w:r w:rsidRPr="00513593">
        <w:t>ejecución</w:t>
      </w:r>
      <w:r w:rsidRPr="00513593">
        <w:rPr>
          <w:spacing w:val="19"/>
        </w:rPr>
        <w:t xml:space="preserve"> </w:t>
      </w:r>
      <w:r w:rsidRPr="00513593">
        <w:t>de</w:t>
      </w:r>
      <w:r w:rsidRPr="00513593">
        <w:rPr>
          <w:spacing w:val="17"/>
        </w:rPr>
        <w:t xml:space="preserve"> </w:t>
      </w:r>
      <w:r w:rsidRPr="00513593">
        <w:t>recursos</w:t>
      </w:r>
      <w:r w:rsidRPr="00513593">
        <w:rPr>
          <w:spacing w:val="19"/>
        </w:rPr>
        <w:t xml:space="preserve"> </w:t>
      </w:r>
      <w:r w:rsidRPr="00513593">
        <w:t>públicos</w:t>
      </w:r>
      <w:r w:rsidRPr="00513593">
        <w:rPr>
          <w:spacing w:val="19"/>
        </w:rPr>
        <w:t xml:space="preserve"> </w:t>
      </w:r>
      <w:r w:rsidRPr="00513593">
        <w:t>dentro</w:t>
      </w:r>
      <w:r w:rsidRPr="00513593">
        <w:rPr>
          <w:spacing w:val="19"/>
        </w:rPr>
        <w:t xml:space="preserve"> </w:t>
      </w:r>
      <w:r w:rsidRPr="00513593">
        <w:t>de</w:t>
      </w:r>
      <w:r w:rsidRPr="00513593">
        <w:rPr>
          <w:spacing w:val="19"/>
        </w:rPr>
        <w:t xml:space="preserve"> </w:t>
      </w:r>
      <w:r w:rsidRPr="00513593">
        <w:t>los</w:t>
      </w:r>
      <w:r w:rsidRPr="00513593">
        <w:rPr>
          <w:spacing w:val="19"/>
        </w:rPr>
        <w:t xml:space="preserve"> </w:t>
      </w:r>
      <w:r w:rsidRPr="00513593">
        <w:t>cuatro</w:t>
      </w:r>
    </w:p>
    <w:p w14:paraId="2B2CF558" w14:textId="77777777" w:rsidR="00363E4F" w:rsidRPr="00513593" w:rsidRDefault="004C7E1F">
      <w:pPr>
        <w:pStyle w:val="Textoindependiente"/>
        <w:spacing w:line="252" w:lineRule="exact"/>
        <w:ind w:left="100"/>
        <w:jc w:val="both"/>
      </w:pPr>
      <w:r w:rsidRPr="00513593">
        <w:t>(4) meses anteriores a cualquier elección, en los siguientes términos:</w:t>
      </w:r>
    </w:p>
    <w:p w14:paraId="76CCF91F" w14:textId="77777777" w:rsidR="00363E4F" w:rsidRPr="00513593" w:rsidRDefault="00363E4F">
      <w:pPr>
        <w:pStyle w:val="Textoindependiente"/>
        <w:spacing w:before="8"/>
        <w:rPr>
          <w:sz w:val="28"/>
        </w:rPr>
      </w:pPr>
    </w:p>
    <w:p w14:paraId="307E1765" w14:textId="77777777" w:rsidR="00363E4F" w:rsidRPr="00513593" w:rsidRDefault="004C7E1F">
      <w:pPr>
        <w:pStyle w:val="Textoindependiente"/>
        <w:ind w:left="808" w:right="305"/>
      </w:pPr>
      <w:r w:rsidRPr="00513593">
        <w:t>Artículo 38. Prohibiciones para los servidores públicos. A los empleados del Estado les está prohibido:</w:t>
      </w:r>
    </w:p>
    <w:p w14:paraId="70543E5A" w14:textId="77777777" w:rsidR="00363E4F" w:rsidRPr="00513593" w:rsidRDefault="004C7E1F">
      <w:pPr>
        <w:pStyle w:val="Textoindependiente"/>
        <w:spacing w:line="252" w:lineRule="exact"/>
        <w:ind w:left="808"/>
      </w:pPr>
      <w:r w:rsidRPr="00513593">
        <w:t>(…)</w:t>
      </w:r>
    </w:p>
    <w:p w14:paraId="6AE8F988" w14:textId="77777777" w:rsidR="00363E4F" w:rsidRPr="00513593" w:rsidRDefault="00363E4F">
      <w:pPr>
        <w:pStyle w:val="Textoindependiente"/>
        <w:spacing w:before="1"/>
      </w:pPr>
    </w:p>
    <w:p w14:paraId="06B9B38C" w14:textId="77777777" w:rsidR="00363E4F" w:rsidRPr="00513593" w:rsidRDefault="004C7E1F">
      <w:pPr>
        <w:pStyle w:val="Textoindependiente"/>
        <w:ind w:left="808" w:right="815"/>
        <w:jc w:val="both"/>
      </w:pPr>
      <w:r w:rsidRPr="00513593">
        <w:t xml:space="preserve">Parágrafo. Los Gobernadores, Alcaldes Municipales y/o Distritales, Secretarios, </w:t>
      </w:r>
      <w:r w:rsidRPr="00513593">
        <w:rPr>
          <w:i/>
        </w:rPr>
        <w:t>Gerentes y directores de Entidades Descentralizadas del orden Municipal, Departamental o Distrital</w:t>
      </w:r>
      <w:r w:rsidRPr="00513593">
        <w:t>,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 (Cursivas fuera de texto).</w:t>
      </w:r>
    </w:p>
    <w:p w14:paraId="1D29ACF2" w14:textId="77777777" w:rsidR="00363E4F" w:rsidRPr="00513593" w:rsidRDefault="00363E4F">
      <w:pPr>
        <w:pStyle w:val="Textoindependiente"/>
        <w:spacing w:before="4"/>
        <w:rPr>
          <w:sz w:val="25"/>
        </w:rPr>
      </w:pPr>
    </w:p>
    <w:p w14:paraId="702F7A6B" w14:textId="2180BAC8" w:rsidR="00363E4F" w:rsidRPr="00513593" w:rsidRDefault="004C7E1F" w:rsidP="001007CA">
      <w:pPr>
        <w:pStyle w:val="Textoindependiente"/>
        <w:spacing w:line="276" w:lineRule="auto"/>
        <w:ind w:left="100" w:right="110"/>
        <w:jc w:val="both"/>
        <w:rPr>
          <w:sz w:val="20"/>
        </w:rPr>
      </w:pPr>
      <w:r w:rsidRPr="00513593">
        <w:t>Lo anterior quiere decir que los gobernadores, alcaldes distritales y municipales, secretarios de despacho, gerentes y directores de entidades descentralizadas del orden municipal,</w:t>
      </w:r>
      <w:r w:rsidRPr="00513593">
        <w:rPr>
          <w:spacing w:val="7"/>
        </w:rPr>
        <w:t xml:space="preserve"> </w:t>
      </w:r>
      <w:r w:rsidRPr="00513593">
        <w:t>departamental</w:t>
      </w:r>
      <w:r w:rsidRPr="00513593">
        <w:rPr>
          <w:spacing w:val="6"/>
        </w:rPr>
        <w:t xml:space="preserve"> </w:t>
      </w:r>
      <w:r w:rsidRPr="00513593">
        <w:t>o</w:t>
      </w:r>
      <w:r w:rsidRPr="00513593">
        <w:rPr>
          <w:spacing w:val="10"/>
        </w:rPr>
        <w:t xml:space="preserve"> </w:t>
      </w:r>
      <w:r w:rsidRPr="00513593">
        <w:t>distrital,</w:t>
      </w:r>
      <w:r w:rsidRPr="00513593">
        <w:rPr>
          <w:spacing w:val="7"/>
        </w:rPr>
        <w:t xml:space="preserve"> </w:t>
      </w:r>
      <w:r w:rsidRPr="00513593">
        <w:t>tienen</w:t>
      </w:r>
      <w:r w:rsidRPr="00513593">
        <w:rPr>
          <w:spacing w:val="8"/>
        </w:rPr>
        <w:t xml:space="preserve"> </w:t>
      </w:r>
      <w:r w:rsidRPr="00513593">
        <w:t>prohibido,</w:t>
      </w:r>
      <w:r w:rsidRPr="00513593">
        <w:rPr>
          <w:spacing w:val="7"/>
        </w:rPr>
        <w:t xml:space="preserve"> </w:t>
      </w:r>
      <w:r w:rsidRPr="00513593">
        <w:t>a</w:t>
      </w:r>
      <w:r w:rsidRPr="00513593">
        <w:rPr>
          <w:spacing w:val="8"/>
        </w:rPr>
        <w:t xml:space="preserve"> </w:t>
      </w:r>
      <w:r w:rsidRPr="00513593">
        <w:t>partir</w:t>
      </w:r>
      <w:r w:rsidRPr="00513593">
        <w:rPr>
          <w:spacing w:val="7"/>
        </w:rPr>
        <w:t xml:space="preserve"> </w:t>
      </w:r>
      <w:r w:rsidRPr="00513593">
        <w:t>del</w:t>
      </w:r>
      <w:r w:rsidRPr="00513593">
        <w:rPr>
          <w:spacing w:val="9"/>
        </w:rPr>
        <w:t xml:space="preserve"> </w:t>
      </w:r>
      <w:r w:rsidRPr="00513593">
        <w:t>día</w:t>
      </w:r>
      <w:r w:rsidRPr="00513593">
        <w:rPr>
          <w:spacing w:val="8"/>
        </w:rPr>
        <w:t xml:space="preserve"> </w:t>
      </w:r>
      <w:r w:rsidRPr="00513593">
        <w:t>27</w:t>
      </w:r>
      <w:r w:rsidRPr="00513593">
        <w:rPr>
          <w:spacing w:val="8"/>
        </w:rPr>
        <w:t xml:space="preserve"> </w:t>
      </w:r>
      <w:r w:rsidRPr="00513593">
        <w:t>de</w:t>
      </w:r>
      <w:r w:rsidRPr="00513593">
        <w:rPr>
          <w:spacing w:val="8"/>
        </w:rPr>
        <w:t xml:space="preserve"> </w:t>
      </w:r>
      <w:r w:rsidRPr="00513593">
        <w:t>junio</w:t>
      </w:r>
      <w:r w:rsidRPr="00513593">
        <w:rPr>
          <w:spacing w:val="8"/>
        </w:rPr>
        <w:t xml:space="preserve"> </w:t>
      </w:r>
      <w:r w:rsidRPr="00513593">
        <w:t>y</w:t>
      </w:r>
      <w:r w:rsidRPr="00513593">
        <w:rPr>
          <w:spacing w:val="5"/>
        </w:rPr>
        <w:t xml:space="preserve"> </w:t>
      </w:r>
      <w:r w:rsidRPr="00513593">
        <w:t>hasta</w:t>
      </w:r>
      <w:r w:rsidRPr="00513593">
        <w:rPr>
          <w:spacing w:val="8"/>
        </w:rPr>
        <w:t xml:space="preserve"> </w:t>
      </w:r>
      <w:r w:rsidRPr="00513593">
        <w:t>el</w:t>
      </w:r>
      <w:r w:rsidR="001007CA">
        <w:t xml:space="preserve"> </w:t>
      </w:r>
      <w:r w:rsidRPr="00513593">
        <w:t>27 de octubre de la actual vigencia fiscal, celebrar convenios o contratos interadministrativos para la ejecución de recursos públicos.</w:t>
      </w:r>
      <w:r w:rsidR="001007CA">
        <w:t xml:space="preserve"> </w:t>
      </w:r>
    </w:p>
    <w:p w14:paraId="68785C6C" w14:textId="77777777" w:rsidR="00363E4F" w:rsidRPr="00513593" w:rsidRDefault="00363E4F">
      <w:pPr>
        <w:pStyle w:val="Textoindependiente"/>
        <w:spacing w:before="9"/>
        <w:rPr>
          <w:sz w:val="15"/>
        </w:rPr>
      </w:pPr>
    </w:p>
    <w:p w14:paraId="6C7E7752" w14:textId="67448B16" w:rsidR="00363E4F" w:rsidRPr="00513593" w:rsidRDefault="004C7E1F">
      <w:pPr>
        <w:pStyle w:val="Textoindependiente"/>
        <w:spacing w:before="101" w:line="276" w:lineRule="auto"/>
        <w:ind w:left="100" w:right="102"/>
        <w:jc w:val="both"/>
      </w:pPr>
      <w:r w:rsidRPr="00513593">
        <w:t>Así pues, lo dispuesto por los artículos 32</w:t>
      </w:r>
      <w:r w:rsidR="00220C7B">
        <w:rPr>
          <w:rStyle w:val="Refdenotaalpie"/>
        </w:rPr>
        <w:footnoteReference w:id="4"/>
      </w:r>
      <w:r w:rsidRPr="00513593">
        <w:t xml:space="preserve"> y 33</w:t>
      </w:r>
      <w:r w:rsidR="00220C7B">
        <w:rPr>
          <w:rStyle w:val="Refdenotaalpie"/>
        </w:rPr>
        <w:footnoteReference w:id="5"/>
      </w:r>
      <w:r w:rsidRPr="00513593">
        <w:t xml:space="preserve"> de la Ley 996 de 2005 es aplicable exclusivamente para el período de 4 meses anteriores a las elecciones presidenciales; mientras que lo dispuesto por el artículo 38 es aplicable a todo tipo de elecciones.</w:t>
      </w:r>
    </w:p>
    <w:p w14:paraId="4AB467B2" w14:textId="77777777" w:rsidR="00363E4F" w:rsidRPr="00513593" w:rsidRDefault="00363E4F">
      <w:pPr>
        <w:pStyle w:val="Textoindependiente"/>
        <w:spacing w:before="4"/>
        <w:rPr>
          <w:sz w:val="25"/>
        </w:rPr>
      </w:pPr>
    </w:p>
    <w:p w14:paraId="05FAE884" w14:textId="77777777" w:rsidR="00363E4F" w:rsidRPr="00513593" w:rsidRDefault="004C7E1F">
      <w:pPr>
        <w:pStyle w:val="Textoindependiente"/>
        <w:spacing w:before="1" w:line="276" w:lineRule="auto"/>
        <w:ind w:left="100" w:right="106"/>
        <w:jc w:val="both"/>
      </w:pPr>
      <w:r w:rsidRPr="00513593">
        <w:t>En otras palabras, para las elecciones territoriales, esto es, las que se celebran para elegir autoridades locales: alcaldes, gobernadores, diputados, concejales y miembros de las juntas administradoras locales, la prohibición en cuanto a la contratación pública aplicable es la contenida en el parágrafo del artículo 38 y no las de los artículos 32 y 33 de la Ley de Garantías Electorales.</w:t>
      </w:r>
    </w:p>
    <w:p w14:paraId="05B6C30F" w14:textId="77777777" w:rsidR="00363E4F" w:rsidRPr="00513593" w:rsidRDefault="00363E4F">
      <w:pPr>
        <w:pStyle w:val="Textoindependiente"/>
        <w:spacing w:before="3"/>
        <w:rPr>
          <w:sz w:val="25"/>
        </w:rPr>
      </w:pPr>
    </w:p>
    <w:p w14:paraId="4F65C547" w14:textId="77777777" w:rsidR="00363E4F" w:rsidRPr="00513593" w:rsidRDefault="004C7E1F">
      <w:pPr>
        <w:pStyle w:val="Textoindependiente"/>
        <w:spacing w:line="276" w:lineRule="auto"/>
        <w:ind w:left="100" w:right="110"/>
        <w:jc w:val="both"/>
      </w:pPr>
      <w:r w:rsidRPr="00513593">
        <w:t>De manera que en el período comprendido entre el 27 de junio y 27 de octubre de 2019, lo prohibido en materia de contratación pública es la celebración de convenios o contratos interadministrativos para la ejecución de recursos públicos, por parte de los Departamentos, los Municipios y las entidades descentralizadas del orden departamental, municipal o</w:t>
      </w:r>
      <w:r w:rsidRPr="00513593">
        <w:rPr>
          <w:spacing w:val="-2"/>
        </w:rPr>
        <w:t xml:space="preserve"> </w:t>
      </w:r>
      <w:r w:rsidRPr="00513593">
        <w:t>distrital.</w:t>
      </w:r>
    </w:p>
    <w:p w14:paraId="0E4E22CB" w14:textId="77777777" w:rsidR="00363E4F" w:rsidRPr="00513593" w:rsidRDefault="00363E4F">
      <w:pPr>
        <w:pStyle w:val="Textoindependiente"/>
        <w:spacing w:before="3"/>
        <w:rPr>
          <w:sz w:val="25"/>
        </w:rPr>
      </w:pPr>
    </w:p>
    <w:p w14:paraId="66996BBC" w14:textId="77777777" w:rsidR="00363E4F" w:rsidRPr="00513593" w:rsidRDefault="004C7E1F">
      <w:pPr>
        <w:pStyle w:val="Textoindependiente"/>
        <w:spacing w:line="276" w:lineRule="auto"/>
        <w:ind w:left="100" w:right="107"/>
        <w:jc w:val="both"/>
      </w:pPr>
      <w:r w:rsidRPr="00513593">
        <w:t>Lo anterior quiere decir que la única restricción a la contratación directa que supone la Ley de Garantías Electorales es la contenida en el literal c) del numeral 4 del artículo 2º de la Ley 1150 de 2007, es decir, los contratos o convenios interadministrativos, por lo que el resto de los eventos de contratación directa que enlista esta norma están permitidos durante el período de 4 meses anteriores a las elecciones.</w:t>
      </w:r>
    </w:p>
    <w:p w14:paraId="26C6E8A9" w14:textId="77777777" w:rsidR="00363E4F" w:rsidRPr="00513593" w:rsidRDefault="00363E4F">
      <w:pPr>
        <w:pStyle w:val="Textoindependiente"/>
        <w:spacing w:before="6"/>
        <w:rPr>
          <w:sz w:val="25"/>
        </w:rPr>
      </w:pPr>
    </w:p>
    <w:p w14:paraId="37D85B4F" w14:textId="77777777" w:rsidR="00363E4F" w:rsidRPr="00513593" w:rsidRDefault="004C7E1F">
      <w:pPr>
        <w:pStyle w:val="Ttulo1"/>
        <w:numPr>
          <w:ilvl w:val="1"/>
          <w:numId w:val="2"/>
        </w:numPr>
        <w:tabs>
          <w:tab w:val="left" w:pos="526"/>
        </w:tabs>
        <w:ind w:hanging="426"/>
      </w:pPr>
      <w:r w:rsidRPr="00513593">
        <w:t>Convenios o contratos interadministrativos</w:t>
      </w:r>
    </w:p>
    <w:p w14:paraId="0233BD38" w14:textId="77777777" w:rsidR="00363E4F" w:rsidRPr="00513593" w:rsidRDefault="00363E4F">
      <w:pPr>
        <w:pStyle w:val="Textoindependiente"/>
        <w:spacing w:before="5"/>
        <w:rPr>
          <w:b/>
          <w:sz w:val="28"/>
        </w:rPr>
      </w:pPr>
    </w:p>
    <w:p w14:paraId="0EBB1B66" w14:textId="588AD2AE" w:rsidR="00363E4F" w:rsidRDefault="004C7E1F" w:rsidP="00220C7B">
      <w:pPr>
        <w:pStyle w:val="Textoindependiente"/>
        <w:spacing w:line="276" w:lineRule="auto"/>
        <w:ind w:left="100" w:right="104"/>
        <w:jc w:val="both"/>
      </w:pPr>
      <w:r w:rsidRPr="00513593">
        <w:t>El contrato o convenio interadministrativo fue creado por la Ley 80 de 1993, y aunque no lo definió ni lo desarrolló, el Decreto 1082 de 2015, “por medio del cual se expide el Decreto único reglamentario del sector administrativo de planeación nacional”, los califica como aquellos contratos celebrados entre entidades estatales</w:t>
      </w:r>
      <w:r w:rsidR="00220C7B">
        <w:rPr>
          <w:rStyle w:val="Refdenotaalpie"/>
        </w:rPr>
        <w:footnoteReference w:id="6"/>
      </w:r>
      <w:r w:rsidRPr="00513593">
        <w:t>. Este ha sido el entendimiento que la Corte Constitucional ha tenido de los contratos o convenios</w:t>
      </w:r>
      <w:r w:rsidRPr="00513593">
        <w:rPr>
          <w:spacing w:val="-34"/>
        </w:rPr>
        <w:t xml:space="preserve"> </w:t>
      </w:r>
      <w:r w:rsidRPr="00513593">
        <w:t>interadministrativos:</w:t>
      </w:r>
      <w:r w:rsidR="00220C7B">
        <w:t xml:space="preserve"> </w:t>
      </w:r>
    </w:p>
    <w:p w14:paraId="60C13F84" w14:textId="77777777" w:rsidR="00220C7B" w:rsidRPr="00513593" w:rsidRDefault="00220C7B" w:rsidP="00220C7B">
      <w:pPr>
        <w:pStyle w:val="Textoindependiente"/>
        <w:spacing w:line="276" w:lineRule="auto"/>
        <w:ind w:left="100" w:right="104"/>
        <w:jc w:val="both"/>
        <w:rPr>
          <w:sz w:val="21"/>
        </w:rPr>
      </w:pPr>
    </w:p>
    <w:p w14:paraId="3B16C709" w14:textId="28204500" w:rsidR="00363E4F" w:rsidRPr="00513593" w:rsidRDefault="004C7E1F">
      <w:pPr>
        <w:pStyle w:val="Textoindependiente"/>
        <w:spacing w:before="93"/>
        <w:ind w:left="808" w:right="812"/>
        <w:jc w:val="both"/>
      </w:pPr>
      <w:r w:rsidRPr="00513593">
        <w:t>Los convenios interadministrativos, asocian la voluntad de dos entidades públicas. En esa medida pueden coordinarse y ejecutarse finalidades comunes, en el que las partes se encuentran en un plano de igualdad y se obligan y comprometen conforme lo acuerdan en el contrato. Al adoptar la naturaleza de un contrato estatal, se encuentran regulados por el estatuto de contratación, Ley 80 de 1993</w:t>
      </w:r>
      <w:r w:rsidR="00220C7B">
        <w:rPr>
          <w:rStyle w:val="Refdenotaalpie"/>
        </w:rPr>
        <w:footnoteReference w:id="7"/>
      </w:r>
      <w:r w:rsidRPr="00513593">
        <w:t>.</w:t>
      </w:r>
    </w:p>
    <w:p w14:paraId="73DE79D6" w14:textId="77777777" w:rsidR="00363E4F" w:rsidRPr="00513593" w:rsidRDefault="00363E4F">
      <w:pPr>
        <w:pStyle w:val="Textoindependiente"/>
        <w:spacing w:before="1"/>
        <w:rPr>
          <w:sz w:val="25"/>
        </w:rPr>
      </w:pPr>
    </w:p>
    <w:p w14:paraId="38F4F137" w14:textId="77777777" w:rsidR="00363E4F" w:rsidRPr="00513593" w:rsidRDefault="004C7E1F">
      <w:pPr>
        <w:pStyle w:val="Textoindependiente"/>
        <w:spacing w:before="1" w:line="276" w:lineRule="auto"/>
        <w:ind w:left="100" w:right="108"/>
        <w:jc w:val="both"/>
      </w:pPr>
      <w:r w:rsidRPr="00513593">
        <w:t>De la misma manera, el Consejo de Estado ha aclarado que el elemento definitorio del convenio o contrato interadministrativo es la concurrencia de dos o más entidades estatales:</w:t>
      </w:r>
    </w:p>
    <w:p w14:paraId="27D6A92B" w14:textId="77777777" w:rsidR="00363E4F" w:rsidRPr="00513593" w:rsidRDefault="00363E4F">
      <w:pPr>
        <w:pStyle w:val="Textoindependiente"/>
        <w:spacing w:before="5"/>
        <w:rPr>
          <w:sz w:val="25"/>
        </w:rPr>
      </w:pPr>
    </w:p>
    <w:p w14:paraId="71249675" w14:textId="77777777" w:rsidR="00363E4F" w:rsidRPr="00513593" w:rsidRDefault="004C7E1F">
      <w:pPr>
        <w:pStyle w:val="Textoindependiente"/>
        <w:ind w:left="808" w:right="813"/>
        <w:jc w:val="both"/>
      </w:pPr>
      <w:r w:rsidRPr="00513593">
        <w:t xml:space="preserve">Para la Sala de Consulta y Servicio Civil de esta corporación se está ante una modalidad contractual, cuya particularidad es su celebración en virtud del </w:t>
      </w:r>
      <w:r w:rsidRPr="00513593">
        <w:lastRenderedPageBreak/>
        <w:t>principio de cooperación entre entidades públicas, de tal modo que su finalidad no es otra distinta a la de cumplir en forma conjunta con las funciones a cargo de ambas entidades, o prestar servicios públicos que le han sido encomendados.</w:t>
      </w:r>
    </w:p>
    <w:p w14:paraId="23ACFD6B" w14:textId="77777777" w:rsidR="00363E4F" w:rsidRPr="00513593" w:rsidRDefault="004C7E1F">
      <w:pPr>
        <w:pStyle w:val="Textoindependiente"/>
        <w:spacing w:line="253" w:lineRule="exact"/>
        <w:ind w:left="808"/>
      </w:pPr>
      <w:r w:rsidRPr="00513593">
        <w:t>(…)</w:t>
      </w:r>
    </w:p>
    <w:p w14:paraId="3E82AF8A" w14:textId="77777777" w:rsidR="00363E4F" w:rsidRPr="00513593" w:rsidRDefault="00363E4F">
      <w:pPr>
        <w:pStyle w:val="Textoindependiente"/>
        <w:spacing w:before="10"/>
        <w:rPr>
          <w:sz w:val="21"/>
        </w:rPr>
      </w:pPr>
    </w:p>
    <w:p w14:paraId="3695076B" w14:textId="77777777" w:rsidR="00363E4F" w:rsidRPr="00513593" w:rsidRDefault="004C7E1F">
      <w:pPr>
        <w:pStyle w:val="Textoindependiente"/>
        <w:ind w:left="808" w:right="813"/>
        <w:jc w:val="both"/>
      </w:pPr>
      <w:r w:rsidRPr="00513593">
        <w:t xml:space="preserve">Para la doctrina existe claridad en la ubicación de los convenios interadministrativos dentro de la actividad </w:t>
      </w:r>
      <w:proofErr w:type="spellStart"/>
      <w:r w:rsidRPr="00513593">
        <w:t>negocial</w:t>
      </w:r>
      <w:proofErr w:type="spellEnd"/>
      <w:r w:rsidRPr="00513593">
        <w:t xml:space="preserve"> de la Administración. Si bien es cierto, que constituye una especie distinta del contrato, coincide con éste en que las manifestaciones de voluntades comprometen situaciones subjetivas, generan el cumplimiento de obligaciones en cabeza de cada una de las partes. La diferencia radica en que los intereses en juego no son contrapuestos sino coincidentes entre sí y con el interés general. La participación de dos entidades que tengan capacidad de contratación de acuerdo con la Ley 80 constituye un presupuesto ineludible de la definición de convenio interadministrativo, su objeto es la implementación de modos de gestionar la actividad pública, en algunas oportunidades ejercer funciones administrativas sin que ello conlleve una delegación de las mismas.</w:t>
      </w:r>
    </w:p>
    <w:p w14:paraId="0E4A55E3" w14:textId="77777777" w:rsidR="00363E4F" w:rsidRPr="00513593" w:rsidRDefault="004C7E1F">
      <w:pPr>
        <w:pStyle w:val="Textoindependiente"/>
        <w:spacing w:before="3"/>
        <w:ind w:left="808"/>
      </w:pPr>
      <w:r w:rsidRPr="00513593">
        <w:t>(…)</w:t>
      </w:r>
    </w:p>
    <w:p w14:paraId="54CD99EA" w14:textId="77777777" w:rsidR="00363E4F" w:rsidRPr="00513593" w:rsidRDefault="00363E4F">
      <w:pPr>
        <w:pStyle w:val="Textoindependiente"/>
        <w:spacing w:before="10"/>
        <w:rPr>
          <w:sz w:val="21"/>
        </w:rPr>
      </w:pPr>
    </w:p>
    <w:p w14:paraId="76F6A79B" w14:textId="2A2F9F3D" w:rsidR="00363E4F" w:rsidRPr="00513593" w:rsidRDefault="004C7E1F" w:rsidP="00220C7B">
      <w:pPr>
        <w:pStyle w:val="Textoindependiente"/>
        <w:ind w:left="808" w:right="811"/>
        <w:jc w:val="both"/>
      </w:pPr>
      <w:r w:rsidRPr="00513593">
        <w:t>Se trata entonces, de relaciones de paridad entre diferentes entidades de carácter administrativo, cuyas competencias recaen sobre la misma materia lo que ocasiona su constante interacción. La forma de actuación conjunta se da mediante convenios interadministrativos, los cuales son un desarrollo</w:t>
      </w:r>
      <w:r w:rsidR="00220C7B">
        <w:t xml:space="preserve"> </w:t>
      </w:r>
      <w:r w:rsidRPr="00513593">
        <w:t>directo de los principios de colaboración y coordinación consagrados constitucional y legalmente</w:t>
      </w:r>
      <w:r w:rsidR="00220C7B">
        <w:rPr>
          <w:rStyle w:val="Refdenotaalpie"/>
        </w:rPr>
        <w:footnoteReference w:id="8"/>
      </w:r>
      <w:r w:rsidRPr="00513593">
        <w:t>.</w:t>
      </w:r>
    </w:p>
    <w:p w14:paraId="6F88EDE6" w14:textId="77777777" w:rsidR="00363E4F" w:rsidRPr="00513593" w:rsidRDefault="00363E4F">
      <w:pPr>
        <w:pStyle w:val="Textoindependiente"/>
        <w:spacing w:before="5"/>
        <w:rPr>
          <w:sz w:val="23"/>
        </w:rPr>
      </w:pPr>
    </w:p>
    <w:p w14:paraId="731B95D9" w14:textId="77777777" w:rsidR="00363E4F" w:rsidRPr="00513593" w:rsidRDefault="004C7E1F">
      <w:pPr>
        <w:pStyle w:val="Textoindependiente"/>
        <w:spacing w:line="276" w:lineRule="auto"/>
        <w:ind w:left="100" w:right="104"/>
        <w:jc w:val="both"/>
      </w:pPr>
      <w:r w:rsidRPr="00513593">
        <w:t>De acuerdo con lo anterior, el contrato o convenio interadministrativo es el acuerdo en el que concurre la voluntad de dos o más personas jurídicas de derecho público, con la finalidad de cumplir, en el marco de sus objetivos misionales y sus competencias, con los fines del Estado. Es decir, los contratos o convenios interadministrativos a los que hace referencia la Ley 80 de 1993 deben ser identificados a partir de un criterio orgánico, en el que lo relevante es que los extremos de la relación contractual sean entidades estatales.</w:t>
      </w:r>
    </w:p>
    <w:p w14:paraId="0450AB6F" w14:textId="77777777" w:rsidR="00363E4F" w:rsidRPr="00513593" w:rsidRDefault="00363E4F">
      <w:pPr>
        <w:pStyle w:val="Textoindependiente"/>
        <w:spacing w:before="5"/>
        <w:rPr>
          <w:sz w:val="25"/>
        </w:rPr>
      </w:pPr>
    </w:p>
    <w:p w14:paraId="25CD6FB5" w14:textId="32C23F7E" w:rsidR="00363E4F" w:rsidRPr="00513593" w:rsidRDefault="004C7E1F">
      <w:pPr>
        <w:pStyle w:val="Textoindependiente"/>
        <w:spacing w:line="276" w:lineRule="auto"/>
        <w:ind w:left="100" w:right="107"/>
        <w:jc w:val="both"/>
      </w:pPr>
      <w:r w:rsidRPr="00513593">
        <w:t xml:space="preserve">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regida por la Ley 80 de 1993 celebrar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w:t>
      </w:r>
      <w:r w:rsidRPr="00513593">
        <w:lastRenderedPageBreak/>
        <w:t>competencia con el sector privado</w:t>
      </w:r>
      <w:r w:rsidR="00220C7B">
        <w:rPr>
          <w:rStyle w:val="Refdenotaalpie"/>
        </w:rPr>
        <w:footnoteReference w:id="9"/>
      </w:r>
      <w:r w:rsidRPr="00513593">
        <w:t>.</w:t>
      </w:r>
    </w:p>
    <w:p w14:paraId="554336F0" w14:textId="77777777" w:rsidR="00363E4F" w:rsidRPr="00513593" w:rsidRDefault="00363E4F">
      <w:pPr>
        <w:pStyle w:val="Textoindependiente"/>
        <w:spacing w:before="2"/>
        <w:rPr>
          <w:sz w:val="25"/>
        </w:rPr>
      </w:pPr>
    </w:p>
    <w:p w14:paraId="5C98DA1B" w14:textId="7C2F8121" w:rsidR="00363E4F" w:rsidRDefault="004C7E1F" w:rsidP="00220C7B">
      <w:pPr>
        <w:pStyle w:val="Textoindependiente"/>
        <w:spacing w:before="1" w:line="276" w:lineRule="auto"/>
        <w:ind w:left="100" w:right="104"/>
        <w:jc w:val="both"/>
      </w:pPr>
      <w:r w:rsidRPr="00513593">
        <w:t>La calidad de un contrato o convenio interadministrativo no está determinada por la modalidad de selección utilizada para celebrar el respectivo acuerdo de voluntades entre entidades de derecho público. 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competitivo</w:t>
      </w:r>
      <w:r w:rsidR="00220C7B">
        <w:rPr>
          <w:rStyle w:val="Refdenotaalpie"/>
        </w:rPr>
        <w:footnoteReference w:id="10"/>
      </w:r>
      <w:r w:rsidRPr="00513593">
        <w:t>. Nótese que en este caso lo que cambia es la modalidad de selección y no la naturaleza de contrato</w:t>
      </w:r>
      <w:r w:rsidRPr="00513593">
        <w:rPr>
          <w:spacing w:val="-20"/>
        </w:rPr>
        <w:t xml:space="preserve"> </w:t>
      </w:r>
      <w:r w:rsidRPr="00513593">
        <w:t>interadministrativo.</w:t>
      </w:r>
      <w:r w:rsidR="00220C7B">
        <w:t xml:space="preserve"> </w:t>
      </w:r>
    </w:p>
    <w:p w14:paraId="4579CEF7" w14:textId="77777777" w:rsidR="00220C7B" w:rsidRPr="00513593" w:rsidRDefault="00220C7B" w:rsidP="00220C7B">
      <w:pPr>
        <w:pStyle w:val="Textoindependiente"/>
        <w:spacing w:before="1" w:line="276" w:lineRule="auto"/>
        <w:ind w:left="100" w:right="104"/>
        <w:jc w:val="both"/>
        <w:rPr>
          <w:sz w:val="16"/>
        </w:rPr>
      </w:pPr>
    </w:p>
    <w:p w14:paraId="6EF427C1" w14:textId="77777777" w:rsidR="00363E4F" w:rsidRPr="00513593" w:rsidRDefault="004C7E1F">
      <w:pPr>
        <w:pStyle w:val="Textoindependiente"/>
        <w:spacing w:before="93" w:line="276" w:lineRule="auto"/>
        <w:ind w:left="100" w:right="104"/>
        <w:jc w:val="both"/>
      </w:pPr>
      <w:r w:rsidRPr="00513593">
        <w:t>Con miras a ilustrar las características fundamentales de los contratos o convenios interadministrativos, se estima conveniente la caracterización que realizó el Consejo de Estado de los mismos:</w:t>
      </w:r>
    </w:p>
    <w:p w14:paraId="27A6112C" w14:textId="77777777" w:rsidR="00363E4F" w:rsidRPr="00513593" w:rsidRDefault="00363E4F">
      <w:pPr>
        <w:pStyle w:val="Textoindependiente"/>
        <w:spacing w:before="5"/>
        <w:rPr>
          <w:sz w:val="25"/>
        </w:rPr>
      </w:pPr>
    </w:p>
    <w:p w14:paraId="28ED9AC7" w14:textId="38507146" w:rsidR="00363E4F" w:rsidRPr="00513593" w:rsidRDefault="004C7E1F">
      <w:pPr>
        <w:pStyle w:val="Textoindependiente"/>
        <w:ind w:left="808" w:right="813"/>
        <w:jc w:val="both"/>
      </w:pPr>
      <w:r w:rsidRPr="00513593">
        <w:t>En atención a lo anterior y en relación específicamente con lo que interesa para el caso concreto,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w:t>
      </w:r>
      <w:r w:rsidR="00220C7B">
        <w:rPr>
          <w:rStyle w:val="Refdenotaalpie"/>
        </w:rPr>
        <w:footnoteReference w:id="11"/>
      </w:r>
      <w:r w:rsidRPr="00513593">
        <w:rPr>
          <w:vertAlign w:val="superscript"/>
        </w:rPr>
        <w:t>;</w:t>
      </w:r>
      <w:r w:rsidRPr="00513593">
        <w:t xml:space="preserve">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r w:rsidRPr="00513593">
        <w:lastRenderedPageBreak/>
        <w:t>(vii) persiguen una finalidad común a través de la realización de intereses compartidos entre las entidades vinculadas; (viii) la acción mediante la cual se deben ventilar las diferencias que sobre el particular surjan es la de controversias contractuales</w:t>
      </w:r>
      <w:r w:rsidR="00220C7B">
        <w:rPr>
          <w:rStyle w:val="Refdenotaalpie"/>
        </w:rPr>
        <w:footnoteReference w:id="12"/>
      </w:r>
      <w:r w:rsidRPr="00513593">
        <w:t>.</w:t>
      </w:r>
    </w:p>
    <w:p w14:paraId="3E579D4F" w14:textId="77777777" w:rsidR="00363E4F" w:rsidRPr="00513593" w:rsidRDefault="00363E4F">
      <w:pPr>
        <w:pStyle w:val="Textoindependiente"/>
        <w:spacing w:before="4"/>
        <w:rPr>
          <w:sz w:val="25"/>
        </w:rPr>
      </w:pPr>
    </w:p>
    <w:p w14:paraId="423AB172" w14:textId="77777777" w:rsidR="00363E4F" w:rsidRPr="00513593" w:rsidRDefault="004C7E1F">
      <w:pPr>
        <w:pStyle w:val="Textoindependiente"/>
        <w:spacing w:line="276" w:lineRule="auto"/>
        <w:ind w:left="100" w:right="108"/>
        <w:jc w:val="both"/>
      </w:pPr>
      <w:r w:rsidRPr="00513593">
        <w:t>En resumen, a partir de todo lo expuesto y para efectos de la consulta planteada, los contratos o convenios interadministrativos son aquellos celebrados entre dos o más entidades estatales.</w:t>
      </w:r>
    </w:p>
    <w:p w14:paraId="60B642C5" w14:textId="77777777" w:rsidR="00363E4F" w:rsidRPr="00513593" w:rsidRDefault="00363E4F">
      <w:pPr>
        <w:pStyle w:val="Textoindependiente"/>
        <w:spacing w:before="3"/>
        <w:rPr>
          <w:sz w:val="25"/>
        </w:rPr>
      </w:pPr>
    </w:p>
    <w:p w14:paraId="4B2C7009" w14:textId="77777777" w:rsidR="00363E4F" w:rsidRPr="00513593" w:rsidRDefault="004C7E1F">
      <w:pPr>
        <w:pStyle w:val="Ttulo1"/>
        <w:numPr>
          <w:ilvl w:val="1"/>
          <w:numId w:val="2"/>
        </w:numPr>
        <w:tabs>
          <w:tab w:val="left" w:pos="526"/>
        </w:tabs>
        <w:ind w:hanging="426"/>
      </w:pPr>
      <w:r w:rsidRPr="00513593">
        <w:t>Empresas de Servicios Públicos</w:t>
      </w:r>
      <w:r w:rsidRPr="00513593">
        <w:rPr>
          <w:spacing w:val="-4"/>
        </w:rPr>
        <w:t xml:space="preserve"> </w:t>
      </w:r>
      <w:r w:rsidRPr="00513593">
        <w:t>Domiciliarios</w:t>
      </w:r>
    </w:p>
    <w:p w14:paraId="02D2D567" w14:textId="77777777" w:rsidR="00363E4F" w:rsidRPr="00513593" w:rsidRDefault="00363E4F">
      <w:pPr>
        <w:pStyle w:val="Textoindependiente"/>
        <w:spacing w:before="7"/>
        <w:rPr>
          <w:b/>
          <w:sz w:val="28"/>
        </w:rPr>
      </w:pPr>
    </w:p>
    <w:p w14:paraId="587D7183" w14:textId="24FA5A15" w:rsidR="00363E4F" w:rsidRPr="00513593" w:rsidRDefault="004C7E1F" w:rsidP="00220C7B">
      <w:pPr>
        <w:pStyle w:val="Textoindependiente"/>
        <w:spacing w:line="276" w:lineRule="auto"/>
        <w:ind w:left="100" w:right="112"/>
        <w:jc w:val="both"/>
        <w:rPr>
          <w:sz w:val="20"/>
        </w:rPr>
      </w:pPr>
      <w:r w:rsidRPr="00513593">
        <w:t>El artículo 14 de la Ley 142 de 1994 contiene las definiciones para la correcta aplicación e interpretación del régimen de servicios públicos domiciliarios. Esta norma define las Empresas de Servicios Públicos Oficial, la mixta y la privada, en los siguientes términos:</w:t>
      </w:r>
      <w:r w:rsidR="00220C7B">
        <w:t xml:space="preserve"> </w:t>
      </w:r>
    </w:p>
    <w:p w14:paraId="5F789311" w14:textId="77777777" w:rsidR="00363E4F" w:rsidRPr="00513593" w:rsidRDefault="00363E4F">
      <w:pPr>
        <w:pStyle w:val="Textoindependiente"/>
        <w:spacing w:before="5"/>
        <w:rPr>
          <w:sz w:val="16"/>
        </w:rPr>
      </w:pPr>
    </w:p>
    <w:p w14:paraId="2FAEE345" w14:textId="77777777" w:rsidR="00363E4F" w:rsidRPr="00513593" w:rsidRDefault="004C7E1F">
      <w:pPr>
        <w:pStyle w:val="Prrafodelista"/>
        <w:numPr>
          <w:ilvl w:val="1"/>
          <w:numId w:val="1"/>
        </w:numPr>
        <w:tabs>
          <w:tab w:val="left" w:pos="1361"/>
        </w:tabs>
        <w:spacing w:before="93"/>
        <w:ind w:right="112" w:firstLine="0"/>
        <w:jc w:val="both"/>
      </w:pPr>
      <w:r w:rsidRPr="00513593">
        <w:t>Empresa de servicios públicos oficial. Es aquella en cuyo capital la Nación, las entidades territoriales, o las entidades descentralizadas de aquella o estas tienen el 100% de los</w:t>
      </w:r>
      <w:r w:rsidRPr="00513593">
        <w:rPr>
          <w:spacing w:val="-5"/>
        </w:rPr>
        <w:t xml:space="preserve"> </w:t>
      </w:r>
      <w:r w:rsidRPr="00513593">
        <w:t>aportes.</w:t>
      </w:r>
    </w:p>
    <w:p w14:paraId="63519DB7" w14:textId="77777777" w:rsidR="00363E4F" w:rsidRPr="00513593" w:rsidRDefault="00363E4F">
      <w:pPr>
        <w:pStyle w:val="Textoindependiente"/>
        <w:spacing w:before="1"/>
      </w:pPr>
    </w:p>
    <w:p w14:paraId="4D1C528A" w14:textId="77777777" w:rsidR="00363E4F" w:rsidRPr="00513593" w:rsidRDefault="004C7E1F">
      <w:pPr>
        <w:pStyle w:val="Prrafodelista"/>
        <w:numPr>
          <w:ilvl w:val="1"/>
          <w:numId w:val="1"/>
        </w:numPr>
        <w:tabs>
          <w:tab w:val="left" w:pos="1363"/>
        </w:tabs>
        <w:ind w:right="111" w:firstLine="0"/>
        <w:jc w:val="both"/>
      </w:pPr>
      <w:r w:rsidRPr="00513593">
        <w:t>Empresa de servicios públicos mixta. Es aquella en cuyo capital la Nación, las entidades territoriales, o las entidades descentralizadas de aquella o éstas tienen aportes iguales o superiores al</w:t>
      </w:r>
      <w:r w:rsidRPr="00513593">
        <w:rPr>
          <w:spacing w:val="-5"/>
        </w:rPr>
        <w:t xml:space="preserve"> </w:t>
      </w:r>
      <w:r w:rsidRPr="00513593">
        <w:t>50%.</w:t>
      </w:r>
    </w:p>
    <w:p w14:paraId="529768E6" w14:textId="77777777" w:rsidR="00363E4F" w:rsidRPr="00513593" w:rsidRDefault="00363E4F">
      <w:pPr>
        <w:pStyle w:val="Textoindependiente"/>
      </w:pPr>
    </w:p>
    <w:p w14:paraId="15A0278F" w14:textId="77777777" w:rsidR="00363E4F" w:rsidRPr="00513593" w:rsidRDefault="004C7E1F">
      <w:pPr>
        <w:pStyle w:val="Prrafodelista"/>
        <w:numPr>
          <w:ilvl w:val="1"/>
          <w:numId w:val="1"/>
        </w:numPr>
        <w:tabs>
          <w:tab w:val="left" w:pos="1531"/>
        </w:tabs>
        <w:spacing w:before="1"/>
        <w:ind w:right="110" w:firstLine="0"/>
        <w:jc w:val="both"/>
      </w:pPr>
      <w:r w:rsidRPr="00513593">
        <w:t xml:space="preserve">Empresa de servicios </w:t>
      </w:r>
      <w:proofErr w:type="gramStart"/>
      <w:r w:rsidRPr="00513593">
        <w:t>públicos  privada</w:t>
      </w:r>
      <w:proofErr w:type="gramEnd"/>
      <w:r w:rsidRPr="00513593">
        <w:t xml:space="preserve">.  </w:t>
      </w:r>
      <w:proofErr w:type="gramStart"/>
      <w:r w:rsidRPr="00513593">
        <w:t>Es  aquella</w:t>
      </w:r>
      <w:proofErr w:type="gramEnd"/>
      <w:r w:rsidRPr="00513593">
        <w:t xml:space="preserve">  cuyo  capital  pertenece mayoritariamente a particulares, o a entidades surgidas de convenios internacionales que deseen someterse íntegramente para estos efectos a las reglas a las que se someten los</w:t>
      </w:r>
      <w:r w:rsidRPr="00513593">
        <w:rPr>
          <w:spacing w:val="-7"/>
        </w:rPr>
        <w:t xml:space="preserve"> </w:t>
      </w:r>
      <w:r w:rsidRPr="00513593">
        <w:t>particulares.</w:t>
      </w:r>
    </w:p>
    <w:p w14:paraId="3C1A50EC" w14:textId="77777777" w:rsidR="00363E4F" w:rsidRPr="00513593" w:rsidRDefault="00363E4F">
      <w:pPr>
        <w:pStyle w:val="Textoindependiente"/>
        <w:rPr>
          <w:sz w:val="24"/>
        </w:rPr>
      </w:pPr>
    </w:p>
    <w:p w14:paraId="589F3B82" w14:textId="77777777" w:rsidR="00363E4F" w:rsidRPr="00513593" w:rsidRDefault="00363E4F">
      <w:pPr>
        <w:pStyle w:val="Textoindependiente"/>
        <w:spacing w:before="11"/>
        <w:rPr>
          <w:sz w:val="19"/>
        </w:rPr>
      </w:pPr>
    </w:p>
    <w:p w14:paraId="6FBAD8E5" w14:textId="77777777" w:rsidR="00363E4F" w:rsidRPr="00513593" w:rsidRDefault="004C7E1F">
      <w:pPr>
        <w:pStyle w:val="Textoindependiente"/>
        <w:spacing w:line="276" w:lineRule="auto"/>
        <w:ind w:left="100" w:right="112"/>
        <w:jc w:val="both"/>
      </w:pPr>
      <w:r w:rsidRPr="00513593">
        <w:t>A su turno, el artículo 17 de la ley citada señala que “las empresas de servicios públicos son sociedades por acciones cuyo objeto es la prestación de los servicios públicos de que trata esta ley”.</w:t>
      </w:r>
    </w:p>
    <w:p w14:paraId="6E1FADE4" w14:textId="77777777" w:rsidR="00363E4F" w:rsidRPr="00513593" w:rsidRDefault="00363E4F">
      <w:pPr>
        <w:pStyle w:val="Textoindependiente"/>
        <w:spacing w:before="11"/>
        <w:rPr>
          <w:sz w:val="21"/>
        </w:rPr>
      </w:pPr>
    </w:p>
    <w:p w14:paraId="505F08D3" w14:textId="77777777" w:rsidR="00363E4F" w:rsidRPr="00513593" w:rsidRDefault="004C7E1F">
      <w:pPr>
        <w:pStyle w:val="Textoindependiente"/>
        <w:spacing w:line="276" w:lineRule="auto"/>
        <w:ind w:left="100" w:right="108"/>
        <w:jc w:val="both"/>
      </w:pPr>
      <w:r w:rsidRPr="00513593">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w:t>
      </w:r>
    </w:p>
    <w:p w14:paraId="68E27060" w14:textId="377A84D1" w:rsidR="00363E4F" w:rsidRPr="00513593" w:rsidRDefault="004C7E1F">
      <w:pPr>
        <w:pStyle w:val="Textoindependiente"/>
        <w:spacing w:before="2" w:line="276" w:lineRule="auto"/>
        <w:ind w:left="100" w:right="111"/>
        <w:jc w:val="both"/>
      </w:pPr>
      <w:r w:rsidRPr="00513593">
        <w:t xml:space="preserve">68 de esta ley, al listar las entidades descentralizadas del orden nacional, se refirió únicamente a las empresas oficiales de servicios públicos, esto es, aquellas en las que la </w:t>
      </w:r>
      <w:r w:rsidRPr="00513593">
        <w:lastRenderedPageBreak/>
        <w:t>participación del Estado es del 100%</w:t>
      </w:r>
      <w:r w:rsidR="00220C7B">
        <w:rPr>
          <w:rStyle w:val="Refdenotaalpie"/>
        </w:rPr>
        <w:footnoteReference w:id="13"/>
      </w:r>
      <w:r w:rsidRPr="00513593">
        <w:t>.</w:t>
      </w:r>
    </w:p>
    <w:p w14:paraId="51FDF807" w14:textId="77777777" w:rsidR="00363E4F" w:rsidRPr="00513593" w:rsidRDefault="00363E4F">
      <w:pPr>
        <w:pStyle w:val="Textoindependiente"/>
        <w:spacing w:before="10"/>
        <w:rPr>
          <w:sz w:val="21"/>
        </w:rPr>
      </w:pPr>
    </w:p>
    <w:p w14:paraId="3D1CE497" w14:textId="3B4CDB7F" w:rsidR="00363E4F" w:rsidRDefault="004C7E1F" w:rsidP="00220C7B">
      <w:pPr>
        <w:pStyle w:val="Textoindependiente"/>
        <w:spacing w:line="276" w:lineRule="auto"/>
        <w:ind w:left="100" w:right="104"/>
        <w:jc w:val="both"/>
      </w:pPr>
      <w:r w:rsidRPr="00513593">
        <w:t>Lo anterior llevó a pensar que el legislador había excluido de la Rama Ejecutiva a las empresas de servicios públicos mixta -capital público superior al 50%- y las privadas -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w:t>
      </w:r>
      <w:r w:rsidRPr="00513593">
        <w:rPr>
          <w:spacing w:val="-27"/>
        </w:rPr>
        <w:t xml:space="preserve"> </w:t>
      </w:r>
      <w:r w:rsidRPr="00513593">
        <w:t>Público”.</w:t>
      </w:r>
      <w:r w:rsidR="00220C7B">
        <w:t xml:space="preserve"> </w:t>
      </w:r>
    </w:p>
    <w:p w14:paraId="0E8D6DD5" w14:textId="77777777" w:rsidR="00220C7B" w:rsidRPr="00513593" w:rsidRDefault="00220C7B" w:rsidP="00220C7B">
      <w:pPr>
        <w:pStyle w:val="Textoindependiente"/>
        <w:spacing w:line="276" w:lineRule="auto"/>
        <w:ind w:left="100" w:right="104"/>
        <w:jc w:val="both"/>
        <w:rPr>
          <w:sz w:val="16"/>
        </w:rPr>
      </w:pPr>
    </w:p>
    <w:p w14:paraId="187A3765" w14:textId="77777777" w:rsidR="00363E4F" w:rsidRPr="00513593" w:rsidRDefault="004C7E1F">
      <w:pPr>
        <w:pStyle w:val="Textoindependiente"/>
        <w:spacing w:before="93" w:line="276" w:lineRule="auto"/>
        <w:ind w:left="100" w:right="106"/>
        <w:jc w:val="both"/>
      </w:pPr>
      <w:r w:rsidRPr="00513593">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23ABDC8F" w14:textId="77777777" w:rsidR="00363E4F" w:rsidRPr="00513593" w:rsidRDefault="00363E4F">
      <w:pPr>
        <w:pStyle w:val="Textoindependiente"/>
        <w:spacing w:before="1"/>
      </w:pPr>
    </w:p>
    <w:p w14:paraId="13391CA3" w14:textId="77777777" w:rsidR="00363E4F" w:rsidRPr="00513593" w:rsidRDefault="004C7E1F">
      <w:pPr>
        <w:pStyle w:val="Textoindependiente"/>
        <w:ind w:left="810" w:right="104"/>
        <w:jc w:val="both"/>
      </w:pPr>
      <w:r w:rsidRPr="00513593">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110C6605" w14:textId="77777777" w:rsidR="00363E4F" w:rsidRPr="00513593" w:rsidRDefault="00363E4F">
      <w:pPr>
        <w:pStyle w:val="Textoindependiente"/>
      </w:pPr>
    </w:p>
    <w:p w14:paraId="23B28843" w14:textId="77777777" w:rsidR="00363E4F" w:rsidRPr="00513593" w:rsidRDefault="004C7E1F">
      <w:pPr>
        <w:pStyle w:val="Textoindependiente"/>
        <w:ind w:left="810" w:right="109"/>
        <w:jc w:val="both"/>
      </w:pPr>
      <w:r w:rsidRPr="00513593">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w:t>
      </w:r>
      <w:r w:rsidRPr="00513593">
        <w:rPr>
          <w:spacing w:val="-5"/>
        </w:rPr>
        <w:t xml:space="preserve"> </w:t>
      </w:r>
      <w:r w:rsidRPr="00513593">
        <w:t>(…)</w:t>
      </w:r>
    </w:p>
    <w:p w14:paraId="13223FE5" w14:textId="77777777" w:rsidR="00363E4F" w:rsidRPr="00513593" w:rsidRDefault="00363E4F">
      <w:pPr>
        <w:pStyle w:val="Textoindependiente"/>
        <w:spacing w:before="2"/>
      </w:pPr>
    </w:p>
    <w:p w14:paraId="23F9E798" w14:textId="77777777" w:rsidR="00363E4F" w:rsidRPr="00513593" w:rsidRDefault="004C7E1F">
      <w:pPr>
        <w:pStyle w:val="Textoindependiente"/>
        <w:ind w:left="810" w:right="104"/>
        <w:jc w:val="both"/>
      </w:pPr>
      <w:r w:rsidRPr="00513593">
        <w:t xml:space="preserve">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w:t>
      </w:r>
      <w:r w:rsidRPr="00513593">
        <w:lastRenderedPageBreak/>
        <w:t>privadas, que de esta manera, se entienden como parte de la Rama Ejecutiva en su sector descentralizado</w:t>
      </w:r>
      <w:r w:rsidRPr="00513593">
        <w:rPr>
          <w:spacing w:val="-8"/>
        </w:rPr>
        <w:t xml:space="preserve"> </w:t>
      </w:r>
      <w:r w:rsidRPr="00513593">
        <w:t>nacional.</w:t>
      </w:r>
    </w:p>
    <w:p w14:paraId="45367CEC" w14:textId="77777777" w:rsidR="00363E4F" w:rsidRPr="00513593" w:rsidRDefault="00363E4F">
      <w:pPr>
        <w:pStyle w:val="Textoindependiente"/>
      </w:pPr>
    </w:p>
    <w:p w14:paraId="5663473E" w14:textId="77777777" w:rsidR="00363E4F" w:rsidRPr="00513593" w:rsidRDefault="004C7E1F">
      <w:pPr>
        <w:pStyle w:val="Textoindependiente"/>
        <w:ind w:left="810" w:right="106"/>
        <w:jc w:val="both"/>
      </w:pPr>
      <w:r w:rsidRPr="00513593">
        <w:t>Así las cosas, de cara a la constitucionalidad del artículo 38 de la Ley 498 de 1998, y concretamente de la expresión “las empresas oficiales de servicios públicos domiciliarios” contenida en su literal d), la Corte declarará su exequibilidad, por considerar que dentro del supuesto normativo del literal g) se comprenden las empresas mixtas o privadas de servicios públicos, que de esta manera viene a conformar también la Rama Ejecutiva del poder público.</w:t>
      </w:r>
    </w:p>
    <w:p w14:paraId="39B109BD" w14:textId="77777777" w:rsidR="00363E4F" w:rsidRPr="00513593" w:rsidRDefault="004C7E1F">
      <w:pPr>
        <w:pStyle w:val="Textoindependiente"/>
        <w:ind w:left="810"/>
      </w:pPr>
      <w:r w:rsidRPr="00513593">
        <w:t>(…)</w:t>
      </w:r>
    </w:p>
    <w:p w14:paraId="57CF66EF" w14:textId="77777777" w:rsidR="00363E4F" w:rsidRPr="00513593" w:rsidRDefault="00363E4F">
      <w:pPr>
        <w:pStyle w:val="Textoindependiente"/>
        <w:spacing w:before="10"/>
        <w:rPr>
          <w:sz w:val="21"/>
        </w:rPr>
      </w:pPr>
    </w:p>
    <w:p w14:paraId="446F2EB2" w14:textId="079F83AE" w:rsidR="00363E4F" w:rsidRPr="00513593" w:rsidRDefault="004C7E1F" w:rsidP="00220C7B">
      <w:pPr>
        <w:pStyle w:val="Textoindependiente"/>
        <w:ind w:left="810" w:right="105"/>
        <w:jc w:val="both"/>
      </w:pPr>
      <w:r w:rsidRPr="00513593">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w:t>
      </w:r>
      <w:r w:rsidR="00220C7B">
        <w:t xml:space="preserve"> </w:t>
      </w:r>
      <w:r w:rsidRPr="00513593">
        <w:t>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00220C7B">
        <w:rPr>
          <w:rStyle w:val="Refdenotaalpie"/>
        </w:rPr>
        <w:footnoteReference w:id="14"/>
      </w:r>
      <w:r w:rsidRPr="00513593">
        <w:t>.</w:t>
      </w:r>
    </w:p>
    <w:p w14:paraId="785F47F7" w14:textId="77777777" w:rsidR="00363E4F" w:rsidRPr="00513593" w:rsidRDefault="00363E4F">
      <w:pPr>
        <w:pStyle w:val="Textoindependiente"/>
        <w:spacing w:before="2"/>
      </w:pPr>
    </w:p>
    <w:p w14:paraId="7A58BEBF" w14:textId="77777777" w:rsidR="004A2D00" w:rsidRPr="00513593" w:rsidRDefault="004A2D00">
      <w:pPr>
        <w:pStyle w:val="Textoindependiente"/>
        <w:spacing w:before="1" w:line="276" w:lineRule="auto"/>
        <w:ind w:left="100" w:right="110"/>
        <w:jc w:val="both"/>
      </w:pPr>
    </w:p>
    <w:p w14:paraId="399A9482" w14:textId="77777777" w:rsidR="00363E4F" w:rsidRPr="00513593" w:rsidRDefault="004C7E1F">
      <w:pPr>
        <w:pStyle w:val="Textoindependiente"/>
        <w:spacing w:before="1" w:line="276" w:lineRule="auto"/>
        <w:ind w:left="100" w:right="110"/>
        <w:jc w:val="both"/>
      </w:pPr>
      <w:r w:rsidRPr="00513593">
        <w:t>En esta providencia también se hace una aclaración que resulta importante para efectos de responder la consulta: las empresas prestadoras de servicios públicos, de carácter mixto o privado, no deben ser consideradas como empresas de economía mixta. La anterior conclusión fue fundamentada sobre la idea del carácter o naturaleza especial que la Constitución le dio a las Empresas de Servicios Públicos:</w:t>
      </w:r>
    </w:p>
    <w:p w14:paraId="7A400116" w14:textId="77777777" w:rsidR="00363E4F" w:rsidRPr="00513593" w:rsidRDefault="00363E4F">
      <w:pPr>
        <w:pStyle w:val="Textoindependiente"/>
        <w:spacing w:before="3"/>
        <w:rPr>
          <w:sz w:val="25"/>
        </w:rPr>
      </w:pPr>
    </w:p>
    <w:p w14:paraId="04769C3C" w14:textId="77777777" w:rsidR="00363E4F" w:rsidRPr="00513593" w:rsidRDefault="004C7E1F">
      <w:pPr>
        <w:pStyle w:val="Textoindependiente"/>
        <w:ind w:left="460" w:right="109"/>
        <w:jc w:val="both"/>
      </w:pPr>
      <w:r w:rsidRPr="00513593">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55546B5C" w14:textId="77777777" w:rsidR="00363E4F" w:rsidRPr="00513593" w:rsidRDefault="004C7E1F">
      <w:pPr>
        <w:pStyle w:val="Textoindependiente"/>
        <w:spacing w:before="1"/>
        <w:ind w:left="460"/>
      </w:pPr>
      <w:r w:rsidRPr="00513593">
        <w:t>(…)</w:t>
      </w:r>
    </w:p>
    <w:p w14:paraId="22A77FCA" w14:textId="77777777" w:rsidR="00363E4F" w:rsidRPr="00513593" w:rsidRDefault="00363E4F">
      <w:pPr>
        <w:pStyle w:val="Textoindependiente"/>
        <w:spacing w:before="4"/>
        <w:rPr>
          <w:sz w:val="28"/>
        </w:rPr>
      </w:pPr>
    </w:p>
    <w:p w14:paraId="0EDE3A48" w14:textId="36A048A1" w:rsidR="00363E4F" w:rsidRPr="00513593" w:rsidRDefault="004C7E1F">
      <w:pPr>
        <w:pStyle w:val="Textoindependiente"/>
        <w:spacing w:before="1"/>
        <w:ind w:left="460" w:right="106"/>
        <w:jc w:val="both"/>
      </w:pPr>
      <w:r w:rsidRPr="00513593">
        <w:t xml:space="preserve">Al parecer de la Corte, la interpretación según la cual las empresas de servicios públicos son sociedades de economía mixta resulta contraria a la Constitución. Ciertamente, </w:t>
      </w:r>
      <w:r w:rsidRPr="00513593">
        <w:lastRenderedPageBreak/>
        <w:t>según se dijo arriba, del artículo 365 superior se desprende que el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comerciales e industriales de Estado y las sociedades de economía</w:t>
      </w:r>
      <w:r w:rsidRPr="00513593">
        <w:rPr>
          <w:spacing w:val="-20"/>
        </w:rPr>
        <w:t xml:space="preserve"> </w:t>
      </w:r>
      <w:r w:rsidRPr="00513593">
        <w:t>mixta</w:t>
      </w:r>
      <w:r w:rsidR="00220C7B">
        <w:rPr>
          <w:rStyle w:val="Refdenotaalpie"/>
        </w:rPr>
        <w:footnoteReference w:id="15"/>
      </w:r>
      <w:r w:rsidRPr="00513593">
        <w:t>.</w:t>
      </w:r>
    </w:p>
    <w:p w14:paraId="7E6EA415" w14:textId="77777777" w:rsidR="00363E4F" w:rsidRPr="00513593" w:rsidRDefault="00363E4F">
      <w:pPr>
        <w:pStyle w:val="Textoindependiente"/>
        <w:spacing w:before="3"/>
        <w:rPr>
          <w:sz w:val="25"/>
        </w:rPr>
      </w:pPr>
    </w:p>
    <w:p w14:paraId="0A6221CC" w14:textId="1E239F24" w:rsidR="00363E4F" w:rsidRPr="00513593" w:rsidRDefault="004C7E1F" w:rsidP="00220C7B">
      <w:pPr>
        <w:pStyle w:val="Textoindependiente"/>
        <w:spacing w:line="276" w:lineRule="auto"/>
        <w:ind w:left="100" w:right="107"/>
        <w:jc w:val="both"/>
      </w:pPr>
      <w:r w:rsidRPr="00513593">
        <w:t>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w:t>
      </w:r>
      <w:r w:rsidR="00220C7B">
        <w:t xml:space="preserve"> </w:t>
      </w:r>
      <w:r w:rsidRPr="00513593">
        <w:t>clasificación propia dependiendo de la composición de su capital accionario: empresas de servicios públicos oficiales, mixtas y privadas. Ahora, sin importar su clasificación, todas hacen parte de la Rama Ejecutiva, del sector descentralizado por servicios.</w:t>
      </w:r>
    </w:p>
    <w:p w14:paraId="71B7376B" w14:textId="77777777" w:rsidR="00363E4F" w:rsidRPr="00513593" w:rsidRDefault="00363E4F">
      <w:pPr>
        <w:pStyle w:val="Textoindependiente"/>
        <w:spacing w:before="4"/>
        <w:rPr>
          <w:sz w:val="25"/>
        </w:rPr>
      </w:pPr>
    </w:p>
    <w:p w14:paraId="1CD5F970" w14:textId="77777777" w:rsidR="00363E4F" w:rsidRPr="00513593" w:rsidRDefault="004C7E1F">
      <w:pPr>
        <w:pStyle w:val="Textoindependiente"/>
        <w:spacing w:before="1" w:line="276" w:lineRule="auto"/>
        <w:ind w:left="100" w:right="112"/>
        <w:jc w:val="both"/>
      </w:pPr>
      <w:r w:rsidRPr="00513593">
        <w:t>Así las cosas, los gerentes o directores de las Empresas de Servicios Públicos, oficiales, mixtas o privadas con participación pública, del orden municipal, departamental o distrital, son destinatarios de la prohibición contenida en el parágrafo del artículo 38 de la Ley 996 de 2005, es decir, dentro de los cuatro (4) meses anteriores a las elecciones no pueden celebrar convenios interadministrativos para la ejecución de recursos públicos.</w:t>
      </w:r>
    </w:p>
    <w:p w14:paraId="57CEF103" w14:textId="77777777" w:rsidR="00363E4F" w:rsidRPr="00513593" w:rsidRDefault="00363E4F">
      <w:pPr>
        <w:pStyle w:val="Textoindependiente"/>
        <w:spacing w:before="3"/>
        <w:rPr>
          <w:sz w:val="25"/>
        </w:rPr>
      </w:pPr>
    </w:p>
    <w:p w14:paraId="3900EA30" w14:textId="04B18F01" w:rsidR="004A2D00" w:rsidRPr="00513593" w:rsidRDefault="004C7E1F" w:rsidP="004A2D00">
      <w:pPr>
        <w:pStyle w:val="Textoindependiente"/>
        <w:spacing w:line="276" w:lineRule="auto"/>
        <w:ind w:left="100" w:right="106"/>
        <w:jc w:val="both"/>
      </w:pPr>
      <w:r w:rsidRPr="00513593">
        <w:t>La Sala de Consulta y Servicio Civil del Consejo de Estado, a propósito de la aplicación de la Ley 996 de 2005 para elecciones presidenciales, resolvió una consulta similar a la aquí estudiada, y señaló que las restricciones del artículo 33</w:t>
      </w:r>
      <w:r w:rsidR="00FD429C">
        <w:rPr>
          <w:rStyle w:val="Refdenotaalpie"/>
        </w:rPr>
        <w:footnoteReference w:id="16"/>
      </w:r>
      <w:r w:rsidRPr="00513593">
        <w:t xml:space="preserve"> de la Ley de Garantías aplicaban también a las empresas de servicios públicos, pues la norma habló de “todos los entes del Estado”:</w:t>
      </w:r>
    </w:p>
    <w:p w14:paraId="73251511" w14:textId="77777777" w:rsidR="00363E4F" w:rsidRPr="00513593" w:rsidRDefault="00363E4F">
      <w:pPr>
        <w:pStyle w:val="Textoindependiente"/>
        <w:spacing w:before="3"/>
        <w:rPr>
          <w:sz w:val="25"/>
        </w:rPr>
      </w:pPr>
    </w:p>
    <w:p w14:paraId="70A62103" w14:textId="77777777" w:rsidR="00363E4F" w:rsidRPr="00513593" w:rsidRDefault="004C7E1F">
      <w:pPr>
        <w:ind w:left="805" w:right="110"/>
        <w:jc w:val="both"/>
      </w:pPr>
      <w:r w:rsidRPr="00513593">
        <w:t xml:space="preserve">En la solicitud de consulta, el Sr. Director Nacional de Planeación plantea la posibilidad de que la  expresión  que  se  analiza  sea  entendida  como  sinónima de rama ejecutiva en los términos del artículo 38 de la ley 489 de 1998, por lo que, de aceptarse esta interpretación, </w:t>
      </w:r>
      <w:r w:rsidRPr="00513593">
        <w:rPr>
          <w:i/>
        </w:rPr>
        <w:t>en la prohibición no encajarían las empresas mixtas de servicios públicos</w:t>
      </w:r>
      <w:r w:rsidRPr="00513593">
        <w:rPr>
          <w:i/>
          <w:spacing w:val="-3"/>
        </w:rPr>
        <w:t xml:space="preserve"> </w:t>
      </w:r>
      <w:r w:rsidRPr="00513593">
        <w:rPr>
          <w:i/>
        </w:rPr>
        <w:t>domiciliarios</w:t>
      </w:r>
      <w:r w:rsidRPr="00513593">
        <w:t>.</w:t>
      </w:r>
    </w:p>
    <w:p w14:paraId="304D6966" w14:textId="77777777" w:rsidR="00363E4F" w:rsidRPr="00513593" w:rsidRDefault="00363E4F">
      <w:pPr>
        <w:pStyle w:val="Textoindependiente"/>
      </w:pPr>
    </w:p>
    <w:p w14:paraId="3275FB3B" w14:textId="51B71757" w:rsidR="00363E4F" w:rsidRPr="00513593" w:rsidRDefault="004C7E1F" w:rsidP="00FD429C">
      <w:pPr>
        <w:ind w:left="808" w:right="103"/>
        <w:jc w:val="both"/>
        <w:rPr>
          <w:sz w:val="20"/>
        </w:rPr>
      </w:pPr>
      <w:r w:rsidRPr="00513593">
        <w:t xml:space="preserve">Reitera la Sala que la locución en comento, debe entenderse dentro del contexto de la ley de garantías y de la especial finalidad que ella busca, la igualdad electoral entre candidatos a la Presidencia, de suerte que si el legislador no utilizó la expresión "rama ejecutiva" en el artículo 33 de esta ley, como sí lo hizo en la prohibición del artículo 32, y enunció como obligados por la prohibición a todos los entes del Estado, es claro </w:t>
      </w:r>
      <w:r w:rsidRPr="00513593">
        <w:lastRenderedPageBreak/>
        <w:t xml:space="preserve">que no fue su intención excepcionar aquellas que no encajaran dentro de la noción de rama ejecutiva, desarrollada por </w:t>
      </w:r>
      <w:r w:rsidRPr="00513593">
        <w:rPr>
          <w:spacing w:val="2"/>
        </w:rPr>
        <w:t xml:space="preserve">el </w:t>
      </w:r>
      <w:r w:rsidRPr="00513593">
        <w:t xml:space="preserve">artículo 38 de la ley 489 de 1998. </w:t>
      </w:r>
      <w:r w:rsidRPr="00513593">
        <w:rPr>
          <w:i/>
        </w:rPr>
        <w:t>La frase que se interpreta coincide con la definición legal de "administración pública" del artículo 39 de la misma ley 489, según la cual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r w:rsidRPr="00513593">
        <w:t>”</w:t>
      </w:r>
      <w:r w:rsidR="00FD429C">
        <w:rPr>
          <w:rStyle w:val="Refdenotaalpie"/>
        </w:rPr>
        <w:footnoteReference w:id="17"/>
      </w:r>
      <w:r w:rsidRPr="00513593">
        <w:t>. (Cursivas fuera de</w:t>
      </w:r>
      <w:r w:rsidRPr="00513593">
        <w:rPr>
          <w:spacing w:val="-3"/>
        </w:rPr>
        <w:t xml:space="preserve"> </w:t>
      </w:r>
      <w:r w:rsidRPr="00513593">
        <w:t>texto).</w:t>
      </w:r>
      <w:r w:rsidR="00FD429C">
        <w:t xml:space="preserve"> </w:t>
      </w:r>
    </w:p>
    <w:p w14:paraId="7333C466" w14:textId="77777777" w:rsidR="00363E4F" w:rsidRPr="00513593" w:rsidRDefault="00363E4F">
      <w:pPr>
        <w:pStyle w:val="Textoindependiente"/>
        <w:spacing w:before="11"/>
        <w:rPr>
          <w:sz w:val="21"/>
        </w:rPr>
      </w:pPr>
    </w:p>
    <w:p w14:paraId="24025F36" w14:textId="77777777" w:rsidR="00363E4F" w:rsidRPr="00513593" w:rsidRDefault="004C7E1F">
      <w:pPr>
        <w:pStyle w:val="Textoindependiente"/>
        <w:spacing w:before="93" w:line="276" w:lineRule="auto"/>
        <w:ind w:left="100" w:right="103"/>
        <w:jc w:val="both"/>
      </w:pPr>
      <w:r w:rsidRPr="00513593">
        <w:t>Este concepto viene a complementarse con lo que posteriormente decidiría la Corte Constitucional en la sentencia C-736 de 2007, según la cual las empresas de servicios públicos mixtas y privadas también hacen parte de la Rama Ejecutiva y, además, son entidades descentralizadas por servicios, realidad ante la cual resulta imperativo concluir que a los gerentes de estas entidades descentralizadas por servicios les son aplicables las restricciones de la Ley de Garantías Electorales.</w:t>
      </w:r>
    </w:p>
    <w:p w14:paraId="0A0B72A9" w14:textId="77777777" w:rsidR="00363E4F" w:rsidRPr="00513593" w:rsidRDefault="00363E4F">
      <w:pPr>
        <w:pStyle w:val="Textoindependiente"/>
        <w:spacing w:before="1"/>
        <w:rPr>
          <w:sz w:val="25"/>
        </w:rPr>
      </w:pPr>
    </w:p>
    <w:p w14:paraId="743A8147" w14:textId="77777777" w:rsidR="00363E4F" w:rsidRPr="00513593" w:rsidRDefault="004C7E1F">
      <w:pPr>
        <w:pStyle w:val="Textoindependiente"/>
        <w:spacing w:line="276" w:lineRule="auto"/>
        <w:ind w:left="100" w:right="110"/>
        <w:jc w:val="both"/>
      </w:pPr>
      <w:r w:rsidRPr="00513593">
        <w:t>Particularmente, para el caso de las elecciones locales, las empresas de servicios públicos del orden municipal o departamental, con independencia del régimen jurídico que les sea aplicable, deben atender las restricciones del parágrafo del artículo 38 de la Ley 996 de 2005, es decir, no pueden celebrar convenios interadministrativos dentro del período de cuatro (4) meses anteriores a la elección.</w:t>
      </w:r>
    </w:p>
    <w:p w14:paraId="24A96519" w14:textId="77777777" w:rsidR="00363E4F" w:rsidRPr="00513593" w:rsidRDefault="00363E4F">
      <w:pPr>
        <w:pStyle w:val="Textoindependiente"/>
        <w:spacing w:before="6"/>
        <w:rPr>
          <w:sz w:val="25"/>
        </w:rPr>
      </w:pPr>
    </w:p>
    <w:p w14:paraId="1198243C" w14:textId="77777777" w:rsidR="00363E4F" w:rsidRPr="00513593" w:rsidRDefault="004C7E1F">
      <w:pPr>
        <w:pStyle w:val="Ttulo1"/>
        <w:numPr>
          <w:ilvl w:val="0"/>
          <w:numId w:val="2"/>
        </w:numPr>
        <w:tabs>
          <w:tab w:val="left" w:pos="344"/>
        </w:tabs>
        <w:ind w:hanging="244"/>
      </w:pPr>
      <w:r w:rsidRPr="00513593">
        <w:t>Respuesta</w:t>
      </w:r>
    </w:p>
    <w:p w14:paraId="14B2D576" w14:textId="77777777" w:rsidR="00363E4F" w:rsidRPr="00513593" w:rsidRDefault="00363E4F">
      <w:pPr>
        <w:pStyle w:val="Textoindependiente"/>
        <w:spacing w:before="2"/>
        <w:rPr>
          <w:b/>
          <w:sz w:val="25"/>
        </w:rPr>
      </w:pPr>
    </w:p>
    <w:p w14:paraId="2BB3C42B" w14:textId="77777777" w:rsidR="00363E4F" w:rsidRPr="00513593" w:rsidRDefault="004C7E1F">
      <w:pPr>
        <w:pStyle w:val="Textoindependiente"/>
        <w:ind w:left="460" w:right="112"/>
        <w:jc w:val="both"/>
      </w:pPr>
      <w:r w:rsidRPr="00513593">
        <w:t>¿Las Empresas prestadoras de servicios públicos domiciliarios, cuya naturaleza es economía mixta, se encuentran inmersas dentro del marco normativo de la ley de garantías?</w:t>
      </w:r>
    </w:p>
    <w:p w14:paraId="2A797738" w14:textId="77777777" w:rsidR="004A2D00" w:rsidRPr="00513593" w:rsidRDefault="004A2D00">
      <w:pPr>
        <w:pStyle w:val="Textoindependiente"/>
        <w:ind w:left="460" w:right="112"/>
        <w:jc w:val="both"/>
      </w:pPr>
    </w:p>
    <w:p w14:paraId="10DF71C5" w14:textId="77777777" w:rsidR="00363E4F" w:rsidRPr="00513593" w:rsidRDefault="00363E4F">
      <w:pPr>
        <w:pStyle w:val="Textoindependiente"/>
        <w:spacing w:before="4"/>
        <w:rPr>
          <w:sz w:val="25"/>
        </w:rPr>
      </w:pPr>
    </w:p>
    <w:p w14:paraId="671C3E8C" w14:textId="77777777" w:rsidR="00363E4F" w:rsidRPr="00513593" w:rsidRDefault="004C7E1F">
      <w:pPr>
        <w:pStyle w:val="Textoindependiente"/>
        <w:spacing w:line="276" w:lineRule="auto"/>
        <w:ind w:left="100" w:right="104"/>
        <w:jc w:val="both"/>
      </w:pPr>
      <w:r w:rsidRPr="00513593">
        <w:t>Las Empresas de Servicios Públicos Domiciliarios no son sociedades de economía mixta, en los términos de la sentencia C-736 de 2007 de la Corte Constitucional. La naturaleza jurídica de estas empresas es especial y su clasificación, según su composición accionaria, es la contenida en el artículo 14 de la Ley 142 de 1994, esto es, empresas oficiales -capital público del 100%-, mixtas -capital público superior al 50%- y privadas -capital público inferior al 50%-. Estas empresas, por ser parte de la Rama Ejecutiva del sector descentralizado por servicios, cuando sean del orden municipal o departamental, deben observar tanto lo dispuesto en el artículo 33 como en el parágrafo del artículo 38 de la Ley 996 de 2005.</w:t>
      </w:r>
    </w:p>
    <w:p w14:paraId="10714D73" w14:textId="77777777" w:rsidR="00363E4F" w:rsidRPr="00513593" w:rsidRDefault="00363E4F">
      <w:pPr>
        <w:pStyle w:val="Textoindependiente"/>
        <w:spacing w:before="1"/>
      </w:pPr>
    </w:p>
    <w:p w14:paraId="65B4DD89" w14:textId="77777777" w:rsidR="00363E4F" w:rsidRPr="00513593" w:rsidRDefault="004C7E1F">
      <w:pPr>
        <w:pStyle w:val="Textoindependiente"/>
        <w:spacing w:before="1"/>
        <w:ind w:left="808" w:right="110"/>
        <w:jc w:val="both"/>
      </w:pPr>
      <w:r w:rsidRPr="00513593">
        <w:t xml:space="preserve">¿Durante el período de ley de garantías (elecciones locales) pueden las empresas de servicios públicos celebrar contratos de obra de reposición de redes de </w:t>
      </w:r>
      <w:r w:rsidRPr="00513593">
        <w:lastRenderedPageBreak/>
        <w:t>alcantarillado, adiciones a los contratos, modificaciones u otro sí en tiempo o dinero?</w:t>
      </w:r>
    </w:p>
    <w:p w14:paraId="66A3C9C7" w14:textId="77777777" w:rsidR="00363E4F" w:rsidRPr="00513593" w:rsidRDefault="00363E4F">
      <w:pPr>
        <w:pStyle w:val="Textoindependiente"/>
        <w:spacing w:before="3"/>
        <w:rPr>
          <w:sz w:val="25"/>
        </w:rPr>
      </w:pPr>
    </w:p>
    <w:p w14:paraId="3480BE8C" w14:textId="77777777" w:rsidR="00363E4F" w:rsidRPr="00513593" w:rsidRDefault="004C7E1F">
      <w:pPr>
        <w:pStyle w:val="Textoindependiente"/>
        <w:spacing w:line="276" w:lineRule="auto"/>
        <w:ind w:left="100" w:right="104"/>
        <w:jc w:val="both"/>
      </w:pPr>
      <w:r w:rsidRPr="00513593">
        <w:t>Durante el período comprendido entre el 27 de junio y 27 de octubre de 2019, la única restricción en materia de contratación para las empresas de servicios públicos es la celebración de contratos o convenios interadministrativos.</w:t>
      </w:r>
    </w:p>
    <w:p w14:paraId="4A1ABFE0" w14:textId="77777777" w:rsidR="00363E4F" w:rsidRPr="00513593" w:rsidRDefault="00363E4F">
      <w:pPr>
        <w:pStyle w:val="Textoindependiente"/>
        <w:spacing w:before="2"/>
        <w:rPr>
          <w:sz w:val="25"/>
        </w:rPr>
      </w:pPr>
    </w:p>
    <w:p w14:paraId="7F3FC4FF" w14:textId="77777777" w:rsidR="00363E4F" w:rsidRPr="00513593" w:rsidRDefault="004C7E1F">
      <w:pPr>
        <w:pStyle w:val="Textoindependiente"/>
        <w:spacing w:line="278" w:lineRule="auto"/>
        <w:ind w:left="100" w:right="110"/>
        <w:jc w:val="both"/>
      </w:pPr>
      <w:r w:rsidRPr="00513593">
        <w:t>Este concepto tiene el alcance previsto en el artículo 28 del Código de Procedimiento Administrativo y de lo Contencioso Administrativo.</w:t>
      </w:r>
    </w:p>
    <w:p w14:paraId="4C75558F" w14:textId="77777777" w:rsidR="00363E4F" w:rsidRPr="00513593" w:rsidRDefault="00363E4F">
      <w:pPr>
        <w:pStyle w:val="Textoindependiente"/>
        <w:rPr>
          <w:sz w:val="20"/>
        </w:rPr>
      </w:pPr>
    </w:p>
    <w:p w14:paraId="4C603095" w14:textId="77777777" w:rsidR="00363E4F" w:rsidRPr="00513593" w:rsidRDefault="00363E4F">
      <w:pPr>
        <w:pStyle w:val="Textoindependiente"/>
        <w:rPr>
          <w:sz w:val="20"/>
        </w:rPr>
      </w:pPr>
    </w:p>
    <w:p w14:paraId="2134919B" w14:textId="77777777" w:rsidR="00363E4F" w:rsidRPr="00513593" w:rsidRDefault="00363E4F">
      <w:pPr>
        <w:pStyle w:val="Textoindependiente"/>
        <w:rPr>
          <w:sz w:val="20"/>
        </w:rPr>
      </w:pPr>
    </w:p>
    <w:p w14:paraId="78C2BA1A" w14:textId="77777777" w:rsidR="00363E4F" w:rsidRPr="00513593" w:rsidRDefault="00363E4F">
      <w:pPr>
        <w:pStyle w:val="Textoindependiente"/>
        <w:spacing w:before="2" w:after="1"/>
        <w:rPr>
          <w:sz w:val="16"/>
        </w:rPr>
      </w:pPr>
    </w:p>
    <w:p w14:paraId="616A6CA2" w14:textId="77777777" w:rsidR="00363E4F" w:rsidRPr="00513593" w:rsidRDefault="00BE02B7">
      <w:pPr>
        <w:pStyle w:val="Textoindependiente"/>
        <w:spacing w:line="20" w:lineRule="exact"/>
        <w:ind w:left="777"/>
        <w:rPr>
          <w:sz w:val="2"/>
        </w:rPr>
      </w:pPr>
      <w:r w:rsidRPr="00513593">
        <w:rPr>
          <w:noProof/>
          <w:sz w:val="2"/>
          <w:lang w:val="es-CO" w:eastAsia="es-CO"/>
        </w:rPr>
        <mc:AlternateContent>
          <mc:Choice Requires="wpg">
            <w:drawing>
              <wp:inline distT="0" distB="0" distL="0" distR="0" wp14:anchorId="30E65787" wp14:editId="0FB8ADF0">
                <wp:extent cx="4686300" cy="9525"/>
                <wp:effectExtent l="9525"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2B6FEE9">
              <v:group id="Group 2" style="width:369pt;height:.75pt;mso-position-horizontal-relative:char;mso-position-vertical-relative:line" coordsize="7380,15" o:spid="_x0000_s1026" w14:anchorId="658E5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IpB2&#10;4vRCjh/3Mzc4V9rYByY75DZF1AJgrxTePxrrUFxCnHBCbnjbwnectwL1g0DONLLl1Dm9oevdqtVo&#10;j+HOlV/dz7d0FebOLLFpQpyvEHDD0AvqT2kYputhbzFvwx5QtcIdBA0CzmEXbtvv2+R2vVgvslE2&#10;ma9HWVKWoy+bVTaab9KbWTktV6sy/eOaTLO84ZQy4WCfbn6avW8ihjco3Nnz3T/zE/9b3RMJYE//&#10;HrRX2IkaxnIn6XGrT8rDkPoZ8Nfepw1PlHtXXts+6vKQLv8C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Nr+tdfQIAAJAFAAAO&#10;AAAAAAAAAAAAAAAAAC4CAABkcnMvZTJvRG9jLnhtbFBLAQItABQABgAIAAAAIQCUHRvX2gAAAAMB&#10;AAAPAAAAAAAAAAAAAAAAANcEAABkcnMvZG93bnJldi54bWxQSwUGAAAAAAQABADzAAAA3gUAAAAA&#10;">
                <v:line id="Line 3" style="position:absolute;visibility:visible;mso-wrap-style:square" o:spid="_x0000_s1027" strokecolor="#dbdbdb" o:connectortype="straight" from="0,8" to="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w10:anchorlock/>
              </v:group>
            </w:pict>
          </mc:Fallback>
        </mc:AlternateContent>
      </w:r>
    </w:p>
    <w:p w14:paraId="4AD65FFD" w14:textId="77777777" w:rsidR="00363E4F" w:rsidRPr="00513593" w:rsidRDefault="00363E4F">
      <w:pPr>
        <w:pStyle w:val="Textoindependiente"/>
        <w:spacing w:before="7"/>
        <w:rPr>
          <w:sz w:val="14"/>
        </w:rPr>
      </w:pPr>
    </w:p>
    <w:p w14:paraId="1D2D3E49" w14:textId="672410D0" w:rsidR="00363E4F" w:rsidRDefault="004C7E1F">
      <w:pPr>
        <w:pStyle w:val="Textoindependiente"/>
        <w:spacing w:before="93"/>
        <w:ind w:left="100"/>
      </w:pPr>
      <w:r w:rsidRPr="00513593">
        <w:t>Atentamente,</w:t>
      </w:r>
    </w:p>
    <w:p w14:paraId="6DA5F458" w14:textId="41EAED88" w:rsidR="00FD429C" w:rsidRDefault="008F691E" w:rsidP="008F691E">
      <w:pPr>
        <w:pStyle w:val="Textoindependiente"/>
        <w:spacing w:before="93"/>
        <w:ind w:left="100"/>
        <w:jc w:val="center"/>
      </w:pPr>
      <w:r>
        <w:rPr>
          <w:noProof/>
          <w:lang w:val="es-CO" w:eastAsia="es-CO"/>
        </w:rPr>
        <w:drawing>
          <wp:inline distT="0" distB="0" distL="0" distR="0" wp14:anchorId="64C7953F" wp14:editId="2395989F">
            <wp:extent cx="2773045" cy="988695"/>
            <wp:effectExtent l="0" t="0" r="0" b="0"/>
            <wp:docPr id="291679482"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CA760D5" w14:textId="77777777" w:rsidR="008F691E" w:rsidRPr="00513593" w:rsidRDefault="008F691E" w:rsidP="008F691E">
      <w:pPr>
        <w:pStyle w:val="Textoindependiente"/>
        <w:spacing w:before="93"/>
        <w:ind w:left="100"/>
        <w:jc w:val="center"/>
      </w:pPr>
    </w:p>
    <w:p w14:paraId="6BBB3409" w14:textId="77777777" w:rsidR="00363E4F" w:rsidRPr="00FD429C" w:rsidRDefault="004C7E1F">
      <w:pPr>
        <w:spacing w:before="82"/>
        <w:ind w:left="100"/>
      </w:pPr>
      <w:r w:rsidRPr="00FD429C">
        <w:t xml:space="preserve">Proyectó: </w:t>
      </w:r>
      <w:proofErr w:type="spellStart"/>
      <w:r w:rsidRPr="00FD429C">
        <w:t>Leider</w:t>
      </w:r>
      <w:proofErr w:type="spellEnd"/>
      <w:r w:rsidRPr="00FD429C">
        <w:t xml:space="preserve"> Gómez Caballero.</w:t>
      </w:r>
    </w:p>
    <w:sectPr w:rsidR="00363E4F" w:rsidRPr="00FD429C">
      <w:headerReference w:type="default" r:id="rId11"/>
      <w:footerReference w:type="default" r:id="rId12"/>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3A516" w14:textId="77777777" w:rsidR="0069089D" w:rsidRDefault="0069089D">
      <w:r>
        <w:separator/>
      </w:r>
    </w:p>
  </w:endnote>
  <w:endnote w:type="continuationSeparator" w:id="0">
    <w:p w14:paraId="5704C68B" w14:textId="77777777" w:rsidR="0069089D" w:rsidRDefault="006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E6FC" w14:textId="77777777" w:rsidR="00363E4F" w:rsidRDefault="004C7E1F">
    <w:pPr>
      <w:pStyle w:val="Textoindependiente"/>
      <w:spacing w:line="14" w:lineRule="auto"/>
      <w:rPr>
        <w:sz w:val="20"/>
      </w:rPr>
    </w:pPr>
    <w:r>
      <w:rPr>
        <w:noProof/>
        <w:lang w:val="es-CO" w:eastAsia="es-CO"/>
      </w:rPr>
      <w:drawing>
        <wp:anchor distT="0" distB="0" distL="0" distR="0" simplePos="0" relativeHeight="487429632" behindDoc="1" locked="0" layoutInCell="1" allowOverlap="1" wp14:anchorId="1FBFB568" wp14:editId="4CD90242">
          <wp:simplePos x="0" y="0"/>
          <wp:positionH relativeFrom="margin">
            <wp:align>center</wp:align>
          </wp:positionH>
          <wp:positionV relativeFrom="page">
            <wp:posOffset>8934561</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9302C" w14:textId="77777777" w:rsidR="0069089D" w:rsidRDefault="0069089D">
      <w:r>
        <w:separator/>
      </w:r>
    </w:p>
  </w:footnote>
  <w:footnote w:type="continuationSeparator" w:id="0">
    <w:p w14:paraId="567939A0" w14:textId="77777777" w:rsidR="0069089D" w:rsidRDefault="0069089D">
      <w:r>
        <w:continuationSeparator/>
      </w:r>
    </w:p>
  </w:footnote>
  <w:footnote w:id="1">
    <w:p w14:paraId="7B0DED41" w14:textId="2AE22766" w:rsidR="001007CA" w:rsidRPr="001007CA" w:rsidRDefault="001007CA" w:rsidP="004A6D51">
      <w:pPr>
        <w:pStyle w:val="Textonotapie"/>
        <w:ind w:left="102" w:firstLine="720"/>
        <w:jc w:val="both"/>
        <w:rPr>
          <w:lang w:val="es-CO"/>
        </w:rPr>
      </w:pPr>
      <w:r>
        <w:rPr>
          <w:rStyle w:val="Refdenotaalpie"/>
        </w:rPr>
        <w:footnoteRef/>
      </w:r>
      <w:r>
        <w:t xml:space="preserve"> </w:t>
      </w:r>
      <w:r w:rsidRPr="00513593">
        <w:rPr>
          <w:sz w:val="18"/>
        </w:rPr>
        <w:t>Corte Constitucional. Sentencia C-1153 de 2005. M.P. Marco Gerardo Monroy</w:t>
      </w:r>
      <w:r w:rsidRPr="00513593">
        <w:rPr>
          <w:spacing w:val="-16"/>
          <w:sz w:val="18"/>
        </w:rPr>
        <w:t xml:space="preserve"> </w:t>
      </w:r>
      <w:r w:rsidRPr="00513593">
        <w:rPr>
          <w:sz w:val="18"/>
        </w:rPr>
        <w:t>Cabra.</w:t>
      </w:r>
    </w:p>
  </w:footnote>
  <w:footnote w:id="2">
    <w:p w14:paraId="3FE0B2F3" w14:textId="77777777" w:rsidR="001007CA" w:rsidRPr="00513593" w:rsidRDefault="001007CA" w:rsidP="004A6D51">
      <w:pPr>
        <w:ind w:left="102" w:firstLine="707"/>
        <w:jc w:val="both"/>
        <w:rPr>
          <w:sz w:val="18"/>
        </w:rPr>
      </w:pPr>
      <w:r>
        <w:rPr>
          <w:rStyle w:val="Refdenotaalpie"/>
        </w:rPr>
        <w:footnoteRef/>
      </w:r>
      <w:r>
        <w:t xml:space="preserve"> </w:t>
      </w:r>
      <w:r w:rsidRPr="00513593">
        <w:rPr>
          <w:sz w:val="18"/>
        </w:rPr>
        <w:t>Consejo de Estado. Sala de Consulta y Servicio Civil. Concepto del 18 de febrero de 2010. C.P. Enrique José Arboleda Perdomo. Radicación número:</w:t>
      </w:r>
      <w:r w:rsidRPr="00513593">
        <w:rPr>
          <w:spacing w:val="-12"/>
          <w:sz w:val="18"/>
        </w:rPr>
        <w:t xml:space="preserve"> </w:t>
      </w:r>
      <w:r w:rsidRPr="00513593">
        <w:rPr>
          <w:sz w:val="18"/>
        </w:rPr>
        <w:t>11001-03-06-000-2010-00006-00(1985</w:t>
      </w:r>
      <w:proofErr w:type="gramStart"/>
      <w:r w:rsidRPr="00513593">
        <w:rPr>
          <w:sz w:val="18"/>
        </w:rPr>
        <w:t>)A</w:t>
      </w:r>
      <w:proofErr w:type="gramEnd"/>
      <w:r w:rsidRPr="00513593">
        <w:rPr>
          <w:sz w:val="18"/>
        </w:rPr>
        <w:t>.</w:t>
      </w:r>
    </w:p>
    <w:p w14:paraId="58159E8D" w14:textId="2A3DDB50" w:rsidR="001007CA" w:rsidRPr="001007CA" w:rsidRDefault="001007CA" w:rsidP="004A6D51">
      <w:pPr>
        <w:pStyle w:val="Textonotapie"/>
        <w:ind w:left="102"/>
        <w:jc w:val="both"/>
        <w:rPr>
          <w:lang w:val="es-CO"/>
        </w:rPr>
      </w:pPr>
    </w:p>
  </w:footnote>
  <w:footnote w:id="3">
    <w:p w14:paraId="652017E0" w14:textId="77777777" w:rsidR="001007CA" w:rsidRPr="00513593" w:rsidRDefault="001007CA" w:rsidP="004A6D51">
      <w:pPr>
        <w:spacing w:before="73"/>
        <w:ind w:left="102" w:right="305" w:firstLine="707"/>
        <w:jc w:val="both"/>
        <w:rPr>
          <w:sz w:val="18"/>
        </w:rPr>
      </w:pPr>
      <w:r>
        <w:rPr>
          <w:rStyle w:val="Refdenotaalpie"/>
        </w:rPr>
        <w:footnoteRef/>
      </w:r>
      <w:r>
        <w:t xml:space="preserve"> </w:t>
      </w:r>
      <w:r w:rsidRPr="00513593">
        <w:rPr>
          <w:sz w:val="18"/>
        </w:rPr>
        <w:t>Consejo de Estado. Sala de Consulta y Servicio Civil. Concepto del 17 de febrero de 2015. C.P. William Zambrano Cetina. Radicación No. 11001-03-06-000-2015-00164-00(2.269).</w:t>
      </w:r>
    </w:p>
    <w:p w14:paraId="45CCF75C" w14:textId="1B40E889" w:rsidR="001007CA" w:rsidRPr="001007CA" w:rsidRDefault="001007CA" w:rsidP="004A6D51">
      <w:pPr>
        <w:pStyle w:val="Textonotapie"/>
        <w:ind w:left="102"/>
        <w:jc w:val="both"/>
        <w:rPr>
          <w:lang w:val="es-CO"/>
        </w:rPr>
      </w:pPr>
    </w:p>
  </w:footnote>
  <w:footnote w:id="4">
    <w:p w14:paraId="28D8A485" w14:textId="3AAFDC15" w:rsidR="00220C7B" w:rsidRDefault="00220C7B" w:rsidP="004A6D51">
      <w:pPr>
        <w:pStyle w:val="Textonotapie"/>
        <w:ind w:left="102" w:firstLine="720"/>
        <w:jc w:val="both"/>
        <w:rPr>
          <w:sz w:val="18"/>
        </w:rPr>
      </w:pPr>
      <w:r>
        <w:rPr>
          <w:rStyle w:val="Refdenotaalpie"/>
        </w:rPr>
        <w:footnoteRef/>
      </w:r>
      <w:r>
        <w:t xml:space="preserve"> </w:t>
      </w:r>
      <w:r w:rsidRPr="00513593">
        <w:rPr>
          <w:sz w:val="18"/>
        </w:rPr>
        <w:t>“Artículo 32. Vinculación a la nómina estatal. Se suspenderá cualquier forma de vinculación que afecte la nómina estatal, en la Rama Ejecutiva del Poder Público, durante los cuatro (4) meses anteriores a la elección presidencial y hasta la realización de la segunda vuelta, si fuere el caso. Se exceptúan de la presente disposición, los casos a que se refiere el inciso segundo del artículo siguiente”. (Negrillas fuera de texto).</w:t>
      </w:r>
    </w:p>
    <w:p w14:paraId="079AECAC" w14:textId="77777777" w:rsidR="00220C7B" w:rsidRPr="00220C7B" w:rsidRDefault="00220C7B" w:rsidP="004A6D51">
      <w:pPr>
        <w:pStyle w:val="Textonotapie"/>
        <w:ind w:left="102" w:firstLine="720"/>
        <w:jc w:val="both"/>
        <w:rPr>
          <w:lang w:val="es-CO"/>
        </w:rPr>
      </w:pPr>
    </w:p>
  </w:footnote>
  <w:footnote w:id="5">
    <w:p w14:paraId="618ECA07" w14:textId="77777777" w:rsidR="00220C7B" w:rsidRPr="00513593" w:rsidRDefault="00220C7B" w:rsidP="004A6D51">
      <w:pPr>
        <w:ind w:left="102" w:right="103" w:firstLine="707"/>
        <w:jc w:val="both"/>
        <w:rPr>
          <w:sz w:val="18"/>
        </w:rPr>
      </w:pPr>
      <w:r>
        <w:rPr>
          <w:rStyle w:val="Refdenotaalpie"/>
        </w:rPr>
        <w:footnoteRef/>
      </w:r>
      <w:r>
        <w:t xml:space="preserve"> </w:t>
      </w:r>
      <w:r w:rsidRPr="00513593">
        <w:rPr>
          <w:sz w:val="18"/>
        </w:rPr>
        <w:t xml:space="preserve">Artículo 33. Restricciones a la contratación pública. Durante los cuatro (4) meses anteriores a la elección presidencial y hasta la realización de la elección en la segunda vuelta, </w:t>
      </w:r>
      <w:r w:rsidRPr="00513593">
        <w:rPr>
          <w:spacing w:val="2"/>
          <w:sz w:val="18"/>
        </w:rPr>
        <w:t xml:space="preserve">si </w:t>
      </w:r>
      <w:r w:rsidRPr="00513593">
        <w:rPr>
          <w:sz w:val="18"/>
        </w:rPr>
        <w:t>fuere el caso, queda prohibida la contratación directa por parte de todos los entes del Estado”. (Negrillas fuera de</w:t>
      </w:r>
      <w:r w:rsidRPr="00513593">
        <w:rPr>
          <w:spacing w:val="-35"/>
          <w:sz w:val="18"/>
        </w:rPr>
        <w:t xml:space="preserve"> </w:t>
      </w:r>
      <w:r w:rsidRPr="00513593">
        <w:rPr>
          <w:sz w:val="18"/>
        </w:rPr>
        <w:t>texto).</w:t>
      </w:r>
    </w:p>
    <w:p w14:paraId="4B98C1C1" w14:textId="3DE95006" w:rsidR="00220C7B" w:rsidRPr="00220C7B" w:rsidRDefault="00220C7B" w:rsidP="004A6D51">
      <w:pPr>
        <w:pStyle w:val="Textonotapie"/>
        <w:ind w:left="102"/>
        <w:jc w:val="both"/>
        <w:rPr>
          <w:lang w:val="es-CO"/>
        </w:rPr>
      </w:pPr>
    </w:p>
  </w:footnote>
  <w:footnote w:id="6">
    <w:p w14:paraId="44F36B89" w14:textId="26BA4553" w:rsidR="00220C7B" w:rsidRDefault="00220C7B" w:rsidP="004A6D51">
      <w:pPr>
        <w:ind w:left="102" w:right="108" w:firstLine="707"/>
        <w:jc w:val="both"/>
        <w:rPr>
          <w:sz w:val="18"/>
        </w:rPr>
      </w:pPr>
      <w:r>
        <w:rPr>
          <w:rStyle w:val="Refdenotaalpie"/>
        </w:rPr>
        <w:footnoteRef/>
      </w:r>
      <w:r>
        <w:t xml:space="preserve"> </w:t>
      </w:r>
      <w:r w:rsidRPr="00513593">
        <w:rPr>
          <w:sz w:val="18"/>
        </w:rPr>
        <w:t>Decreto 1082 de 2015, artículo 2.2.1.2.1.4: “La modalidad de selección para la contratación entre Entidades Estatales es la contratación directa; y en consecuencia, le es aplicable lo establecido en el artículo 2.2.1.2.1.4.1 del presente decreto.</w:t>
      </w:r>
    </w:p>
    <w:p w14:paraId="53023B12" w14:textId="77777777" w:rsidR="00220C7B" w:rsidRDefault="00220C7B" w:rsidP="004A6D51">
      <w:pPr>
        <w:ind w:left="102" w:right="108" w:firstLine="707"/>
        <w:jc w:val="both"/>
        <w:rPr>
          <w:sz w:val="18"/>
        </w:rPr>
      </w:pPr>
    </w:p>
    <w:p w14:paraId="03CE91C1" w14:textId="77777777" w:rsidR="00220C7B" w:rsidRPr="00513593" w:rsidRDefault="00220C7B" w:rsidP="004A6D51">
      <w:pPr>
        <w:spacing w:before="77"/>
        <w:ind w:left="102" w:right="108"/>
        <w:jc w:val="both"/>
        <w:rPr>
          <w:sz w:val="18"/>
        </w:rPr>
      </w:pPr>
      <w:r w:rsidRPr="00513593">
        <w:rPr>
          <w:sz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7AB8F98" w14:textId="49714687" w:rsidR="00220C7B" w:rsidRPr="00220C7B" w:rsidRDefault="00220C7B" w:rsidP="004A6D51">
      <w:pPr>
        <w:pStyle w:val="Textonotapie"/>
        <w:ind w:left="102"/>
        <w:jc w:val="both"/>
        <w:rPr>
          <w:lang w:val="es-CO"/>
        </w:rPr>
      </w:pPr>
    </w:p>
  </w:footnote>
  <w:footnote w:id="7">
    <w:p w14:paraId="75CB22E7" w14:textId="77777777" w:rsidR="00220C7B" w:rsidRPr="00513593" w:rsidRDefault="00220C7B" w:rsidP="004A6D51">
      <w:pPr>
        <w:ind w:left="102"/>
        <w:jc w:val="both"/>
        <w:rPr>
          <w:sz w:val="18"/>
        </w:rPr>
      </w:pPr>
      <w:r>
        <w:rPr>
          <w:rStyle w:val="Refdenotaalpie"/>
        </w:rPr>
        <w:footnoteRef/>
      </w:r>
      <w:r>
        <w:t xml:space="preserve"> </w:t>
      </w:r>
      <w:r w:rsidRPr="00513593">
        <w:rPr>
          <w:sz w:val="18"/>
        </w:rPr>
        <w:t>Corte Constitucional. Sentencia T-442 de 2014. M.P. Gabriel Eduardo Mendoza Martelo.</w:t>
      </w:r>
    </w:p>
    <w:p w14:paraId="7903E84A" w14:textId="0D06EEAF" w:rsidR="00220C7B" w:rsidRPr="00220C7B" w:rsidRDefault="00220C7B" w:rsidP="004A6D51">
      <w:pPr>
        <w:pStyle w:val="Textonotapie"/>
        <w:ind w:left="102"/>
        <w:jc w:val="both"/>
        <w:rPr>
          <w:lang w:val="es-CO"/>
        </w:rPr>
      </w:pPr>
    </w:p>
  </w:footnote>
  <w:footnote w:id="8">
    <w:p w14:paraId="2FDAD5E9" w14:textId="77777777" w:rsidR="00220C7B" w:rsidRPr="00513593" w:rsidRDefault="00220C7B" w:rsidP="004A6D51">
      <w:pPr>
        <w:spacing w:before="73"/>
        <w:ind w:left="102" w:firstLine="707"/>
        <w:jc w:val="both"/>
        <w:rPr>
          <w:sz w:val="18"/>
        </w:rPr>
      </w:pPr>
      <w:r>
        <w:rPr>
          <w:rStyle w:val="Refdenotaalpie"/>
        </w:rPr>
        <w:footnoteRef/>
      </w:r>
      <w:r>
        <w:t xml:space="preserve"> </w:t>
      </w:r>
      <w:r w:rsidRPr="00513593">
        <w:rPr>
          <w:sz w:val="18"/>
        </w:rPr>
        <w:t>Consejo de Estado. Sección Tercera. Sentencia del 7 de octubre de 2009. C.P. Enrique Gil Botero. Rad. 2000-00754 (35476).</w:t>
      </w:r>
    </w:p>
    <w:p w14:paraId="7FFCB72E" w14:textId="794D1466" w:rsidR="00220C7B" w:rsidRPr="00220C7B" w:rsidRDefault="00220C7B" w:rsidP="004A6D51">
      <w:pPr>
        <w:pStyle w:val="Textonotapie"/>
        <w:ind w:left="102"/>
        <w:jc w:val="both"/>
        <w:rPr>
          <w:lang w:val="es-CO"/>
        </w:rPr>
      </w:pPr>
    </w:p>
  </w:footnote>
  <w:footnote w:id="9">
    <w:p w14:paraId="138E9C3F" w14:textId="77777777" w:rsidR="00220C7B" w:rsidRPr="00513593" w:rsidRDefault="00220C7B" w:rsidP="004A6D51">
      <w:pPr>
        <w:spacing w:before="1"/>
        <w:ind w:left="102"/>
        <w:jc w:val="both"/>
        <w:rPr>
          <w:sz w:val="18"/>
        </w:rPr>
      </w:pPr>
      <w:r>
        <w:rPr>
          <w:rStyle w:val="Refdenotaalpie"/>
        </w:rPr>
        <w:footnoteRef/>
      </w:r>
      <w:r>
        <w:t xml:space="preserve"> </w:t>
      </w:r>
      <w:r w:rsidRPr="00513593">
        <w:rPr>
          <w:sz w:val="18"/>
        </w:rPr>
        <w:t>Ley 1150 de 2007, artículo 2, literal 4, numeral c, modificada por el artículo 92 de la Ley 1474 de</w:t>
      </w:r>
    </w:p>
    <w:p w14:paraId="610CD2FC" w14:textId="77777777" w:rsidR="00220C7B" w:rsidRPr="00513593" w:rsidRDefault="00220C7B" w:rsidP="004A6D51">
      <w:pPr>
        <w:ind w:left="102"/>
        <w:jc w:val="both"/>
        <w:rPr>
          <w:sz w:val="18"/>
        </w:rPr>
      </w:pPr>
      <w:r w:rsidRPr="00513593">
        <w:rPr>
          <w:sz w:val="18"/>
        </w:rPr>
        <w:t>2011.</w:t>
      </w:r>
    </w:p>
    <w:p w14:paraId="610A988B" w14:textId="4406ECEE" w:rsidR="00220C7B" w:rsidRPr="00220C7B" w:rsidRDefault="00220C7B" w:rsidP="004A6D51">
      <w:pPr>
        <w:pStyle w:val="Textonotapie"/>
        <w:ind w:left="102"/>
        <w:jc w:val="both"/>
        <w:rPr>
          <w:lang w:val="es-CO"/>
        </w:rPr>
      </w:pPr>
    </w:p>
  </w:footnote>
  <w:footnote w:id="10">
    <w:p w14:paraId="5FB0E7E5" w14:textId="77777777" w:rsidR="00220C7B" w:rsidRPr="00513593" w:rsidRDefault="00220C7B" w:rsidP="004A6D51">
      <w:pPr>
        <w:ind w:left="102" w:right="105" w:firstLine="707"/>
        <w:jc w:val="both"/>
        <w:rPr>
          <w:sz w:val="18"/>
        </w:rPr>
      </w:pPr>
      <w:r>
        <w:rPr>
          <w:rStyle w:val="Refdenotaalpie"/>
        </w:rPr>
        <w:footnoteRef/>
      </w:r>
      <w:r>
        <w:t xml:space="preserve"> </w:t>
      </w:r>
      <w:r w:rsidRPr="00513593">
        <w:rPr>
          <w:sz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2EA3332" w14:textId="20BD2DB6" w:rsidR="00220C7B" w:rsidRPr="00220C7B" w:rsidRDefault="00220C7B" w:rsidP="004A6D51">
      <w:pPr>
        <w:pStyle w:val="Textonotapie"/>
        <w:ind w:left="102"/>
        <w:jc w:val="both"/>
        <w:rPr>
          <w:lang w:val="es-CO"/>
        </w:rPr>
      </w:pPr>
    </w:p>
  </w:footnote>
  <w:footnote w:id="11">
    <w:p w14:paraId="2D0EB27C" w14:textId="1CF679BF" w:rsidR="00220C7B" w:rsidRPr="00220C7B" w:rsidRDefault="00220C7B" w:rsidP="004A6D51">
      <w:pPr>
        <w:pStyle w:val="Textonotapie"/>
        <w:ind w:left="102" w:firstLine="720"/>
        <w:jc w:val="both"/>
        <w:rPr>
          <w:lang w:val="es-CO"/>
        </w:rPr>
      </w:pPr>
      <w:r>
        <w:rPr>
          <w:rStyle w:val="Refdenotaalpie"/>
        </w:rPr>
        <w:footnoteRef/>
      </w:r>
      <w:r>
        <w:t xml:space="preserve"> </w:t>
      </w:r>
      <w:r w:rsidRPr="00513593">
        <w:rPr>
          <w:sz w:val="18"/>
        </w:rPr>
        <w:t>Ley 489 de 1998: “Artículo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footnote>
  <w:footnote w:id="12">
    <w:p w14:paraId="7A72C17F" w14:textId="77777777" w:rsidR="00220C7B" w:rsidRPr="00513593" w:rsidRDefault="00220C7B" w:rsidP="004A6D51">
      <w:pPr>
        <w:ind w:left="102" w:right="305" w:firstLine="707"/>
        <w:jc w:val="both"/>
        <w:rPr>
          <w:sz w:val="18"/>
        </w:rPr>
      </w:pPr>
      <w:r>
        <w:rPr>
          <w:rStyle w:val="Refdenotaalpie"/>
        </w:rPr>
        <w:footnoteRef/>
      </w:r>
      <w:r>
        <w:t xml:space="preserve"> </w:t>
      </w:r>
      <w:r w:rsidRPr="00513593">
        <w:rPr>
          <w:sz w:val="18"/>
        </w:rPr>
        <w:t>Consejo de Estado. Sección Tercera. Sentencia del 23 de junio de 2010. C.P. Mauricio Fajardo Gómez (E) Rad. 1998-00261-01(17860).</w:t>
      </w:r>
    </w:p>
    <w:p w14:paraId="01164B8C" w14:textId="1F761A7A" w:rsidR="00220C7B" w:rsidRPr="00220C7B" w:rsidRDefault="00220C7B" w:rsidP="004A6D51">
      <w:pPr>
        <w:pStyle w:val="Textonotapie"/>
        <w:ind w:left="102"/>
        <w:jc w:val="both"/>
        <w:rPr>
          <w:lang w:val="es-CO"/>
        </w:rPr>
      </w:pPr>
    </w:p>
  </w:footnote>
  <w:footnote w:id="13">
    <w:p w14:paraId="18E76183" w14:textId="6ABC97F7" w:rsidR="00220C7B" w:rsidRPr="00513593" w:rsidRDefault="00220C7B" w:rsidP="004A6D51">
      <w:pPr>
        <w:spacing w:before="99"/>
        <w:ind w:left="102" w:right="106" w:firstLine="707"/>
        <w:jc w:val="both"/>
        <w:rPr>
          <w:sz w:val="18"/>
        </w:rPr>
      </w:pPr>
      <w:r>
        <w:rPr>
          <w:rStyle w:val="Refdenotaalpie"/>
        </w:rPr>
        <w:footnoteRef/>
      </w:r>
      <w:r>
        <w:t xml:space="preserve"> </w:t>
      </w:r>
      <w:r w:rsidRPr="00513593">
        <w:rPr>
          <w:sz w:val="18"/>
        </w:rPr>
        <w:t xml:space="preserve">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513593">
        <w:rPr>
          <w:b/>
          <w:sz w:val="18"/>
        </w:rPr>
        <w:t xml:space="preserve">las empresas oficiales de servicios públicos </w:t>
      </w:r>
      <w:r w:rsidRPr="00513593">
        <w:rPr>
          <w:sz w:val="18"/>
        </w:rPr>
        <w:t>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w:t>
      </w:r>
      <w:r w:rsidRPr="00513593">
        <w:rPr>
          <w:spacing w:val="-9"/>
          <w:sz w:val="18"/>
        </w:rPr>
        <w:t xml:space="preserve"> </w:t>
      </w:r>
      <w:r w:rsidRPr="00513593">
        <w:rPr>
          <w:sz w:val="18"/>
        </w:rPr>
        <w:t>adscritas”.</w:t>
      </w:r>
    </w:p>
    <w:p w14:paraId="724604DD" w14:textId="7F949522" w:rsidR="00220C7B" w:rsidRPr="00220C7B" w:rsidRDefault="00220C7B" w:rsidP="004A6D51">
      <w:pPr>
        <w:pStyle w:val="Textonotapie"/>
        <w:ind w:left="102"/>
        <w:jc w:val="both"/>
        <w:rPr>
          <w:lang w:val="es-CO"/>
        </w:rPr>
      </w:pPr>
    </w:p>
  </w:footnote>
  <w:footnote w:id="14">
    <w:p w14:paraId="0D8B61D0" w14:textId="288CCB31" w:rsidR="00220C7B" w:rsidRPr="00220C7B" w:rsidRDefault="00220C7B" w:rsidP="004A6D51">
      <w:pPr>
        <w:pStyle w:val="Textonotapie"/>
        <w:ind w:left="102" w:firstLine="720"/>
        <w:jc w:val="both"/>
        <w:rPr>
          <w:lang w:val="es-CO"/>
        </w:rPr>
      </w:pPr>
      <w:r>
        <w:rPr>
          <w:rStyle w:val="Refdenotaalpie"/>
        </w:rPr>
        <w:footnoteRef/>
      </w:r>
      <w:r>
        <w:t xml:space="preserve"> </w:t>
      </w:r>
      <w:r w:rsidRPr="00513593">
        <w:rPr>
          <w:sz w:val="18"/>
        </w:rPr>
        <w:t>Corte Constitucional. Sentencia C-736 de 2007. C.P. Marco Gerardo Monroy Cabra.</w:t>
      </w:r>
    </w:p>
  </w:footnote>
  <w:footnote w:id="15">
    <w:p w14:paraId="3E0F137E" w14:textId="15988E38" w:rsidR="00220C7B" w:rsidRPr="00220C7B" w:rsidRDefault="00220C7B" w:rsidP="004A6D51">
      <w:pPr>
        <w:pStyle w:val="Textonotapie"/>
        <w:ind w:left="102"/>
        <w:jc w:val="both"/>
        <w:rPr>
          <w:lang w:val="es-CO"/>
        </w:rPr>
      </w:pPr>
    </w:p>
  </w:footnote>
  <w:footnote w:id="16">
    <w:p w14:paraId="2AC7CDE4" w14:textId="5B7D96A3" w:rsidR="00FD429C" w:rsidRPr="00FD429C" w:rsidRDefault="00FD429C" w:rsidP="004A6D51">
      <w:pPr>
        <w:pStyle w:val="Textonotapie"/>
        <w:ind w:left="102" w:firstLine="720"/>
        <w:jc w:val="both"/>
        <w:rPr>
          <w:lang w:val="es-CO"/>
        </w:rPr>
      </w:pPr>
      <w:r>
        <w:rPr>
          <w:rStyle w:val="Refdenotaalpie"/>
        </w:rPr>
        <w:footnoteRef/>
      </w:r>
      <w:r>
        <w:t xml:space="preserve"> </w:t>
      </w:r>
      <w:r w:rsidRPr="00513593">
        <w:rPr>
          <w:sz w:val="18"/>
        </w:rPr>
        <w:t xml:space="preserve">Artículo </w:t>
      </w:r>
      <w:hyperlink r:id="rId1">
        <w:r w:rsidRPr="00513593">
          <w:rPr>
            <w:sz w:val="18"/>
          </w:rPr>
          <w:t>33.</w:t>
        </w:r>
      </w:hyperlink>
      <w:r w:rsidRPr="00513593">
        <w:rPr>
          <w:sz w:val="18"/>
        </w:rPr>
        <w:t xml:space="preserve"> Restricciones a la contratación pública. Durante los cuatro (4) meses anteriores a la elección presidencial y hasta la realización de la elección en la segunda vuelta, si fuere el caso, queda prohibida la contratación directa por parte de todos los entes del</w:t>
      </w:r>
      <w:r w:rsidRPr="00513593">
        <w:rPr>
          <w:spacing w:val="-14"/>
          <w:sz w:val="18"/>
        </w:rPr>
        <w:t xml:space="preserve"> </w:t>
      </w:r>
      <w:r w:rsidRPr="00513593">
        <w:rPr>
          <w:sz w:val="18"/>
        </w:rPr>
        <w:t>Estado.</w:t>
      </w:r>
    </w:p>
  </w:footnote>
  <w:footnote w:id="17">
    <w:p w14:paraId="3FF41999" w14:textId="77777777" w:rsidR="00FD429C" w:rsidRPr="00513593" w:rsidRDefault="00FD429C" w:rsidP="004A6D51">
      <w:pPr>
        <w:spacing w:line="254" w:lineRule="auto"/>
        <w:ind w:left="102" w:right="114" w:firstLine="707"/>
        <w:jc w:val="both"/>
        <w:rPr>
          <w:sz w:val="18"/>
        </w:rPr>
      </w:pPr>
      <w:r>
        <w:rPr>
          <w:rStyle w:val="Refdenotaalpie"/>
        </w:rPr>
        <w:footnoteRef/>
      </w:r>
      <w:r>
        <w:t xml:space="preserve"> </w:t>
      </w:r>
      <w:r w:rsidRPr="00513593">
        <w:rPr>
          <w:sz w:val="18"/>
        </w:rPr>
        <w:t>Consejo de Estado. Sala de Consulta y Servicio Civil. Concepto del 20 de febrero de 2006, Rad. 1727. C.P. Enrique José Arboleda Perdomo.</w:t>
      </w:r>
    </w:p>
    <w:p w14:paraId="3627CEC6" w14:textId="1286E7E3" w:rsidR="00FD429C" w:rsidRPr="00FD429C" w:rsidRDefault="00FD429C" w:rsidP="004A6D51">
      <w:pPr>
        <w:pStyle w:val="Textonotapie"/>
        <w:ind w:left="102"/>
        <w:jc w:val="both"/>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E8B59" w14:textId="77777777" w:rsidR="00363E4F" w:rsidRDefault="004C7E1F">
    <w:pPr>
      <w:pStyle w:val="Textoindependiente"/>
      <w:spacing w:line="14" w:lineRule="auto"/>
      <w:rPr>
        <w:sz w:val="20"/>
      </w:rPr>
    </w:pPr>
    <w:r>
      <w:rPr>
        <w:noProof/>
        <w:lang w:val="es-CO" w:eastAsia="es-CO"/>
      </w:rPr>
      <w:drawing>
        <wp:anchor distT="0" distB="0" distL="0" distR="0" simplePos="0" relativeHeight="487429120" behindDoc="1" locked="0" layoutInCell="1" allowOverlap="1" wp14:anchorId="27B715BE" wp14:editId="35C9F4C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177BE"/>
    <w:multiLevelType w:val="multilevel"/>
    <w:tmpl w:val="E194960C"/>
    <w:lvl w:ilvl="0">
      <w:start w:val="1"/>
      <w:numFmt w:val="decimal"/>
      <w:lvlText w:val="%1."/>
      <w:lvlJc w:val="left"/>
      <w:pPr>
        <w:ind w:left="343" w:hanging="243"/>
        <w:jc w:val="left"/>
      </w:pPr>
      <w:rPr>
        <w:rFonts w:ascii="Arial" w:eastAsia="Arial" w:hAnsi="Arial" w:cs="Arial" w:hint="default"/>
        <w:b/>
        <w:bCs/>
        <w:color w:val="auto"/>
        <w:spacing w:val="-1"/>
        <w:w w:val="100"/>
        <w:sz w:val="22"/>
        <w:szCs w:val="22"/>
        <w:lang w:val="es-ES" w:eastAsia="en-US" w:bidi="ar-SA"/>
      </w:rPr>
    </w:lvl>
    <w:lvl w:ilvl="1">
      <w:start w:val="1"/>
      <w:numFmt w:val="decimal"/>
      <w:lvlText w:val="%1.%2."/>
      <w:lvlJc w:val="left"/>
      <w:pPr>
        <w:ind w:left="525" w:hanging="425"/>
        <w:jc w:val="left"/>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477" w:hanging="425"/>
      </w:pPr>
      <w:rPr>
        <w:rFonts w:hint="default"/>
        <w:lang w:val="es-ES" w:eastAsia="en-US" w:bidi="ar-SA"/>
      </w:rPr>
    </w:lvl>
    <w:lvl w:ilvl="3">
      <w:numFmt w:val="bullet"/>
      <w:lvlText w:val="•"/>
      <w:lvlJc w:val="left"/>
      <w:pPr>
        <w:ind w:left="2435" w:hanging="425"/>
      </w:pPr>
      <w:rPr>
        <w:rFonts w:hint="default"/>
        <w:lang w:val="es-ES" w:eastAsia="en-US" w:bidi="ar-SA"/>
      </w:rPr>
    </w:lvl>
    <w:lvl w:ilvl="4">
      <w:numFmt w:val="bullet"/>
      <w:lvlText w:val="•"/>
      <w:lvlJc w:val="left"/>
      <w:pPr>
        <w:ind w:left="3393" w:hanging="425"/>
      </w:pPr>
      <w:rPr>
        <w:rFonts w:hint="default"/>
        <w:lang w:val="es-ES" w:eastAsia="en-US" w:bidi="ar-SA"/>
      </w:rPr>
    </w:lvl>
    <w:lvl w:ilvl="5">
      <w:numFmt w:val="bullet"/>
      <w:lvlText w:val="•"/>
      <w:lvlJc w:val="left"/>
      <w:pPr>
        <w:ind w:left="4351" w:hanging="425"/>
      </w:pPr>
      <w:rPr>
        <w:rFonts w:hint="default"/>
        <w:lang w:val="es-ES" w:eastAsia="en-US" w:bidi="ar-SA"/>
      </w:rPr>
    </w:lvl>
    <w:lvl w:ilvl="6">
      <w:numFmt w:val="bullet"/>
      <w:lvlText w:val="•"/>
      <w:lvlJc w:val="left"/>
      <w:pPr>
        <w:ind w:left="5308" w:hanging="425"/>
      </w:pPr>
      <w:rPr>
        <w:rFonts w:hint="default"/>
        <w:lang w:val="es-ES" w:eastAsia="en-US" w:bidi="ar-SA"/>
      </w:rPr>
    </w:lvl>
    <w:lvl w:ilvl="7">
      <w:numFmt w:val="bullet"/>
      <w:lvlText w:val="•"/>
      <w:lvlJc w:val="left"/>
      <w:pPr>
        <w:ind w:left="6266" w:hanging="425"/>
      </w:pPr>
      <w:rPr>
        <w:rFonts w:hint="default"/>
        <w:lang w:val="es-ES" w:eastAsia="en-US" w:bidi="ar-SA"/>
      </w:rPr>
    </w:lvl>
    <w:lvl w:ilvl="8">
      <w:numFmt w:val="bullet"/>
      <w:lvlText w:val="•"/>
      <w:lvlJc w:val="left"/>
      <w:pPr>
        <w:ind w:left="7224" w:hanging="425"/>
      </w:pPr>
      <w:rPr>
        <w:rFonts w:hint="default"/>
        <w:lang w:val="es-ES" w:eastAsia="en-US" w:bidi="ar-SA"/>
      </w:rPr>
    </w:lvl>
  </w:abstractNum>
  <w:abstractNum w:abstractNumId="1" w15:restartNumberingAfterBreak="0">
    <w:nsid w:val="4E014EE2"/>
    <w:multiLevelType w:val="multilevel"/>
    <w:tmpl w:val="40A09CE8"/>
    <w:lvl w:ilvl="0">
      <w:start w:val="14"/>
      <w:numFmt w:val="decimal"/>
      <w:lvlText w:val="%1"/>
      <w:lvlJc w:val="left"/>
      <w:pPr>
        <w:ind w:left="810" w:hanging="550"/>
        <w:jc w:val="left"/>
      </w:pPr>
      <w:rPr>
        <w:rFonts w:hint="default"/>
        <w:lang w:val="es-ES" w:eastAsia="en-US" w:bidi="ar-SA"/>
      </w:rPr>
    </w:lvl>
    <w:lvl w:ilvl="1">
      <w:start w:val="5"/>
      <w:numFmt w:val="decimal"/>
      <w:lvlText w:val="%1.%2."/>
      <w:lvlJc w:val="left"/>
      <w:pPr>
        <w:ind w:left="810" w:hanging="550"/>
        <w:jc w:val="left"/>
      </w:pPr>
      <w:rPr>
        <w:rFonts w:ascii="Arial" w:eastAsia="Arial" w:hAnsi="Arial" w:cs="Arial" w:hint="default"/>
        <w:color w:val="auto"/>
        <w:spacing w:val="-4"/>
        <w:w w:val="100"/>
        <w:sz w:val="22"/>
        <w:szCs w:val="22"/>
        <w:lang w:val="es-ES" w:eastAsia="en-US" w:bidi="ar-SA"/>
      </w:rPr>
    </w:lvl>
    <w:lvl w:ilvl="2">
      <w:numFmt w:val="bullet"/>
      <w:lvlText w:val="•"/>
      <w:lvlJc w:val="left"/>
      <w:pPr>
        <w:ind w:left="2484" w:hanging="550"/>
      </w:pPr>
      <w:rPr>
        <w:rFonts w:hint="default"/>
        <w:lang w:val="es-ES" w:eastAsia="en-US" w:bidi="ar-SA"/>
      </w:rPr>
    </w:lvl>
    <w:lvl w:ilvl="3">
      <w:numFmt w:val="bullet"/>
      <w:lvlText w:val="•"/>
      <w:lvlJc w:val="left"/>
      <w:pPr>
        <w:ind w:left="3316" w:hanging="550"/>
      </w:pPr>
      <w:rPr>
        <w:rFonts w:hint="default"/>
        <w:lang w:val="es-ES" w:eastAsia="en-US" w:bidi="ar-SA"/>
      </w:rPr>
    </w:lvl>
    <w:lvl w:ilvl="4">
      <w:numFmt w:val="bullet"/>
      <w:lvlText w:val="•"/>
      <w:lvlJc w:val="left"/>
      <w:pPr>
        <w:ind w:left="4148" w:hanging="550"/>
      </w:pPr>
      <w:rPr>
        <w:rFonts w:hint="default"/>
        <w:lang w:val="es-ES" w:eastAsia="en-US" w:bidi="ar-SA"/>
      </w:rPr>
    </w:lvl>
    <w:lvl w:ilvl="5">
      <w:numFmt w:val="bullet"/>
      <w:lvlText w:val="•"/>
      <w:lvlJc w:val="left"/>
      <w:pPr>
        <w:ind w:left="4980" w:hanging="550"/>
      </w:pPr>
      <w:rPr>
        <w:rFonts w:hint="default"/>
        <w:lang w:val="es-ES" w:eastAsia="en-US" w:bidi="ar-SA"/>
      </w:rPr>
    </w:lvl>
    <w:lvl w:ilvl="6">
      <w:numFmt w:val="bullet"/>
      <w:lvlText w:val="•"/>
      <w:lvlJc w:val="left"/>
      <w:pPr>
        <w:ind w:left="5812" w:hanging="550"/>
      </w:pPr>
      <w:rPr>
        <w:rFonts w:hint="default"/>
        <w:lang w:val="es-ES" w:eastAsia="en-US" w:bidi="ar-SA"/>
      </w:rPr>
    </w:lvl>
    <w:lvl w:ilvl="7">
      <w:numFmt w:val="bullet"/>
      <w:lvlText w:val="•"/>
      <w:lvlJc w:val="left"/>
      <w:pPr>
        <w:ind w:left="6644" w:hanging="550"/>
      </w:pPr>
      <w:rPr>
        <w:rFonts w:hint="default"/>
        <w:lang w:val="es-ES" w:eastAsia="en-US" w:bidi="ar-SA"/>
      </w:rPr>
    </w:lvl>
    <w:lvl w:ilvl="8">
      <w:numFmt w:val="bullet"/>
      <w:lvlText w:val="•"/>
      <w:lvlJc w:val="left"/>
      <w:pPr>
        <w:ind w:left="7476" w:hanging="55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4F"/>
    <w:rsid w:val="001007CA"/>
    <w:rsid w:val="00220C7B"/>
    <w:rsid w:val="002A3D17"/>
    <w:rsid w:val="00363E4F"/>
    <w:rsid w:val="004A2D00"/>
    <w:rsid w:val="004A6D51"/>
    <w:rsid w:val="004C7E1F"/>
    <w:rsid w:val="00513593"/>
    <w:rsid w:val="006475D7"/>
    <w:rsid w:val="0069089D"/>
    <w:rsid w:val="008342E3"/>
    <w:rsid w:val="008F691E"/>
    <w:rsid w:val="00BE02B7"/>
    <w:rsid w:val="00D52EC0"/>
    <w:rsid w:val="00FD429C"/>
    <w:rsid w:val="07EBEC5D"/>
    <w:rsid w:val="0875CD15"/>
    <w:rsid w:val="2310AB66"/>
    <w:rsid w:val="314DE88F"/>
    <w:rsid w:val="3B1C9C9A"/>
    <w:rsid w:val="488F4118"/>
    <w:rsid w:val="4D2CA2B4"/>
    <w:rsid w:val="609A5736"/>
    <w:rsid w:val="6A4E892E"/>
    <w:rsid w:val="6BDB9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D76C"/>
  <w15:docId w15:val="{80B2DD9F-B02A-46EF-91B2-881909EF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43"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42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007CA"/>
    <w:rPr>
      <w:sz w:val="20"/>
      <w:szCs w:val="20"/>
    </w:rPr>
  </w:style>
  <w:style w:type="character" w:customStyle="1" w:styleId="TextonotapieCar">
    <w:name w:val="Texto nota pie Car"/>
    <w:basedOn w:val="Fuentedeprrafopredeter"/>
    <w:link w:val="Textonotapie"/>
    <w:uiPriority w:val="99"/>
    <w:semiHidden/>
    <w:rsid w:val="001007C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007CA"/>
    <w:rPr>
      <w:vertAlign w:val="superscript"/>
    </w:rPr>
  </w:style>
  <w:style w:type="paragraph" w:styleId="Encabezado">
    <w:name w:val="header"/>
    <w:basedOn w:val="Normal"/>
    <w:link w:val="EncabezadoCar"/>
    <w:uiPriority w:val="99"/>
    <w:unhideWhenUsed/>
    <w:rsid w:val="00220C7B"/>
    <w:pPr>
      <w:tabs>
        <w:tab w:val="center" w:pos="4419"/>
        <w:tab w:val="right" w:pos="8838"/>
      </w:tabs>
    </w:pPr>
  </w:style>
  <w:style w:type="character" w:customStyle="1" w:styleId="EncabezadoCar">
    <w:name w:val="Encabezado Car"/>
    <w:basedOn w:val="Fuentedeprrafopredeter"/>
    <w:link w:val="Encabezado"/>
    <w:uiPriority w:val="99"/>
    <w:rsid w:val="00220C7B"/>
    <w:rPr>
      <w:rFonts w:ascii="Arial" w:eastAsia="Arial" w:hAnsi="Arial" w:cs="Arial"/>
      <w:lang w:val="es-ES"/>
    </w:rPr>
  </w:style>
  <w:style w:type="paragraph" w:styleId="Piedepgina">
    <w:name w:val="footer"/>
    <w:basedOn w:val="Normal"/>
    <w:link w:val="PiedepginaCar"/>
    <w:uiPriority w:val="99"/>
    <w:unhideWhenUsed/>
    <w:rsid w:val="00220C7B"/>
    <w:pPr>
      <w:tabs>
        <w:tab w:val="center" w:pos="4419"/>
        <w:tab w:val="right" w:pos="8838"/>
      </w:tabs>
    </w:pPr>
  </w:style>
  <w:style w:type="character" w:customStyle="1" w:styleId="PiedepginaCar">
    <w:name w:val="Pie de página Car"/>
    <w:basedOn w:val="Fuentedeprrafopredeter"/>
    <w:link w:val="Piedepgina"/>
    <w:uiPriority w:val="99"/>
    <w:rsid w:val="00220C7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8232&amp;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0750F-04FB-4B63-AC9D-4843957070E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409B0FF-B76B-4D82-A461-2DE34ECEA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16810-1092-4F48-ADAA-CC1DF7B45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4568</Words>
  <Characters>25125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Maryluz Barragán González</cp:lastModifiedBy>
  <cp:revision>2</cp:revision>
  <dcterms:created xsi:type="dcterms:W3CDTF">2020-07-30T21:33:00Z</dcterms:created>
  <dcterms:modified xsi:type="dcterms:W3CDTF">2020-07-30T21:33:00Z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