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3B" w:rsidRPr="008601C2" w:rsidRDefault="008601C2" w:rsidP="00CE4D3B">
      <w:pPr>
        <w:spacing w:before="215"/>
        <w:ind w:left="300"/>
        <w:jc w:val="both"/>
        <w:rPr>
          <w:b/>
        </w:rPr>
      </w:pPr>
      <w:r>
        <w:rPr>
          <w:b/>
        </w:rPr>
        <w:t>RECURSOS PÚ</w:t>
      </w:r>
      <w:r w:rsidR="00CE4D3B" w:rsidRPr="008601C2">
        <w:rPr>
          <w:b/>
        </w:rPr>
        <w:t>BLICOS – Definición</w:t>
      </w:r>
    </w:p>
    <w:p w:rsidR="00FF768E" w:rsidRPr="008601C2" w:rsidRDefault="00CE4D3B" w:rsidP="00CE4D3B">
      <w:pPr>
        <w:spacing w:before="215"/>
        <w:ind w:left="300"/>
        <w:jc w:val="both"/>
        <w:rPr>
          <w:sz w:val="20"/>
          <w:szCs w:val="20"/>
        </w:rPr>
      </w:pPr>
      <w:r w:rsidRPr="008601C2">
        <w:rPr>
          <w:sz w:val="20"/>
          <w:szCs w:val="20"/>
        </w:rPr>
        <w:t>En el ordenamiento jurídico no hay norma que defina el alcance de la expresión “recursos públicos”, es decir, no es posible determinar si se refiere exclusivamente a la ejecución de recursos públicos en dinero o también se refiere a la entrega de bienes muebles o inmuebles que se encuentran en cabeza de</w:t>
      </w:r>
      <w:r w:rsidR="00FF768E" w:rsidRPr="008601C2">
        <w:rPr>
          <w:sz w:val="20"/>
          <w:szCs w:val="20"/>
        </w:rPr>
        <w:t xml:space="preserve">l Estado a título gratuito. </w:t>
      </w:r>
    </w:p>
    <w:p w:rsidR="00CE4D3B" w:rsidRPr="008601C2" w:rsidRDefault="00FF768E" w:rsidP="00CE4D3B">
      <w:pPr>
        <w:spacing w:before="215"/>
        <w:ind w:left="300"/>
        <w:jc w:val="both"/>
        <w:rPr>
          <w:sz w:val="20"/>
          <w:szCs w:val="20"/>
        </w:rPr>
      </w:pPr>
      <w:r w:rsidRPr="008601C2">
        <w:rPr>
          <w:sz w:val="20"/>
          <w:szCs w:val="20"/>
        </w:rPr>
        <w:t>E</w:t>
      </w:r>
      <w:r w:rsidR="00CE4D3B" w:rsidRPr="008601C2">
        <w:rPr>
          <w:sz w:val="20"/>
          <w:szCs w:val="20"/>
        </w:rPr>
        <w:t>l término “ejecución de recursos públicos” incluye no sólo la entrega de recursos que hacen parte del ciclo presupuestal de la entidad, sino también la entrega de bienes de dominio público</w:t>
      </w:r>
    </w:p>
    <w:p w:rsidR="00CE4D3B" w:rsidRPr="008601C2" w:rsidRDefault="008601C2" w:rsidP="00CE4D3B">
      <w:pPr>
        <w:spacing w:before="215"/>
        <w:ind w:left="300"/>
        <w:jc w:val="both"/>
        <w:rPr>
          <w:b/>
        </w:rPr>
      </w:pPr>
      <w:r>
        <w:rPr>
          <w:b/>
        </w:rPr>
        <w:t>BIENES DE DOMINIO PÚ</w:t>
      </w:r>
      <w:r w:rsidR="00CE4D3B" w:rsidRPr="008601C2">
        <w:rPr>
          <w:b/>
        </w:rPr>
        <w:t xml:space="preserve">BLICO – Definición – Clasificación </w:t>
      </w:r>
    </w:p>
    <w:p w:rsidR="00CE4D3B" w:rsidRPr="008601C2" w:rsidRDefault="00CE4D3B" w:rsidP="00CE4D3B">
      <w:pPr>
        <w:spacing w:before="215"/>
        <w:ind w:left="300"/>
        <w:jc w:val="both"/>
        <w:rPr>
          <w:sz w:val="20"/>
          <w:szCs w:val="20"/>
        </w:rPr>
      </w:pPr>
      <w:r w:rsidRPr="008601C2">
        <w:rPr>
          <w:sz w:val="20"/>
          <w:szCs w:val="20"/>
        </w:rPr>
        <w:t>De acuerdo con la Corte Constitucional, en la sentencia C- 183 de 2003, Magistrado Ponente: Alberto Beltrán Sierra, son “el conjunto de bienes que la administración afecta al uso directo de la comunidad o que lo utiliza para servir a la sociedad”. Dentro de esta categoría se encuentran los bienes fiscales y los bienes de uso público.</w:t>
      </w:r>
    </w:p>
    <w:p w:rsidR="00CE4D3B" w:rsidRPr="008601C2" w:rsidRDefault="008601C2" w:rsidP="00CE4D3B">
      <w:pPr>
        <w:spacing w:before="215"/>
        <w:ind w:left="300"/>
        <w:jc w:val="both"/>
        <w:rPr>
          <w:b/>
        </w:rPr>
      </w:pPr>
      <w:r>
        <w:rPr>
          <w:b/>
        </w:rPr>
        <w:t>BIENES DE USO PÚ</w:t>
      </w:r>
      <w:r w:rsidR="00CE4D3B" w:rsidRPr="008601C2">
        <w:rPr>
          <w:b/>
        </w:rPr>
        <w:t xml:space="preserve">BLICO Y BIENES FISCALES – Definición </w:t>
      </w:r>
    </w:p>
    <w:p w:rsidR="00CE4D3B" w:rsidRPr="008601C2" w:rsidRDefault="00CE4D3B" w:rsidP="00CE4D3B">
      <w:pPr>
        <w:spacing w:before="215"/>
        <w:ind w:left="300"/>
        <w:jc w:val="both"/>
        <w:rPr>
          <w:sz w:val="20"/>
          <w:szCs w:val="20"/>
        </w:rPr>
      </w:pPr>
      <w:r w:rsidRPr="008601C2">
        <w:rPr>
          <w:sz w:val="20"/>
          <w:szCs w:val="20"/>
        </w:rPr>
        <w:t>Los bienes de uso público se encuentran fuera del comercio y las entidades estatales no pueden disponer de ellos; por su parte, los fiscales son susceptibles de disposición por parte de las entidades estatales. En este sentido, las entidades pueden disponer de los bienes fiscales, entre otras a través de la enajenación de bienes muebles a título gratuito entre entidades estatales y de esta forma harían parte del concepto de ejecución de recursos públicos de la Ley 996 de 2005.</w:t>
      </w:r>
    </w:p>
    <w:p w:rsidR="00CE4D3B" w:rsidRPr="008601C2" w:rsidRDefault="00CE4D3B" w:rsidP="00CE4D3B">
      <w:pPr>
        <w:spacing w:before="215"/>
        <w:ind w:left="300"/>
        <w:jc w:val="both"/>
        <w:rPr>
          <w:b/>
        </w:rPr>
      </w:pPr>
      <w:r w:rsidRPr="008601C2">
        <w:rPr>
          <w:b/>
        </w:rPr>
        <w:t xml:space="preserve">LEY </w:t>
      </w:r>
      <w:r w:rsidR="00DF5381">
        <w:rPr>
          <w:b/>
        </w:rPr>
        <w:t>DE GARANTÍA</w:t>
      </w:r>
      <w:r w:rsidR="007D6A8A">
        <w:rPr>
          <w:b/>
        </w:rPr>
        <w:t>S</w:t>
      </w:r>
      <w:bookmarkStart w:id="0" w:name="_GoBack"/>
      <w:bookmarkEnd w:id="0"/>
      <w:r w:rsidR="00DF5381">
        <w:rPr>
          <w:b/>
        </w:rPr>
        <w:t xml:space="preserve"> ELECTORALES</w:t>
      </w:r>
      <w:r w:rsidRPr="008601C2">
        <w:rPr>
          <w:b/>
        </w:rPr>
        <w:t xml:space="preserve"> –</w:t>
      </w:r>
      <w:r w:rsidR="00DF5381">
        <w:rPr>
          <w:b/>
        </w:rPr>
        <w:t xml:space="preserve"> </w:t>
      </w:r>
      <w:r w:rsidRPr="008601C2">
        <w:rPr>
          <w:b/>
        </w:rPr>
        <w:t xml:space="preserve">Enajenación de bienes muebles </w:t>
      </w:r>
      <w:r w:rsidR="00DF5381" w:rsidRPr="008601C2">
        <w:rPr>
          <w:b/>
        </w:rPr>
        <w:t>–</w:t>
      </w:r>
      <w:r w:rsidR="00DF5381">
        <w:rPr>
          <w:b/>
        </w:rPr>
        <w:t xml:space="preserve"> Suscripción </w:t>
      </w:r>
      <w:r w:rsidR="00DF5381" w:rsidRPr="008601C2">
        <w:rPr>
          <w:b/>
        </w:rPr>
        <w:t>–</w:t>
      </w:r>
      <w:r w:rsidR="00DF5381">
        <w:rPr>
          <w:b/>
        </w:rPr>
        <w:t xml:space="preserve">  Título gratuito </w:t>
      </w:r>
      <w:r w:rsidR="00DF5381" w:rsidRPr="008601C2">
        <w:rPr>
          <w:b/>
        </w:rPr>
        <w:t>–</w:t>
      </w:r>
      <w:r w:rsidRPr="008601C2">
        <w:rPr>
          <w:b/>
        </w:rPr>
        <w:t xml:space="preserve"> </w:t>
      </w:r>
      <w:r w:rsidR="00DF5381">
        <w:rPr>
          <w:b/>
        </w:rPr>
        <w:t>R</w:t>
      </w:r>
      <w:r w:rsidRPr="008601C2">
        <w:rPr>
          <w:b/>
        </w:rPr>
        <w:t xml:space="preserve">estricción </w:t>
      </w:r>
      <w:r w:rsidR="00DF5381" w:rsidRPr="008601C2">
        <w:rPr>
          <w:b/>
        </w:rPr>
        <w:t>–</w:t>
      </w:r>
      <w:r w:rsidR="00DF5381">
        <w:rPr>
          <w:b/>
        </w:rPr>
        <w:t xml:space="preserve"> P</w:t>
      </w:r>
      <w:r w:rsidRPr="008601C2">
        <w:rPr>
          <w:b/>
        </w:rPr>
        <w:t xml:space="preserve">arágrafo del </w:t>
      </w:r>
      <w:r w:rsidR="00DF5381" w:rsidRPr="008601C2">
        <w:rPr>
          <w:b/>
        </w:rPr>
        <w:t>artículo</w:t>
      </w:r>
      <w:r w:rsidRPr="008601C2">
        <w:rPr>
          <w:b/>
        </w:rPr>
        <w:t xml:space="preserve"> 38</w:t>
      </w:r>
      <w:r w:rsidR="00DF5381">
        <w:rPr>
          <w:b/>
        </w:rPr>
        <w:t xml:space="preserve"> </w:t>
      </w:r>
      <w:r w:rsidR="00DF5381" w:rsidRPr="008601C2">
        <w:rPr>
          <w:b/>
        </w:rPr>
        <w:t>–</w:t>
      </w:r>
      <w:r w:rsidR="00DF5381">
        <w:rPr>
          <w:b/>
        </w:rPr>
        <w:t xml:space="preserve"> Aplicación </w:t>
      </w:r>
    </w:p>
    <w:p w:rsidR="00CE4D3B" w:rsidRPr="008601C2" w:rsidRDefault="00CE4D3B" w:rsidP="00CE4D3B">
      <w:pPr>
        <w:spacing w:before="215"/>
        <w:ind w:left="300"/>
        <w:jc w:val="both"/>
        <w:rPr>
          <w:sz w:val="20"/>
          <w:szCs w:val="20"/>
        </w:rPr>
      </w:pPr>
      <w:r w:rsidRPr="008601C2">
        <w:rPr>
          <w:sz w:val="20"/>
          <w:szCs w:val="20"/>
        </w:rPr>
        <w:t>La entidad estatal podrá adelantar el procedimiento de enajenación de bienes muebles a título gratuito, previsto en el artículo 2.2.1.2.2.4.3 del Decreto 1082 de 2015 con entidades estatales que no tengan naturaleza de entidad del orden departamental, distrital o municipal, pues adquiriría la connotación de contra o convenio interadministrativo de los prohibidos durante la vigencia de la Ley de Garantías. De igual manera, no podrán celebrarlos si la ejecución de recursos públicos incluye la entrega de bienes público o de bienes fiscales por parte de los funcionarios, aun cuando sea a título gratuito.</w:t>
      </w:r>
    </w:p>
    <w:p w:rsidR="008F237B" w:rsidRPr="008601C2" w:rsidRDefault="008F237B">
      <w:pPr>
        <w:pStyle w:val="Textoindependiente"/>
        <w:rPr>
          <w:rFonts w:ascii="Times New Roman"/>
          <w:sz w:val="20"/>
        </w:rPr>
      </w:pPr>
    </w:p>
    <w:p w:rsidR="008F237B" w:rsidRPr="008601C2" w:rsidRDefault="008F237B">
      <w:pPr>
        <w:pStyle w:val="Textoindependiente"/>
        <w:rPr>
          <w:rFonts w:ascii="Times New Roman"/>
          <w:sz w:val="20"/>
        </w:rPr>
      </w:pPr>
    </w:p>
    <w:p w:rsidR="008F237B" w:rsidRPr="008601C2" w:rsidRDefault="00155904">
      <w:pPr>
        <w:spacing w:before="215"/>
        <w:ind w:left="300"/>
        <w:rPr>
          <w:b/>
        </w:rPr>
      </w:pPr>
      <w:r w:rsidRPr="008601C2">
        <w:t xml:space="preserve">Bogotá D.C., </w:t>
      </w:r>
      <w:r w:rsidRPr="008601C2">
        <w:rPr>
          <w:b/>
        </w:rPr>
        <w:t>06/11/2019 Hora 15:9:43s</w:t>
      </w:r>
    </w:p>
    <w:p w:rsidR="008F237B" w:rsidRPr="008601C2" w:rsidRDefault="00155904">
      <w:pPr>
        <w:pStyle w:val="Ttulo1"/>
        <w:spacing w:before="37"/>
        <w:ind w:left="5839" w:firstLine="0"/>
      </w:pPr>
      <w:r w:rsidRPr="008601C2">
        <w:t>N° Radicado: 2201913000008259</w:t>
      </w:r>
    </w:p>
    <w:p w:rsidR="008F237B" w:rsidRPr="008601C2" w:rsidRDefault="008F237B">
      <w:pPr>
        <w:pStyle w:val="Textoindependiente"/>
        <w:spacing w:before="4"/>
        <w:rPr>
          <w:b/>
          <w:sz w:val="17"/>
        </w:rPr>
      </w:pPr>
    </w:p>
    <w:p w:rsidR="008F237B" w:rsidRPr="008601C2" w:rsidRDefault="00155904">
      <w:pPr>
        <w:pStyle w:val="Textoindependiente"/>
        <w:spacing w:before="93" w:line="253" w:lineRule="exact"/>
        <w:ind w:left="300"/>
      </w:pPr>
      <w:r w:rsidRPr="008601C2">
        <w:t>Señor</w:t>
      </w:r>
    </w:p>
    <w:p w:rsidR="008F237B" w:rsidRPr="008601C2" w:rsidRDefault="00155904">
      <w:pPr>
        <w:pStyle w:val="Ttulo1"/>
        <w:spacing w:line="253" w:lineRule="exact"/>
        <w:ind w:left="300" w:firstLine="0"/>
      </w:pPr>
      <w:r w:rsidRPr="008601C2">
        <w:t>William Alfonso García Torres</w:t>
      </w:r>
    </w:p>
    <w:p w:rsidR="008F237B" w:rsidRPr="008601C2" w:rsidRDefault="00155904">
      <w:pPr>
        <w:pStyle w:val="Textoindependiente"/>
        <w:ind w:left="300" w:right="4805"/>
      </w:pPr>
      <w:r w:rsidRPr="008601C2">
        <w:t>Instituto de Cultura y Patrimonio de Antioquia Gobernación de Antioquia</w:t>
      </w:r>
    </w:p>
    <w:p w:rsidR="008F237B" w:rsidRPr="008601C2" w:rsidRDefault="00155904">
      <w:pPr>
        <w:pStyle w:val="Textoindependiente"/>
        <w:spacing w:line="252" w:lineRule="exact"/>
        <w:ind w:left="300"/>
      </w:pPr>
      <w:r w:rsidRPr="008601C2">
        <w:t>Medellín, Antioquia</w:t>
      </w:r>
    </w:p>
    <w:p w:rsidR="008F237B" w:rsidRPr="008601C2" w:rsidRDefault="008F237B">
      <w:pPr>
        <w:pStyle w:val="Textoindependiente"/>
        <w:rPr>
          <w:sz w:val="20"/>
        </w:rPr>
      </w:pPr>
    </w:p>
    <w:p w:rsidR="008F237B" w:rsidRPr="008601C2" w:rsidRDefault="008F237B">
      <w:pPr>
        <w:pStyle w:val="Textoindependiente"/>
        <w:spacing w:before="7" w:after="1"/>
        <w:rPr>
          <w:sz w:val="24"/>
        </w:rPr>
      </w:pPr>
    </w:p>
    <w:tbl>
      <w:tblPr>
        <w:tblStyle w:val="TableNormal"/>
        <w:tblW w:w="0" w:type="auto"/>
        <w:tblInd w:w="108" w:type="dxa"/>
        <w:tblLayout w:type="fixed"/>
        <w:tblLook w:val="01E0" w:firstRow="1" w:lastRow="1" w:firstColumn="1" w:lastColumn="1" w:noHBand="0" w:noVBand="0"/>
      </w:tblPr>
      <w:tblGrid>
        <w:gridCol w:w="2328"/>
        <w:gridCol w:w="6997"/>
      </w:tblGrid>
      <w:tr w:rsidR="008601C2" w:rsidRPr="008601C2">
        <w:trPr>
          <w:trHeight w:val="249"/>
        </w:trPr>
        <w:tc>
          <w:tcPr>
            <w:tcW w:w="2328" w:type="dxa"/>
          </w:tcPr>
          <w:p w:rsidR="008F237B" w:rsidRPr="008601C2" w:rsidRDefault="00155904">
            <w:pPr>
              <w:pStyle w:val="TableParagraph"/>
              <w:rPr>
                <w:b/>
              </w:rPr>
            </w:pPr>
            <w:r w:rsidRPr="008601C2">
              <w:rPr>
                <w:b/>
              </w:rPr>
              <w:t>Radicación:</w:t>
            </w:r>
          </w:p>
        </w:tc>
        <w:tc>
          <w:tcPr>
            <w:tcW w:w="6997" w:type="dxa"/>
          </w:tcPr>
          <w:p w:rsidR="008F237B" w:rsidRPr="008601C2" w:rsidRDefault="00155904">
            <w:pPr>
              <w:pStyle w:val="TableParagraph"/>
              <w:ind w:left="562"/>
            </w:pPr>
            <w:r w:rsidRPr="008601C2">
              <w:t>Respuesta a consulta # 4201912000006293</w:t>
            </w:r>
          </w:p>
        </w:tc>
      </w:tr>
      <w:tr w:rsidR="008601C2" w:rsidRPr="008601C2">
        <w:trPr>
          <w:trHeight w:val="506"/>
        </w:trPr>
        <w:tc>
          <w:tcPr>
            <w:tcW w:w="2328" w:type="dxa"/>
          </w:tcPr>
          <w:p w:rsidR="008F237B" w:rsidRPr="008601C2" w:rsidRDefault="00155904">
            <w:pPr>
              <w:pStyle w:val="TableParagraph"/>
              <w:spacing w:line="249" w:lineRule="exact"/>
              <w:rPr>
                <w:b/>
              </w:rPr>
            </w:pPr>
            <w:r w:rsidRPr="008601C2">
              <w:rPr>
                <w:b/>
              </w:rPr>
              <w:t>Temas:</w:t>
            </w:r>
          </w:p>
        </w:tc>
        <w:tc>
          <w:tcPr>
            <w:tcW w:w="6997" w:type="dxa"/>
          </w:tcPr>
          <w:p w:rsidR="008F237B" w:rsidRPr="008601C2" w:rsidRDefault="00155904">
            <w:pPr>
              <w:pStyle w:val="TableParagraph"/>
              <w:spacing w:before="1" w:line="252" w:lineRule="exact"/>
              <w:ind w:left="562" w:right="221"/>
            </w:pPr>
            <w:r w:rsidRPr="008601C2">
              <w:t>Aplicación Ley de Garantías, enajenación de bienes de muebles entre entidades</w:t>
            </w:r>
            <w:r w:rsidRPr="008601C2">
              <w:rPr>
                <w:spacing w:val="-6"/>
              </w:rPr>
              <w:t xml:space="preserve"> </w:t>
            </w:r>
            <w:r w:rsidRPr="008601C2">
              <w:t>estatales</w:t>
            </w:r>
          </w:p>
        </w:tc>
      </w:tr>
      <w:tr w:rsidR="008F237B" w:rsidRPr="008601C2">
        <w:trPr>
          <w:trHeight w:val="755"/>
        </w:trPr>
        <w:tc>
          <w:tcPr>
            <w:tcW w:w="2328" w:type="dxa"/>
          </w:tcPr>
          <w:p w:rsidR="008F237B" w:rsidRPr="008601C2" w:rsidRDefault="00155904">
            <w:pPr>
              <w:pStyle w:val="TableParagraph"/>
              <w:spacing w:line="240" w:lineRule="auto"/>
              <w:ind w:right="543"/>
              <w:rPr>
                <w:b/>
              </w:rPr>
            </w:pPr>
            <w:r w:rsidRPr="008601C2">
              <w:rPr>
                <w:b/>
              </w:rPr>
              <w:lastRenderedPageBreak/>
              <w:t>Tipo de asunto consultado:</w:t>
            </w:r>
          </w:p>
        </w:tc>
        <w:tc>
          <w:tcPr>
            <w:tcW w:w="6997" w:type="dxa"/>
          </w:tcPr>
          <w:p w:rsidR="008F237B" w:rsidRPr="008601C2" w:rsidRDefault="00155904">
            <w:pPr>
              <w:pStyle w:val="TableParagraph"/>
              <w:spacing w:before="2" w:line="252" w:lineRule="exact"/>
              <w:ind w:left="562" w:right="198"/>
              <w:jc w:val="both"/>
            </w:pPr>
            <w:r w:rsidRPr="008601C2">
              <w:t>Aplicación de la Ley de Garantías al procedimiento de enajenación de bienes muebles a título gratuito entre entidades estatales del artículo 2.2.1.2.2.4.3 del Decreto 1082 de 2015</w:t>
            </w:r>
          </w:p>
        </w:tc>
      </w:tr>
    </w:tbl>
    <w:p w:rsidR="008F237B" w:rsidRPr="008601C2" w:rsidRDefault="008F237B">
      <w:pPr>
        <w:pStyle w:val="Textoindependiente"/>
        <w:rPr>
          <w:sz w:val="20"/>
        </w:rPr>
      </w:pPr>
    </w:p>
    <w:p w:rsidR="008F237B" w:rsidRPr="008601C2" w:rsidRDefault="008F237B">
      <w:pPr>
        <w:pStyle w:val="Textoindependiente"/>
        <w:rPr>
          <w:sz w:val="16"/>
        </w:rPr>
      </w:pPr>
    </w:p>
    <w:p w:rsidR="008F237B" w:rsidRPr="008601C2" w:rsidRDefault="00155904">
      <w:pPr>
        <w:pStyle w:val="Textoindependiente"/>
        <w:spacing w:before="93"/>
        <w:ind w:left="300"/>
        <w:jc w:val="both"/>
      </w:pPr>
      <w:r w:rsidRPr="008601C2">
        <w:t>Estimado señor García,</w:t>
      </w:r>
    </w:p>
    <w:p w:rsidR="008F237B" w:rsidRPr="008601C2" w:rsidRDefault="008F237B">
      <w:pPr>
        <w:pStyle w:val="Textoindependiente"/>
        <w:spacing w:before="11"/>
        <w:rPr>
          <w:sz w:val="21"/>
        </w:rPr>
      </w:pPr>
    </w:p>
    <w:p w:rsidR="008F237B" w:rsidRPr="008601C2" w:rsidRDefault="00155904">
      <w:pPr>
        <w:pStyle w:val="Textoindependiente"/>
        <w:ind w:left="300" w:right="304"/>
        <w:jc w:val="both"/>
      </w:pPr>
      <w:r w:rsidRPr="008601C2">
        <w:t>La Agencia Nacional de Contratación Pública -Colombia Compra Eficiente- responde su consulta del 16 de septiembre de 2019 en ejercicio de la competencia otorgada por el numeral 8 del artículo 11 y el numeral 5 del artículo 3 del Decreto Ley 4170 de 2011.</w:t>
      </w:r>
    </w:p>
    <w:p w:rsidR="008F237B" w:rsidRPr="008601C2" w:rsidRDefault="008F237B">
      <w:pPr>
        <w:pStyle w:val="Textoindependiente"/>
        <w:spacing w:before="3"/>
        <w:rPr>
          <w:sz w:val="25"/>
        </w:rPr>
      </w:pPr>
    </w:p>
    <w:p w:rsidR="008F237B" w:rsidRPr="008601C2" w:rsidRDefault="00155904">
      <w:pPr>
        <w:pStyle w:val="Ttulo1"/>
        <w:numPr>
          <w:ilvl w:val="0"/>
          <w:numId w:val="1"/>
        </w:numPr>
        <w:tabs>
          <w:tab w:val="left" w:pos="544"/>
        </w:tabs>
        <w:ind w:hanging="244"/>
      </w:pPr>
      <w:r w:rsidRPr="008601C2">
        <w:t>Problema</w:t>
      </w:r>
      <w:r w:rsidRPr="008601C2">
        <w:rPr>
          <w:spacing w:val="-2"/>
        </w:rPr>
        <w:t xml:space="preserve"> </w:t>
      </w:r>
      <w:r w:rsidRPr="008601C2">
        <w:t>Planteado</w:t>
      </w:r>
    </w:p>
    <w:p w:rsidR="008F237B" w:rsidRPr="008601C2" w:rsidRDefault="008F237B">
      <w:pPr>
        <w:pStyle w:val="Textoindependiente"/>
        <w:spacing w:before="8"/>
        <w:rPr>
          <w:b/>
          <w:sz w:val="28"/>
        </w:rPr>
      </w:pPr>
    </w:p>
    <w:p w:rsidR="008F237B" w:rsidRPr="008601C2" w:rsidRDefault="00155904">
      <w:pPr>
        <w:pStyle w:val="Textoindependiente"/>
        <w:spacing w:line="276" w:lineRule="auto"/>
        <w:ind w:left="300" w:right="309"/>
        <w:jc w:val="both"/>
      </w:pPr>
      <w:r w:rsidRPr="008601C2">
        <w:t>“</w:t>
      </w:r>
      <w:proofErr w:type="gramStart"/>
      <w:r w:rsidRPr="008601C2">
        <w:t>¿En el marco de las restricciones de la Ley de Garantías, es posible adelantar el procedimiento establecido en el artículo 2.</w:t>
      </w:r>
      <w:proofErr w:type="gramEnd"/>
      <w:r w:rsidRPr="008601C2">
        <w:t>2.1.2.2.4.3 del Decreto 1082 de 2015, y en efecto, suscribir acta de entrega entre las entidades estatales interesada?”.</w:t>
      </w:r>
    </w:p>
    <w:p w:rsidR="008F237B" w:rsidRPr="008601C2" w:rsidRDefault="008F237B">
      <w:pPr>
        <w:pStyle w:val="Textoindependiente"/>
        <w:spacing w:before="2"/>
        <w:rPr>
          <w:sz w:val="25"/>
        </w:rPr>
      </w:pPr>
    </w:p>
    <w:p w:rsidR="008F237B" w:rsidRPr="008601C2" w:rsidRDefault="00155904">
      <w:pPr>
        <w:pStyle w:val="Ttulo1"/>
        <w:numPr>
          <w:ilvl w:val="0"/>
          <w:numId w:val="1"/>
        </w:numPr>
        <w:tabs>
          <w:tab w:val="left" w:pos="544"/>
        </w:tabs>
        <w:ind w:hanging="244"/>
      </w:pPr>
      <w:r w:rsidRPr="008601C2">
        <w:t>Consideraciones</w:t>
      </w:r>
    </w:p>
    <w:p w:rsidR="008F237B" w:rsidRPr="008601C2" w:rsidRDefault="008F237B">
      <w:pPr>
        <w:pStyle w:val="Textoindependiente"/>
        <w:spacing w:before="8"/>
        <w:rPr>
          <w:b/>
          <w:sz w:val="28"/>
        </w:rPr>
      </w:pPr>
    </w:p>
    <w:p w:rsidR="008F237B" w:rsidRPr="008601C2" w:rsidRDefault="00155904">
      <w:pPr>
        <w:pStyle w:val="Textoindependiente"/>
        <w:spacing w:line="276" w:lineRule="auto"/>
        <w:ind w:left="300" w:right="309"/>
        <w:jc w:val="both"/>
      </w:pPr>
      <w:r w:rsidRPr="008601C2">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08601C2">
        <w:rPr>
          <w:spacing w:val="-12"/>
        </w:rPr>
        <w:t xml:space="preserve"> </w:t>
      </w:r>
      <w:r w:rsidRPr="008601C2">
        <w:t>términos:</w:t>
      </w:r>
    </w:p>
    <w:p w:rsidR="008F237B" w:rsidRPr="008601C2" w:rsidRDefault="008F237B">
      <w:pPr>
        <w:pStyle w:val="Textoindependiente"/>
      </w:pPr>
    </w:p>
    <w:p w:rsidR="008F237B" w:rsidRPr="008601C2" w:rsidRDefault="00155904">
      <w:pPr>
        <w:pStyle w:val="Textoindependiente"/>
        <w:ind w:left="1008" w:right="1013"/>
      </w:pPr>
      <w:r w:rsidRPr="008601C2">
        <w:t>Artículo 38. Prohibiciones para los servidores públicos. A los empleados del Estado les está prohibido:</w:t>
      </w:r>
    </w:p>
    <w:p w:rsidR="008F237B" w:rsidRPr="008601C2" w:rsidRDefault="008F237B">
      <w:pPr>
        <w:sectPr w:rsidR="008F237B" w:rsidRPr="008601C2">
          <w:headerReference w:type="default" r:id="rId10"/>
          <w:footerReference w:type="default" r:id="rId11"/>
          <w:type w:val="continuous"/>
          <w:pgSz w:w="12240" w:h="15840"/>
          <w:pgMar w:top="1560" w:right="1300" w:bottom="206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5"/>
        <w:rPr>
          <w:sz w:val="16"/>
        </w:rPr>
      </w:pPr>
    </w:p>
    <w:p w:rsidR="008F237B" w:rsidRPr="008601C2" w:rsidRDefault="00155904">
      <w:pPr>
        <w:pStyle w:val="Textoindependiente"/>
        <w:spacing w:before="93"/>
        <w:ind w:left="1093"/>
      </w:pPr>
      <w:r w:rsidRPr="008601C2">
        <w:t>(…)</w:t>
      </w:r>
    </w:p>
    <w:p w:rsidR="008F237B" w:rsidRPr="008601C2" w:rsidRDefault="008F237B">
      <w:pPr>
        <w:pStyle w:val="Textoindependiente"/>
        <w:spacing w:before="2"/>
      </w:pPr>
    </w:p>
    <w:p w:rsidR="008F237B" w:rsidRPr="008601C2" w:rsidRDefault="00155904">
      <w:pPr>
        <w:pStyle w:val="Textoindependiente"/>
        <w:ind w:left="1008" w:right="1017"/>
        <w:jc w:val="both"/>
      </w:pPr>
      <w:r w:rsidRPr="008601C2">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008F237B" w:rsidRPr="008601C2" w:rsidRDefault="008F237B">
      <w:pPr>
        <w:pStyle w:val="Textoindependiente"/>
        <w:spacing w:before="3"/>
        <w:rPr>
          <w:sz w:val="25"/>
        </w:rPr>
      </w:pPr>
    </w:p>
    <w:p w:rsidR="008F237B" w:rsidRPr="008601C2" w:rsidRDefault="00155904">
      <w:pPr>
        <w:pStyle w:val="Textoindependiente"/>
        <w:spacing w:line="276" w:lineRule="auto"/>
        <w:ind w:left="300" w:right="303"/>
        <w:jc w:val="both"/>
      </w:pPr>
      <w:r w:rsidRPr="008601C2">
        <w:t>Lo anterior quiere decir que los gobernadores, alcaldes distritales y municipales, secretarios de despacho, gerentes y directores de entidades descentralizadas del orden municipal,</w:t>
      </w:r>
      <w:r w:rsidRPr="008601C2">
        <w:rPr>
          <w:spacing w:val="7"/>
        </w:rPr>
        <w:t xml:space="preserve"> </w:t>
      </w:r>
      <w:r w:rsidRPr="008601C2">
        <w:t>departamental</w:t>
      </w:r>
      <w:r w:rsidRPr="008601C2">
        <w:rPr>
          <w:spacing w:val="6"/>
        </w:rPr>
        <w:t xml:space="preserve"> </w:t>
      </w:r>
      <w:r w:rsidRPr="008601C2">
        <w:t>o</w:t>
      </w:r>
      <w:r w:rsidRPr="008601C2">
        <w:rPr>
          <w:spacing w:val="8"/>
        </w:rPr>
        <w:t xml:space="preserve"> </w:t>
      </w:r>
      <w:r w:rsidRPr="008601C2">
        <w:t>distrital,</w:t>
      </w:r>
      <w:r w:rsidRPr="008601C2">
        <w:rPr>
          <w:spacing w:val="7"/>
        </w:rPr>
        <w:t xml:space="preserve"> </w:t>
      </w:r>
      <w:r w:rsidRPr="008601C2">
        <w:t>tienen</w:t>
      </w:r>
      <w:r w:rsidRPr="008601C2">
        <w:rPr>
          <w:spacing w:val="8"/>
        </w:rPr>
        <w:t xml:space="preserve"> </w:t>
      </w:r>
      <w:r w:rsidRPr="008601C2">
        <w:t>prohibido,</w:t>
      </w:r>
      <w:r w:rsidRPr="008601C2">
        <w:rPr>
          <w:spacing w:val="7"/>
        </w:rPr>
        <w:t xml:space="preserve"> </w:t>
      </w:r>
      <w:r w:rsidRPr="008601C2">
        <w:t>a</w:t>
      </w:r>
      <w:r w:rsidRPr="008601C2">
        <w:rPr>
          <w:spacing w:val="8"/>
        </w:rPr>
        <w:t xml:space="preserve"> </w:t>
      </w:r>
      <w:r w:rsidRPr="008601C2">
        <w:t>partir</w:t>
      </w:r>
      <w:r w:rsidRPr="008601C2">
        <w:rPr>
          <w:spacing w:val="7"/>
        </w:rPr>
        <w:t xml:space="preserve"> </w:t>
      </w:r>
      <w:r w:rsidRPr="008601C2">
        <w:t>del</w:t>
      </w:r>
      <w:r w:rsidRPr="008601C2">
        <w:rPr>
          <w:spacing w:val="9"/>
        </w:rPr>
        <w:t xml:space="preserve"> </w:t>
      </w:r>
      <w:r w:rsidRPr="008601C2">
        <w:t>día</w:t>
      </w:r>
      <w:r w:rsidRPr="008601C2">
        <w:rPr>
          <w:spacing w:val="8"/>
        </w:rPr>
        <w:t xml:space="preserve"> </w:t>
      </w:r>
      <w:r w:rsidRPr="008601C2">
        <w:t>27</w:t>
      </w:r>
      <w:r w:rsidRPr="008601C2">
        <w:rPr>
          <w:spacing w:val="8"/>
        </w:rPr>
        <w:t xml:space="preserve"> </w:t>
      </w:r>
      <w:r w:rsidRPr="008601C2">
        <w:t>de</w:t>
      </w:r>
      <w:r w:rsidRPr="008601C2">
        <w:rPr>
          <w:spacing w:val="8"/>
        </w:rPr>
        <w:t xml:space="preserve"> </w:t>
      </w:r>
      <w:r w:rsidRPr="008601C2">
        <w:t>junio</w:t>
      </w:r>
      <w:r w:rsidRPr="008601C2">
        <w:rPr>
          <w:spacing w:val="8"/>
        </w:rPr>
        <w:t xml:space="preserve"> </w:t>
      </w:r>
      <w:r w:rsidRPr="008601C2">
        <w:t>y</w:t>
      </w:r>
      <w:r w:rsidRPr="008601C2">
        <w:rPr>
          <w:spacing w:val="5"/>
        </w:rPr>
        <w:t xml:space="preserve"> </w:t>
      </w:r>
      <w:r w:rsidRPr="008601C2">
        <w:t>hasta</w:t>
      </w:r>
      <w:r w:rsidRPr="008601C2">
        <w:rPr>
          <w:spacing w:val="8"/>
        </w:rPr>
        <w:t xml:space="preserve"> </w:t>
      </w:r>
      <w:r w:rsidRPr="008601C2">
        <w:t>el</w:t>
      </w:r>
    </w:p>
    <w:p w:rsidR="008F237B" w:rsidRPr="008601C2" w:rsidRDefault="00155904">
      <w:pPr>
        <w:pStyle w:val="Textoindependiente"/>
        <w:spacing w:line="278" w:lineRule="auto"/>
        <w:ind w:left="300" w:right="304"/>
        <w:jc w:val="both"/>
      </w:pPr>
      <w:r w:rsidRPr="008601C2">
        <w:t>27 de octubre de la actual vigencia fiscal, celebrar convenios o contratos interadministrativos para la ejecución de recursos públicos.</w:t>
      </w:r>
    </w:p>
    <w:p w:rsidR="008F237B" w:rsidRPr="008601C2" w:rsidRDefault="008F237B">
      <w:pPr>
        <w:pStyle w:val="Textoindependiente"/>
        <w:spacing w:before="9"/>
        <w:rPr>
          <w:sz w:val="24"/>
        </w:rPr>
      </w:pPr>
    </w:p>
    <w:p w:rsidR="008F237B" w:rsidRPr="008601C2" w:rsidRDefault="00155904">
      <w:pPr>
        <w:pStyle w:val="Textoindependiente"/>
        <w:spacing w:line="276" w:lineRule="auto"/>
        <w:ind w:left="300" w:right="307"/>
        <w:jc w:val="both"/>
      </w:pPr>
      <w:r w:rsidRPr="008601C2">
        <w:t>Ahora, como se consulta si es posible que una entidad enajene bienes muebles a título gratuito con otra entidad estatal durante la vigencia de la Ley de Garantías, se explicará si la “ejecución de recursos públicos” incluye la entrega de bienes a título gratuito, o si se entiende de forma restringida a la ejecución de recursos que hacen parte del ciclo presupuestal de una entidad estatal.</w:t>
      </w:r>
    </w:p>
    <w:p w:rsidR="008F237B" w:rsidRPr="008601C2" w:rsidRDefault="008F237B">
      <w:pPr>
        <w:pStyle w:val="Textoindependiente"/>
        <w:spacing w:before="6"/>
        <w:rPr>
          <w:sz w:val="25"/>
        </w:rPr>
      </w:pPr>
    </w:p>
    <w:p w:rsidR="008F237B" w:rsidRPr="008601C2" w:rsidRDefault="00155904">
      <w:pPr>
        <w:pStyle w:val="Textoindependiente"/>
        <w:spacing w:line="276" w:lineRule="auto"/>
        <w:ind w:left="300" w:right="306"/>
        <w:jc w:val="both"/>
      </w:pPr>
      <w:r w:rsidRPr="008601C2">
        <w:t>En el ordenamiento jurídico no hay norma que defina el alcance de la expresión “recursos públicos”, es decir, no es posible determinar si se refiere exclusivamente a la ejecución de recursos públicos en dinero o también se refiere a la entrega de bienes muebles o inmuebles que se encuentran en cabeza del Estado a título gratuito.</w:t>
      </w:r>
    </w:p>
    <w:p w:rsidR="008F237B" w:rsidRPr="008601C2" w:rsidRDefault="008F237B">
      <w:pPr>
        <w:pStyle w:val="Textoindependiente"/>
        <w:spacing w:before="2"/>
        <w:rPr>
          <w:sz w:val="25"/>
        </w:rPr>
      </w:pPr>
    </w:p>
    <w:p w:rsidR="008F237B" w:rsidRPr="008601C2" w:rsidRDefault="00155904">
      <w:pPr>
        <w:pStyle w:val="Textoindependiente"/>
        <w:spacing w:line="276" w:lineRule="auto"/>
        <w:ind w:left="300" w:right="304"/>
        <w:jc w:val="both"/>
      </w:pPr>
      <w:r w:rsidRPr="008601C2">
        <w:t>La Corte Constitucional y el Consejo de Estado se han pronunciado sobre la situación en la cual en el ordenamiento se encuentran normas cuyo alcance no está determinado con exactitud en la ley. Refiriéndose a los conceptos jurídicos indeterminados, Ara Pinilla explica que deben ser interpretados por el destinatario de la norma, quien debe precisarlo, al tenor de las circunstancias concretas que pesan sobre él</w:t>
      </w:r>
      <w:r w:rsidRPr="008601C2">
        <w:rPr>
          <w:vertAlign w:val="superscript"/>
        </w:rPr>
        <w:t>1</w:t>
      </w:r>
      <w:r w:rsidRPr="008601C2">
        <w:t>. Por lo tanto, ante la</w:t>
      </w:r>
    </w:p>
    <w:p w:rsidR="008F237B" w:rsidRPr="008601C2" w:rsidRDefault="008F237B">
      <w:pPr>
        <w:pStyle w:val="Textoindependiente"/>
        <w:rPr>
          <w:sz w:val="20"/>
        </w:rPr>
      </w:pPr>
    </w:p>
    <w:p w:rsidR="008F237B" w:rsidRPr="008601C2" w:rsidRDefault="008F237B">
      <w:pPr>
        <w:pStyle w:val="Textoindependiente"/>
        <w:rPr>
          <w:sz w:val="20"/>
        </w:rPr>
      </w:pPr>
    </w:p>
    <w:p w:rsidR="008F237B" w:rsidRPr="008601C2" w:rsidRDefault="0095209E">
      <w:pPr>
        <w:pStyle w:val="Textoindependiente"/>
        <w:spacing w:before="9"/>
        <w:rPr>
          <w:sz w:val="11"/>
        </w:rPr>
      </w:pPr>
      <w:r w:rsidRPr="008601C2">
        <w:rPr>
          <w:noProof/>
          <w:lang w:val="en-US"/>
        </w:rPr>
        <mc:AlternateContent>
          <mc:Choice Requires="wps">
            <w:drawing>
              <wp:anchor distT="0" distB="0" distL="0" distR="0" simplePos="0" relativeHeight="487588352" behindDoc="1" locked="0" layoutInCell="1" allowOverlap="1" wp14:anchorId="6FA99B48" wp14:editId="58B6FF82">
                <wp:simplePos x="0" y="0"/>
                <wp:positionH relativeFrom="page">
                  <wp:posOffset>1080135</wp:posOffset>
                </wp:positionH>
                <wp:positionV relativeFrom="paragraph">
                  <wp:posOffset>111125</wp:posOffset>
                </wp:positionV>
                <wp:extent cx="1828800" cy="9525"/>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F3C1" id="Rectangle 7" o:spid="_x0000_s1026" style="position:absolute;margin-left:85.05pt;margin-top:8.75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z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Ij&#10;RToo0SdIGlE7ydEs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" fillcolor="black" stroked="f">
                <w10:wrap type="topAndBottom" anchorx="page"/>
              </v:rect>
            </w:pict>
          </mc:Fallback>
        </mc:AlternateContent>
      </w:r>
    </w:p>
    <w:p w:rsidR="008F237B" w:rsidRPr="008601C2" w:rsidRDefault="00155904">
      <w:pPr>
        <w:spacing w:before="87" w:line="244" w:lineRule="auto"/>
        <w:ind w:left="300" w:right="308" w:firstLine="707"/>
        <w:jc w:val="both"/>
        <w:rPr>
          <w:sz w:val="18"/>
        </w:rPr>
      </w:pPr>
      <w:r w:rsidRPr="008601C2">
        <w:rPr>
          <w:rFonts w:ascii="Carlito" w:hAnsi="Carlito"/>
          <w:position w:val="6"/>
          <w:sz w:val="13"/>
        </w:rPr>
        <w:t xml:space="preserve">1 </w:t>
      </w:r>
      <w:r w:rsidRPr="008601C2">
        <w:rPr>
          <w:sz w:val="18"/>
        </w:rPr>
        <w:t>Ara Pinilla, I., Presupuestos y posibilidades de la doctrina de los conceptos jurídicos indeterminados”, Revista crítica de derecho administrativo, 90/2014, p. 112. “los conceptos jurídicos indeterminados no son sino términos jurídicos abiertos que han de ser precisados en los actos de aplicación del derecho que los contiene y, por consiguiente, perfilados por un operador jurídico que es distinto al de su creación”.</w:t>
      </w:r>
    </w:p>
    <w:p w:rsidR="008F237B" w:rsidRPr="008601C2" w:rsidRDefault="008F237B">
      <w:pPr>
        <w:spacing w:line="244" w:lineRule="auto"/>
        <w:jc w:val="both"/>
        <w:rPr>
          <w:sz w:val="18"/>
        </w:rPr>
        <w:sectPr w:rsidR="008F237B" w:rsidRPr="008601C2">
          <w:pgSz w:w="12240" w:h="15840"/>
          <w:pgMar w:top="1560" w:right="1300" w:bottom="214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5"/>
        <w:rPr>
          <w:sz w:val="16"/>
        </w:rPr>
      </w:pPr>
    </w:p>
    <w:p w:rsidR="008F237B" w:rsidRPr="008601C2" w:rsidRDefault="00155904">
      <w:pPr>
        <w:pStyle w:val="Textoindependiente"/>
        <w:spacing w:before="93" w:line="278" w:lineRule="auto"/>
        <w:ind w:left="300" w:right="312"/>
        <w:jc w:val="both"/>
      </w:pPr>
      <w:r w:rsidRPr="008601C2">
        <w:t>existencia de conceptos jurídicos indeterminados el intérprete determinará el alcance del concepto de acuerdo con las circunstancias específicas de cada caso</w:t>
      </w:r>
      <w:r w:rsidRPr="008601C2">
        <w:rPr>
          <w:vertAlign w:val="superscript"/>
        </w:rPr>
        <w:t>2</w:t>
      </w:r>
      <w:r w:rsidRPr="008601C2">
        <w:t>.</w:t>
      </w:r>
    </w:p>
    <w:p w:rsidR="008F237B" w:rsidRPr="008601C2" w:rsidRDefault="008F237B">
      <w:pPr>
        <w:pStyle w:val="Textoindependiente"/>
        <w:spacing w:before="1"/>
        <w:rPr>
          <w:sz w:val="25"/>
        </w:rPr>
      </w:pPr>
    </w:p>
    <w:p w:rsidR="008F237B" w:rsidRPr="008601C2" w:rsidRDefault="00155904">
      <w:pPr>
        <w:pStyle w:val="Textoindependiente"/>
        <w:spacing w:line="276" w:lineRule="auto"/>
        <w:ind w:left="300" w:right="306"/>
        <w:jc w:val="both"/>
      </w:pPr>
      <w:r w:rsidRPr="008601C2">
        <w:t>Conforme a lo anterior, para dotar de contenido la expresión “recursos públicos” se acudirá a la exposición de motivos de la Ley para determinar si la entrega de un bien a título gratuito se enmarca en la ejecución de “recursos públicos”.</w:t>
      </w:r>
    </w:p>
    <w:p w:rsidR="008F237B" w:rsidRPr="008601C2" w:rsidRDefault="008F237B">
      <w:pPr>
        <w:pStyle w:val="Textoindependiente"/>
        <w:spacing w:before="2"/>
        <w:rPr>
          <w:sz w:val="25"/>
        </w:rPr>
      </w:pPr>
    </w:p>
    <w:p w:rsidR="008F237B" w:rsidRPr="008601C2" w:rsidRDefault="00155904">
      <w:pPr>
        <w:pStyle w:val="Textoindependiente"/>
        <w:spacing w:line="276" w:lineRule="auto"/>
        <w:ind w:left="300" w:right="304"/>
        <w:jc w:val="both"/>
      </w:pPr>
      <w:r w:rsidRPr="008601C2">
        <w:t>La Ley 996 de 2005, de acuerdo con la Gaceta No. 71 del 2005</w:t>
      </w:r>
      <w:r w:rsidRPr="008601C2">
        <w:rPr>
          <w:vertAlign w:val="superscript"/>
        </w:rPr>
        <w:t>3</w:t>
      </w:r>
      <w:r w:rsidRPr="008601C2">
        <w:t>,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a cualquier elección. Esta prohibición se incorporó en la Gaceta No. 35 de 2006, en la cual se publicó la Ley 996 de 2005, sin embargo, no se explicó el alcance de la expresión “ejecución de recursos</w:t>
      </w:r>
      <w:r w:rsidRPr="008601C2">
        <w:rPr>
          <w:spacing w:val="-3"/>
        </w:rPr>
        <w:t xml:space="preserve"> </w:t>
      </w:r>
      <w:r w:rsidRPr="008601C2">
        <w:t>públicos”.</w:t>
      </w:r>
    </w:p>
    <w:p w:rsidR="008F237B" w:rsidRPr="008601C2" w:rsidRDefault="008F237B">
      <w:pPr>
        <w:pStyle w:val="Textoindependiente"/>
        <w:spacing w:before="5"/>
        <w:rPr>
          <w:sz w:val="25"/>
        </w:rPr>
      </w:pPr>
    </w:p>
    <w:p w:rsidR="008F237B" w:rsidRPr="008601C2" w:rsidRDefault="00155904">
      <w:pPr>
        <w:pStyle w:val="Textoindependiente"/>
        <w:spacing w:line="276" w:lineRule="auto"/>
        <w:ind w:left="300" w:right="307"/>
        <w:jc w:val="both"/>
      </w:pPr>
      <w:r w:rsidRPr="008601C2">
        <w:t>Por su parte, la Gaceta No. 71 del 2 de marzo de 2005 señala que este proyecto de ley busca impedir que el cargo de una persona se utilice para promover una candidatura o ejercer presión sobre los subordinados para determinar su voluntad de elección.</w:t>
      </w:r>
    </w:p>
    <w:p w:rsidR="008F237B" w:rsidRPr="008601C2" w:rsidRDefault="008F237B">
      <w:pPr>
        <w:pStyle w:val="Textoindependiente"/>
        <w:spacing w:before="2"/>
        <w:rPr>
          <w:sz w:val="25"/>
        </w:rPr>
      </w:pPr>
    </w:p>
    <w:p w:rsidR="008F237B" w:rsidRPr="008601C2" w:rsidRDefault="00155904">
      <w:pPr>
        <w:pStyle w:val="Textoindependiente"/>
        <w:spacing w:before="1"/>
        <w:ind w:left="1005" w:right="1013"/>
      </w:pPr>
      <w:r w:rsidRPr="008601C2">
        <w:t>Por estas consideraciones, el proyecto de ley estatutaria aborda el tema de la</w:t>
      </w:r>
      <w:r w:rsidRPr="008601C2">
        <w:rPr>
          <w:spacing w:val="43"/>
        </w:rPr>
        <w:t xml:space="preserve"> </w:t>
      </w:r>
      <w:r w:rsidRPr="008601C2">
        <w:t>participación</w:t>
      </w:r>
      <w:r w:rsidRPr="008601C2">
        <w:rPr>
          <w:spacing w:val="44"/>
        </w:rPr>
        <w:t xml:space="preserve"> </w:t>
      </w:r>
      <w:r w:rsidRPr="008601C2">
        <w:t>de</w:t>
      </w:r>
      <w:r w:rsidRPr="008601C2">
        <w:rPr>
          <w:spacing w:val="42"/>
        </w:rPr>
        <w:t xml:space="preserve"> </w:t>
      </w:r>
      <w:r w:rsidRPr="008601C2">
        <w:t>los</w:t>
      </w:r>
      <w:r w:rsidRPr="008601C2">
        <w:rPr>
          <w:spacing w:val="43"/>
        </w:rPr>
        <w:t xml:space="preserve"> </w:t>
      </w:r>
      <w:r w:rsidRPr="008601C2">
        <w:t>servidores</w:t>
      </w:r>
      <w:r w:rsidRPr="008601C2">
        <w:rPr>
          <w:spacing w:val="44"/>
        </w:rPr>
        <w:t xml:space="preserve"> </w:t>
      </w:r>
      <w:r w:rsidRPr="008601C2">
        <w:t>públicos</w:t>
      </w:r>
      <w:r w:rsidRPr="008601C2">
        <w:rPr>
          <w:spacing w:val="44"/>
        </w:rPr>
        <w:t xml:space="preserve"> </w:t>
      </w:r>
      <w:r w:rsidRPr="008601C2">
        <w:t>en</w:t>
      </w:r>
      <w:r w:rsidRPr="008601C2">
        <w:rPr>
          <w:spacing w:val="43"/>
        </w:rPr>
        <w:t xml:space="preserve"> </w:t>
      </w:r>
      <w:r w:rsidRPr="008601C2">
        <w:t>política</w:t>
      </w:r>
      <w:r w:rsidRPr="008601C2">
        <w:rPr>
          <w:spacing w:val="44"/>
        </w:rPr>
        <w:t xml:space="preserve"> </w:t>
      </w:r>
      <w:r w:rsidRPr="008601C2">
        <w:t>estableciendo</w:t>
      </w:r>
      <w:r w:rsidRPr="008601C2">
        <w:rPr>
          <w:spacing w:val="44"/>
        </w:rPr>
        <w:t xml:space="preserve"> </w:t>
      </w:r>
      <w:r w:rsidRPr="008601C2">
        <w:t>unas</w:t>
      </w:r>
    </w:p>
    <w:p w:rsidR="008F237B" w:rsidRPr="008601C2" w:rsidRDefault="0095209E">
      <w:pPr>
        <w:pStyle w:val="Textoindependiente"/>
        <w:spacing w:before="1"/>
        <w:rPr>
          <w:sz w:val="13"/>
        </w:rPr>
      </w:pPr>
      <w:r w:rsidRPr="008601C2">
        <w:rPr>
          <w:noProof/>
          <w:lang w:val="en-US"/>
        </w:rPr>
        <mc:AlternateContent>
          <mc:Choice Requires="wps">
            <w:drawing>
              <wp:anchor distT="0" distB="0" distL="0" distR="0" simplePos="0" relativeHeight="487588864" behindDoc="1" locked="0" layoutInCell="1" allowOverlap="1" wp14:anchorId="7F74FCDC" wp14:editId="46156D92">
                <wp:simplePos x="0" y="0"/>
                <wp:positionH relativeFrom="page">
                  <wp:posOffset>1080135</wp:posOffset>
                </wp:positionH>
                <wp:positionV relativeFrom="paragraph">
                  <wp:posOffset>120650</wp:posOffset>
                </wp:positionV>
                <wp:extent cx="1828800" cy="952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F3C14" id="Rectangle 6" o:spid="_x0000_s1026" style="position:absolute;margin-left:85.05pt;margin-top:9.5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c9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" fillcolor="black" stroked="f">
                <w10:wrap type="topAndBottom" anchorx="page"/>
              </v:rect>
            </w:pict>
          </mc:Fallback>
        </mc:AlternateContent>
      </w:r>
    </w:p>
    <w:p w:rsidR="008F237B" w:rsidRPr="008601C2" w:rsidRDefault="00155904">
      <w:pPr>
        <w:spacing w:before="87" w:line="247" w:lineRule="auto"/>
        <w:ind w:left="300" w:right="306" w:firstLine="707"/>
        <w:jc w:val="both"/>
        <w:rPr>
          <w:sz w:val="18"/>
        </w:rPr>
      </w:pPr>
      <w:r w:rsidRPr="008601C2">
        <w:rPr>
          <w:rFonts w:ascii="Carlito" w:hAnsi="Carlito"/>
          <w:position w:val="6"/>
          <w:sz w:val="13"/>
        </w:rPr>
        <w:t xml:space="preserve">2 </w:t>
      </w:r>
      <w:r w:rsidRPr="008601C2">
        <w:rPr>
          <w:sz w:val="18"/>
        </w:rPr>
        <w:t>Corte Constitucional. Sala Plena. Magistrado Ponente: Mauricio González Cuervo. Sentencia C-435 de 10 de julio de 2010. Expediente D-9434.Dichos conceptos son aquellos en los que el sentido para la aplicación de la norma, no se encuentra determinado con exactitud en la ley.</w:t>
      </w:r>
    </w:p>
    <w:p w:rsidR="008F237B" w:rsidRPr="008601C2" w:rsidRDefault="008F237B">
      <w:pPr>
        <w:pStyle w:val="Textoindependiente"/>
        <w:spacing w:before="5"/>
        <w:rPr>
          <w:sz w:val="17"/>
        </w:rPr>
      </w:pPr>
    </w:p>
    <w:p w:rsidR="008F237B" w:rsidRPr="008601C2" w:rsidRDefault="00155904">
      <w:pPr>
        <w:ind w:left="300" w:right="303"/>
        <w:jc w:val="both"/>
        <w:rPr>
          <w:sz w:val="18"/>
        </w:rPr>
      </w:pPr>
      <w:r w:rsidRPr="008601C2">
        <w:rPr>
          <w:sz w:val="18"/>
        </w:rPr>
        <w:t>Consejo de Estado. Sala de lo Contencioso Administrativo. Sección Segunda. Subsección A. Consejero Ponente: William Hernández Gómez. Bogotá, D.C., 10 de mayo de 2018. Radicación número: 11001-03-25- 000-2011-00502-00(1.938-11).</w:t>
      </w:r>
    </w:p>
    <w:p w:rsidR="008F237B" w:rsidRPr="008601C2" w:rsidRDefault="00155904">
      <w:pPr>
        <w:spacing w:line="206" w:lineRule="exact"/>
        <w:ind w:left="300"/>
        <w:rPr>
          <w:sz w:val="18"/>
        </w:rPr>
      </w:pPr>
      <w:r w:rsidRPr="008601C2">
        <w:rPr>
          <w:sz w:val="18"/>
        </w:rPr>
        <w:t>(…)</w:t>
      </w:r>
    </w:p>
    <w:p w:rsidR="008F237B" w:rsidRPr="008601C2" w:rsidRDefault="008F237B">
      <w:pPr>
        <w:pStyle w:val="Textoindependiente"/>
        <w:spacing w:before="1"/>
        <w:rPr>
          <w:sz w:val="18"/>
        </w:rPr>
      </w:pPr>
    </w:p>
    <w:p w:rsidR="008F237B" w:rsidRPr="008601C2" w:rsidRDefault="00155904">
      <w:pPr>
        <w:ind w:left="300" w:right="309"/>
        <w:jc w:val="both"/>
        <w:rPr>
          <w:sz w:val="18"/>
        </w:rPr>
      </w:pPr>
      <w:r w:rsidRPr="008601C2">
        <w:rPr>
          <w:sz w:val="18"/>
        </w:rPr>
        <w:t>“Conviene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p>
    <w:p w:rsidR="008F237B" w:rsidRPr="008601C2" w:rsidRDefault="008F237B">
      <w:pPr>
        <w:pStyle w:val="Textoindependiente"/>
        <w:spacing w:before="2"/>
        <w:rPr>
          <w:sz w:val="23"/>
        </w:rPr>
      </w:pPr>
    </w:p>
    <w:p w:rsidR="008F237B" w:rsidRPr="008601C2" w:rsidRDefault="00155904">
      <w:pPr>
        <w:spacing w:before="1"/>
        <w:ind w:left="300" w:right="304" w:firstLine="707"/>
        <w:jc w:val="both"/>
        <w:rPr>
          <w:sz w:val="18"/>
        </w:rPr>
      </w:pPr>
      <w:r w:rsidRPr="008601C2">
        <w:rPr>
          <w:rFonts w:ascii="Carlito" w:hAnsi="Carlito"/>
          <w:sz w:val="18"/>
          <w:vertAlign w:val="superscript"/>
        </w:rPr>
        <w:t>3</w:t>
      </w:r>
      <w:r w:rsidRPr="008601C2">
        <w:rPr>
          <w:rFonts w:ascii="Carlito" w:hAnsi="Carlito"/>
          <w:sz w:val="18"/>
        </w:rPr>
        <w:t xml:space="preserve"> </w:t>
      </w:r>
      <w:r w:rsidRPr="008601C2">
        <w:rPr>
          <w:sz w:val="18"/>
        </w:rPr>
        <w:t>Gaceta 71 de 2005. Proyecto de Ley Número 216 de 2005, “por medio del cual se regula la igualdad entre los candidatos a la Presidencia de la República y las demás materias que establece el Acto Legislativo No. 02 de 2004”. Exposición de motivos: “Es claro que en una campaña electoral en la cual el 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w:t>
      </w:r>
      <w:r w:rsidRPr="008601C2">
        <w:rPr>
          <w:spacing w:val="-12"/>
          <w:sz w:val="18"/>
        </w:rPr>
        <w:t xml:space="preserve"> </w:t>
      </w:r>
      <w:r w:rsidRPr="008601C2">
        <w:rPr>
          <w:sz w:val="18"/>
        </w:rPr>
        <w:t>República”.</w:t>
      </w:r>
    </w:p>
    <w:p w:rsidR="008F237B" w:rsidRPr="008601C2" w:rsidRDefault="008F237B">
      <w:pPr>
        <w:jc w:val="both"/>
        <w:rPr>
          <w:sz w:val="18"/>
        </w:rPr>
        <w:sectPr w:rsidR="008F237B" w:rsidRPr="008601C2">
          <w:pgSz w:w="12240" w:h="15840"/>
          <w:pgMar w:top="1560" w:right="1300" w:bottom="206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5"/>
        <w:rPr>
          <w:sz w:val="16"/>
        </w:rPr>
      </w:pPr>
    </w:p>
    <w:p w:rsidR="008F237B" w:rsidRPr="008601C2" w:rsidRDefault="00155904">
      <w:pPr>
        <w:pStyle w:val="Textoindependiente"/>
        <w:spacing w:before="93"/>
        <w:ind w:left="1005" w:right="1012"/>
        <w:jc w:val="both"/>
      </w:pPr>
      <w:r w:rsidRPr="008601C2">
        <w:t>prohibiciones aplicables a los servidores públicos no considerados en el inciso segundo del artículo 127 de nuestra Constitución. Básicamente se busca impedir que el cargo que se ostente sea utilizado para promover una candidatura o ejercer presión sobre los subordinados para determinar su voluntad de elección. Asimismo, para no oponer el derecho político del empleado público a su derecho al trabajo, se ha establecido que si dicho servidor se encuentra en carrera administrativa pueda pedir una licencia no remunerada para realizar su campaña electoral.</w:t>
      </w:r>
    </w:p>
    <w:p w:rsidR="008F237B" w:rsidRPr="008601C2" w:rsidRDefault="008F237B">
      <w:pPr>
        <w:pStyle w:val="Textoindependiente"/>
        <w:spacing w:before="4"/>
        <w:rPr>
          <w:sz w:val="25"/>
        </w:rPr>
      </w:pPr>
    </w:p>
    <w:p w:rsidR="008F237B" w:rsidRPr="008601C2" w:rsidRDefault="00155904">
      <w:pPr>
        <w:pStyle w:val="Textoindependiente"/>
        <w:spacing w:line="276" w:lineRule="auto"/>
        <w:ind w:left="300" w:right="309"/>
        <w:jc w:val="both"/>
      </w:pPr>
      <w:r w:rsidRPr="008601C2">
        <w:t>En este sentido, el objetivo de la Ley 996 de 2005 es evitar que un funcionario público que se encuentra en campaña electoral o apoyando alguna candidatura, haga uso de su cargo para influenciar a terceros para que voten de una determinada forma, es decir, que afecte la intención de</w:t>
      </w:r>
      <w:r w:rsidRPr="008601C2">
        <w:rPr>
          <w:spacing w:val="-4"/>
        </w:rPr>
        <w:t xml:space="preserve"> </w:t>
      </w:r>
      <w:r w:rsidRPr="008601C2">
        <w:t>voto.</w:t>
      </w:r>
    </w:p>
    <w:p w:rsidR="008F237B" w:rsidRPr="008601C2" w:rsidRDefault="008F237B">
      <w:pPr>
        <w:pStyle w:val="Textoindependiente"/>
        <w:spacing w:before="4"/>
        <w:rPr>
          <w:sz w:val="25"/>
        </w:rPr>
      </w:pPr>
    </w:p>
    <w:p w:rsidR="008F237B" w:rsidRPr="008601C2" w:rsidRDefault="00155904">
      <w:pPr>
        <w:pStyle w:val="Textoindependiente"/>
        <w:spacing w:line="278" w:lineRule="auto"/>
        <w:ind w:left="300" w:right="305"/>
        <w:jc w:val="both"/>
      </w:pPr>
      <w:r w:rsidRPr="008601C2">
        <w:t>De acuerdo con el debate legislativo, se afecta el voto de una persona no sólo con la entrega de dinero público sino con la entrega de bienes del Estado. Es así como el artículo</w:t>
      </w:r>
    </w:p>
    <w:p w:rsidR="008F237B" w:rsidRPr="008601C2" w:rsidRDefault="00155904">
      <w:pPr>
        <w:pStyle w:val="Textoindependiente"/>
        <w:spacing w:line="276" w:lineRule="auto"/>
        <w:ind w:left="300" w:right="312"/>
        <w:jc w:val="both"/>
      </w:pPr>
      <w:r w:rsidRPr="008601C2">
        <w:t>3 del Proyecto de Ley Estatutaria Número 216 de 2005 prohibió al presidente, en la campaña presidencial, “entregar personalmente subsidios del Estado o cualquier otro dinero del Estado o producto de donaciones de terceros al Gobierno Nacional”.</w:t>
      </w:r>
    </w:p>
    <w:p w:rsidR="008F237B" w:rsidRPr="008601C2" w:rsidRDefault="008F237B">
      <w:pPr>
        <w:pStyle w:val="Textoindependiente"/>
        <w:spacing w:before="9"/>
        <w:rPr>
          <w:sz w:val="24"/>
        </w:rPr>
      </w:pPr>
    </w:p>
    <w:p w:rsidR="008F237B" w:rsidRPr="008601C2" w:rsidRDefault="00155904">
      <w:pPr>
        <w:pStyle w:val="Textoindependiente"/>
        <w:spacing w:before="1" w:line="276" w:lineRule="auto"/>
        <w:ind w:left="300" w:right="310"/>
        <w:jc w:val="both"/>
      </w:pPr>
      <w:r w:rsidRPr="008601C2">
        <w:t xml:space="preserve">Sin embargo, posteriormente, la Gaceta del Congreso No. 231 del 5 de mayo de 2005 cambió el sentido de la prohibición, incluyendo que el presidente no podrá: “Entregar personalmente recursos </w:t>
      </w:r>
      <w:r w:rsidRPr="008601C2">
        <w:rPr>
          <w:i/>
        </w:rPr>
        <w:t xml:space="preserve">o bienes estatales </w:t>
      </w:r>
      <w:r w:rsidRPr="008601C2">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w:rsidR="008F237B" w:rsidRPr="008601C2" w:rsidRDefault="008F237B">
      <w:pPr>
        <w:pStyle w:val="Textoindependiente"/>
        <w:spacing w:before="4"/>
        <w:rPr>
          <w:sz w:val="25"/>
        </w:rPr>
      </w:pPr>
    </w:p>
    <w:p w:rsidR="008F237B" w:rsidRPr="008601C2" w:rsidRDefault="00155904">
      <w:pPr>
        <w:pStyle w:val="Textoindependiente"/>
        <w:spacing w:line="276" w:lineRule="auto"/>
        <w:ind w:left="300" w:right="310"/>
        <w:jc w:val="both"/>
      </w:pPr>
      <w:r w:rsidRPr="008601C2">
        <w:t>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w:t>
      </w:r>
      <w:r w:rsidRPr="008601C2">
        <w:rPr>
          <w:spacing w:val="-22"/>
        </w:rPr>
        <w:t xml:space="preserve"> </w:t>
      </w:r>
      <w:r w:rsidRPr="008601C2">
        <w:t>uso.</w:t>
      </w:r>
    </w:p>
    <w:p w:rsidR="008F237B" w:rsidRPr="008601C2" w:rsidRDefault="008F237B">
      <w:pPr>
        <w:pStyle w:val="Textoindependiente"/>
        <w:spacing w:before="5"/>
        <w:rPr>
          <w:sz w:val="25"/>
        </w:rPr>
      </w:pPr>
    </w:p>
    <w:p w:rsidR="008F237B" w:rsidRPr="008601C2" w:rsidRDefault="00155904">
      <w:pPr>
        <w:pStyle w:val="Textoindependiente"/>
        <w:spacing w:line="276" w:lineRule="auto"/>
        <w:ind w:left="300" w:right="309"/>
        <w:jc w:val="both"/>
      </w:pPr>
      <w:r w:rsidRPr="008601C2">
        <w:t>Explicado que el término “ejecución de recursos públicos” incluye no sólo la entrega de recursos que hacen parte del ciclo presupuestal de la entidad, sino también la entrega de bienes de dominio público surge el siguiente interrogante: ¿cuáles son los bienes que se pueden entregar o disponer de ellos por parte de los funcionarios</w:t>
      </w:r>
      <w:r w:rsidRPr="008601C2">
        <w:rPr>
          <w:spacing w:val="-21"/>
        </w:rPr>
        <w:t xml:space="preserve"> </w:t>
      </w:r>
      <w:r w:rsidRPr="008601C2">
        <w:t>públicos?</w:t>
      </w:r>
    </w:p>
    <w:p w:rsidR="008F237B" w:rsidRPr="008601C2" w:rsidRDefault="008F237B">
      <w:pPr>
        <w:spacing w:line="276" w:lineRule="auto"/>
        <w:jc w:val="both"/>
        <w:sectPr w:rsidR="008F237B" w:rsidRPr="008601C2">
          <w:pgSz w:w="12240" w:h="15840"/>
          <w:pgMar w:top="1560" w:right="1300" w:bottom="208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rPr>
          <w:sz w:val="20"/>
        </w:rPr>
      </w:pPr>
    </w:p>
    <w:p w:rsidR="008F237B" w:rsidRPr="008601C2" w:rsidRDefault="008F237B">
      <w:pPr>
        <w:pStyle w:val="Textoindependiente"/>
        <w:spacing w:before="11"/>
        <w:rPr>
          <w:sz w:val="21"/>
        </w:rPr>
      </w:pPr>
    </w:p>
    <w:p w:rsidR="008F237B" w:rsidRPr="008601C2" w:rsidRDefault="00155904">
      <w:pPr>
        <w:pStyle w:val="Textoindependiente"/>
        <w:spacing w:before="93" w:line="276" w:lineRule="auto"/>
        <w:ind w:left="300" w:right="305"/>
        <w:jc w:val="both"/>
      </w:pPr>
      <w:r w:rsidRPr="008601C2">
        <w:t>Los bienes de dominio público, de acuerdo con la Corte Constitucional, en la sentencia C- 183 de 2003, Magistrado Ponente: Alberto Beltrán Sierra, son “el conjunto de bienes que la administración afecta al uso directo de la comunidad o que lo utiliza para servir a la sociedad”. Dentro de esta categoría se encuentran los bienes fiscales y los bienes de uso público.</w:t>
      </w:r>
    </w:p>
    <w:p w:rsidR="008F237B" w:rsidRPr="008601C2" w:rsidRDefault="008F237B">
      <w:pPr>
        <w:pStyle w:val="Textoindependiente"/>
        <w:spacing w:before="2"/>
        <w:rPr>
          <w:sz w:val="25"/>
        </w:rPr>
      </w:pPr>
    </w:p>
    <w:p w:rsidR="008F237B" w:rsidRPr="008601C2" w:rsidRDefault="00155904">
      <w:pPr>
        <w:pStyle w:val="Textoindependiente"/>
        <w:spacing w:line="276" w:lineRule="auto"/>
        <w:ind w:left="300" w:right="304"/>
        <w:jc w:val="both"/>
      </w:pPr>
      <w:r w:rsidRPr="008601C2">
        <w:t>Los bienes fiscales, de acuerdo con el Alto Tribunal Constitucional, en la sentencia C-183 de 2003</w:t>
      </w:r>
      <w:r w:rsidRPr="008601C2">
        <w:rPr>
          <w:vertAlign w:val="superscript"/>
        </w:rPr>
        <w:t>4</w:t>
      </w:r>
      <w:r w:rsidRPr="008601C2">
        <w:t>, están destinados a la prestación de servicios públicos que la Administración utiliza de forma inmediata, como los edificios donde funcionan las oficinas públicas. A su vez, el Consejo de Estado, Sección Tercera, radicado 21.699, Consejera Ponente Ruth Stella Correa Palacio</w:t>
      </w:r>
      <w:r w:rsidRPr="008601C2">
        <w:rPr>
          <w:vertAlign w:val="superscript"/>
        </w:rPr>
        <w:t>5</w:t>
      </w:r>
      <w:r w:rsidRPr="008601C2">
        <w:t xml:space="preserve">, los define como aquellos que pertenecen a sujetos de derecho público pero su uso no pertenece generalmente a los habitantes, de tal forma </w:t>
      </w:r>
      <w:r w:rsidRPr="008601C2">
        <w:rPr>
          <w:spacing w:val="2"/>
        </w:rPr>
        <w:t xml:space="preserve">que </w:t>
      </w:r>
      <w:r w:rsidRPr="008601C2">
        <w:t>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w:t>
      </w:r>
      <w:r w:rsidRPr="008601C2">
        <w:rPr>
          <w:spacing w:val="-3"/>
        </w:rPr>
        <w:t xml:space="preserve"> </w:t>
      </w:r>
      <w:r w:rsidRPr="008601C2">
        <w:t>otros.</w:t>
      </w:r>
    </w:p>
    <w:p w:rsidR="008F237B" w:rsidRPr="008601C2" w:rsidRDefault="008F237B">
      <w:pPr>
        <w:pStyle w:val="Textoindependiente"/>
        <w:spacing w:before="3"/>
        <w:rPr>
          <w:sz w:val="25"/>
        </w:rPr>
      </w:pPr>
    </w:p>
    <w:p w:rsidR="008F237B" w:rsidRPr="008601C2" w:rsidRDefault="00155904">
      <w:pPr>
        <w:pStyle w:val="Textoindependiente"/>
        <w:spacing w:line="276" w:lineRule="auto"/>
        <w:ind w:left="300" w:right="310"/>
        <w:jc w:val="both"/>
      </w:pPr>
      <w:r w:rsidRPr="008601C2">
        <w:t>Ahora, el artículo 674 del Código Civil define los bienes de dominio público como aquellos que “(…) pertenece a todos los habitantes de un Territorio, como el de calles, plazas, puentes y caminos, se llaman bienes de la Unión o de uso público o bienes públicos del</w:t>
      </w:r>
    </w:p>
    <w:p w:rsidR="008F237B" w:rsidRPr="008601C2" w:rsidRDefault="008F237B">
      <w:pPr>
        <w:pStyle w:val="Textoindependiente"/>
        <w:rPr>
          <w:sz w:val="20"/>
        </w:rPr>
      </w:pPr>
    </w:p>
    <w:p w:rsidR="008F237B" w:rsidRPr="008601C2" w:rsidRDefault="008F237B">
      <w:pPr>
        <w:pStyle w:val="Textoindependiente"/>
        <w:rPr>
          <w:sz w:val="20"/>
        </w:rPr>
      </w:pPr>
    </w:p>
    <w:p w:rsidR="008F237B" w:rsidRPr="008601C2" w:rsidRDefault="0095209E">
      <w:pPr>
        <w:pStyle w:val="Textoindependiente"/>
        <w:spacing w:before="8"/>
        <w:rPr>
          <w:sz w:val="23"/>
        </w:rPr>
      </w:pPr>
      <w:r w:rsidRPr="008601C2">
        <w:rPr>
          <w:noProof/>
          <w:lang w:val="en-US"/>
        </w:rPr>
        <mc:AlternateContent>
          <mc:Choice Requires="wps">
            <w:drawing>
              <wp:anchor distT="0" distB="0" distL="0" distR="0" simplePos="0" relativeHeight="487589376" behindDoc="1" locked="0" layoutInCell="1" allowOverlap="1" wp14:anchorId="3F195860" wp14:editId="4A6028A6">
                <wp:simplePos x="0" y="0"/>
                <wp:positionH relativeFrom="page">
                  <wp:posOffset>1080135</wp:posOffset>
                </wp:positionH>
                <wp:positionV relativeFrom="paragraph">
                  <wp:posOffset>198120</wp:posOffset>
                </wp:positionV>
                <wp:extent cx="182880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13DAD" id="Rectangle 5" o:spid="_x0000_s1026" style="position:absolute;margin-left:85.05pt;margin-top:15.6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nEcw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" fillcolor="black" stroked="f">
                <w10:wrap type="topAndBottom" anchorx="page"/>
              </v:rect>
            </w:pict>
          </mc:Fallback>
        </mc:AlternateContent>
      </w:r>
    </w:p>
    <w:p w:rsidR="008F237B" w:rsidRPr="008601C2" w:rsidRDefault="00155904">
      <w:pPr>
        <w:spacing w:before="76" w:line="266" w:lineRule="auto"/>
        <w:ind w:left="300" w:right="214" w:firstLine="709"/>
        <w:rPr>
          <w:sz w:val="18"/>
        </w:rPr>
      </w:pPr>
      <w:r w:rsidRPr="008601C2">
        <w:rPr>
          <w:rFonts w:ascii="Carlito" w:hAnsi="Carlito"/>
          <w:position w:val="8"/>
          <w:sz w:val="16"/>
        </w:rPr>
        <w:t xml:space="preserve">4 </w:t>
      </w:r>
      <w:r w:rsidRPr="008601C2">
        <w:rPr>
          <w:sz w:val="18"/>
        </w:rPr>
        <w:t>Corte Constitucional. Sala Plena. Magistrado Ponente: Alfredo Beltrán Sierra. Sentencia C-183 de 2003. Expediente D-4244.</w:t>
      </w:r>
    </w:p>
    <w:p w:rsidR="008F237B" w:rsidRPr="008601C2" w:rsidRDefault="00155904">
      <w:pPr>
        <w:spacing w:line="185" w:lineRule="exact"/>
        <w:ind w:left="300"/>
        <w:rPr>
          <w:sz w:val="18"/>
        </w:rPr>
      </w:pPr>
      <w:r w:rsidRPr="008601C2">
        <w:rPr>
          <w:sz w:val="18"/>
        </w:rPr>
        <w:t>(…)</w:t>
      </w:r>
    </w:p>
    <w:p w:rsidR="008F237B" w:rsidRPr="008601C2" w:rsidRDefault="008F237B">
      <w:pPr>
        <w:pStyle w:val="Textoindependiente"/>
        <w:spacing w:before="10"/>
        <w:rPr>
          <w:sz w:val="17"/>
        </w:rPr>
      </w:pPr>
    </w:p>
    <w:p w:rsidR="008F237B" w:rsidRPr="008601C2" w:rsidRDefault="00155904">
      <w:pPr>
        <w:ind w:left="300" w:right="357" w:firstLine="50"/>
        <w:jc w:val="both"/>
        <w:rPr>
          <w:sz w:val="18"/>
        </w:rPr>
      </w:pPr>
      <w:r w:rsidRPr="008601C2">
        <w:rPr>
          <w:sz w:val="18"/>
        </w:rPr>
        <w:t xml:space="preserve">“Los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w:t>
      </w:r>
      <w:proofErr w:type="spellStart"/>
      <w:r w:rsidRPr="008601C2">
        <w:rPr>
          <w:sz w:val="18"/>
        </w:rPr>
        <w:t>adjudicables</w:t>
      </w:r>
      <w:proofErr w:type="spellEnd"/>
      <w:r w:rsidRPr="008601C2">
        <w:rPr>
          <w:sz w:val="18"/>
        </w:rPr>
        <w:t>, que son aquellos que la Nación puede traspasar a los particulares que cumplan con las exigencias establecidas en la ley, como es el caso de los bienes</w:t>
      </w:r>
      <w:r w:rsidRPr="008601C2">
        <w:rPr>
          <w:spacing w:val="-13"/>
          <w:sz w:val="18"/>
        </w:rPr>
        <w:t xml:space="preserve"> </w:t>
      </w:r>
      <w:r w:rsidRPr="008601C2">
        <w:rPr>
          <w:sz w:val="18"/>
        </w:rPr>
        <w:t>baldíos”.</w:t>
      </w:r>
    </w:p>
    <w:p w:rsidR="008F237B" w:rsidRPr="008601C2" w:rsidRDefault="008F237B">
      <w:pPr>
        <w:pStyle w:val="Textoindependiente"/>
        <w:spacing w:before="11"/>
        <w:rPr>
          <w:sz w:val="18"/>
        </w:rPr>
      </w:pPr>
    </w:p>
    <w:p w:rsidR="008F237B" w:rsidRPr="008601C2" w:rsidRDefault="00155904">
      <w:pPr>
        <w:spacing w:line="242" w:lineRule="auto"/>
        <w:ind w:left="300" w:right="303" w:firstLine="707"/>
        <w:jc w:val="both"/>
        <w:rPr>
          <w:sz w:val="18"/>
        </w:rPr>
      </w:pPr>
      <w:r w:rsidRPr="008601C2">
        <w:rPr>
          <w:rFonts w:ascii="Carlito" w:hAnsi="Carlito"/>
          <w:position w:val="6"/>
          <w:sz w:val="13"/>
        </w:rPr>
        <w:t xml:space="preserve">5 </w:t>
      </w:r>
      <w:r w:rsidRPr="008601C2">
        <w:rPr>
          <w:sz w:val="18"/>
        </w:rPr>
        <w:t>Consejo de Estado. Sala de los Contencioso Administrativo. Sección Tercera. Magistrada Ponente: Ruth Stella Correa Palacio. Radicación número: 25000-23-26-000-1995-00704-00(21.699). Bogotá, D.C., 30 de abril de 2012: “Los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8601C2">
        <w:rPr>
          <w:spacing w:val="-31"/>
          <w:sz w:val="18"/>
        </w:rPr>
        <w:t xml:space="preserve"> </w:t>
      </w:r>
      <w:r w:rsidRPr="008601C2">
        <w:rPr>
          <w:sz w:val="18"/>
        </w:rPr>
        <w:t>propiedad”.</w:t>
      </w:r>
    </w:p>
    <w:p w:rsidR="008F237B" w:rsidRPr="008601C2" w:rsidRDefault="008F237B">
      <w:pPr>
        <w:spacing w:line="242" w:lineRule="auto"/>
        <w:jc w:val="both"/>
        <w:rPr>
          <w:sz w:val="18"/>
        </w:rPr>
        <w:sectPr w:rsidR="008F237B" w:rsidRPr="008601C2">
          <w:pgSz w:w="12240" w:h="15840"/>
          <w:pgMar w:top="1560" w:right="1300" w:bottom="214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9"/>
        <w:rPr>
          <w:sz w:val="15"/>
        </w:rPr>
      </w:pPr>
    </w:p>
    <w:p w:rsidR="008F237B" w:rsidRPr="008601C2" w:rsidRDefault="00155904">
      <w:pPr>
        <w:pStyle w:val="Textoindependiente"/>
        <w:spacing w:before="101" w:line="276" w:lineRule="auto"/>
        <w:ind w:left="300" w:right="303"/>
        <w:jc w:val="both"/>
      </w:pPr>
      <w:r w:rsidRPr="008601C2">
        <w:t>Territorio”. De acuerdo con la Corte Constitucional (sentencia C-183 de 2003)</w:t>
      </w:r>
      <w:r w:rsidRPr="008601C2">
        <w:rPr>
          <w:vertAlign w:val="superscript"/>
        </w:rPr>
        <w:t>6</w:t>
      </w:r>
      <w:r w:rsidRPr="008601C2">
        <w:t>, son bienes que pertenecen al Estado, destinados al uso común de todos los habitantes, y se encuentran por fuera del comercio. Por su parte, el Consejo de Estado</w:t>
      </w:r>
      <w:r w:rsidRPr="008601C2">
        <w:rPr>
          <w:vertAlign w:val="superscript"/>
        </w:rPr>
        <w:t>7</w:t>
      </w:r>
      <w:r w:rsidRPr="008601C2">
        <w:t>, Sección Tercera, radicado No. 36.711, Consejero Ponente Carlos Alberto Zambrano,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rsidR="008F237B" w:rsidRPr="008601C2" w:rsidRDefault="008F237B">
      <w:pPr>
        <w:pStyle w:val="Textoindependiente"/>
        <w:spacing w:before="5"/>
        <w:rPr>
          <w:sz w:val="25"/>
        </w:rPr>
      </w:pPr>
    </w:p>
    <w:p w:rsidR="008F237B" w:rsidRPr="008601C2" w:rsidRDefault="00155904">
      <w:pPr>
        <w:pStyle w:val="Textoindependiente"/>
        <w:spacing w:line="276" w:lineRule="auto"/>
        <w:ind w:left="300" w:right="304"/>
        <w:jc w:val="both"/>
      </w:pPr>
      <w:r w:rsidRPr="008601C2">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entre otras a través de la enajenación de bienes muebles a título gratuito entre entidades estatales y de esta forma harían parte del concepto de ejecución de recursos públicos de la Ley 996 de 2005.</w:t>
      </w:r>
    </w:p>
    <w:p w:rsidR="008F237B" w:rsidRPr="008601C2" w:rsidRDefault="008F237B">
      <w:pPr>
        <w:pStyle w:val="Textoindependiente"/>
        <w:spacing w:before="4"/>
        <w:rPr>
          <w:sz w:val="25"/>
        </w:rPr>
      </w:pPr>
    </w:p>
    <w:p w:rsidR="008F237B" w:rsidRPr="008601C2" w:rsidRDefault="00155904">
      <w:pPr>
        <w:pStyle w:val="Textoindependiente"/>
        <w:spacing w:line="276" w:lineRule="auto"/>
        <w:ind w:left="300" w:right="311"/>
        <w:jc w:val="both"/>
      </w:pPr>
      <w:r w:rsidRPr="008601C2">
        <w:t>Dado que su consulta hace referencia a la aplicación de la restricción del parágrafo del artículo 38 de la Ley 996 de 2005 frente al procedimiento establecido en el artículo 2.2.1.2.2.4.3 del Decreto 1082 de 2015 de enajenación de bienes a título gratuito entre entidades estatales a continuación, se expondrán las consideraciones de la Agencia Nacional de Contratación Pública frente a este procedimiento.</w:t>
      </w:r>
    </w:p>
    <w:p w:rsidR="008F237B" w:rsidRPr="008601C2" w:rsidRDefault="008F237B">
      <w:pPr>
        <w:pStyle w:val="Textoindependiente"/>
        <w:spacing w:before="3"/>
        <w:rPr>
          <w:sz w:val="25"/>
        </w:rPr>
      </w:pPr>
    </w:p>
    <w:p w:rsidR="008F237B" w:rsidRPr="008601C2" w:rsidRDefault="00155904">
      <w:pPr>
        <w:pStyle w:val="Textoindependiente"/>
        <w:spacing w:line="276" w:lineRule="auto"/>
        <w:ind w:left="300" w:right="304"/>
        <w:jc w:val="both"/>
      </w:pPr>
      <w:r w:rsidRPr="008601C2">
        <w:t>La normativa del sistema de compra pública no establece el significado de enajenar bienes a título gratuito, de manera que hay que recurrir a las normas generales para dotar de contenido dicha expresión, es así como el Código Civil define la donación como “un acto por el cual una persona transfiere, gratuita e irrevocablemente, una parte de sus bienes a</w:t>
      </w:r>
    </w:p>
    <w:p w:rsidR="008F237B" w:rsidRPr="008601C2" w:rsidRDefault="0095209E">
      <w:pPr>
        <w:pStyle w:val="Textoindependiente"/>
        <w:spacing w:before="11"/>
        <w:rPr>
          <w:sz w:val="27"/>
        </w:rPr>
      </w:pPr>
      <w:r w:rsidRPr="008601C2">
        <w:rPr>
          <w:noProof/>
          <w:lang w:val="en-US"/>
        </w:rPr>
        <mc:AlternateContent>
          <mc:Choice Requires="wps">
            <w:drawing>
              <wp:anchor distT="0" distB="0" distL="0" distR="0" simplePos="0" relativeHeight="487589888" behindDoc="1" locked="0" layoutInCell="1" allowOverlap="1" wp14:anchorId="660456F9" wp14:editId="4F897329">
                <wp:simplePos x="0" y="0"/>
                <wp:positionH relativeFrom="page">
                  <wp:posOffset>1080135</wp:posOffset>
                </wp:positionH>
                <wp:positionV relativeFrom="paragraph">
                  <wp:posOffset>229235</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4D03" id="Rectangle 4" o:spid="_x0000_s1026" style="position:absolute;margin-left:85.05pt;margin-top:18.05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" fillcolor="black" stroked="f">
                <w10:wrap type="topAndBottom" anchorx="page"/>
              </v:rect>
            </w:pict>
          </mc:Fallback>
        </mc:AlternateContent>
      </w:r>
    </w:p>
    <w:p w:rsidR="008F237B" w:rsidRPr="008601C2" w:rsidRDefault="00155904">
      <w:pPr>
        <w:spacing w:before="87" w:line="242" w:lineRule="auto"/>
        <w:ind w:left="300" w:right="305" w:firstLine="707"/>
        <w:jc w:val="both"/>
        <w:rPr>
          <w:sz w:val="18"/>
        </w:rPr>
      </w:pPr>
      <w:r w:rsidRPr="008601C2">
        <w:rPr>
          <w:rFonts w:ascii="Carlito" w:hAnsi="Carlito"/>
          <w:position w:val="6"/>
          <w:sz w:val="13"/>
        </w:rPr>
        <w:t xml:space="preserve">6 </w:t>
      </w:r>
      <w:r w:rsidRPr="008601C2">
        <w:rPr>
          <w:sz w:val="18"/>
        </w:rPr>
        <w:t>Corte Constitucional, sentencia C-183 de 2003: “Ahora,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uso público o bienes públicos del Territorio” (art. 674</w:t>
      </w:r>
      <w:r w:rsidRPr="008601C2">
        <w:rPr>
          <w:spacing w:val="-12"/>
          <w:sz w:val="18"/>
        </w:rPr>
        <w:t xml:space="preserve"> </w:t>
      </w:r>
      <w:r w:rsidRPr="008601C2">
        <w:rPr>
          <w:sz w:val="18"/>
        </w:rPr>
        <w:t>C.C.)”.</w:t>
      </w:r>
    </w:p>
    <w:p w:rsidR="008F237B" w:rsidRPr="008601C2" w:rsidRDefault="008F237B">
      <w:pPr>
        <w:pStyle w:val="Textoindependiente"/>
        <w:spacing w:before="3"/>
      </w:pPr>
    </w:p>
    <w:p w:rsidR="008F237B" w:rsidRPr="008601C2" w:rsidRDefault="00155904">
      <w:pPr>
        <w:spacing w:line="242" w:lineRule="auto"/>
        <w:ind w:left="300" w:right="303" w:firstLine="707"/>
        <w:jc w:val="both"/>
        <w:rPr>
          <w:sz w:val="18"/>
        </w:rPr>
      </w:pPr>
      <w:r w:rsidRPr="008601C2">
        <w:rPr>
          <w:rFonts w:ascii="Carlito" w:hAnsi="Carlito"/>
          <w:position w:val="6"/>
          <w:sz w:val="13"/>
        </w:rPr>
        <w:t xml:space="preserve">7 </w:t>
      </w:r>
      <w:r w:rsidRPr="008601C2">
        <w:rPr>
          <w:sz w:val="18"/>
        </w:rPr>
        <w:t>Consejo de Estado. Sala de lo Contencioso Administrativo. Sección Tercera. Subsección A. Consejero Ponente: Carlos Alberto Zambrano Barrera. Radicación número: 25000-23-26-000-00821- 01(36.711). Bogotá D.C., 19 de julio de 2018</w:t>
      </w:r>
      <w:proofErr w:type="gramStart"/>
      <w:r w:rsidRPr="008601C2">
        <w:rPr>
          <w:sz w:val="18"/>
        </w:rPr>
        <w:t>: ”En</w:t>
      </w:r>
      <w:proofErr w:type="gramEnd"/>
      <w:r w:rsidRPr="008601C2">
        <w:rPr>
          <w:sz w:val="18"/>
        </w:rPr>
        <w:t xml:space="preserve"> este orden de ideas, se ha señalado que los bienes de uso público son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w:t>
      </w:r>
      <w:r w:rsidRPr="008601C2">
        <w:rPr>
          <w:spacing w:val="-3"/>
          <w:sz w:val="18"/>
        </w:rPr>
        <w:t xml:space="preserve"> </w:t>
      </w:r>
      <w:r w:rsidRPr="008601C2">
        <w:rPr>
          <w:sz w:val="18"/>
        </w:rPr>
        <w:t>general.”</w:t>
      </w:r>
    </w:p>
    <w:p w:rsidR="008F237B" w:rsidRPr="008601C2" w:rsidRDefault="008F237B">
      <w:pPr>
        <w:spacing w:line="242" w:lineRule="auto"/>
        <w:jc w:val="both"/>
        <w:rPr>
          <w:sz w:val="18"/>
        </w:rPr>
        <w:sectPr w:rsidR="008F237B" w:rsidRPr="008601C2">
          <w:pgSz w:w="12240" w:h="15840"/>
          <w:pgMar w:top="1560" w:right="1300" w:bottom="214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9"/>
        <w:rPr>
          <w:sz w:val="15"/>
        </w:rPr>
      </w:pPr>
    </w:p>
    <w:p w:rsidR="008F237B" w:rsidRPr="008601C2" w:rsidRDefault="00155904">
      <w:pPr>
        <w:pStyle w:val="Textoindependiente"/>
        <w:spacing w:before="101" w:line="276" w:lineRule="auto"/>
        <w:ind w:left="300" w:right="304"/>
        <w:jc w:val="both"/>
      </w:pPr>
      <w:r w:rsidRPr="008601C2">
        <w:t>otra persona que la acepta”</w:t>
      </w:r>
      <w:r w:rsidRPr="008601C2">
        <w:rPr>
          <w:vertAlign w:val="superscript"/>
        </w:rPr>
        <w:t>8</w:t>
      </w:r>
      <w:r w:rsidRPr="008601C2">
        <w:t>, la Sección Tercera del Consejo de Estado, en sentencia del 25 de mayo de 2016 con ponencia de Hernán Andrade Rincón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ii) la aceptación de quien recibirá el beneficio económico – donatario</w:t>
      </w:r>
      <w:r w:rsidRPr="008601C2">
        <w:rPr>
          <w:vertAlign w:val="superscript"/>
        </w:rPr>
        <w:t>9</w:t>
      </w:r>
      <w:r w:rsidRPr="008601C2">
        <w:t>.</w:t>
      </w:r>
    </w:p>
    <w:p w:rsidR="008F237B" w:rsidRPr="008601C2" w:rsidRDefault="008F237B">
      <w:pPr>
        <w:pStyle w:val="Textoindependiente"/>
        <w:spacing w:before="3"/>
        <w:rPr>
          <w:sz w:val="25"/>
        </w:rPr>
      </w:pPr>
    </w:p>
    <w:p w:rsidR="008F237B" w:rsidRPr="008601C2" w:rsidRDefault="00155904">
      <w:pPr>
        <w:pStyle w:val="Textoindependiente"/>
        <w:spacing w:before="1" w:line="276" w:lineRule="auto"/>
        <w:ind w:left="300" w:right="307"/>
        <w:jc w:val="both"/>
      </w:pPr>
      <w:r w:rsidRPr="008601C2">
        <w:t>Conforme a lo anterior, la celebración de un contrato de donación se constituye como un verdadero acto traslaticio del dominio</w:t>
      </w:r>
      <w:r w:rsidRPr="008601C2">
        <w:rPr>
          <w:vertAlign w:val="superscript"/>
        </w:rPr>
        <w:t>10</w:t>
      </w:r>
      <w:r w:rsidRPr="008601C2">
        <w:t xml:space="preserve"> y en consecuencia como la expresión “ejecución de recursos públicos” del parágrafo del artículo 38 de la Ley 996 de 2005 no solo se entiende a los recursos que integran el ciclo presupuestal de la entidad, sino también los bienes fiscales de los que puede disponer la entidad que se entregan a título gratuito, porque con ello podría influenciarse la intención de voto de quien recibe el</w:t>
      </w:r>
      <w:r w:rsidRPr="008601C2">
        <w:rPr>
          <w:spacing w:val="-20"/>
        </w:rPr>
        <w:t xml:space="preserve"> </w:t>
      </w:r>
      <w:r w:rsidRPr="008601C2">
        <w:t>bien.</w:t>
      </w:r>
    </w:p>
    <w:p w:rsidR="008F237B" w:rsidRPr="008601C2" w:rsidRDefault="008F237B">
      <w:pPr>
        <w:pStyle w:val="Textoindependiente"/>
        <w:spacing w:before="4"/>
        <w:rPr>
          <w:sz w:val="25"/>
        </w:rPr>
      </w:pPr>
    </w:p>
    <w:p w:rsidR="008F237B" w:rsidRPr="008601C2" w:rsidRDefault="00155904">
      <w:pPr>
        <w:pStyle w:val="Textoindependiente"/>
        <w:spacing w:line="276" w:lineRule="auto"/>
        <w:ind w:left="300" w:right="306"/>
        <w:jc w:val="both"/>
      </w:pPr>
      <w:r w:rsidRPr="008601C2">
        <w:t>El parágrafo del artículo 38 de la Ley en cita, igualmente prohíbe la celebración de contratos o convenios interadministrativos, la tipología de contrato interadministrativo fue creada en la Ley 80 de 1993, y aunque no la definió ni desarrolló, el Decreto 1082 de 2015, “Por medio del cual se expide el Decreto único reglamentario del sector administrativo de planeación nacional”, califica a los contratos o contratos interadministrativos como aquella contratación entre entidades estatales.</w:t>
      </w:r>
    </w:p>
    <w:p w:rsidR="008F237B" w:rsidRPr="008601C2" w:rsidRDefault="008F237B">
      <w:pPr>
        <w:pStyle w:val="Textoindependiente"/>
        <w:rPr>
          <w:sz w:val="20"/>
        </w:rPr>
      </w:pPr>
    </w:p>
    <w:p w:rsidR="008F237B" w:rsidRPr="008601C2" w:rsidRDefault="008F237B">
      <w:pPr>
        <w:pStyle w:val="Textoindependiente"/>
        <w:rPr>
          <w:sz w:val="20"/>
        </w:rPr>
      </w:pPr>
    </w:p>
    <w:p w:rsidR="008F237B" w:rsidRPr="008601C2" w:rsidRDefault="0095209E">
      <w:pPr>
        <w:pStyle w:val="Textoindependiente"/>
        <w:spacing w:before="8"/>
        <w:rPr>
          <w:sz w:val="28"/>
        </w:rPr>
      </w:pPr>
      <w:r w:rsidRPr="008601C2">
        <w:rPr>
          <w:noProof/>
          <w:lang w:val="en-US"/>
        </w:rPr>
        <mc:AlternateContent>
          <mc:Choice Requires="wps">
            <w:drawing>
              <wp:anchor distT="0" distB="0" distL="0" distR="0" simplePos="0" relativeHeight="487590400" behindDoc="1" locked="0" layoutInCell="1" allowOverlap="1" wp14:anchorId="6713CA87" wp14:editId="7D4D86B0">
                <wp:simplePos x="0" y="0"/>
                <wp:positionH relativeFrom="page">
                  <wp:posOffset>1080135</wp:posOffset>
                </wp:positionH>
                <wp:positionV relativeFrom="paragraph">
                  <wp:posOffset>234950</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834F" id="Rectangle 3" o:spid="_x0000_s1026" style="position:absolute;margin-left:85.05pt;margin-top:18.5pt;width:2in;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" fillcolor="black" stroked="f">
                <w10:wrap type="topAndBottom" anchorx="page"/>
              </v:rect>
            </w:pict>
          </mc:Fallback>
        </mc:AlternateContent>
      </w:r>
    </w:p>
    <w:p w:rsidR="008F237B" w:rsidRPr="008601C2" w:rsidRDefault="00155904">
      <w:pPr>
        <w:spacing w:before="87" w:line="254" w:lineRule="auto"/>
        <w:ind w:left="300" w:right="313" w:firstLine="707"/>
        <w:jc w:val="both"/>
        <w:rPr>
          <w:sz w:val="18"/>
        </w:rPr>
      </w:pPr>
      <w:r w:rsidRPr="008601C2">
        <w:rPr>
          <w:rFonts w:ascii="Carlito" w:hAnsi="Carlito"/>
          <w:position w:val="6"/>
          <w:sz w:val="13"/>
        </w:rPr>
        <w:t xml:space="preserve">8 </w:t>
      </w:r>
      <w:r w:rsidRPr="008601C2">
        <w:rPr>
          <w:sz w:val="18"/>
        </w:rPr>
        <w:t>Código Civil, “Artículo 1443, La donación entre vivos es un acto por el cual una persona transfiere, gratuita e irrevocablemente, una parte de sus bienes a otra persona que la acepta”.</w:t>
      </w:r>
    </w:p>
    <w:p w:rsidR="008F237B" w:rsidRPr="008601C2" w:rsidRDefault="008F237B">
      <w:pPr>
        <w:pStyle w:val="Textoindependiente"/>
      </w:pPr>
    </w:p>
    <w:p w:rsidR="008F237B" w:rsidRPr="008601C2" w:rsidRDefault="00155904">
      <w:pPr>
        <w:spacing w:before="1"/>
        <w:ind w:left="300" w:right="303" w:firstLine="707"/>
        <w:jc w:val="both"/>
        <w:rPr>
          <w:sz w:val="18"/>
        </w:rPr>
      </w:pPr>
      <w:r w:rsidRPr="008601C2">
        <w:rPr>
          <w:rFonts w:ascii="Carlito" w:hAnsi="Carlito"/>
          <w:sz w:val="18"/>
          <w:vertAlign w:val="superscript"/>
        </w:rPr>
        <w:t>9</w:t>
      </w:r>
      <w:r w:rsidRPr="008601C2">
        <w:rPr>
          <w:rFonts w:ascii="Carlito" w:hAnsi="Carlito"/>
          <w:sz w:val="18"/>
        </w:rPr>
        <w:t xml:space="preserve"> </w:t>
      </w:r>
      <w:r w:rsidRPr="008601C2">
        <w:rPr>
          <w:sz w:val="18"/>
        </w:rPr>
        <w:t xml:space="preserve">El Consejo de Estado, Sala de lo Contencioso, Sección Tercera, Subsección A, Consejero Ponente: Hernán Andrade Rincón, en sentencia del 25 de mayo de 2016, con numero de radicado: 52001-23-31-000- 2011-00297-01(AP): “Al momento de su conceptualización la donación corrió igual fortuna, pues el artículo 1443 del Código Civil la define como el acto por el cual una persona transfiere, gratuita e irrevocablemente, una parte de sus bienes a otra que la acepta , lo que resulta de suyo impreciso, en tanto se está ante un verdadero contrato y no un mero acto ,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w:t>
      </w:r>
      <w:proofErr w:type="spellStart"/>
      <w:r w:rsidRPr="008601C2">
        <w:rPr>
          <w:sz w:val="18"/>
        </w:rPr>
        <w:t>negocial</w:t>
      </w:r>
      <w:proofErr w:type="spellEnd"/>
      <w:r w:rsidRPr="008601C2">
        <w:rPr>
          <w:sz w:val="18"/>
        </w:rPr>
        <w:t>. El contrato de donación, en últimas, constituirá el título traslaticio del dominio, tal como lo previene el artículo 745 del Código</w:t>
      </w:r>
      <w:r w:rsidRPr="008601C2">
        <w:rPr>
          <w:spacing w:val="-3"/>
          <w:sz w:val="18"/>
        </w:rPr>
        <w:t xml:space="preserve"> </w:t>
      </w:r>
      <w:r w:rsidRPr="008601C2">
        <w:rPr>
          <w:sz w:val="18"/>
        </w:rPr>
        <w:t>Civil”.</w:t>
      </w:r>
    </w:p>
    <w:p w:rsidR="008F237B" w:rsidRPr="008601C2" w:rsidRDefault="008F237B">
      <w:pPr>
        <w:pStyle w:val="Textoindependiente"/>
        <w:rPr>
          <w:sz w:val="20"/>
        </w:rPr>
      </w:pPr>
    </w:p>
    <w:p w:rsidR="008F237B" w:rsidRPr="008601C2" w:rsidRDefault="008F237B">
      <w:pPr>
        <w:pStyle w:val="Textoindependiente"/>
        <w:spacing w:before="3"/>
        <w:rPr>
          <w:sz w:val="20"/>
        </w:rPr>
      </w:pPr>
    </w:p>
    <w:p w:rsidR="008F237B" w:rsidRPr="008601C2" w:rsidRDefault="00155904">
      <w:pPr>
        <w:spacing w:line="254" w:lineRule="auto"/>
        <w:ind w:left="300" w:right="312" w:firstLine="707"/>
        <w:jc w:val="both"/>
        <w:rPr>
          <w:sz w:val="18"/>
        </w:rPr>
      </w:pPr>
      <w:r w:rsidRPr="008601C2">
        <w:rPr>
          <w:rFonts w:ascii="Carlito" w:hAnsi="Carlito"/>
          <w:position w:val="6"/>
          <w:sz w:val="13"/>
        </w:rPr>
        <w:t xml:space="preserve">10 </w:t>
      </w:r>
      <w:r w:rsidRPr="008601C2">
        <w:rPr>
          <w:sz w:val="18"/>
        </w:rPr>
        <w:t>Código Civil, “Artículo 745. Para que valga la tradición se requiere un título traslaticio de dominio, como el de venta, permuta, donación, etc.</w:t>
      </w:r>
    </w:p>
    <w:p w:rsidR="008F237B" w:rsidRPr="008601C2" w:rsidRDefault="008F237B">
      <w:pPr>
        <w:pStyle w:val="Textoindependiente"/>
        <w:spacing w:before="10"/>
        <w:rPr>
          <w:sz w:val="16"/>
        </w:rPr>
      </w:pPr>
    </w:p>
    <w:p w:rsidR="008F237B" w:rsidRPr="008601C2" w:rsidRDefault="00155904">
      <w:pPr>
        <w:ind w:left="300" w:right="214"/>
        <w:rPr>
          <w:sz w:val="18"/>
        </w:rPr>
      </w:pPr>
      <w:r w:rsidRPr="008601C2">
        <w:rPr>
          <w:sz w:val="18"/>
        </w:rPr>
        <w:t>“Se requiere, además que el título sea válido respecto de la persona a quien se confiere. Aso el título de donación irrevocable no transfiere el dominio entre cónyuges”.</w:t>
      </w:r>
    </w:p>
    <w:p w:rsidR="008F237B" w:rsidRPr="008601C2" w:rsidRDefault="008F237B">
      <w:pPr>
        <w:rPr>
          <w:sz w:val="18"/>
        </w:rPr>
        <w:sectPr w:rsidR="008F237B" w:rsidRPr="008601C2">
          <w:pgSz w:w="12240" w:h="15840"/>
          <w:pgMar w:top="1560" w:right="1300" w:bottom="206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5"/>
        <w:rPr>
          <w:sz w:val="16"/>
        </w:rPr>
      </w:pPr>
    </w:p>
    <w:p w:rsidR="008F237B" w:rsidRPr="008601C2" w:rsidRDefault="00155904">
      <w:pPr>
        <w:pStyle w:val="Textoindependiente"/>
        <w:spacing w:before="93" w:line="276" w:lineRule="auto"/>
        <w:ind w:left="300" w:right="306"/>
        <w:jc w:val="both"/>
      </w:pPr>
      <w:r w:rsidRPr="008601C2">
        <w:t>De conformidad con lo anterior, el contrato o convenio interadministrativo es el acuerdo en el que concurre la voluntad de dos o más personas jurídicas de derecho público con la finalidad de cumplir, en el marco de sus objetivos misionales y sus competencias, los fines del Estado. Es decir, los contratos o convenios interadministrativos nominados en la Ley 80 de 1993 están definidos por un criterio orgánico, pues es necesario que los extremos de la relación contractual sean entidades estatales. En otras palabras, cuando los extremos de la relación jurídica sean entidades estatales, se estará en presencia de un contrato o convenio</w:t>
      </w:r>
      <w:r w:rsidRPr="008601C2">
        <w:rPr>
          <w:spacing w:val="-2"/>
        </w:rPr>
        <w:t xml:space="preserve"> </w:t>
      </w:r>
      <w:r w:rsidRPr="008601C2">
        <w:t>interadministrativo.</w:t>
      </w:r>
    </w:p>
    <w:p w:rsidR="008F237B" w:rsidRPr="008601C2" w:rsidRDefault="008F237B">
      <w:pPr>
        <w:pStyle w:val="Textoindependiente"/>
        <w:spacing w:before="6"/>
        <w:rPr>
          <w:sz w:val="25"/>
        </w:rPr>
      </w:pPr>
    </w:p>
    <w:p w:rsidR="008F237B" w:rsidRPr="008601C2" w:rsidRDefault="00155904">
      <w:pPr>
        <w:pStyle w:val="Textoindependiente"/>
        <w:spacing w:line="276" w:lineRule="auto"/>
        <w:ind w:left="300" w:right="304"/>
        <w:jc w:val="both"/>
      </w:pPr>
      <w:r w:rsidRPr="008601C2">
        <w:t xml:space="preserve">En definitiva, la entidad estatal podrá adelantar el procedimiento de enajenación de bienes muebles a título gratuito, previsto en el artículo 2.2.1.2.2.4.3 del Decreto 1082 de 2015 con entidades estatales que no tengan naturaleza de entidad del orden departamental, distrital o municipal, pues adquiriría la connotación de contra o convenio interadministrativo de los prohibidos durante la vigencia de la Ley de Garantías. De igual manera, no podrán celebrarlos si la ejecución de recursos públicos incluye la entrega de bienes </w:t>
      </w:r>
      <w:proofErr w:type="spellStart"/>
      <w:r w:rsidRPr="008601C2">
        <w:t>publico</w:t>
      </w:r>
      <w:proofErr w:type="spellEnd"/>
      <w:r w:rsidRPr="008601C2">
        <w:t xml:space="preserve"> o de bienes fiscales por parte de los funcionarios, aun cuando sea a título</w:t>
      </w:r>
      <w:r w:rsidRPr="008601C2">
        <w:rPr>
          <w:spacing w:val="-22"/>
        </w:rPr>
        <w:t xml:space="preserve"> </w:t>
      </w:r>
      <w:r w:rsidRPr="008601C2">
        <w:t>gratuito.</w:t>
      </w:r>
    </w:p>
    <w:p w:rsidR="008F237B" w:rsidRPr="008601C2" w:rsidRDefault="008F237B">
      <w:pPr>
        <w:pStyle w:val="Textoindependiente"/>
        <w:spacing w:before="3"/>
        <w:rPr>
          <w:sz w:val="25"/>
        </w:rPr>
      </w:pPr>
    </w:p>
    <w:p w:rsidR="008F237B" w:rsidRPr="008601C2" w:rsidRDefault="00155904">
      <w:pPr>
        <w:pStyle w:val="Ttulo1"/>
        <w:numPr>
          <w:ilvl w:val="0"/>
          <w:numId w:val="1"/>
        </w:numPr>
        <w:tabs>
          <w:tab w:val="left" w:pos="544"/>
        </w:tabs>
        <w:spacing w:before="1"/>
        <w:ind w:hanging="244"/>
      </w:pPr>
      <w:r w:rsidRPr="008601C2">
        <w:t>Respuesta</w:t>
      </w:r>
    </w:p>
    <w:p w:rsidR="008F237B" w:rsidRPr="008601C2" w:rsidRDefault="008F237B">
      <w:pPr>
        <w:pStyle w:val="Textoindependiente"/>
        <w:spacing w:before="4"/>
        <w:rPr>
          <w:b/>
          <w:sz w:val="28"/>
        </w:rPr>
      </w:pPr>
    </w:p>
    <w:p w:rsidR="008F237B" w:rsidRPr="008601C2" w:rsidRDefault="00155904">
      <w:pPr>
        <w:pStyle w:val="Textoindependiente"/>
        <w:spacing w:before="1" w:line="276" w:lineRule="auto"/>
        <w:ind w:left="300" w:right="302"/>
        <w:jc w:val="both"/>
      </w:pPr>
      <w:r w:rsidRPr="008601C2">
        <w:t>El parágrafo del artículo 38 de la Ley 996 de 2005 prohíbe, para el periodo comprendido entre el 27 de junio al 27 de octubre de 2019, en cualquier elección local celebrar convenios o contratos interadministrativos que ejecuten recursos públicos, entre entidades del nivel</w:t>
      </w:r>
      <w:r w:rsidRPr="008601C2">
        <w:rPr>
          <w:spacing w:val="-1"/>
        </w:rPr>
        <w:t xml:space="preserve"> </w:t>
      </w:r>
      <w:r w:rsidRPr="008601C2">
        <w:t>territorial.</w:t>
      </w:r>
    </w:p>
    <w:p w:rsidR="008F237B" w:rsidRPr="008601C2" w:rsidRDefault="008F237B">
      <w:pPr>
        <w:pStyle w:val="Textoindependiente"/>
        <w:spacing w:before="4"/>
        <w:rPr>
          <w:sz w:val="25"/>
        </w:rPr>
      </w:pPr>
    </w:p>
    <w:p w:rsidR="008F237B" w:rsidRPr="008601C2" w:rsidRDefault="00155904">
      <w:pPr>
        <w:pStyle w:val="Textoindependiente"/>
        <w:spacing w:line="276" w:lineRule="auto"/>
        <w:ind w:left="300" w:right="306"/>
        <w:jc w:val="both"/>
      </w:pPr>
      <w:r w:rsidRPr="008601C2">
        <w:t>La finalidad de la Ley 996 de 2005 es brindar garantías que impidan a los funcionarios públicos el uso de sus cargos para incidir en el voto de ciudadanos. La ejecución de recursos públicos no solo se entiende frente a los que integran el ciclo presupuestal de la entidad, sino también otros bienes que se entregan a título gratuito, porque con ello podría influenciarse la intención de voto de quien recibe el bien.</w:t>
      </w:r>
    </w:p>
    <w:p w:rsidR="008F237B" w:rsidRPr="008601C2" w:rsidRDefault="008F237B">
      <w:pPr>
        <w:pStyle w:val="Textoindependiente"/>
        <w:spacing w:before="5"/>
        <w:rPr>
          <w:sz w:val="25"/>
        </w:rPr>
      </w:pPr>
    </w:p>
    <w:p w:rsidR="008F237B" w:rsidRPr="008601C2" w:rsidRDefault="00155904">
      <w:pPr>
        <w:pStyle w:val="Textoindependiente"/>
        <w:spacing w:line="276" w:lineRule="auto"/>
        <w:ind w:left="300" w:right="306"/>
        <w:jc w:val="both"/>
      </w:pPr>
      <w:r w:rsidRPr="008601C2">
        <w:t>Debido a que los contratos o convenios interadministrativos nominados en la Ley 80 de 1993 están precedidos de un criterio orgánico, lo que exige que los extremos de la relación contractual sean personas jurídicas de derecho público, indistintamente del bien o servicio objeto del acuerdo de voluntades, si la realización del procedimiento de enajenación de bienes muebles a título gratuito entre entidades se da entre entidades del orden territorial no será posible su celebración durante la vigencia de la Ley de Garantías, por celebrarse un contrato o convenio interadministrativo.</w:t>
      </w:r>
    </w:p>
    <w:p w:rsidR="008F237B" w:rsidRPr="008601C2" w:rsidRDefault="008F237B">
      <w:pPr>
        <w:spacing w:line="276" w:lineRule="auto"/>
        <w:jc w:val="both"/>
        <w:sectPr w:rsidR="008F237B" w:rsidRPr="008601C2">
          <w:pgSz w:w="12240" w:h="15840"/>
          <w:pgMar w:top="1560" w:right="1300" w:bottom="2140" w:left="1400" w:header="737" w:footer="1880" w:gutter="0"/>
          <w:cols w:space="720"/>
        </w:sectPr>
      </w:pPr>
    </w:p>
    <w:p w:rsidR="008F237B" w:rsidRPr="008601C2" w:rsidRDefault="008F237B">
      <w:pPr>
        <w:pStyle w:val="Textoindependiente"/>
        <w:rPr>
          <w:sz w:val="20"/>
        </w:rPr>
      </w:pPr>
    </w:p>
    <w:p w:rsidR="008F237B" w:rsidRPr="008601C2" w:rsidRDefault="008F237B">
      <w:pPr>
        <w:pStyle w:val="Textoindependiente"/>
        <w:spacing w:before="5"/>
        <w:rPr>
          <w:sz w:val="16"/>
        </w:rPr>
      </w:pPr>
    </w:p>
    <w:p w:rsidR="008F237B" w:rsidRPr="008601C2" w:rsidRDefault="00155904">
      <w:pPr>
        <w:pStyle w:val="Textoindependiente"/>
        <w:spacing w:before="93" w:line="276" w:lineRule="auto"/>
        <w:ind w:left="300" w:right="304"/>
        <w:jc w:val="both"/>
      </w:pPr>
      <w:r w:rsidRPr="008601C2">
        <w:t>Si el convenio o contrato interadministrativo que se celebra en virtud de la enajenación de bienes muebles se da entre una entidad del orden territorial y una entidad del orden nacional, ese contrato o convenio no se encuadra en la prohibición mencionada, por la participación de la entidad del orden territorial.</w:t>
      </w:r>
    </w:p>
    <w:p w:rsidR="008F237B" w:rsidRPr="008601C2" w:rsidRDefault="008F237B">
      <w:pPr>
        <w:pStyle w:val="Textoindependiente"/>
        <w:spacing w:before="4"/>
        <w:rPr>
          <w:sz w:val="25"/>
        </w:rPr>
      </w:pPr>
    </w:p>
    <w:p w:rsidR="008F237B" w:rsidRPr="008601C2" w:rsidRDefault="00155904">
      <w:pPr>
        <w:pStyle w:val="Textoindependiente"/>
        <w:spacing w:line="278" w:lineRule="auto"/>
        <w:ind w:left="300" w:right="311"/>
        <w:jc w:val="both"/>
      </w:pPr>
      <w:r w:rsidRPr="008601C2">
        <w:t>Este concepto tiene el alcance previsto en el artículo 28 del Código de Procedimiento Administrativo y de lo Contencioso Administrativo.</w:t>
      </w:r>
    </w:p>
    <w:p w:rsidR="008F237B" w:rsidRPr="008601C2" w:rsidRDefault="0095209E">
      <w:pPr>
        <w:pStyle w:val="Textoindependiente"/>
        <w:spacing w:before="6"/>
      </w:pPr>
      <w:r w:rsidRPr="008601C2">
        <w:rPr>
          <w:noProof/>
          <w:lang w:val="en-US"/>
        </w:rPr>
        <mc:AlternateContent>
          <mc:Choice Requires="wps">
            <w:drawing>
              <wp:anchor distT="0" distB="0" distL="0" distR="0" simplePos="0" relativeHeight="487590912" behindDoc="1" locked="0" layoutInCell="1" allowOverlap="1" wp14:anchorId="2235127D" wp14:editId="69130552">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943C" id="Freeform 2" o:spid="_x0000_s1026" style="position:absolute;margin-left:119.25pt;margin-top:15.3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rsidR="008F237B" w:rsidRPr="008601C2" w:rsidRDefault="008F237B">
      <w:pPr>
        <w:pStyle w:val="Textoindependiente"/>
        <w:spacing w:before="5"/>
        <w:rPr>
          <w:sz w:val="20"/>
        </w:rPr>
      </w:pPr>
    </w:p>
    <w:p w:rsidR="008F237B" w:rsidRPr="008601C2" w:rsidRDefault="00155904">
      <w:pPr>
        <w:pStyle w:val="Textoindependiente"/>
        <w:ind w:left="300"/>
      </w:pPr>
      <w:r w:rsidRPr="008601C2">
        <w:t>Atentamente,</w:t>
      </w:r>
    </w:p>
    <w:p w:rsidR="00733163" w:rsidRDefault="00733163" w:rsidP="00733163">
      <w:pPr>
        <w:pStyle w:val="Textoindependiente"/>
        <w:ind w:left="300"/>
        <w:jc w:val="center"/>
      </w:pPr>
      <w:r>
        <w:rPr>
          <w:noProof/>
          <w:lang w:val="en-US"/>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8F237B" w:rsidRPr="008601C2" w:rsidRDefault="00155904">
      <w:pPr>
        <w:pStyle w:val="Textoindependiente"/>
        <w:ind w:left="300"/>
      </w:pPr>
      <w:r w:rsidRPr="008601C2">
        <w:t>Proyectó: Ana María Pérez Cárdenas</w:t>
      </w:r>
    </w:p>
    <w:sectPr w:rsidR="008F237B" w:rsidRPr="008601C2">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F9" w:rsidRDefault="000522F9">
      <w:r>
        <w:separator/>
      </w:r>
    </w:p>
  </w:endnote>
  <w:endnote w:type="continuationSeparator" w:id="0">
    <w:p w:rsidR="000522F9" w:rsidRDefault="000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7B" w:rsidRDefault="00155904">
    <w:pPr>
      <w:pStyle w:val="Textoindependiente"/>
      <w:spacing w:line="14" w:lineRule="auto"/>
      <w:rPr>
        <w:sz w:val="20"/>
      </w:rPr>
    </w:pPr>
    <w:r>
      <w:rPr>
        <w:noProof/>
        <w:lang w:val="en-US"/>
      </w:rPr>
      <w:drawing>
        <wp:anchor distT="0" distB="0" distL="0" distR="0" simplePos="0" relativeHeight="487469568" behindDoc="1" locked="0" layoutInCell="1" allowOverlap="1" wp14:anchorId="787CC03E" wp14:editId="64E8104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F9" w:rsidRDefault="000522F9">
      <w:r>
        <w:separator/>
      </w:r>
    </w:p>
  </w:footnote>
  <w:footnote w:type="continuationSeparator" w:id="0">
    <w:p w:rsidR="000522F9" w:rsidRDefault="000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7B" w:rsidRDefault="00155904">
    <w:pPr>
      <w:pStyle w:val="Textoindependiente"/>
      <w:spacing w:line="14" w:lineRule="auto"/>
      <w:rPr>
        <w:sz w:val="20"/>
      </w:rPr>
    </w:pPr>
    <w:r>
      <w:rPr>
        <w:noProof/>
        <w:lang w:val="en-US"/>
      </w:rPr>
      <w:drawing>
        <wp:anchor distT="0" distB="0" distL="0" distR="0" simplePos="0" relativeHeight="487469056" behindDoc="1" locked="0" layoutInCell="1" allowOverlap="1" wp14:anchorId="528F66AB" wp14:editId="6262845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B607A"/>
    <w:multiLevelType w:val="hybridMultilevel"/>
    <w:tmpl w:val="FC668C44"/>
    <w:lvl w:ilvl="0" w:tplc="79F63E18">
      <w:start w:val="1"/>
      <w:numFmt w:val="decimal"/>
      <w:lvlText w:val="%1."/>
      <w:lvlJc w:val="left"/>
      <w:pPr>
        <w:ind w:left="543" w:hanging="243"/>
      </w:pPr>
      <w:rPr>
        <w:rFonts w:ascii="Arial" w:eastAsia="Arial" w:hAnsi="Arial" w:cs="Arial" w:hint="default"/>
        <w:b/>
        <w:bCs/>
        <w:color w:val="0D62A8"/>
        <w:spacing w:val="-1"/>
        <w:w w:val="100"/>
        <w:sz w:val="22"/>
        <w:szCs w:val="22"/>
        <w:lang w:val="es-ES" w:eastAsia="en-US" w:bidi="ar-SA"/>
      </w:rPr>
    </w:lvl>
    <w:lvl w:ilvl="1" w:tplc="984AF726">
      <w:numFmt w:val="bullet"/>
      <w:lvlText w:val="•"/>
      <w:lvlJc w:val="left"/>
      <w:pPr>
        <w:ind w:left="1440" w:hanging="243"/>
      </w:pPr>
      <w:rPr>
        <w:rFonts w:hint="default"/>
        <w:lang w:val="es-ES" w:eastAsia="en-US" w:bidi="ar-SA"/>
      </w:rPr>
    </w:lvl>
    <w:lvl w:ilvl="2" w:tplc="F738AB7C">
      <w:numFmt w:val="bullet"/>
      <w:lvlText w:val="•"/>
      <w:lvlJc w:val="left"/>
      <w:pPr>
        <w:ind w:left="2340" w:hanging="243"/>
      </w:pPr>
      <w:rPr>
        <w:rFonts w:hint="default"/>
        <w:lang w:val="es-ES" w:eastAsia="en-US" w:bidi="ar-SA"/>
      </w:rPr>
    </w:lvl>
    <w:lvl w:ilvl="3" w:tplc="48FA28CE">
      <w:numFmt w:val="bullet"/>
      <w:lvlText w:val="•"/>
      <w:lvlJc w:val="left"/>
      <w:pPr>
        <w:ind w:left="3240" w:hanging="243"/>
      </w:pPr>
      <w:rPr>
        <w:rFonts w:hint="default"/>
        <w:lang w:val="es-ES" w:eastAsia="en-US" w:bidi="ar-SA"/>
      </w:rPr>
    </w:lvl>
    <w:lvl w:ilvl="4" w:tplc="F0E8B750">
      <w:numFmt w:val="bullet"/>
      <w:lvlText w:val="•"/>
      <w:lvlJc w:val="left"/>
      <w:pPr>
        <w:ind w:left="4140" w:hanging="243"/>
      </w:pPr>
      <w:rPr>
        <w:rFonts w:hint="default"/>
        <w:lang w:val="es-ES" w:eastAsia="en-US" w:bidi="ar-SA"/>
      </w:rPr>
    </w:lvl>
    <w:lvl w:ilvl="5" w:tplc="3030F11C">
      <w:numFmt w:val="bullet"/>
      <w:lvlText w:val="•"/>
      <w:lvlJc w:val="left"/>
      <w:pPr>
        <w:ind w:left="5040" w:hanging="243"/>
      </w:pPr>
      <w:rPr>
        <w:rFonts w:hint="default"/>
        <w:lang w:val="es-ES" w:eastAsia="en-US" w:bidi="ar-SA"/>
      </w:rPr>
    </w:lvl>
    <w:lvl w:ilvl="6" w:tplc="58D09842">
      <w:numFmt w:val="bullet"/>
      <w:lvlText w:val="•"/>
      <w:lvlJc w:val="left"/>
      <w:pPr>
        <w:ind w:left="5940" w:hanging="243"/>
      </w:pPr>
      <w:rPr>
        <w:rFonts w:hint="default"/>
        <w:lang w:val="es-ES" w:eastAsia="en-US" w:bidi="ar-SA"/>
      </w:rPr>
    </w:lvl>
    <w:lvl w:ilvl="7" w:tplc="A2868E8A">
      <w:numFmt w:val="bullet"/>
      <w:lvlText w:val="•"/>
      <w:lvlJc w:val="left"/>
      <w:pPr>
        <w:ind w:left="6840" w:hanging="243"/>
      </w:pPr>
      <w:rPr>
        <w:rFonts w:hint="default"/>
        <w:lang w:val="es-ES" w:eastAsia="en-US" w:bidi="ar-SA"/>
      </w:rPr>
    </w:lvl>
    <w:lvl w:ilvl="8" w:tplc="EFFC260C">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7B"/>
    <w:rsid w:val="000522F9"/>
    <w:rsid w:val="00146D24"/>
    <w:rsid w:val="00155904"/>
    <w:rsid w:val="00552E58"/>
    <w:rsid w:val="00733163"/>
    <w:rsid w:val="007D6A8A"/>
    <w:rsid w:val="008601C2"/>
    <w:rsid w:val="008F237B"/>
    <w:rsid w:val="0095209E"/>
    <w:rsid w:val="00CE4D3B"/>
    <w:rsid w:val="00DF5381"/>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976E"/>
  <w15:docId w15:val="{7846C9E0-B589-4B42-A84E-C5FFB9D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D6F96-2D5A-4A6C-A4DD-A00129BAD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C1D15-1BFB-42E0-97C2-F8FD1AB912B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3581E32-FC59-473D-B02E-53AD0F8C1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3773</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dcterms:created xsi:type="dcterms:W3CDTF">2020-08-03T16:45:00Z</dcterms:created>
  <dcterms:modified xsi:type="dcterms:W3CDTF">2020-08-03T16:46:00Z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