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6CA2E" w14:textId="77777777" w:rsidR="00F53D91" w:rsidRPr="009D77F6" w:rsidRDefault="00F53D91" w:rsidP="0093186C">
      <w:pPr>
        <w:spacing w:before="94"/>
        <w:ind w:left="142" w:firstLine="42"/>
        <w:rPr>
          <w:sz w:val="20"/>
        </w:rPr>
      </w:pPr>
    </w:p>
    <w:p w14:paraId="1F0E638C" w14:textId="151FB648" w:rsidR="00F53D91" w:rsidRDefault="00F53D91" w:rsidP="605C4985">
      <w:pPr>
        <w:spacing w:line="259" w:lineRule="auto"/>
        <w:ind w:left="102"/>
        <w:jc w:val="both"/>
        <w:rPr>
          <w:b/>
          <w:bCs/>
        </w:rPr>
      </w:pPr>
      <w:r w:rsidRPr="605C4985">
        <w:rPr>
          <w:b/>
          <w:bCs/>
        </w:rPr>
        <w:t xml:space="preserve">DOCUMENTOS TIPO – </w:t>
      </w:r>
      <w:r w:rsidR="389D2151" w:rsidRPr="605C4985">
        <w:rPr>
          <w:b/>
          <w:bCs/>
        </w:rPr>
        <w:t>Inalterabilidad</w:t>
      </w:r>
    </w:p>
    <w:p w14:paraId="4D97A4B0" w14:textId="77777777" w:rsidR="00F53D91" w:rsidRPr="009D77F6" w:rsidRDefault="00F53D91" w:rsidP="0093186C">
      <w:pPr>
        <w:ind w:left="142" w:firstLine="42"/>
        <w:jc w:val="both"/>
      </w:pPr>
    </w:p>
    <w:p w14:paraId="4D95DE2F" w14:textId="77777777" w:rsidR="00F53D91" w:rsidRPr="009D77F6" w:rsidRDefault="00F53D91" w:rsidP="005A19DD">
      <w:pPr>
        <w:ind w:left="102"/>
        <w:jc w:val="both"/>
        <w:rPr>
          <w:sz w:val="20"/>
          <w:szCs w:val="20"/>
        </w:rPr>
      </w:pPr>
      <w:r w:rsidRPr="009D77F6">
        <w:rPr>
          <w:sz w:val="20"/>
          <w:szCs w:val="20"/>
        </w:rPr>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14:paraId="0979A0A5" w14:textId="77777777" w:rsidR="00F53D91" w:rsidRPr="009D77F6" w:rsidRDefault="00F53D91" w:rsidP="0093186C">
      <w:pPr>
        <w:ind w:left="142" w:firstLine="42"/>
        <w:jc w:val="both"/>
      </w:pPr>
    </w:p>
    <w:p w14:paraId="1A149F2E" w14:textId="77777777" w:rsidR="00F53D91" w:rsidRPr="009D77F6" w:rsidRDefault="00F53D91" w:rsidP="005A19DD">
      <w:pPr>
        <w:ind w:left="102"/>
        <w:jc w:val="both"/>
        <w:rPr>
          <w:b/>
          <w:bCs/>
        </w:rPr>
      </w:pPr>
      <w:r w:rsidRPr="009D77F6">
        <w:rPr>
          <w:b/>
          <w:bCs/>
        </w:rPr>
        <w:t>DOCUMENTOS TIPO – Experiencia</w:t>
      </w:r>
    </w:p>
    <w:p w14:paraId="242B54E5" w14:textId="77777777" w:rsidR="00F53D91" w:rsidRPr="009D77F6" w:rsidRDefault="00F53D91" w:rsidP="0093186C">
      <w:pPr>
        <w:ind w:left="142" w:firstLine="42"/>
        <w:jc w:val="both"/>
      </w:pPr>
    </w:p>
    <w:p w14:paraId="2D649CF9" w14:textId="77777777" w:rsidR="00F53D91" w:rsidRPr="009D77F6" w:rsidRDefault="00F53D91" w:rsidP="005A19DD">
      <w:pPr>
        <w:ind w:left="102"/>
        <w:jc w:val="both"/>
        <w:rPr>
          <w:sz w:val="20"/>
          <w:szCs w:val="20"/>
        </w:rPr>
      </w:pPr>
      <w:r w:rsidRPr="009D77F6">
        <w:rPr>
          <w:sz w:val="20"/>
          <w:szCs w:val="20"/>
        </w:rPr>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07E6D6C0" w14:textId="77777777" w:rsidR="00F53D91" w:rsidRPr="009D77F6" w:rsidRDefault="00F53D91" w:rsidP="0093186C">
      <w:pPr>
        <w:ind w:left="142" w:firstLine="42"/>
        <w:jc w:val="both"/>
      </w:pPr>
    </w:p>
    <w:p w14:paraId="3DC93281" w14:textId="7FC098CD" w:rsidR="00F53D91" w:rsidRPr="009D77F6" w:rsidRDefault="0014277A" w:rsidP="005A19DD">
      <w:pPr>
        <w:ind w:left="102"/>
        <w:jc w:val="both"/>
        <w:rPr>
          <w:b/>
          <w:bCs/>
        </w:rPr>
      </w:pPr>
      <w:r>
        <w:rPr>
          <w:b/>
          <w:bCs/>
        </w:rPr>
        <w:t>EXPERIENCIA – Certificación</w:t>
      </w:r>
      <w:r w:rsidR="00F53D91" w:rsidRPr="009D77F6">
        <w:rPr>
          <w:b/>
          <w:bCs/>
        </w:rPr>
        <w:t xml:space="preserve"> – Características</w:t>
      </w:r>
    </w:p>
    <w:p w14:paraId="6AA365E3" w14:textId="77777777" w:rsidR="00F53D91" w:rsidRPr="009D77F6" w:rsidRDefault="00F53D91" w:rsidP="0093186C">
      <w:pPr>
        <w:spacing w:after="12"/>
        <w:ind w:left="142" w:firstLine="42"/>
        <w:jc w:val="both"/>
        <w:rPr>
          <w:sz w:val="20"/>
          <w:szCs w:val="20"/>
        </w:rPr>
      </w:pPr>
    </w:p>
    <w:p w14:paraId="75F472F2" w14:textId="61BC0E76" w:rsidR="0093186C" w:rsidRDefault="00F53D91" w:rsidP="005A19DD">
      <w:pPr>
        <w:ind w:left="102"/>
        <w:jc w:val="both"/>
        <w:rPr>
          <w:sz w:val="20"/>
          <w:szCs w:val="20"/>
        </w:rPr>
      </w:pPr>
      <w:r w:rsidRPr="009D77F6">
        <w:rPr>
          <w:sz w:val="20"/>
          <w:szCs w:val="20"/>
        </w:rPr>
        <w:t xml:space="preserve">el numeral 3.5.1 establece las características que deben cumplir los contratos o certificaciones que se aporten para la acreditación de experiencia. Señala el literal A: A. Que las actividades ejecutadas correspondan a [Actividad o actividades señaladas en la ¡Error! No se encuentra el origen de la referencia.] y guarden relación directa </w:t>
      </w:r>
      <w:r w:rsidR="0093186C" w:rsidRPr="009D77F6">
        <w:rPr>
          <w:sz w:val="20"/>
          <w:szCs w:val="20"/>
        </w:rPr>
        <w:t>con el objeto del contrato.</w:t>
      </w:r>
    </w:p>
    <w:p w14:paraId="1988AC4E" w14:textId="1594D585" w:rsidR="00F53D91" w:rsidRPr="009D77F6" w:rsidRDefault="0093186C" w:rsidP="605C4985">
      <w:pPr>
        <w:spacing w:after="12"/>
        <w:ind w:left="142"/>
        <w:jc w:val="both"/>
        <w:rPr>
          <w:sz w:val="20"/>
          <w:szCs w:val="20"/>
        </w:rPr>
      </w:pPr>
      <w:r w:rsidRPr="605C4985">
        <w:rPr>
          <w:sz w:val="20"/>
          <w:szCs w:val="20"/>
        </w:rPr>
        <w:t>C</w:t>
      </w:r>
      <w:r w:rsidR="00F53D91" w:rsidRPr="605C4985">
        <w:rPr>
          <w:sz w:val="20"/>
          <w:szCs w:val="20"/>
        </w:rPr>
        <w:t>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w:t>
      </w:r>
    </w:p>
    <w:p w14:paraId="2B46E2F6" w14:textId="77777777" w:rsidR="00F53D91" w:rsidRPr="009D77F6" w:rsidRDefault="00F53D91" w:rsidP="0093186C">
      <w:pPr>
        <w:ind w:left="142" w:firstLine="42"/>
        <w:jc w:val="both"/>
      </w:pPr>
    </w:p>
    <w:p w14:paraId="597DBACD" w14:textId="151D6BFD" w:rsidR="00F53D91" w:rsidRPr="0014277A" w:rsidRDefault="00F53D91" w:rsidP="605C4985">
      <w:pPr>
        <w:ind w:left="102"/>
        <w:jc w:val="both"/>
        <w:rPr>
          <w:b/>
          <w:bCs/>
        </w:rPr>
      </w:pPr>
      <w:bookmarkStart w:id="0" w:name="_GoBack"/>
      <w:r w:rsidRPr="0014277A">
        <w:rPr>
          <w:b/>
          <w:bCs/>
        </w:rPr>
        <w:t xml:space="preserve">EXPERIENCIA </w:t>
      </w:r>
      <w:r w:rsidR="23AAA045" w:rsidRPr="0014277A">
        <w:rPr>
          <w:b/>
          <w:bCs/>
        </w:rPr>
        <w:t>EXIGIBLE – Etapa de planeación – Definición</w:t>
      </w:r>
    </w:p>
    <w:bookmarkEnd w:id="0"/>
    <w:p w14:paraId="47743698" w14:textId="77777777" w:rsidR="00F53D91" w:rsidRPr="009D77F6" w:rsidRDefault="00F53D91" w:rsidP="0093186C">
      <w:pPr>
        <w:spacing w:after="12"/>
        <w:ind w:left="142" w:firstLine="42"/>
        <w:jc w:val="both"/>
        <w:rPr>
          <w:sz w:val="20"/>
          <w:szCs w:val="20"/>
        </w:rPr>
      </w:pPr>
    </w:p>
    <w:p w14:paraId="71A10D01" w14:textId="3AA68C46" w:rsidR="00F53D91" w:rsidRPr="009D77F6" w:rsidRDefault="00F53D91" w:rsidP="005A19DD">
      <w:pPr>
        <w:ind w:left="102"/>
        <w:jc w:val="both"/>
      </w:pPr>
      <w:r w:rsidRPr="009D77F6">
        <w:rPr>
          <w:sz w:val="20"/>
          <w:szCs w:val="20"/>
        </w:rPr>
        <w:t>Para definir la experiencia exigible, la entidad estatal, en la etapa de planeación, debe tener en cuenta: i) el alcance del objeto a contratar, ii) el tipo de infraestructura, iii) las actividades definidas en la Matriz 1- Experiencia y iv) la cuantía del proceso de contratación.</w:t>
      </w:r>
    </w:p>
    <w:p w14:paraId="561C316A" w14:textId="77777777" w:rsidR="0093186C" w:rsidRPr="009D77F6" w:rsidRDefault="0093186C" w:rsidP="0093186C">
      <w:pPr>
        <w:ind w:left="142" w:firstLine="42"/>
        <w:jc w:val="both"/>
      </w:pPr>
    </w:p>
    <w:p w14:paraId="4A7CE2A3" w14:textId="77777777" w:rsidR="00F53D91" w:rsidRPr="009D77F6" w:rsidRDefault="00F53D91" w:rsidP="005A19DD">
      <w:pPr>
        <w:ind w:left="102"/>
        <w:jc w:val="both"/>
        <w:rPr>
          <w:b/>
          <w:bCs/>
        </w:rPr>
      </w:pPr>
      <w:r w:rsidRPr="009D77F6">
        <w:rPr>
          <w:b/>
          <w:bCs/>
        </w:rPr>
        <w:t>EXPERIENCIA – Actividad a contratar – Matriz 1</w:t>
      </w:r>
    </w:p>
    <w:p w14:paraId="340F6A0C" w14:textId="77777777" w:rsidR="00F53D91" w:rsidRPr="009D77F6" w:rsidRDefault="00F53D91" w:rsidP="0093186C">
      <w:pPr>
        <w:ind w:left="142" w:firstLine="42"/>
        <w:jc w:val="both"/>
      </w:pPr>
    </w:p>
    <w:p w14:paraId="4E64183D" w14:textId="77777777" w:rsidR="00F53D91" w:rsidRPr="009D77F6" w:rsidRDefault="00F53D91" w:rsidP="005A19DD">
      <w:pPr>
        <w:ind w:left="102"/>
        <w:jc w:val="both"/>
        <w:rPr>
          <w:sz w:val="20"/>
          <w:szCs w:val="20"/>
        </w:rPr>
      </w:pPr>
      <w:r w:rsidRPr="009D77F6">
        <w:rPr>
          <w:sz w:val="20"/>
          <w:szCs w:val="20"/>
        </w:rPr>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7102B9BE" w14:textId="77777777" w:rsidR="00F53D91" w:rsidRPr="009D77F6" w:rsidRDefault="00F53D91" w:rsidP="0093186C">
      <w:pPr>
        <w:ind w:left="142" w:firstLine="42"/>
        <w:jc w:val="both"/>
        <w:rPr>
          <w:sz w:val="21"/>
          <w:szCs w:val="21"/>
        </w:rPr>
      </w:pPr>
    </w:p>
    <w:p w14:paraId="109CA935" w14:textId="1851B09E" w:rsidR="00F53D91" w:rsidRPr="009D77F6" w:rsidRDefault="00F53D91" w:rsidP="005A19DD">
      <w:pPr>
        <w:ind w:left="102"/>
        <w:jc w:val="both"/>
        <w:rPr>
          <w:b/>
          <w:bCs/>
        </w:rPr>
      </w:pPr>
      <w:r w:rsidRPr="605C4985">
        <w:rPr>
          <w:b/>
          <w:bCs/>
        </w:rPr>
        <w:t xml:space="preserve">MATRIZ 1 – Experiencia – Condiciones </w:t>
      </w:r>
      <w:r w:rsidR="5E149069" w:rsidRPr="605C4985">
        <w:rPr>
          <w:b/>
          <w:bCs/>
        </w:rPr>
        <w:t>in</w:t>
      </w:r>
      <w:r w:rsidRPr="605C4985">
        <w:rPr>
          <w:b/>
          <w:bCs/>
        </w:rPr>
        <w:t>alterables</w:t>
      </w:r>
    </w:p>
    <w:p w14:paraId="65142168" w14:textId="77777777" w:rsidR="00F53D91" w:rsidRPr="009D77F6" w:rsidRDefault="00F53D91" w:rsidP="0093186C">
      <w:pPr>
        <w:ind w:left="142" w:firstLine="42"/>
        <w:jc w:val="both"/>
        <w:rPr>
          <w:sz w:val="21"/>
          <w:szCs w:val="21"/>
        </w:rPr>
      </w:pPr>
    </w:p>
    <w:p w14:paraId="505273BD" w14:textId="77777777" w:rsidR="00F53D91" w:rsidRPr="009D77F6" w:rsidRDefault="00F53D91" w:rsidP="005A19DD">
      <w:pPr>
        <w:ind w:left="102"/>
        <w:jc w:val="both"/>
        <w:rPr>
          <w:sz w:val="20"/>
          <w:szCs w:val="20"/>
        </w:rPr>
      </w:pPr>
      <w:r w:rsidRPr="009D77F6">
        <w:rPr>
          <w:sz w:val="20"/>
          <w:szCs w:val="20"/>
        </w:rPr>
        <w:lastRenderedPageBreak/>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062EF527" w14:textId="77777777" w:rsidR="00F53D91" w:rsidRPr="009D77F6" w:rsidRDefault="00F53D91" w:rsidP="0093186C">
      <w:pPr>
        <w:ind w:left="142" w:firstLine="42"/>
        <w:jc w:val="both"/>
      </w:pPr>
    </w:p>
    <w:p w14:paraId="527F8453" w14:textId="6251A796" w:rsidR="00F53D91" w:rsidRPr="009D77F6" w:rsidRDefault="00F53D91" w:rsidP="605C4985">
      <w:pPr>
        <w:ind w:left="102"/>
        <w:jc w:val="both"/>
        <w:rPr>
          <w:b/>
          <w:bCs/>
        </w:rPr>
      </w:pPr>
      <w:r w:rsidRPr="605C4985">
        <w:rPr>
          <w:b/>
          <w:bCs/>
        </w:rPr>
        <w:t xml:space="preserve">REGISTRO </w:t>
      </w:r>
      <w:r w:rsidR="00293DE9" w:rsidRPr="605C4985">
        <w:rPr>
          <w:b/>
          <w:bCs/>
        </w:rPr>
        <w:t>ÚNICO</w:t>
      </w:r>
      <w:r w:rsidRPr="605C4985">
        <w:rPr>
          <w:b/>
          <w:bCs/>
        </w:rPr>
        <w:t xml:space="preserve"> DE PROPONENTES – Marco normativo</w:t>
      </w:r>
      <w:r w:rsidR="6F668C32" w:rsidRPr="605C4985">
        <w:rPr>
          <w:b/>
          <w:bCs/>
        </w:rPr>
        <w:t xml:space="preserve"> – Contenido </w:t>
      </w:r>
    </w:p>
    <w:p w14:paraId="010455F9" w14:textId="77777777" w:rsidR="00F53D91" w:rsidRPr="009D77F6" w:rsidRDefault="00F53D91" w:rsidP="0093186C">
      <w:pPr>
        <w:spacing w:after="12"/>
        <w:ind w:left="142" w:firstLine="42"/>
        <w:jc w:val="both"/>
        <w:rPr>
          <w:sz w:val="20"/>
          <w:szCs w:val="20"/>
        </w:rPr>
      </w:pPr>
    </w:p>
    <w:p w14:paraId="1E62E190" w14:textId="77777777" w:rsidR="00F53D91" w:rsidRPr="009D77F6" w:rsidRDefault="00F53D91" w:rsidP="005A19DD">
      <w:pPr>
        <w:ind w:left="102"/>
        <w:jc w:val="both"/>
        <w:rPr>
          <w:sz w:val="20"/>
          <w:szCs w:val="20"/>
        </w:rPr>
      </w:pPr>
      <w:r w:rsidRPr="009D77F6">
        <w:rPr>
          <w:sz w:val="20"/>
          <w:szCs w:val="20"/>
        </w:rPr>
        <w:t>Las normas de contratación estatal establecen que las personas naturales o jurídicas nacionales o extranjeras que deseen celebrar contratos estatales deberán estar inscritos en el Registro Único de Proponente – RUP. El artículo 6 de la Ley 1150 de 2007 establece que en el registro constará la información relacionada con la experiencia, capacidad jurídica, financiera y de organización del proponente, así como su “clasificación.</w:t>
      </w:r>
    </w:p>
    <w:p w14:paraId="52741C51" w14:textId="77777777" w:rsidR="00F53D91" w:rsidRPr="009D77F6" w:rsidRDefault="00F53D91" w:rsidP="0093186C">
      <w:pPr>
        <w:ind w:left="142" w:firstLine="42"/>
        <w:jc w:val="both"/>
      </w:pPr>
    </w:p>
    <w:p w14:paraId="4B6F2DF3" w14:textId="67EFBA11" w:rsidR="00F53D91" w:rsidRPr="009D77F6" w:rsidRDefault="00F53D91" w:rsidP="605C4985">
      <w:pPr>
        <w:ind w:left="102"/>
        <w:jc w:val="both"/>
        <w:rPr>
          <w:b/>
          <w:bCs/>
        </w:rPr>
      </w:pPr>
      <w:r w:rsidRPr="605C4985">
        <w:rPr>
          <w:b/>
          <w:bCs/>
        </w:rPr>
        <w:t xml:space="preserve">REGISTRO </w:t>
      </w:r>
      <w:r w:rsidR="00293DE9" w:rsidRPr="605C4985">
        <w:rPr>
          <w:b/>
          <w:bCs/>
        </w:rPr>
        <w:t>ÚNICO</w:t>
      </w:r>
      <w:r w:rsidRPr="605C4985">
        <w:rPr>
          <w:b/>
          <w:bCs/>
        </w:rPr>
        <w:t xml:space="preserve"> DE PROPONENTES –</w:t>
      </w:r>
      <w:r w:rsidR="52025E10" w:rsidRPr="605C4985">
        <w:rPr>
          <w:b/>
          <w:bCs/>
        </w:rPr>
        <w:t xml:space="preserve"> Inscripción – Procesos de contratación –</w:t>
      </w:r>
      <w:r w:rsidRPr="605C4985">
        <w:rPr>
          <w:b/>
          <w:bCs/>
        </w:rPr>
        <w:t xml:space="preserve"> Excepciones </w:t>
      </w:r>
    </w:p>
    <w:p w14:paraId="03428F42" w14:textId="77777777" w:rsidR="00F53D91" w:rsidRPr="009D77F6" w:rsidRDefault="00F53D91" w:rsidP="0093186C">
      <w:pPr>
        <w:ind w:left="142" w:firstLine="42"/>
        <w:jc w:val="both"/>
        <w:rPr>
          <w:sz w:val="21"/>
          <w:szCs w:val="21"/>
        </w:rPr>
      </w:pPr>
    </w:p>
    <w:p w14:paraId="2B7E917F" w14:textId="77777777" w:rsidR="00F53D91" w:rsidRPr="009D77F6" w:rsidRDefault="00F53D91" w:rsidP="005A19DD">
      <w:pPr>
        <w:ind w:left="102"/>
        <w:jc w:val="both"/>
        <w:rPr>
          <w:sz w:val="20"/>
          <w:szCs w:val="20"/>
        </w:rPr>
      </w:pPr>
      <w:r w:rsidRPr="009D77F6">
        <w:rPr>
          <w:sz w:val="20"/>
          <w:szCs w:val="20"/>
        </w:rPr>
        <w:t>La misma Ley, prevé algunas excepciones en las que las entidades estatales no requerirán al proponente el registro o la “clasificación” de los bienes y servicios que ofrece y la clasificación de la experiencia en el Registro Único de Proponentes, como: i) en los casos de contratación directa, ii) contratos para la prestación de servicios de salud, iii) contratos de mínima cuantía, iv) enajenación de bienes del Estado, v) contratos que tengan por objeto la adquisición de productos de origen o destinación agropecuaria que se ofrezcan en bolsas de productos legalmente constituidas, vi) los actos y contratos que tengan por objeto directo las actividades comerciales e industriales propias de las empresas industriales y comerciales del Estado y las sociedades de economía mixta y vii) los contratos de concesión de cualquier índole.</w:t>
      </w:r>
    </w:p>
    <w:p w14:paraId="31A089A9" w14:textId="77777777" w:rsidR="00F53D91" w:rsidRPr="009D77F6" w:rsidRDefault="00F53D91" w:rsidP="0093186C">
      <w:pPr>
        <w:ind w:left="142" w:firstLine="42"/>
        <w:jc w:val="both"/>
      </w:pPr>
    </w:p>
    <w:p w14:paraId="76CDDEAD" w14:textId="26EF3746" w:rsidR="00F53D91" w:rsidRPr="009D77F6" w:rsidRDefault="00F53D91" w:rsidP="005A19DD">
      <w:pPr>
        <w:ind w:left="102"/>
        <w:jc w:val="both"/>
        <w:rPr>
          <w:b/>
          <w:bCs/>
        </w:rPr>
      </w:pPr>
      <w:r w:rsidRPr="009D77F6">
        <w:rPr>
          <w:b/>
          <w:bCs/>
        </w:rPr>
        <w:t xml:space="preserve">REGISTRO </w:t>
      </w:r>
      <w:r w:rsidR="00293DE9" w:rsidRPr="009D77F6">
        <w:rPr>
          <w:b/>
          <w:bCs/>
        </w:rPr>
        <w:t>ÚNICO</w:t>
      </w:r>
      <w:r w:rsidRPr="009D77F6">
        <w:rPr>
          <w:b/>
          <w:bCs/>
        </w:rPr>
        <w:t xml:space="preserve"> DE PROPONENTES – Clasificaciones </w:t>
      </w:r>
    </w:p>
    <w:p w14:paraId="52E47B39" w14:textId="77777777" w:rsidR="00F53D91" w:rsidRPr="009D77F6" w:rsidRDefault="00F53D91" w:rsidP="0093186C">
      <w:pPr>
        <w:ind w:left="142" w:firstLine="42"/>
        <w:jc w:val="both"/>
      </w:pPr>
    </w:p>
    <w:p w14:paraId="258B97C5" w14:textId="07A8A928" w:rsidR="00E774CB" w:rsidRDefault="00F53D91" w:rsidP="004C42C1">
      <w:pPr>
        <w:ind w:left="102"/>
        <w:jc w:val="both"/>
        <w:rPr>
          <w:sz w:val="20"/>
          <w:szCs w:val="20"/>
        </w:rPr>
      </w:pPr>
      <w:r w:rsidRPr="009D77F6">
        <w:rPr>
          <w:sz w:val="20"/>
          <w:szCs w:val="20"/>
        </w:rPr>
        <w:t xml:space="preserve">Al proponente al momento de hacer la inscripción o renovación en el Registro Único de Proponentes le corresponde hacer dos clasificaciones: i) la primera hace referencia a la clasificación en la que se enmarcan los bienes y servicios que le ofrecerá a las entidades estatales, de esta manera el proponente podrá acreditar la idoneidad en los bienes y servicios que las entidades estatales requiere contratar, ii) la segunda hace referencia a la clasificación relacionada con su experiencia o contratos, y lo que busca es que la experiencia del proponente se encuentre identificada en los códigos requeridos para adelantar las actividades contractuales objeto de contratación. los certificados y contratos que pretenda inscribir, renovar o actualizar los proponentes para participar en procesos de contratación deben estar clasificados acorde con el </w:t>
      </w:r>
      <w:r w:rsidRPr="009D77F6">
        <w:rPr>
          <w:sz w:val="21"/>
          <w:szCs w:val="21"/>
        </w:rPr>
        <w:t>Clasif</w:t>
      </w:r>
      <w:r w:rsidRPr="009D77F6">
        <w:rPr>
          <w:sz w:val="20"/>
          <w:szCs w:val="20"/>
        </w:rPr>
        <w:t>icador de Bienes y Servicios en el tercer nivel, y es objeto de verificación por parte de las entidades estatales al evaluar el requisito habilitante de experiencia.</w:t>
      </w:r>
    </w:p>
    <w:p w14:paraId="6C6E2850" w14:textId="77777777" w:rsidR="004C42C1" w:rsidRDefault="004C42C1" w:rsidP="00E774CB">
      <w:pPr>
        <w:spacing w:after="12"/>
        <w:ind w:left="142" w:firstLine="42"/>
        <w:jc w:val="both"/>
      </w:pPr>
    </w:p>
    <w:p w14:paraId="092D3315" w14:textId="034A350C" w:rsidR="00F53D91" w:rsidRDefault="00F53D91" w:rsidP="605C4985">
      <w:pPr>
        <w:ind w:left="102"/>
        <w:jc w:val="both"/>
        <w:rPr>
          <w:b/>
          <w:bCs/>
        </w:rPr>
      </w:pPr>
      <w:r w:rsidRPr="605C4985">
        <w:rPr>
          <w:b/>
          <w:bCs/>
        </w:rPr>
        <w:t xml:space="preserve">CLASIFICADOR DE BIENES Y SERVICIOS – </w:t>
      </w:r>
      <w:r w:rsidR="4860FD27" w:rsidRPr="605C4985">
        <w:rPr>
          <w:b/>
          <w:bCs/>
        </w:rPr>
        <w:t xml:space="preserve">Contrato estatal – Asociación – Código </w:t>
      </w:r>
    </w:p>
    <w:p w14:paraId="4B847861" w14:textId="77777777" w:rsidR="004C42C1" w:rsidRPr="009D77F6" w:rsidRDefault="004C42C1" w:rsidP="004C42C1">
      <w:pPr>
        <w:ind w:left="102"/>
        <w:jc w:val="both"/>
        <w:rPr>
          <w:b/>
          <w:bCs/>
        </w:rPr>
      </w:pPr>
    </w:p>
    <w:p w14:paraId="7B209435" w14:textId="590D7B86" w:rsidR="00F53D91" w:rsidRPr="009D77F6" w:rsidRDefault="00F53D91" w:rsidP="004C42C1">
      <w:pPr>
        <w:ind w:left="102"/>
        <w:jc w:val="both"/>
        <w:rPr>
          <w:sz w:val="20"/>
          <w:szCs w:val="20"/>
        </w:rPr>
      </w:pPr>
      <w:r w:rsidRPr="009D77F6">
        <w:rPr>
          <w:sz w:val="20"/>
          <w:szCs w:val="20"/>
        </w:rPr>
        <w:t>Cada uno de los contratos que aporte el proponente deberá coincidir con al menos uno de los códigos exigidos por la entidad conforme al Clasificador de Bienes y Servicios hasta el tercer nivel, pero no es posible exigir al proponente que todos los contratos que aportó concuerden con todos los códigos que ha establecido la entidad.</w:t>
      </w:r>
    </w:p>
    <w:p w14:paraId="2841A3D5" w14:textId="77777777" w:rsidR="0093186C" w:rsidRPr="009D77F6" w:rsidRDefault="0093186C" w:rsidP="0093186C">
      <w:pPr>
        <w:jc w:val="both"/>
        <w:rPr>
          <w:sz w:val="20"/>
          <w:szCs w:val="20"/>
        </w:rPr>
      </w:pPr>
    </w:p>
    <w:p w14:paraId="7936FB8A" w14:textId="77777777" w:rsidR="0093186C" w:rsidRPr="009D77F6" w:rsidRDefault="0093186C" w:rsidP="0093186C">
      <w:pPr>
        <w:jc w:val="both"/>
        <w:rPr>
          <w:sz w:val="20"/>
          <w:szCs w:val="20"/>
        </w:rPr>
      </w:pPr>
    </w:p>
    <w:p w14:paraId="2BE2B815" w14:textId="77777777" w:rsidR="00810554" w:rsidRPr="009D77F6" w:rsidRDefault="00E31D02">
      <w:pPr>
        <w:spacing w:before="94"/>
        <w:ind w:left="100"/>
        <w:rPr>
          <w:b/>
          <w:sz w:val="20"/>
        </w:rPr>
      </w:pPr>
      <w:r w:rsidRPr="009D77F6">
        <w:rPr>
          <w:sz w:val="20"/>
        </w:rPr>
        <w:t xml:space="preserve">Bogotá D.C., </w:t>
      </w:r>
      <w:r w:rsidRPr="009D77F6">
        <w:rPr>
          <w:b/>
          <w:sz w:val="20"/>
        </w:rPr>
        <w:t>26/12/2019 Hora 15:56:25s</w:t>
      </w:r>
    </w:p>
    <w:p w14:paraId="33BCB6CD" w14:textId="77777777" w:rsidR="00810554" w:rsidRPr="009D77F6" w:rsidRDefault="00810554">
      <w:pPr>
        <w:pStyle w:val="Textoindependiente"/>
        <w:rPr>
          <w:b/>
          <w:sz w:val="20"/>
        </w:rPr>
      </w:pPr>
    </w:p>
    <w:p w14:paraId="69BDA0A6" w14:textId="77777777" w:rsidR="00810554" w:rsidRPr="009D77F6" w:rsidRDefault="00810554">
      <w:pPr>
        <w:pStyle w:val="Textoindependiente"/>
        <w:rPr>
          <w:b/>
          <w:sz w:val="20"/>
        </w:rPr>
      </w:pPr>
    </w:p>
    <w:p w14:paraId="2AC8F9C4" w14:textId="77777777" w:rsidR="00810554" w:rsidRPr="009D77F6" w:rsidRDefault="00E31D02">
      <w:pPr>
        <w:ind w:left="5951"/>
        <w:rPr>
          <w:b/>
          <w:sz w:val="20"/>
        </w:rPr>
      </w:pPr>
      <w:r w:rsidRPr="009D77F6">
        <w:rPr>
          <w:b/>
          <w:sz w:val="20"/>
        </w:rPr>
        <w:lastRenderedPageBreak/>
        <w:t>N° Radicado: 2201913000009643</w:t>
      </w:r>
    </w:p>
    <w:p w14:paraId="7B229889" w14:textId="77777777" w:rsidR="00810554" w:rsidRPr="009D77F6" w:rsidRDefault="00810554">
      <w:pPr>
        <w:pStyle w:val="Textoindependiente"/>
        <w:spacing w:before="1"/>
        <w:rPr>
          <w:b/>
          <w:sz w:val="20"/>
        </w:rPr>
      </w:pPr>
    </w:p>
    <w:p w14:paraId="7942B2C8" w14:textId="77777777" w:rsidR="00810554" w:rsidRPr="009D77F6" w:rsidRDefault="00E31D02">
      <w:pPr>
        <w:pStyle w:val="Textoindependiente"/>
        <w:ind w:left="100"/>
      </w:pPr>
      <w:r w:rsidRPr="009D77F6">
        <w:t>Señor</w:t>
      </w:r>
    </w:p>
    <w:p w14:paraId="0ED19BF8" w14:textId="77777777" w:rsidR="00810554" w:rsidRPr="009D77F6" w:rsidRDefault="00E31D02">
      <w:pPr>
        <w:pStyle w:val="Ttulo1"/>
        <w:spacing w:before="2" w:line="253" w:lineRule="exact"/>
        <w:ind w:left="100" w:firstLine="0"/>
      </w:pPr>
      <w:r w:rsidRPr="009D77F6">
        <w:t>Javier Leonardo Daza</w:t>
      </w:r>
    </w:p>
    <w:p w14:paraId="1A592F92" w14:textId="77777777" w:rsidR="00810554" w:rsidRPr="009D77F6" w:rsidRDefault="00E31D02">
      <w:pPr>
        <w:pStyle w:val="Textoindependiente"/>
        <w:ind w:left="100"/>
      </w:pPr>
      <w:r w:rsidRPr="009D77F6">
        <w:t>Tunja Boyacá</w:t>
      </w:r>
    </w:p>
    <w:p w14:paraId="6A82A989" w14:textId="77777777" w:rsidR="00810554" w:rsidRPr="009D77F6" w:rsidRDefault="00810554">
      <w:pPr>
        <w:pStyle w:val="Textoindependiente"/>
        <w:rPr>
          <w:sz w:val="20"/>
        </w:rPr>
      </w:pPr>
    </w:p>
    <w:p w14:paraId="31AEE122" w14:textId="77777777" w:rsidR="00810554" w:rsidRPr="009D77F6" w:rsidRDefault="00810554">
      <w:pPr>
        <w:pStyle w:val="Textoindependiente"/>
        <w:spacing w:before="9"/>
        <w:rPr>
          <w:sz w:val="15"/>
        </w:rPr>
      </w:pPr>
    </w:p>
    <w:p w14:paraId="1CFFB291" w14:textId="77777777" w:rsidR="00810554" w:rsidRPr="009D77F6" w:rsidRDefault="00E31D02">
      <w:pPr>
        <w:tabs>
          <w:tab w:val="left" w:pos="3640"/>
        </w:tabs>
        <w:spacing w:before="93"/>
        <w:ind w:left="100"/>
      </w:pPr>
      <w:r w:rsidRPr="009D77F6">
        <w:rPr>
          <w:b/>
        </w:rPr>
        <w:t>Radicación:</w:t>
      </w:r>
      <w:r w:rsidRPr="009D77F6">
        <w:rPr>
          <w:b/>
        </w:rPr>
        <w:tab/>
      </w:r>
      <w:r w:rsidRPr="009D77F6">
        <w:t>Respuesta a consulta #</w:t>
      </w:r>
      <w:r w:rsidRPr="009D77F6">
        <w:rPr>
          <w:spacing w:val="-7"/>
        </w:rPr>
        <w:t xml:space="preserve"> </w:t>
      </w:r>
      <w:r w:rsidRPr="009D77F6">
        <w:t>4201912000008368</w:t>
      </w:r>
    </w:p>
    <w:p w14:paraId="187216A8" w14:textId="77777777" w:rsidR="00810554" w:rsidRPr="009D77F6" w:rsidRDefault="00E31D02">
      <w:pPr>
        <w:tabs>
          <w:tab w:val="left" w:pos="3640"/>
        </w:tabs>
        <w:spacing w:before="2" w:line="253" w:lineRule="exact"/>
        <w:ind w:left="100"/>
      </w:pPr>
      <w:r w:rsidRPr="009D77F6">
        <w:rPr>
          <w:b/>
        </w:rPr>
        <w:t>Temas:</w:t>
      </w:r>
      <w:r w:rsidRPr="009D77F6">
        <w:rPr>
          <w:b/>
        </w:rPr>
        <w:tab/>
      </w:r>
      <w:r w:rsidRPr="009D77F6">
        <w:t>Documentos Tipo,</w:t>
      </w:r>
      <w:r w:rsidRPr="009D77F6">
        <w:rPr>
          <w:spacing w:val="-4"/>
        </w:rPr>
        <w:t xml:space="preserve"> </w:t>
      </w:r>
      <w:r w:rsidRPr="009D77F6">
        <w:t>otros</w:t>
      </w:r>
    </w:p>
    <w:p w14:paraId="6BDBE46D" w14:textId="77777777" w:rsidR="00810554" w:rsidRPr="009D77F6" w:rsidRDefault="00E31D02">
      <w:pPr>
        <w:tabs>
          <w:tab w:val="left" w:pos="3640"/>
        </w:tabs>
        <w:ind w:left="100"/>
      </w:pPr>
      <w:r w:rsidRPr="009D77F6">
        <w:rPr>
          <w:b/>
        </w:rPr>
        <w:t>Tipo de</w:t>
      </w:r>
      <w:r w:rsidRPr="009D77F6">
        <w:rPr>
          <w:b/>
          <w:spacing w:val="-4"/>
        </w:rPr>
        <w:t xml:space="preserve"> </w:t>
      </w:r>
      <w:r w:rsidRPr="009D77F6">
        <w:rPr>
          <w:b/>
        </w:rPr>
        <w:t>asunto</w:t>
      </w:r>
      <w:r w:rsidRPr="009D77F6">
        <w:rPr>
          <w:b/>
          <w:spacing w:val="-2"/>
        </w:rPr>
        <w:t xml:space="preserve"> </w:t>
      </w:r>
      <w:r w:rsidRPr="009D77F6">
        <w:rPr>
          <w:b/>
        </w:rPr>
        <w:t>consultado:</w:t>
      </w:r>
      <w:r w:rsidRPr="009D77F6">
        <w:rPr>
          <w:b/>
        </w:rPr>
        <w:tab/>
      </w:r>
      <w:r w:rsidRPr="009D77F6">
        <w:t>Experiencia en Documentos Tipo y órganos de</w:t>
      </w:r>
      <w:r w:rsidRPr="009D77F6">
        <w:rPr>
          <w:spacing w:val="-20"/>
        </w:rPr>
        <w:t xml:space="preserve"> </w:t>
      </w:r>
      <w:r w:rsidRPr="009D77F6">
        <w:t>control</w:t>
      </w:r>
    </w:p>
    <w:p w14:paraId="6DD708AE" w14:textId="77777777" w:rsidR="00810554" w:rsidRPr="009D77F6" w:rsidRDefault="00810554">
      <w:pPr>
        <w:pStyle w:val="Textoindependiente"/>
        <w:rPr>
          <w:sz w:val="24"/>
        </w:rPr>
      </w:pPr>
    </w:p>
    <w:p w14:paraId="6D74E861" w14:textId="77777777" w:rsidR="00810554" w:rsidRPr="009D77F6" w:rsidRDefault="00810554">
      <w:pPr>
        <w:pStyle w:val="Textoindependiente"/>
        <w:spacing w:before="10"/>
        <w:rPr>
          <w:sz w:val="19"/>
        </w:rPr>
      </w:pPr>
    </w:p>
    <w:p w14:paraId="3903C41B" w14:textId="77777777" w:rsidR="00810554" w:rsidRPr="009D77F6" w:rsidRDefault="00E31D02">
      <w:pPr>
        <w:pStyle w:val="Textoindependiente"/>
        <w:ind w:left="100"/>
      </w:pPr>
      <w:r w:rsidRPr="009D77F6">
        <w:t>Estimado señor Daza,</w:t>
      </w:r>
    </w:p>
    <w:p w14:paraId="608704D1" w14:textId="77777777" w:rsidR="00810554" w:rsidRPr="009D77F6" w:rsidRDefault="00810554">
      <w:pPr>
        <w:pStyle w:val="Textoindependiente"/>
        <w:spacing w:before="7"/>
        <w:rPr>
          <w:sz w:val="28"/>
        </w:rPr>
      </w:pPr>
    </w:p>
    <w:p w14:paraId="36D0AAEE" w14:textId="77777777" w:rsidR="00810554" w:rsidRPr="009D77F6" w:rsidRDefault="00E31D02">
      <w:pPr>
        <w:pStyle w:val="Textoindependiente"/>
        <w:spacing w:before="1" w:line="276" w:lineRule="auto"/>
        <w:ind w:left="100" w:right="107"/>
        <w:jc w:val="both"/>
      </w:pPr>
      <w:r w:rsidRPr="009D77F6">
        <w:t>La Agencia Nacional de Contratación Pública - Colombia Compra Eficiente responde su consulta del 16 de diciembre de 2019, en ejercicio de la competencia otorgada por el numeral 5 del artículo 3 y numeral 8 del artículo 11 del Decreto 4170 de 2011.</w:t>
      </w:r>
    </w:p>
    <w:p w14:paraId="7E3A409A" w14:textId="77777777" w:rsidR="00810554" w:rsidRPr="009D77F6" w:rsidRDefault="00810554">
      <w:pPr>
        <w:pStyle w:val="Textoindependiente"/>
        <w:spacing w:before="2"/>
        <w:rPr>
          <w:sz w:val="25"/>
        </w:rPr>
      </w:pPr>
    </w:p>
    <w:p w14:paraId="1BCD537A" w14:textId="77777777" w:rsidR="00810554" w:rsidRPr="009D77F6" w:rsidRDefault="00E31D02">
      <w:pPr>
        <w:pStyle w:val="Ttulo1"/>
        <w:numPr>
          <w:ilvl w:val="0"/>
          <w:numId w:val="2"/>
        </w:numPr>
        <w:tabs>
          <w:tab w:val="left" w:pos="386"/>
        </w:tabs>
        <w:ind w:hanging="286"/>
        <w:jc w:val="both"/>
      </w:pPr>
      <w:r w:rsidRPr="009D77F6">
        <w:t>Problema</w:t>
      </w:r>
      <w:r w:rsidRPr="009D77F6">
        <w:rPr>
          <w:spacing w:val="-2"/>
        </w:rPr>
        <w:t xml:space="preserve"> </w:t>
      </w:r>
      <w:r w:rsidRPr="009D77F6">
        <w:t>planteado</w:t>
      </w:r>
    </w:p>
    <w:p w14:paraId="2F0828CB" w14:textId="77777777" w:rsidR="00810554" w:rsidRPr="009D77F6" w:rsidRDefault="00810554">
      <w:pPr>
        <w:pStyle w:val="Textoindependiente"/>
        <w:spacing w:before="8"/>
        <w:rPr>
          <w:b/>
          <w:sz w:val="28"/>
        </w:rPr>
      </w:pPr>
    </w:p>
    <w:p w14:paraId="6711B36F" w14:textId="77777777" w:rsidR="00810554" w:rsidRPr="009D77F6" w:rsidRDefault="00E31D02">
      <w:pPr>
        <w:pStyle w:val="Textoindependiente"/>
        <w:spacing w:line="276" w:lineRule="auto"/>
        <w:ind w:left="100" w:right="112"/>
        <w:jc w:val="both"/>
      </w:pPr>
      <w:r w:rsidRPr="009D77F6">
        <w:t>El peticionario informa que ha participado en diferentes procedimientos de contratación que aplican Documentos Tipo, en los cuales ha observado que las entidades modifican las exigencias de experiencia definida en la “Matriz 1”, por lo cual solicita respuesta a los siguientes interrogantes:</w:t>
      </w:r>
    </w:p>
    <w:p w14:paraId="2D1D924D" w14:textId="77777777" w:rsidR="00810554" w:rsidRPr="009D77F6" w:rsidRDefault="00810554">
      <w:pPr>
        <w:pStyle w:val="Textoindependiente"/>
        <w:spacing w:before="4"/>
        <w:rPr>
          <w:sz w:val="25"/>
        </w:rPr>
      </w:pPr>
    </w:p>
    <w:p w14:paraId="628259CE" w14:textId="77777777" w:rsidR="00810554" w:rsidRPr="009D77F6" w:rsidRDefault="00E31D02">
      <w:pPr>
        <w:pStyle w:val="Prrafodelista"/>
        <w:numPr>
          <w:ilvl w:val="1"/>
          <w:numId w:val="2"/>
        </w:numPr>
        <w:tabs>
          <w:tab w:val="left" w:pos="468"/>
        </w:tabs>
        <w:spacing w:line="276" w:lineRule="auto"/>
        <w:ind w:left="100" w:right="104" w:firstLine="0"/>
      </w:pPr>
      <w:r w:rsidRPr="009D77F6">
        <w:t>“¿Las entidades cómo Alcaldías y Gobernaciones, en los procesos de Licitación pública de Infraestructura de transporte pueden o no solicitar en la presentación de la propuesta los documentos que soportan el personal, la maquinaria, actividades y cantidades de obra especificas dentro de la experiencia solicitada, que la experiencia se encuentre clasificada dentro de no alguno si no de varios códigos del clasificador de bienes y</w:t>
      </w:r>
      <w:r w:rsidRPr="009D77F6">
        <w:rPr>
          <w:spacing w:val="-25"/>
        </w:rPr>
        <w:t xml:space="preserve"> </w:t>
      </w:r>
      <w:r w:rsidRPr="009D77F6">
        <w:t>servicios?”</w:t>
      </w:r>
    </w:p>
    <w:p w14:paraId="3DBC18C4" w14:textId="77777777" w:rsidR="00810554" w:rsidRPr="009D77F6" w:rsidRDefault="00810554">
      <w:pPr>
        <w:pStyle w:val="Textoindependiente"/>
        <w:spacing w:before="3"/>
        <w:rPr>
          <w:sz w:val="25"/>
        </w:rPr>
      </w:pPr>
    </w:p>
    <w:p w14:paraId="740EE460" w14:textId="77777777" w:rsidR="00810554" w:rsidRPr="009D77F6" w:rsidRDefault="00E31D02">
      <w:pPr>
        <w:pStyle w:val="Prrafodelista"/>
        <w:numPr>
          <w:ilvl w:val="1"/>
          <w:numId w:val="2"/>
        </w:numPr>
        <w:tabs>
          <w:tab w:val="left" w:pos="496"/>
        </w:tabs>
        <w:spacing w:line="276" w:lineRule="auto"/>
        <w:ind w:left="100" w:right="111" w:firstLine="0"/>
      </w:pPr>
      <w:r w:rsidRPr="009D77F6">
        <w:t>“¿A dónde puedo pasar la queja de ciertos casos, o cuales son los pasos que debo seguir para que las autoridades competentes o Colombia Compra Eficiente vigilen a estas entidades que incumplen con el decreto 342 que regula los ‘Pliegos Tipo?</w:t>
      </w:r>
      <w:r w:rsidRPr="009D77F6">
        <w:rPr>
          <w:spacing w:val="-18"/>
        </w:rPr>
        <w:t xml:space="preserve"> </w:t>
      </w:r>
      <w:r w:rsidRPr="009D77F6">
        <w:t>´”.</w:t>
      </w:r>
    </w:p>
    <w:p w14:paraId="3F3E0610" w14:textId="77777777" w:rsidR="00810554" w:rsidRPr="009D77F6" w:rsidRDefault="00810554">
      <w:pPr>
        <w:pStyle w:val="Textoindependiente"/>
        <w:rPr>
          <w:sz w:val="20"/>
        </w:rPr>
      </w:pPr>
    </w:p>
    <w:p w14:paraId="497B767E" w14:textId="77777777" w:rsidR="00810554" w:rsidRPr="009D77F6" w:rsidRDefault="00810554">
      <w:pPr>
        <w:pStyle w:val="Textoindependiente"/>
        <w:spacing w:before="5"/>
        <w:rPr>
          <w:sz w:val="16"/>
        </w:rPr>
      </w:pPr>
    </w:p>
    <w:p w14:paraId="207DA215" w14:textId="77777777" w:rsidR="00810554" w:rsidRPr="009D77F6" w:rsidRDefault="00E31D02">
      <w:pPr>
        <w:pStyle w:val="Ttulo1"/>
        <w:numPr>
          <w:ilvl w:val="0"/>
          <w:numId w:val="2"/>
        </w:numPr>
        <w:tabs>
          <w:tab w:val="left" w:pos="386"/>
        </w:tabs>
        <w:spacing w:before="93"/>
        <w:ind w:hanging="286"/>
      </w:pPr>
      <w:r w:rsidRPr="009D77F6">
        <w:t>Consideraciones</w:t>
      </w:r>
    </w:p>
    <w:p w14:paraId="0EBFBF19" w14:textId="77777777" w:rsidR="00810554" w:rsidRPr="009D77F6" w:rsidRDefault="00E31D02">
      <w:pPr>
        <w:pStyle w:val="Prrafodelista"/>
        <w:numPr>
          <w:ilvl w:val="1"/>
          <w:numId w:val="2"/>
        </w:numPr>
        <w:tabs>
          <w:tab w:val="left" w:pos="466"/>
        </w:tabs>
        <w:spacing w:before="197"/>
        <w:rPr>
          <w:b/>
        </w:rPr>
      </w:pPr>
      <w:r w:rsidRPr="009D77F6">
        <w:rPr>
          <w:b/>
        </w:rPr>
        <w:t>Exigencia de Experiencia en Documentos</w:t>
      </w:r>
      <w:r w:rsidRPr="009D77F6">
        <w:rPr>
          <w:b/>
          <w:spacing w:val="-6"/>
        </w:rPr>
        <w:t xml:space="preserve"> </w:t>
      </w:r>
      <w:r w:rsidRPr="009D77F6">
        <w:rPr>
          <w:b/>
        </w:rPr>
        <w:t>Tipo</w:t>
      </w:r>
    </w:p>
    <w:p w14:paraId="6D12CFC9" w14:textId="77777777" w:rsidR="00810554" w:rsidRPr="009D77F6" w:rsidRDefault="00E31D02">
      <w:pPr>
        <w:pStyle w:val="Textoindependiente"/>
        <w:spacing w:before="197" w:line="276" w:lineRule="auto"/>
        <w:ind w:left="100" w:right="107"/>
        <w:jc w:val="both"/>
      </w:pPr>
      <w:r w:rsidRPr="009D77F6">
        <w:t>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w:t>
      </w:r>
      <w:r w:rsidRPr="009D77F6">
        <w:rPr>
          <w:vertAlign w:val="superscript"/>
        </w:rPr>
        <w:t>1</w:t>
      </w:r>
      <w:r w:rsidRPr="009D77F6">
        <w:t xml:space="preserve">. Dentro de estos, la respuesta a la consulta con radicado de </w:t>
      </w:r>
      <w:r w:rsidRPr="009D77F6">
        <w:lastRenderedPageBreak/>
        <w:t>entrada No 4201912000005628 del 20 de agosto de 2016 con radicado de salida No 2201913000006581 del 5 de septiembre de 2019, explicó los supuestos que deben tener en cuenta las entidades para fijar la experiencia. La tesis desarrollada en estos conceptos es la que se expone a</w:t>
      </w:r>
      <w:r w:rsidRPr="009D77F6">
        <w:rPr>
          <w:spacing w:val="-6"/>
        </w:rPr>
        <w:t xml:space="preserve"> </w:t>
      </w:r>
      <w:r w:rsidRPr="009D77F6">
        <w:t>continuación.</w:t>
      </w:r>
    </w:p>
    <w:p w14:paraId="05BA4A95" w14:textId="77777777" w:rsidR="00810554" w:rsidRPr="009D77F6" w:rsidRDefault="00810554">
      <w:pPr>
        <w:pStyle w:val="Textoindependiente"/>
        <w:spacing w:before="3"/>
        <w:rPr>
          <w:sz w:val="25"/>
        </w:rPr>
      </w:pPr>
    </w:p>
    <w:p w14:paraId="56CBF3A5" w14:textId="79729C2C" w:rsidR="00810554" w:rsidRPr="009D77F6" w:rsidRDefault="00E31D02">
      <w:pPr>
        <w:pStyle w:val="Textoindependiente"/>
        <w:spacing w:before="1" w:line="276" w:lineRule="auto"/>
        <w:ind w:left="100" w:right="106"/>
        <w:jc w:val="both"/>
      </w:pPr>
      <w:r w:rsidRPr="009D77F6">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r w:rsidR="005A19DD">
        <w:rPr>
          <w:rStyle w:val="Refdenotaalpie"/>
        </w:rPr>
        <w:footnoteReference w:id="1"/>
      </w:r>
      <w:r w:rsidRPr="009D77F6">
        <w:t>.</w:t>
      </w:r>
    </w:p>
    <w:p w14:paraId="694EDFA6" w14:textId="77777777" w:rsidR="00810554" w:rsidRPr="009D77F6" w:rsidRDefault="00E31D02">
      <w:pPr>
        <w:pStyle w:val="Textoindependiente"/>
        <w:spacing w:before="212" w:line="276" w:lineRule="auto"/>
        <w:ind w:left="100" w:right="106"/>
        <w:jc w:val="both"/>
      </w:pPr>
      <w:r w:rsidRPr="009D77F6">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11E6D3ED" w14:textId="77777777" w:rsidR="00810554" w:rsidRPr="009D77F6" w:rsidRDefault="00810554">
      <w:pPr>
        <w:pStyle w:val="Textoindependiente"/>
        <w:spacing w:before="3"/>
        <w:rPr>
          <w:sz w:val="25"/>
        </w:rPr>
      </w:pPr>
    </w:p>
    <w:p w14:paraId="32290A8D" w14:textId="26893D62" w:rsidR="005A19DD" w:rsidRPr="005A19DD" w:rsidRDefault="00E31D02" w:rsidP="005A19DD">
      <w:pPr>
        <w:pStyle w:val="Textoindependiente"/>
        <w:spacing w:line="276" w:lineRule="auto"/>
        <w:ind w:left="100" w:right="111"/>
        <w:jc w:val="both"/>
      </w:pPr>
      <w:r w:rsidRPr="009D77F6">
        <w:t>Específicamente, el numeral 3.5.1 establece las características que deben cumplir los contratos o certificaciones que se aporten para la acreditación de experiencia. Señala el literal A:</w:t>
      </w:r>
    </w:p>
    <w:p w14:paraId="0E392371" w14:textId="77777777" w:rsidR="00810554" w:rsidRPr="009D77F6" w:rsidRDefault="00810554">
      <w:pPr>
        <w:pStyle w:val="Textoindependiente"/>
        <w:spacing w:before="6"/>
        <w:rPr>
          <w:sz w:val="16"/>
        </w:rPr>
      </w:pPr>
    </w:p>
    <w:p w14:paraId="41114FA3" w14:textId="77777777" w:rsidR="00810554" w:rsidRPr="009D77F6" w:rsidRDefault="00E31D02">
      <w:pPr>
        <w:pStyle w:val="Prrafodelista"/>
        <w:numPr>
          <w:ilvl w:val="2"/>
          <w:numId w:val="2"/>
        </w:numPr>
        <w:tabs>
          <w:tab w:val="left" w:pos="1168"/>
        </w:tabs>
        <w:spacing w:before="94"/>
        <w:ind w:right="1098"/>
        <w:rPr>
          <w:sz w:val="20"/>
        </w:rPr>
      </w:pPr>
      <w:r w:rsidRPr="009D77F6">
        <w:rPr>
          <w:sz w:val="20"/>
        </w:rPr>
        <w:t>Que las actividades ejecutadas correspondan a [</w:t>
      </w:r>
      <w:r w:rsidRPr="009D77F6">
        <w:rPr>
          <w:sz w:val="20"/>
          <w:shd w:val="clear" w:color="auto" w:fill="D2D2D2"/>
        </w:rPr>
        <w:t xml:space="preserve">Actividad o actividades señaladas en la </w:t>
      </w:r>
      <w:r w:rsidRPr="009D77F6">
        <w:rPr>
          <w:b/>
          <w:sz w:val="20"/>
          <w:shd w:val="clear" w:color="auto" w:fill="D2D2D2"/>
        </w:rPr>
        <w:t>¡Error! No se encuentra el origen de la referencia.</w:t>
      </w:r>
      <w:r w:rsidRPr="009D77F6">
        <w:rPr>
          <w:sz w:val="20"/>
          <w:shd w:val="clear" w:color="auto" w:fill="D2D2D2"/>
        </w:rPr>
        <w:t>]</w:t>
      </w:r>
      <w:r w:rsidRPr="009D77F6">
        <w:rPr>
          <w:sz w:val="20"/>
        </w:rPr>
        <w:t xml:space="preserve"> y guarden relación directa con el objeto del</w:t>
      </w:r>
      <w:r w:rsidRPr="009D77F6">
        <w:rPr>
          <w:spacing w:val="-7"/>
          <w:sz w:val="20"/>
        </w:rPr>
        <w:t xml:space="preserve"> </w:t>
      </w:r>
      <w:r w:rsidRPr="009D77F6">
        <w:rPr>
          <w:sz w:val="20"/>
        </w:rPr>
        <w:t>contrato.</w:t>
      </w:r>
    </w:p>
    <w:p w14:paraId="5028F2C9" w14:textId="77777777" w:rsidR="00810554" w:rsidRPr="009D77F6" w:rsidRDefault="00810554">
      <w:pPr>
        <w:pStyle w:val="Textoindependiente"/>
        <w:spacing w:before="8"/>
        <w:rPr>
          <w:sz w:val="20"/>
        </w:rPr>
      </w:pPr>
    </w:p>
    <w:p w14:paraId="4DF6E94D" w14:textId="77777777" w:rsidR="00810554" w:rsidRPr="009D77F6" w:rsidRDefault="00E31D02">
      <w:pPr>
        <w:pStyle w:val="Textoindependiente"/>
        <w:spacing w:line="276" w:lineRule="auto"/>
        <w:ind w:left="100" w:right="109"/>
        <w:jc w:val="both"/>
      </w:pPr>
      <w:r w:rsidRPr="009D77F6">
        <w:rPr>
          <w:noProof/>
          <w:lang w:val="en-US"/>
        </w:rPr>
        <w:drawing>
          <wp:anchor distT="0" distB="0" distL="0" distR="0" simplePos="0" relativeHeight="2" behindDoc="0" locked="0" layoutInCell="1" allowOverlap="1" wp14:anchorId="72BBE9B9" wp14:editId="2E024935">
            <wp:simplePos x="0" y="0"/>
            <wp:positionH relativeFrom="page">
              <wp:posOffset>1524888</wp:posOffset>
            </wp:positionH>
            <wp:positionV relativeFrom="paragraph">
              <wp:posOffset>785073</wp:posOffset>
            </wp:positionV>
            <wp:extent cx="4725009" cy="6934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725009" cy="693420"/>
                    </a:xfrm>
                    <a:prstGeom prst="rect">
                      <a:avLst/>
                    </a:prstGeom>
                  </pic:spPr>
                </pic:pic>
              </a:graphicData>
            </a:graphic>
          </wp:anchor>
        </w:drawing>
      </w:r>
      <w:r w:rsidRPr="009D77F6">
        <w:t xml:space="preserve">La “Guía para la comprensión e implementación de los Documentos Tipo de licitación de </w:t>
      </w:r>
      <w:r w:rsidRPr="009D77F6">
        <w:lastRenderedPageBreak/>
        <w:t>obra de infraestructura de transporte”, expedida por la Agencia Nacional de Contratación Pública – Colombia Compra Eficiente, estableció sobre este literal la siguiente recomendación:</w:t>
      </w:r>
    </w:p>
    <w:p w14:paraId="1461187A" w14:textId="77777777" w:rsidR="00810554" w:rsidRPr="009D77F6" w:rsidRDefault="00E31D02">
      <w:pPr>
        <w:pStyle w:val="Textoindependiente"/>
        <w:spacing w:before="138" w:line="276" w:lineRule="auto"/>
        <w:ind w:left="100" w:right="106"/>
        <w:jc w:val="both"/>
      </w:pPr>
      <w:r w:rsidRPr="009D77F6">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14:paraId="6BF4AA34" w14:textId="77777777" w:rsidR="00810554" w:rsidRPr="009D77F6" w:rsidRDefault="00810554">
      <w:pPr>
        <w:pStyle w:val="Textoindependiente"/>
        <w:spacing w:before="3"/>
        <w:rPr>
          <w:sz w:val="25"/>
        </w:rPr>
      </w:pPr>
    </w:p>
    <w:p w14:paraId="24327B56" w14:textId="77777777" w:rsidR="00810554" w:rsidRPr="009D77F6" w:rsidRDefault="00E31D02">
      <w:pPr>
        <w:pStyle w:val="Textoindependiente"/>
        <w:spacing w:line="276" w:lineRule="auto"/>
        <w:ind w:left="100" w:right="106"/>
        <w:jc w:val="both"/>
      </w:pPr>
      <w:r w:rsidRPr="009D77F6">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14:paraId="3FB26231" w14:textId="77777777" w:rsidR="00810554" w:rsidRPr="009D77F6" w:rsidRDefault="00810554">
      <w:pPr>
        <w:pStyle w:val="Textoindependiente"/>
        <w:spacing w:before="4"/>
        <w:rPr>
          <w:sz w:val="25"/>
        </w:rPr>
      </w:pPr>
    </w:p>
    <w:p w14:paraId="396DC45F" w14:textId="77777777" w:rsidR="00810554" w:rsidRPr="009D77F6" w:rsidRDefault="00E31D02">
      <w:pPr>
        <w:pStyle w:val="Textoindependiente"/>
        <w:spacing w:before="1" w:line="276" w:lineRule="auto"/>
        <w:ind w:left="100" w:right="105"/>
        <w:jc w:val="both"/>
      </w:pPr>
      <w:r w:rsidRPr="009D77F6">
        <w:t>Para definir la experiencia exigible, la entidad estatal, en la etapa de planeación, debe tener en cuenta: i) el alcance del objeto a contratar, ii) el tipo de infraestructura, iii) las actividades definidas en la Matriz 1- Experiencia y iv) la cuantía del proceso de contratación. Por lo tanto, debe seguir los siguientes</w:t>
      </w:r>
      <w:r w:rsidRPr="009D77F6">
        <w:rPr>
          <w:spacing w:val="-12"/>
        </w:rPr>
        <w:t xml:space="preserve"> </w:t>
      </w:r>
      <w:r w:rsidRPr="009D77F6">
        <w:t>pasos:</w:t>
      </w:r>
    </w:p>
    <w:p w14:paraId="431350CB" w14:textId="77777777" w:rsidR="00810554" w:rsidRPr="009D77F6" w:rsidRDefault="00E31D02">
      <w:pPr>
        <w:pStyle w:val="Prrafodelista"/>
        <w:numPr>
          <w:ilvl w:val="0"/>
          <w:numId w:val="1"/>
        </w:numPr>
        <w:tabs>
          <w:tab w:val="left" w:pos="386"/>
        </w:tabs>
        <w:spacing w:before="159" w:line="276" w:lineRule="auto"/>
        <w:ind w:right="107" w:firstLine="0"/>
      </w:pPr>
      <w:r w:rsidRPr="009D77F6">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9D77F6">
        <w:rPr>
          <w:spacing w:val="-10"/>
        </w:rPr>
        <w:t xml:space="preserve"> </w:t>
      </w:r>
      <w:r w:rsidRPr="009D77F6">
        <w:t>AEROPORTUARIAS.</w:t>
      </w:r>
    </w:p>
    <w:p w14:paraId="570F653E" w14:textId="77777777" w:rsidR="00810554" w:rsidRPr="009D77F6" w:rsidRDefault="00810554">
      <w:pPr>
        <w:pStyle w:val="Textoindependiente"/>
        <w:spacing w:before="3"/>
        <w:rPr>
          <w:sz w:val="25"/>
        </w:rPr>
      </w:pPr>
    </w:p>
    <w:p w14:paraId="04ABF224" w14:textId="77777777" w:rsidR="00810554" w:rsidRPr="009D77F6" w:rsidRDefault="00E31D02">
      <w:pPr>
        <w:pStyle w:val="Prrafodelista"/>
        <w:numPr>
          <w:ilvl w:val="0"/>
          <w:numId w:val="1"/>
        </w:numPr>
        <w:tabs>
          <w:tab w:val="left" w:pos="381"/>
        </w:tabs>
        <w:spacing w:before="1" w:line="276" w:lineRule="auto"/>
        <w:ind w:right="113" w:firstLine="0"/>
      </w:pPr>
      <w:r w:rsidRPr="009D77F6">
        <w:t>Una vez definido el tipo de infraestructura, identificar la “ACTIVIDAD A CONTRATAR” acorde con la Matriz 1-</w:t>
      </w:r>
      <w:r w:rsidRPr="009D77F6">
        <w:rPr>
          <w:spacing w:val="-9"/>
        </w:rPr>
        <w:t xml:space="preserve"> </w:t>
      </w:r>
      <w:r w:rsidRPr="009D77F6">
        <w:t>Experiencia.</w:t>
      </w:r>
    </w:p>
    <w:p w14:paraId="1CBB242E" w14:textId="77777777" w:rsidR="00810554" w:rsidRPr="009D77F6" w:rsidRDefault="00E31D02">
      <w:pPr>
        <w:pStyle w:val="Textoindependiente"/>
        <w:spacing w:before="93" w:line="276" w:lineRule="auto"/>
        <w:ind w:left="100" w:right="108"/>
        <w:jc w:val="both"/>
      </w:pPr>
      <w:r w:rsidRPr="009D77F6">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5267A9A3" w14:textId="77777777" w:rsidR="00810554" w:rsidRPr="009D77F6" w:rsidRDefault="00810554">
      <w:pPr>
        <w:pStyle w:val="Textoindependiente"/>
        <w:spacing w:before="3"/>
        <w:rPr>
          <w:sz w:val="25"/>
        </w:rPr>
      </w:pPr>
    </w:p>
    <w:p w14:paraId="6DE3C381" w14:textId="77777777" w:rsidR="00810554" w:rsidRPr="009D77F6" w:rsidRDefault="00E31D02">
      <w:pPr>
        <w:pStyle w:val="Prrafodelista"/>
        <w:numPr>
          <w:ilvl w:val="0"/>
          <w:numId w:val="1"/>
        </w:numPr>
        <w:tabs>
          <w:tab w:val="left" w:pos="346"/>
        </w:tabs>
        <w:spacing w:line="276" w:lineRule="auto"/>
        <w:ind w:right="112" w:firstLine="0"/>
      </w:pPr>
      <w:r w:rsidRPr="009D77F6">
        <w:t>Identificar el rango en el cual se encuentra el Proceso de Contratación de acuerdo con el presupuesto</w:t>
      </w:r>
      <w:r w:rsidRPr="009D77F6">
        <w:rPr>
          <w:spacing w:val="-2"/>
        </w:rPr>
        <w:t xml:space="preserve"> </w:t>
      </w:r>
      <w:r w:rsidRPr="009D77F6">
        <w:t>oficial.</w:t>
      </w:r>
    </w:p>
    <w:p w14:paraId="55D01E47" w14:textId="77777777" w:rsidR="00810554" w:rsidRPr="009D77F6" w:rsidRDefault="00E31D02">
      <w:pPr>
        <w:pStyle w:val="Prrafodelista"/>
        <w:numPr>
          <w:ilvl w:val="0"/>
          <w:numId w:val="1"/>
        </w:numPr>
        <w:tabs>
          <w:tab w:val="left" w:pos="368"/>
        </w:tabs>
        <w:spacing w:before="211" w:line="276" w:lineRule="auto"/>
        <w:ind w:right="105" w:firstLine="0"/>
      </w:pPr>
      <w:r w:rsidRPr="009D77F6">
        <w:t xml:space="preserve">Identificar la “experiencia general” exigible acorde con la Matriz </w:t>
      </w:r>
      <w:r w:rsidRPr="009D77F6">
        <w:rPr>
          <w:spacing w:val="3"/>
        </w:rPr>
        <w:t xml:space="preserve">1- </w:t>
      </w:r>
      <w:r w:rsidRPr="009D77F6">
        <w:t>Experiencia teniendo en cuenta la actividad a contratar y el rango de la cuantía del Proceso de</w:t>
      </w:r>
      <w:r w:rsidRPr="009D77F6">
        <w:rPr>
          <w:spacing w:val="-38"/>
        </w:rPr>
        <w:t xml:space="preserve"> </w:t>
      </w:r>
      <w:r w:rsidRPr="009D77F6">
        <w:t>Contratación.</w:t>
      </w:r>
    </w:p>
    <w:p w14:paraId="2C2671B8" w14:textId="77777777" w:rsidR="00810554" w:rsidRPr="009D77F6" w:rsidRDefault="00E31D02">
      <w:pPr>
        <w:pStyle w:val="Prrafodelista"/>
        <w:numPr>
          <w:ilvl w:val="0"/>
          <w:numId w:val="1"/>
        </w:numPr>
        <w:tabs>
          <w:tab w:val="left" w:pos="376"/>
        </w:tabs>
        <w:spacing w:before="186" w:line="276" w:lineRule="auto"/>
        <w:ind w:right="106" w:firstLine="0"/>
      </w:pPr>
      <w:r w:rsidRPr="009D77F6">
        <w:lastRenderedPageBreak/>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9D77F6">
        <w:rPr>
          <w:spacing w:val="-15"/>
        </w:rPr>
        <w:t xml:space="preserve"> </w:t>
      </w:r>
      <w:r w:rsidRPr="009D77F6">
        <w:t>contratación.</w:t>
      </w:r>
    </w:p>
    <w:p w14:paraId="59E57735" w14:textId="77777777" w:rsidR="00810554" w:rsidRPr="009D77F6" w:rsidRDefault="00810554">
      <w:pPr>
        <w:pStyle w:val="Textoindependiente"/>
        <w:spacing w:before="3"/>
        <w:rPr>
          <w:sz w:val="25"/>
        </w:rPr>
      </w:pPr>
    </w:p>
    <w:p w14:paraId="531B2483" w14:textId="77777777" w:rsidR="00810554" w:rsidRPr="009D77F6" w:rsidRDefault="00E31D02">
      <w:pPr>
        <w:pStyle w:val="Textoindependiente"/>
        <w:spacing w:line="276" w:lineRule="auto"/>
        <w:ind w:left="100" w:right="107"/>
        <w:jc w:val="both"/>
      </w:pPr>
      <w:r w:rsidRPr="009D77F6">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9D77F6">
        <w:rPr>
          <w:spacing w:val="5"/>
        </w:rPr>
        <w:t xml:space="preserve">1- </w:t>
      </w:r>
      <w:r w:rsidRPr="009D77F6">
        <w:t>Experiencia”:</w:t>
      </w:r>
    </w:p>
    <w:p w14:paraId="5354A3E2" w14:textId="77777777" w:rsidR="00810554" w:rsidRPr="009D77F6" w:rsidRDefault="00E31D02">
      <w:pPr>
        <w:pStyle w:val="Prrafodelista"/>
        <w:numPr>
          <w:ilvl w:val="1"/>
          <w:numId w:val="1"/>
        </w:numPr>
        <w:tabs>
          <w:tab w:val="left" w:pos="821"/>
        </w:tabs>
        <w:spacing w:before="186"/>
        <w:ind w:hanging="361"/>
      </w:pPr>
      <w:r w:rsidRPr="009D77F6">
        <w:t>Tipo de infraestructura: “2. OBRAS EN VIAS</w:t>
      </w:r>
      <w:r w:rsidRPr="009D77F6">
        <w:rPr>
          <w:spacing w:val="-12"/>
        </w:rPr>
        <w:t xml:space="preserve"> </w:t>
      </w:r>
      <w:r w:rsidRPr="009D77F6">
        <w:t>TERCIARIAS”.</w:t>
      </w:r>
    </w:p>
    <w:p w14:paraId="711FFD53" w14:textId="77777777" w:rsidR="00810554" w:rsidRPr="009D77F6" w:rsidRDefault="00E31D02">
      <w:pPr>
        <w:pStyle w:val="Prrafodelista"/>
        <w:numPr>
          <w:ilvl w:val="1"/>
          <w:numId w:val="1"/>
        </w:numPr>
        <w:tabs>
          <w:tab w:val="left" w:pos="821"/>
        </w:tabs>
        <w:spacing w:before="37"/>
        <w:ind w:hanging="361"/>
      </w:pPr>
      <w:r w:rsidRPr="009D77F6">
        <w:t>“Actividad a contratar”: “2.2 MEJORAMIENTO EN VÍAS</w:t>
      </w:r>
      <w:r w:rsidRPr="009D77F6">
        <w:rPr>
          <w:spacing w:val="-15"/>
        </w:rPr>
        <w:t xml:space="preserve"> </w:t>
      </w:r>
      <w:r w:rsidRPr="009D77F6">
        <w:t>TERCIARIAS”.</w:t>
      </w:r>
    </w:p>
    <w:p w14:paraId="73464C64" w14:textId="77777777" w:rsidR="00810554" w:rsidRPr="009D77F6" w:rsidRDefault="00E31D02">
      <w:pPr>
        <w:pStyle w:val="Prrafodelista"/>
        <w:numPr>
          <w:ilvl w:val="1"/>
          <w:numId w:val="1"/>
        </w:numPr>
        <w:tabs>
          <w:tab w:val="left" w:pos="821"/>
        </w:tabs>
        <w:spacing w:before="39" w:line="276" w:lineRule="auto"/>
        <w:ind w:right="114"/>
      </w:pPr>
      <w:r w:rsidRPr="009D77F6">
        <w:t>Rango de cuantía en el cual se encuentra el Proceso de Contratación: “Entre 1.001 y 13.000</w:t>
      </w:r>
      <w:r w:rsidRPr="009D77F6">
        <w:rPr>
          <w:spacing w:val="-6"/>
        </w:rPr>
        <w:t xml:space="preserve"> </w:t>
      </w:r>
      <w:r w:rsidRPr="009D77F6">
        <w:t>SMMLV”.</w:t>
      </w:r>
    </w:p>
    <w:p w14:paraId="6AED8040" w14:textId="77777777" w:rsidR="00810554" w:rsidRPr="009D77F6" w:rsidRDefault="00E31D02">
      <w:pPr>
        <w:pStyle w:val="Prrafodelista"/>
        <w:numPr>
          <w:ilvl w:val="1"/>
          <w:numId w:val="1"/>
        </w:numPr>
        <w:tabs>
          <w:tab w:val="left" w:pos="821"/>
        </w:tabs>
        <w:spacing w:line="276" w:lineRule="auto"/>
        <w:ind w:right="111"/>
      </w:pPr>
      <w:r w:rsidRPr="009D77F6">
        <w:t>Experiencia general: “CONSTRUCCIÓN O MEJORAMIENTO EN PAVIMENTO ASFALTICO O CONCRETO HIDRÁULICO O PLACA HUELLA DE VÍAS PRIMARIAS O SECUNDARIAS O VÍAS TERCIARIAS O VÍAS URBANAS O PISTAS DE</w:t>
      </w:r>
      <w:r w:rsidRPr="009D77F6">
        <w:rPr>
          <w:spacing w:val="-3"/>
        </w:rPr>
        <w:t xml:space="preserve"> </w:t>
      </w:r>
      <w:r w:rsidRPr="009D77F6">
        <w:t>AEROPUERTOS”.</w:t>
      </w:r>
    </w:p>
    <w:p w14:paraId="345E150E" w14:textId="77777777" w:rsidR="00810554" w:rsidRPr="009D77F6" w:rsidRDefault="00E31D02">
      <w:pPr>
        <w:pStyle w:val="Prrafodelista"/>
        <w:numPr>
          <w:ilvl w:val="1"/>
          <w:numId w:val="1"/>
        </w:numPr>
        <w:tabs>
          <w:tab w:val="left" w:pos="821"/>
        </w:tabs>
        <w:spacing w:line="276" w:lineRule="auto"/>
        <w:ind w:right="107"/>
      </w:pPr>
      <w:r w:rsidRPr="009D77F6">
        <w:t>Experiencia especifica: “Por lo menos un (1) contrato cuya longitud intervenida corresponda al 50% de la longitud de la vía a construir mediante el proceso de contratación”.</w:t>
      </w:r>
    </w:p>
    <w:p w14:paraId="185A9307" w14:textId="77777777" w:rsidR="00810554" w:rsidRPr="009D77F6" w:rsidRDefault="00810554">
      <w:pPr>
        <w:pStyle w:val="Textoindependiente"/>
        <w:spacing w:before="2"/>
        <w:rPr>
          <w:sz w:val="25"/>
        </w:rPr>
      </w:pPr>
    </w:p>
    <w:p w14:paraId="65C73E52" w14:textId="77777777" w:rsidR="00810554" w:rsidRPr="009D77F6" w:rsidRDefault="00E31D02">
      <w:pPr>
        <w:pStyle w:val="Textoindependiente"/>
        <w:spacing w:before="1" w:line="278" w:lineRule="auto"/>
        <w:ind w:left="100" w:right="111"/>
        <w:jc w:val="both"/>
      </w:pPr>
      <w:r w:rsidRPr="009D77F6">
        <w:t>De acuerdo con el ejemplo propuesto, la entidad estatal deberá diligenciar en el “Documento Base”, “literal A” del numeral 3.5.1 así:</w:t>
      </w:r>
    </w:p>
    <w:p w14:paraId="27AEB445" w14:textId="77777777" w:rsidR="00810554" w:rsidRPr="009D77F6" w:rsidRDefault="00E31D02">
      <w:pPr>
        <w:pStyle w:val="Prrafodelista"/>
        <w:numPr>
          <w:ilvl w:val="2"/>
          <w:numId w:val="1"/>
        </w:numPr>
        <w:tabs>
          <w:tab w:val="left" w:pos="1168"/>
        </w:tabs>
        <w:spacing w:before="115"/>
      </w:pPr>
      <w:r w:rsidRPr="009D77F6">
        <w:t>Que las actividades ejecutadas correspondan</w:t>
      </w:r>
      <w:r w:rsidRPr="009D77F6">
        <w:rPr>
          <w:spacing w:val="-9"/>
        </w:rPr>
        <w:t xml:space="preserve"> </w:t>
      </w:r>
      <w:r w:rsidRPr="009D77F6">
        <w:t>a:</w:t>
      </w:r>
    </w:p>
    <w:p w14:paraId="4123D09D" w14:textId="77777777" w:rsidR="00810554" w:rsidRPr="009D77F6" w:rsidRDefault="00810554">
      <w:pPr>
        <w:pStyle w:val="Textoindependiente"/>
        <w:spacing w:before="5"/>
        <w:rPr>
          <w:sz w:val="16"/>
        </w:rPr>
      </w:pPr>
    </w:p>
    <w:p w14:paraId="1606E869" w14:textId="77777777" w:rsidR="00810554" w:rsidRPr="009D77F6" w:rsidRDefault="00E31D02">
      <w:pPr>
        <w:pStyle w:val="Textoindependiente"/>
        <w:spacing w:before="93" w:line="276" w:lineRule="auto"/>
        <w:ind w:left="1168" w:right="106"/>
        <w:jc w:val="both"/>
      </w:pPr>
      <w:r w:rsidRPr="009D77F6">
        <w:rPr>
          <w:b/>
        </w:rPr>
        <w:t>Experiencia general</w:t>
      </w:r>
      <w:r w:rsidRPr="009D77F6">
        <w:t>: “CONSTRUCCIÓN O MEJORAMIENTO EN PAVIMENTO ASFALTICO O CONCRETO HIDRÁULICO O PLACA HUELLA DE VÍAS PRIMARIAS O SECUNDARIAS O VÍAS TERCIARIAS O VÍAS URBANAS O PISTAS DE AEROPUERTOS”.</w:t>
      </w:r>
    </w:p>
    <w:p w14:paraId="220EC1AA" w14:textId="77777777" w:rsidR="00810554" w:rsidRPr="009D77F6" w:rsidRDefault="00E31D02">
      <w:pPr>
        <w:pStyle w:val="Textoindependiente"/>
        <w:spacing w:before="2" w:line="276" w:lineRule="auto"/>
        <w:ind w:left="1168" w:right="109"/>
        <w:jc w:val="both"/>
      </w:pPr>
      <w:r w:rsidRPr="009D77F6">
        <w:rPr>
          <w:b/>
        </w:rPr>
        <w:t>Experiencia especifica</w:t>
      </w:r>
      <w:r w:rsidRPr="009D77F6">
        <w:t>: “Por lo menos un (1) contrato cuya longitud intervenida corresponda al 50% de la longitud de la vía a construir mediante el proceso de contratación”.</w:t>
      </w:r>
    </w:p>
    <w:p w14:paraId="2B284F1B" w14:textId="77777777" w:rsidR="00810554" w:rsidRPr="009D77F6" w:rsidRDefault="00810554">
      <w:pPr>
        <w:pStyle w:val="Textoindependiente"/>
        <w:spacing w:before="2"/>
        <w:rPr>
          <w:sz w:val="25"/>
        </w:rPr>
      </w:pPr>
    </w:p>
    <w:p w14:paraId="446F8910" w14:textId="77777777" w:rsidR="00810554" w:rsidRPr="009D77F6" w:rsidRDefault="00E31D02">
      <w:pPr>
        <w:pStyle w:val="Textoindependiente"/>
        <w:spacing w:line="276" w:lineRule="auto"/>
        <w:ind w:left="100" w:right="103"/>
        <w:jc w:val="both"/>
      </w:pPr>
      <w:r w:rsidRPr="009D77F6">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05EA04E1" w14:textId="77777777" w:rsidR="00810554" w:rsidRPr="009D77F6" w:rsidRDefault="00810554">
      <w:pPr>
        <w:pStyle w:val="Textoindependiente"/>
        <w:spacing w:before="6"/>
        <w:rPr>
          <w:sz w:val="25"/>
        </w:rPr>
      </w:pPr>
    </w:p>
    <w:p w14:paraId="7DC9EBF3" w14:textId="77777777" w:rsidR="00810554" w:rsidRPr="009D77F6" w:rsidRDefault="00E31D02">
      <w:pPr>
        <w:pStyle w:val="Textoindependiente"/>
        <w:spacing w:line="276" w:lineRule="auto"/>
        <w:ind w:left="100" w:right="107"/>
        <w:jc w:val="both"/>
      </w:pPr>
      <w:r w:rsidRPr="009D77F6">
        <w:lastRenderedPageBreak/>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14:paraId="466DBCAB" w14:textId="77777777" w:rsidR="00810554" w:rsidRPr="009D77F6" w:rsidRDefault="00810554">
      <w:pPr>
        <w:pStyle w:val="Textoindependiente"/>
        <w:spacing w:before="2"/>
        <w:rPr>
          <w:sz w:val="25"/>
        </w:rPr>
      </w:pPr>
    </w:p>
    <w:p w14:paraId="7AEBBB78" w14:textId="77777777" w:rsidR="00810554" w:rsidRPr="009D77F6" w:rsidRDefault="00E31D02">
      <w:pPr>
        <w:pStyle w:val="Ttulo1"/>
        <w:numPr>
          <w:ilvl w:val="1"/>
          <w:numId w:val="2"/>
        </w:numPr>
        <w:tabs>
          <w:tab w:val="left" w:pos="573"/>
        </w:tabs>
        <w:spacing w:line="276" w:lineRule="auto"/>
        <w:ind w:left="100" w:right="111" w:firstLine="0"/>
      </w:pPr>
      <w:r w:rsidRPr="009D77F6">
        <w:t>“Clasificador de Bienes, Obras y Servicios de las Naciones Unidas” en Documentos Tipo como parte del requisito habilitante de</w:t>
      </w:r>
      <w:r w:rsidRPr="009D77F6">
        <w:rPr>
          <w:spacing w:val="-14"/>
        </w:rPr>
        <w:t xml:space="preserve"> </w:t>
      </w:r>
      <w:r w:rsidRPr="009D77F6">
        <w:t>experiencia</w:t>
      </w:r>
    </w:p>
    <w:p w14:paraId="4083D225" w14:textId="77777777" w:rsidR="00810554" w:rsidRPr="009D77F6" w:rsidRDefault="00810554">
      <w:pPr>
        <w:pStyle w:val="Textoindependiente"/>
        <w:spacing w:before="4"/>
        <w:rPr>
          <w:b/>
          <w:sz w:val="25"/>
        </w:rPr>
      </w:pPr>
    </w:p>
    <w:p w14:paraId="1C21B07B" w14:textId="77777777" w:rsidR="00810554" w:rsidRPr="009D77F6" w:rsidRDefault="00E31D02">
      <w:pPr>
        <w:pStyle w:val="Textoindependiente"/>
        <w:spacing w:line="276" w:lineRule="auto"/>
        <w:ind w:left="100" w:right="102"/>
        <w:jc w:val="both"/>
      </w:pPr>
      <w:r w:rsidRPr="009D77F6">
        <w:t>Esta Subdirección en el concepto con radicado 4201912000005680 del 21 de agosto de 2019 se pronunció sobre la interpretación del numeral 3.5.3 del Documento Base, en lo relacionado con el “Clasificador de Bienes, Obras y Servicios de las Naciones Unidas”, como componente del requisito habilitante de experiencia en los Documentos Tipo. La interpretación allí expuesta es la que se expone a continuación.</w:t>
      </w:r>
    </w:p>
    <w:p w14:paraId="537C2CC2" w14:textId="77777777" w:rsidR="00810554" w:rsidRPr="009D77F6" w:rsidRDefault="00810554">
      <w:pPr>
        <w:pStyle w:val="Textoindependiente"/>
        <w:spacing w:before="2"/>
        <w:rPr>
          <w:sz w:val="25"/>
        </w:rPr>
      </w:pPr>
    </w:p>
    <w:p w14:paraId="5DCDF756" w14:textId="0C9AFA2B" w:rsidR="00810554" w:rsidRPr="009D77F6" w:rsidRDefault="00E31D02" w:rsidP="005A19DD">
      <w:pPr>
        <w:pStyle w:val="Textoindependiente"/>
        <w:spacing w:before="1"/>
        <w:ind w:left="100" w:right="104"/>
        <w:jc w:val="both"/>
        <w:rPr>
          <w:sz w:val="20"/>
        </w:rPr>
      </w:pPr>
      <w:r w:rsidRPr="009D77F6">
        <w:t>Las normas de contratación estatal establecen que las personas naturales o jurídicas nacionales o extranjeras que deseen celebrar contratos estatales deberán estar inscritos en el Registro Único de Proponente –</w:t>
      </w:r>
      <w:r w:rsidRPr="009D77F6">
        <w:rPr>
          <w:spacing w:val="-6"/>
        </w:rPr>
        <w:t xml:space="preserve"> </w:t>
      </w:r>
      <w:r w:rsidRPr="009D77F6">
        <w:t>RUP</w:t>
      </w:r>
      <w:r w:rsidR="005A19DD">
        <w:rPr>
          <w:rStyle w:val="Refdenotaalpie"/>
        </w:rPr>
        <w:footnoteReference w:id="2"/>
      </w:r>
      <w:r w:rsidRPr="009D77F6">
        <w:t>.</w:t>
      </w:r>
    </w:p>
    <w:p w14:paraId="41967FB9" w14:textId="77777777" w:rsidR="00810554" w:rsidRPr="009D77F6" w:rsidRDefault="00810554">
      <w:pPr>
        <w:pStyle w:val="Textoindependiente"/>
        <w:spacing w:before="5"/>
        <w:rPr>
          <w:sz w:val="16"/>
        </w:rPr>
      </w:pPr>
    </w:p>
    <w:p w14:paraId="45AEC21C" w14:textId="51620B87" w:rsidR="00810554" w:rsidRPr="009D77F6" w:rsidRDefault="00E31D02">
      <w:pPr>
        <w:pStyle w:val="Textoindependiente"/>
        <w:spacing w:before="93"/>
        <w:ind w:left="100" w:right="112"/>
        <w:jc w:val="both"/>
      </w:pPr>
      <w:r w:rsidRPr="009D77F6">
        <w:t>El artículo 6 de la Ley 1150 de 2007 establece que en el registro constará la información relacionada con la experiencia, capacidad jurídica, financiera y de organización del proponente, así como su “clasificación”</w:t>
      </w:r>
      <w:r w:rsidR="005A19DD">
        <w:rPr>
          <w:rStyle w:val="Refdenotaalpie"/>
        </w:rPr>
        <w:footnoteReference w:id="3"/>
      </w:r>
      <w:r w:rsidRPr="009D77F6">
        <w:t>.</w:t>
      </w:r>
    </w:p>
    <w:p w14:paraId="5C598735" w14:textId="77777777" w:rsidR="00810554" w:rsidRPr="009D77F6" w:rsidRDefault="00810554">
      <w:pPr>
        <w:pStyle w:val="Textoindependiente"/>
        <w:spacing w:before="1"/>
      </w:pPr>
    </w:p>
    <w:p w14:paraId="71A4F0B1" w14:textId="77777777" w:rsidR="00810554" w:rsidRPr="009D77F6" w:rsidRDefault="00E31D02">
      <w:pPr>
        <w:pStyle w:val="Textoindependiente"/>
        <w:ind w:left="100" w:right="109"/>
        <w:jc w:val="both"/>
      </w:pPr>
      <w:r w:rsidRPr="009D77F6">
        <w:t>La misma Ley, prevé algunas excepciones en las que las entidades estatales no requerirán al proponente el registro o la “clasificación” de los bienes y servicios que ofrece y la clasificación de la experiencia en el Registro Único de Proponentes, como: i) en los casos de contratación directa, ii) contratos para la prestación de servicios de salud, iii) contratos de mínima cuantía, iv) enajenación de bienes del Estado, v) contratos que tengan por objeto la adquisición de productos de origen o destinación agropecuaria que se ofrezcan en bolsas de productos legalmente constituidas, vi) los actos y contratos que tengan por objeto directo las actividades comerciales e industriales propias de las empresas industriales y comerciales del Estado y las sociedades de economía mixta y vii) los contratos de concesión de cualquier</w:t>
      </w:r>
      <w:r w:rsidRPr="009D77F6">
        <w:rPr>
          <w:spacing w:val="-5"/>
        </w:rPr>
        <w:t xml:space="preserve"> </w:t>
      </w:r>
      <w:r w:rsidRPr="009D77F6">
        <w:t>índole.</w:t>
      </w:r>
    </w:p>
    <w:p w14:paraId="5FB29A7A" w14:textId="77777777" w:rsidR="00810554" w:rsidRPr="009D77F6" w:rsidRDefault="00810554">
      <w:pPr>
        <w:pStyle w:val="Textoindependiente"/>
      </w:pPr>
    </w:p>
    <w:p w14:paraId="61DD34FA" w14:textId="77777777" w:rsidR="00810554" w:rsidRPr="009D77F6" w:rsidRDefault="00E31D02">
      <w:pPr>
        <w:pStyle w:val="Textoindependiente"/>
        <w:ind w:left="100" w:right="106"/>
        <w:jc w:val="both"/>
      </w:pPr>
      <w:r w:rsidRPr="009D77F6">
        <w:t xml:space="preserve">Como consecuencia de lo anterior, realizar la “clasificación de los bienes y servicios” del </w:t>
      </w:r>
      <w:r w:rsidRPr="009D77F6">
        <w:lastRenderedPageBreak/>
        <w:t>proponente, así como la “clasificación de la experiencia” es la regla general para aquellos que quieran contratar con las entidades estatales y es un deber que los proponentes siempre deberán cumplir, salvo aquellas excepciones que ha sido señaladas por el legislador.</w:t>
      </w:r>
    </w:p>
    <w:p w14:paraId="7E4641EB" w14:textId="77777777" w:rsidR="00810554" w:rsidRPr="009D77F6" w:rsidRDefault="00810554">
      <w:pPr>
        <w:pStyle w:val="Textoindependiente"/>
      </w:pPr>
    </w:p>
    <w:p w14:paraId="685BD22C" w14:textId="5C0B6D9E" w:rsidR="00810554" w:rsidRPr="009D77F6" w:rsidRDefault="00E31D02">
      <w:pPr>
        <w:pStyle w:val="Textoindependiente"/>
        <w:ind w:left="100" w:right="110"/>
        <w:jc w:val="both"/>
      </w:pPr>
      <w:r w:rsidRPr="009D77F6">
        <w:t>De otra parte, el Decreto 1082 de 2015 establece la información que deben presentar las personas naturales o jurídicas para realizar la inscripción, renovación o actualización en el Registro Único de Proponentes, y diferencia la información relacionada con la calificación y clasificación de los bienes y servicios que el proponente ofrecerá a las entidades estatales, de la información relacionada con la clasificación de los certificados de experiencia o contratos en el Clasificador de Bienes y Servicios en el tercer nivel</w:t>
      </w:r>
      <w:r w:rsidR="005A19DD">
        <w:rPr>
          <w:rStyle w:val="Refdenotaalpie"/>
        </w:rPr>
        <w:footnoteReference w:id="4"/>
      </w:r>
      <w:r w:rsidRPr="009D77F6">
        <w:t>.</w:t>
      </w:r>
    </w:p>
    <w:p w14:paraId="4E39E603" w14:textId="77777777" w:rsidR="00810554" w:rsidRPr="009D77F6" w:rsidRDefault="00810554">
      <w:pPr>
        <w:pStyle w:val="Textoindependiente"/>
        <w:spacing w:before="7"/>
        <w:rPr>
          <w:sz w:val="18"/>
        </w:rPr>
      </w:pPr>
    </w:p>
    <w:p w14:paraId="1E39CCFF" w14:textId="7BF9F0BB" w:rsidR="00810554" w:rsidRPr="009D77F6" w:rsidRDefault="00E31D02">
      <w:pPr>
        <w:pStyle w:val="Textoindependiente"/>
        <w:spacing w:before="93"/>
        <w:ind w:left="100" w:right="111"/>
        <w:jc w:val="both"/>
      </w:pPr>
      <w:r w:rsidRPr="009D77F6">
        <w:t xml:space="preserve">Se reitera, entonces, que al proponente al momento de hacer la inscripción o renovación en el Registro Único de Proponentes le corresponde hacer dos clasificaciones: i) la primera hace referencia a la clasificación en la que se enmarcan los bienes y servicios que le ofrecerá a las entidades estatales, de esta manera el proponente podrá acreditar la idoneidad en los bienes y servicios que las entidades estatales requiere contratar, ii) la segunda hace referencia a la clasificación relacionada con su experiencia o contratos, y lo que busca es que la experiencia del proponente se encuentre identificada en los códigos requeridos para </w:t>
      </w:r>
      <w:r w:rsidRPr="009D77F6">
        <w:lastRenderedPageBreak/>
        <w:t>adelantar las actividades contractuales objeto de</w:t>
      </w:r>
      <w:r w:rsidRPr="009D77F6">
        <w:rPr>
          <w:spacing w:val="-18"/>
        </w:rPr>
        <w:t xml:space="preserve"> </w:t>
      </w:r>
      <w:r w:rsidRPr="009D77F6">
        <w:t>contratación</w:t>
      </w:r>
      <w:r w:rsidR="005A19DD">
        <w:rPr>
          <w:rStyle w:val="Refdenotaalpie"/>
        </w:rPr>
        <w:footnoteReference w:id="5"/>
      </w:r>
      <w:r w:rsidRPr="009D77F6">
        <w:t>.</w:t>
      </w:r>
    </w:p>
    <w:p w14:paraId="2A7A0630" w14:textId="77777777" w:rsidR="00810554" w:rsidRPr="009D77F6" w:rsidRDefault="00810554">
      <w:pPr>
        <w:pStyle w:val="Textoindependiente"/>
        <w:spacing w:before="10"/>
        <w:rPr>
          <w:sz w:val="21"/>
        </w:rPr>
      </w:pPr>
    </w:p>
    <w:p w14:paraId="264C3814" w14:textId="77777777" w:rsidR="00810554" w:rsidRPr="009D77F6" w:rsidRDefault="00E31D02">
      <w:pPr>
        <w:pStyle w:val="Textoindependiente"/>
        <w:ind w:left="100" w:right="110"/>
        <w:jc w:val="both"/>
      </w:pPr>
      <w:r w:rsidRPr="009D77F6">
        <w:t>De otro lado, los certificados y contratos que pretenda inscribir, renovar o actualizar los proponentes para participar en procesos de contratación deben estar clasificados acorde con el Clasificador de Bienes y Servicios en el tercer nivel, y es objeto de verificación por parte de las entidades estatales al evaluar el requisito habilitante de experiencia.</w:t>
      </w:r>
    </w:p>
    <w:p w14:paraId="55102C88" w14:textId="77777777" w:rsidR="00810554" w:rsidRPr="009D77F6" w:rsidRDefault="00810554">
      <w:pPr>
        <w:pStyle w:val="Textoindependiente"/>
        <w:spacing w:before="1"/>
      </w:pPr>
    </w:p>
    <w:p w14:paraId="6889525E" w14:textId="77777777" w:rsidR="00810554" w:rsidRPr="009D77F6" w:rsidRDefault="00E31D02">
      <w:pPr>
        <w:pStyle w:val="Textoindependiente"/>
        <w:ind w:left="100" w:right="104"/>
        <w:jc w:val="both"/>
      </w:pPr>
      <w:r w:rsidRPr="009D77F6">
        <w:t>El artículo 2.2.1.1.1.5.3. del Decreto 1082 de 2015, al definir el contenido del requisito habilitante “experiencia” que le corresponde verificar y certificar a las cámaras de comercio, establece que los contratos que deben ser presentados como experiencia deben relacionarse con los códigos del clasificador de bienes y servicios, en los siguientes términos:</w:t>
      </w:r>
    </w:p>
    <w:p w14:paraId="7729CEBD" w14:textId="77777777" w:rsidR="00810554" w:rsidRPr="009D77F6" w:rsidRDefault="00810554">
      <w:pPr>
        <w:pStyle w:val="Textoindependiente"/>
        <w:spacing w:before="11"/>
        <w:rPr>
          <w:sz w:val="21"/>
        </w:rPr>
      </w:pPr>
    </w:p>
    <w:p w14:paraId="57CD29E5" w14:textId="3148ACD6" w:rsidR="00810554" w:rsidRDefault="00E31D02" w:rsidP="005A19DD">
      <w:pPr>
        <w:pStyle w:val="Textoindependiente"/>
        <w:ind w:left="808" w:right="815" w:firstLine="2"/>
        <w:jc w:val="both"/>
      </w:pPr>
      <w:r w:rsidRPr="009D77F6">
        <w:t>Artículo 2.2.1.1.1.5.3. Requisitos habilitantes contenidos en el RUP. Las cámaras de comercio, con base en la información a la que hace referencia el artículo anterior, deben verificar y certificar los siguientes requisitos habilitantes:</w:t>
      </w:r>
    </w:p>
    <w:p w14:paraId="4C1B529A" w14:textId="77777777" w:rsidR="005A19DD" w:rsidRPr="009D77F6" w:rsidRDefault="005A19DD" w:rsidP="005A19DD">
      <w:pPr>
        <w:pStyle w:val="Textoindependiente"/>
        <w:ind w:left="808" w:right="815" w:firstLine="2"/>
        <w:jc w:val="both"/>
        <w:rPr>
          <w:sz w:val="16"/>
        </w:rPr>
      </w:pPr>
    </w:p>
    <w:p w14:paraId="74CD2622" w14:textId="77777777" w:rsidR="00810554" w:rsidRPr="009D77F6" w:rsidRDefault="00E31D02">
      <w:pPr>
        <w:pStyle w:val="Textoindependiente"/>
        <w:spacing w:before="93"/>
        <w:ind w:left="808" w:right="823"/>
        <w:jc w:val="both"/>
      </w:pPr>
      <w:r w:rsidRPr="009D77F6">
        <w:t>1. Experiencia – Los contratos celebrados por el interesado para cada uno de los bienes, obras y servicios que ofrecerá a las Entidades Estatales, identificados con el Clasificador de Bienes y Servicios en el tercer nivel y su valor expresado en</w:t>
      </w:r>
      <w:r w:rsidRPr="009D77F6">
        <w:rPr>
          <w:spacing w:val="-3"/>
        </w:rPr>
        <w:t xml:space="preserve"> </w:t>
      </w:r>
      <w:r w:rsidRPr="009D77F6">
        <w:t>SMMLV.</w:t>
      </w:r>
    </w:p>
    <w:p w14:paraId="7D3CCE6C" w14:textId="77777777" w:rsidR="00810554" w:rsidRPr="009D77F6" w:rsidRDefault="00810554">
      <w:pPr>
        <w:pStyle w:val="Textoindependiente"/>
      </w:pPr>
    </w:p>
    <w:p w14:paraId="20C810FA" w14:textId="77777777" w:rsidR="00810554" w:rsidRPr="009D77F6" w:rsidRDefault="00E31D02">
      <w:pPr>
        <w:pStyle w:val="Textoindependiente"/>
        <w:ind w:left="808" w:right="819"/>
        <w:jc w:val="both"/>
      </w:pPr>
      <w:r w:rsidRPr="009D77F6">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w:t>
      </w:r>
      <w:r w:rsidRPr="009D77F6">
        <w:rPr>
          <w:spacing w:val="-3"/>
        </w:rPr>
        <w:t xml:space="preserve"> </w:t>
      </w:r>
      <w:r w:rsidRPr="009D77F6">
        <w:t>SMMLV.</w:t>
      </w:r>
    </w:p>
    <w:p w14:paraId="36401785" w14:textId="77777777" w:rsidR="00810554" w:rsidRPr="009D77F6" w:rsidRDefault="00810554">
      <w:pPr>
        <w:pStyle w:val="Textoindependiente"/>
        <w:spacing w:before="3"/>
      </w:pPr>
    </w:p>
    <w:p w14:paraId="53D314D8" w14:textId="77777777" w:rsidR="00810554" w:rsidRPr="009D77F6" w:rsidRDefault="00E31D02">
      <w:pPr>
        <w:pStyle w:val="Textoindependiente"/>
        <w:ind w:left="100" w:right="111"/>
        <w:jc w:val="both"/>
      </w:pPr>
      <w:r w:rsidRPr="009D77F6">
        <w:t>Finalmente, la Circular Externa Única de Colombia Compra Eficiente establece, en el numeral 3, directrices para el clasificador de bienes y servicios cuando se relaciona con la experiencia:</w:t>
      </w:r>
    </w:p>
    <w:p w14:paraId="63D37FE7" w14:textId="77777777" w:rsidR="00810554" w:rsidRPr="009D77F6" w:rsidRDefault="00810554">
      <w:pPr>
        <w:pStyle w:val="Textoindependiente"/>
        <w:spacing w:before="10"/>
        <w:rPr>
          <w:sz w:val="21"/>
        </w:rPr>
      </w:pPr>
    </w:p>
    <w:p w14:paraId="43DEAE2A" w14:textId="77777777" w:rsidR="00810554" w:rsidRPr="009D77F6" w:rsidRDefault="00E31D02">
      <w:pPr>
        <w:pStyle w:val="Textoindependiente"/>
        <w:ind w:left="808" w:right="818"/>
        <w:jc w:val="both"/>
      </w:pPr>
      <w:r w:rsidRPr="009D77F6">
        <w:t>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w:t>
      </w:r>
      <w:r w:rsidRPr="009D77F6">
        <w:rPr>
          <w:spacing w:val="-26"/>
        </w:rPr>
        <w:t xml:space="preserve"> </w:t>
      </w:r>
      <w:r w:rsidRPr="009D77F6">
        <w:t>experiencia.</w:t>
      </w:r>
    </w:p>
    <w:p w14:paraId="50CC54A7" w14:textId="77777777" w:rsidR="00810554" w:rsidRPr="009D77F6" w:rsidRDefault="00810554">
      <w:pPr>
        <w:pStyle w:val="Textoindependiente"/>
        <w:spacing w:before="1"/>
      </w:pPr>
    </w:p>
    <w:p w14:paraId="49D86AE0" w14:textId="77777777" w:rsidR="00810554" w:rsidRPr="009D77F6" w:rsidRDefault="00E31D02">
      <w:pPr>
        <w:pStyle w:val="Textoindependiente"/>
        <w:ind w:left="808" w:right="816"/>
        <w:jc w:val="both"/>
      </w:pPr>
      <w:r w:rsidRPr="009D77F6">
        <w:t xml:space="preserve">Las Cámaras de Comercio sólo pueden inscribir como experiencia del </w:t>
      </w:r>
      <w:r w:rsidRPr="009D77F6">
        <w:lastRenderedPageBreak/>
        <w:t>proponente aquella certificada por documento público o privado, y para la cual el proponente deberá indicar los códigos del Clasificador de Bienes y Servicios. Las órdenes de compra, órdenes de servicios, y los documentos derivados de la aceptación de ofertas en Procesos de Contratación de mínima cuantía son contratos para efectos de la acreditación de la experiencia. Las Cámaras de Comercio realizarán la inscripción de conformidad con la normativa aplicable.</w:t>
      </w:r>
    </w:p>
    <w:p w14:paraId="0E88F5E9" w14:textId="77777777" w:rsidR="00810554" w:rsidRPr="009D77F6" w:rsidRDefault="00810554">
      <w:pPr>
        <w:pStyle w:val="Textoindependiente"/>
        <w:spacing w:before="10"/>
        <w:rPr>
          <w:sz w:val="21"/>
        </w:rPr>
      </w:pPr>
    </w:p>
    <w:p w14:paraId="374E99A7" w14:textId="77777777" w:rsidR="00810554" w:rsidRPr="009D77F6" w:rsidRDefault="00E31D02">
      <w:pPr>
        <w:pStyle w:val="Textoindependiente"/>
        <w:spacing w:before="1"/>
        <w:ind w:left="100" w:right="110"/>
        <w:jc w:val="both"/>
      </w:pPr>
      <w:r w:rsidRPr="009D77F6">
        <w:t>Conforme a lo anterior, la “clasificación de los contratos que se pretendan acreditar como experiencia” es requisito habilitante y debe ser exigido acorde con los bienes, obras o servicios afines al objeto del proceso de contratación.</w:t>
      </w:r>
    </w:p>
    <w:p w14:paraId="5D69635F" w14:textId="77777777" w:rsidR="00810554" w:rsidRPr="009D77F6" w:rsidRDefault="00810554">
      <w:pPr>
        <w:pStyle w:val="Textoindependiente"/>
      </w:pPr>
    </w:p>
    <w:p w14:paraId="2F162D32" w14:textId="77777777" w:rsidR="00810554" w:rsidRPr="009D77F6" w:rsidRDefault="00E31D02">
      <w:pPr>
        <w:pStyle w:val="Textoindependiente"/>
        <w:ind w:left="100" w:right="110"/>
        <w:jc w:val="both"/>
      </w:pPr>
      <w:r w:rsidRPr="009D77F6">
        <w:t>Ahora, en lo que respecta a la clasificación de la experiencia, el “Documento Base” es claro en establecer que de los contratos aportados por el proponente para efectos de acreditar la experiencia deben estar clasificados en “alguno” de los códigos que la entidad establezca:</w:t>
      </w:r>
    </w:p>
    <w:p w14:paraId="00D0B068" w14:textId="77777777" w:rsidR="00810554" w:rsidRPr="009D77F6" w:rsidRDefault="00810554">
      <w:pPr>
        <w:pStyle w:val="Textoindependiente"/>
        <w:spacing w:before="5"/>
        <w:rPr>
          <w:sz w:val="32"/>
        </w:rPr>
      </w:pPr>
    </w:p>
    <w:p w14:paraId="610C4611" w14:textId="77777777" w:rsidR="00810554" w:rsidRPr="009D77F6" w:rsidRDefault="00E31D02">
      <w:pPr>
        <w:tabs>
          <w:tab w:val="left" w:pos="1160"/>
        </w:tabs>
        <w:spacing w:line="276" w:lineRule="auto"/>
        <w:ind w:left="1160" w:right="819" w:hanging="720"/>
        <w:rPr>
          <w:b/>
          <w:sz w:val="20"/>
        </w:rPr>
      </w:pPr>
      <w:r w:rsidRPr="009D77F6">
        <w:rPr>
          <w:b/>
          <w:sz w:val="20"/>
        </w:rPr>
        <w:t>3.5.3.</w:t>
      </w:r>
      <w:r w:rsidRPr="009D77F6">
        <w:rPr>
          <w:b/>
          <w:sz w:val="20"/>
        </w:rPr>
        <w:tab/>
        <w:t>CLASIFICACIÓN DE LA EXPERIENCIA EN EL “CLASIFICADOR DE BIENES, OBRAS Y SERVICIOS DE LAS NACIONES</w:t>
      </w:r>
      <w:r w:rsidRPr="009D77F6">
        <w:rPr>
          <w:b/>
          <w:spacing w:val="-3"/>
          <w:sz w:val="20"/>
        </w:rPr>
        <w:t xml:space="preserve"> </w:t>
      </w:r>
      <w:r w:rsidRPr="009D77F6">
        <w:rPr>
          <w:b/>
          <w:sz w:val="20"/>
        </w:rPr>
        <w:t>UNIDAS”</w:t>
      </w:r>
    </w:p>
    <w:p w14:paraId="2EE8F489" w14:textId="77777777" w:rsidR="00810554" w:rsidRPr="009D77F6" w:rsidRDefault="00810554">
      <w:pPr>
        <w:pStyle w:val="Textoindependiente"/>
        <w:spacing w:before="11"/>
        <w:rPr>
          <w:b/>
          <w:sz w:val="20"/>
        </w:rPr>
      </w:pPr>
    </w:p>
    <w:p w14:paraId="39FA0276" w14:textId="77777777" w:rsidR="00810554" w:rsidRPr="009D77F6" w:rsidRDefault="00E31D02">
      <w:pPr>
        <w:ind w:left="440"/>
        <w:rPr>
          <w:sz w:val="20"/>
        </w:rPr>
      </w:pPr>
      <w:r w:rsidRPr="009D77F6">
        <w:rPr>
          <w:sz w:val="20"/>
        </w:rPr>
        <w:t>Los contratos aportados para efectos de acreditación de la experiencia requerida deben estar clasificados en alguno de los siguientes códigos:</w:t>
      </w:r>
    </w:p>
    <w:p w14:paraId="31800F22" w14:textId="77777777" w:rsidR="00810554" w:rsidRPr="009D77F6" w:rsidRDefault="00810554">
      <w:pPr>
        <w:pStyle w:val="Textoindependiente"/>
        <w:spacing w:before="9"/>
        <w:rPr>
          <w:sz w:val="25"/>
        </w:rPr>
      </w:pPr>
    </w:p>
    <w:tbl>
      <w:tblPr>
        <w:tblStyle w:val="NormalTable0"/>
        <w:tblW w:w="0" w:type="auto"/>
        <w:tblInd w:w="16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53"/>
        <w:gridCol w:w="1406"/>
        <w:gridCol w:w="1265"/>
        <w:gridCol w:w="1463"/>
      </w:tblGrid>
      <w:tr w:rsidR="009D77F6" w:rsidRPr="009D77F6" w14:paraId="31023807" w14:textId="77777777">
        <w:trPr>
          <w:trHeight w:val="340"/>
        </w:trPr>
        <w:tc>
          <w:tcPr>
            <w:tcW w:w="1753" w:type="dxa"/>
            <w:tcBorders>
              <w:bottom w:val="single" w:sz="4" w:space="0" w:color="000000"/>
              <w:right w:val="single" w:sz="4" w:space="0" w:color="000000"/>
            </w:tcBorders>
            <w:shd w:val="clear" w:color="auto" w:fill="404040"/>
          </w:tcPr>
          <w:p w14:paraId="18D15190" w14:textId="77777777" w:rsidR="00810554" w:rsidRPr="009D77F6" w:rsidRDefault="004E414B">
            <w:pPr>
              <w:pStyle w:val="TableParagraph"/>
              <w:spacing w:before="61"/>
              <w:rPr>
                <w:b/>
                <w:sz w:val="18"/>
              </w:rPr>
            </w:pPr>
            <w:hyperlink r:id="rId12">
              <w:r w:rsidR="00E31D02" w:rsidRPr="009D77F6">
                <w:rPr>
                  <w:b/>
                  <w:sz w:val="18"/>
                  <w:u w:val="single" w:color="DBDBDB"/>
                </w:rPr>
                <w:t>Segmentos</w:t>
              </w:r>
            </w:hyperlink>
          </w:p>
        </w:tc>
        <w:tc>
          <w:tcPr>
            <w:tcW w:w="1406" w:type="dxa"/>
            <w:tcBorders>
              <w:left w:val="single" w:sz="4" w:space="0" w:color="000000"/>
              <w:bottom w:val="single" w:sz="4" w:space="0" w:color="000000"/>
              <w:right w:val="single" w:sz="4" w:space="0" w:color="000000"/>
            </w:tcBorders>
            <w:shd w:val="clear" w:color="auto" w:fill="404040"/>
          </w:tcPr>
          <w:p w14:paraId="3132BC5B" w14:textId="77777777" w:rsidR="00810554" w:rsidRPr="009D77F6" w:rsidRDefault="004E414B">
            <w:pPr>
              <w:pStyle w:val="TableParagraph"/>
              <w:spacing w:before="61"/>
              <w:ind w:left="110"/>
              <w:rPr>
                <w:b/>
                <w:sz w:val="18"/>
              </w:rPr>
            </w:pPr>
            <w:hyperlink r:id="rId13">
              <w:r w:rsidR="00E31D02" w:rsidRPr="009D77F6">
                <w:rPr>
                  <w:b/>
                  <w:sz w:val="18"/>
                  <w:u w:val="single" w:color="DBDBDB"/>
                </w:rPr>
                <w:t>Familia</w:t>
              </w:r>
            </w:hyperlink>
          </w:p>
        </w:tc>
        <w:tc>
          <w:tcPr>
            <w:tcW w:w="1265" w:type="dxa"/>
            <w:tcBorders>
              <w:left w:val="single" w:sz="4" w:space="0" w:color="000000"/>
              <w:bottom w:val="single" w:sz="4" w:space="0" w:color="000000"/>
              <w:right w:val="single" w:sz="4" w:space="0" w:color="000000"/>
            </w:tcBorders>
            <w:shd w:val="clear" w:color="auto" w:fill="404040"/>
          </w:tcPr>
          <w:p w14:paraId="0270CDFF" w14:textId="77777777" w:rsidR="00810554" w:rsidRPr="009D77F6" w:rsidRDefault="004E414B">
            <w:pPr>
              <w:pStyle w:val="TableParagraph"/>
              <w:spacing w:before="61"/>
              <w:ind w:left="109"/>
              <w:rPr>
                <w:b/>
                <w:sz w:val="18"/>
              </w:rPr>
            </w:pPr>
            <w:hyperlink r:id="rId14">
              <w:r w:rsidR="00E31D02" w:rsidRPr="009D77F6">
                <w:rPr>
                  <w:b/>
                  <w:sz w:val="18"/>
                  <w:u w:val="single" w:color="DBDBDB"/>
                </w:rPr>
                <w:t>Clase</w:t>
              </w:r>
            </w:hyperlink>
          </w:p>
        </w:tc>
        <w:tc>
          <w:tcPr>
            <w:tcW w:w="1463" w:type="dxa"/>
            <w:tcBorders>
              <w:left w:val="single" w:sz="4" w:space="0" w:color="000000"/>
              <w:bottom w:val="single" w:sz="4" w:space="0" w:color="000000"/>
            </w:tcBorders>
            <w:shd w:val="clear" w:color="auto" w:fill="404040"/>
          </w:tcPr>
          <w:p w14:paraId="3C9B686F" w14:textId="77777777" w:rsidR="00810554" w:rsidRPr="009D77F6" w:rsidRDefault="004E414B">
            <w:pPr>
              <w:pStyle w:val="TableParagraph"/>
              <w:spacing w:before="61"/>
              <w:ind w:left="106"/>
              <w:rPr>
                <w:b/>
                <w:sz w:val="18"/>
              </w:rPr>
            </w:pPr>
            <w:hyperlink r:id="rId15">
              <w:r w:rsidR="00E31D02" w:rsidRPr="009D77F6">
                <w:rPr>
                  <w:b/>
                  <w:sz w:val="18"/>
                  <w:u w:val="single" w:color="DBDBDB"/>
                </w:rPr>
                <w:t>Nombre</w:t>
              </w:r>
            </w:hyperlink>
          </w:p>
        </w:tc>
      </w:tr>
      <w:tr w:rsidR="009D77F6" w:rsidRPr="009D77F6" w14:paraId="073BD754" w14:textId="77777777">
        <w:trPr>
          <w:trHeight w:val="435"/>
        </w:trPr>
        <w:tc>
          <w:tcPr>
            <w:tcW w:w="1753" w:type="dxa"/>
            <w:tcBorders>
              <w:top w:val="single" w:sz="4" w:space="0" w:color="000000"/>
              <w:bottom w:val="single" w:sz="4" w:space="0" w:color="000000"/>
              <w:right w:val="single" w:sz="4" w:space="0" w:color="000000"/>
            </w:tcBorders>
          </w:tcPr>
          <w:p w14:paraId="3D2C3CE2" w14:textId="77777777" w:rsidR="00810554" w:rsidRPr="009D77F6" w:rsidRDefault="00E31D02">
            <w:pPr>
              <w:pStyle w:val="TableParagraph"/>
              <w:spacing w:before="111"/>
              <w:rPr>
                <w:sz w:val="18"/>
              </w:rPr>
            </w:pPr>
            <w:r w:rsidRPr="009D77F6">
              <w:rPr>
                <w:sz w:val="18"/>
              </w:rPr>
              <w:t>72</w:t>
            </w:r>
          </w:p>
        </w:tc>
        <w:tc>
          <w:tcPr>
            <w:tcW w:w="1406" w:type="dxa"/>
            <w:tcBorders>
              <w:top w:val="single" w:sz="4" w:space="0" w:color="000000"/>
              <w:left w:val="single" w:sz="4" w:space="0" w:color="000000"/>
              <w:bottom w:val="single" w:sz="4" w:space="0" w:color="000000"/>
              <w:right w:val="single" w:sz="4" w:space="0" w:color="000000"/>
            </w:tcBorders>
          </w:tcPr>
          <w:p w14:paraId="652889DC" w14:textId="77777777" w:rsidR="00810554" w:rsidRPr="009D77F6" w:rsidRDefault="00E31D02">
            <w:pPr>
              <w:pStyle w:val="TableParagraph"/>
              <w:spacing w:before="111"/>
              <w:ind w:left="110"/>
              <w:rPr>
                <w:sz w:val="18"/>
              </w:rPr>
            </w:pPr>
            <w:r w:rsidRPr="009D77F6">
              <w:rPr>
                <w:sz w:val="18"/>
              </w:rPr>
              <w:t>XX</w:t>
            </w:r>
          </w:p>
        </w:tc>
        <w:tc>
          <w:tcPr>
            <w:tcW w:w="1265" w:type="dxa"/>
            <w:tcBorders>
              <w:top w:val="single" w:sz="4" w:space="0" w:color="000000"/>
              <w:left w:val="single" w:sz="4" w:space="0" w:color="000000"/>
              <w:bottom w:val="single" w:sz="4" w:space="0" w:color="000000"/>
              <w:right w:val="single" w:sz="4" w:space="0" w:color="000000"/>
            </w:tcBorders>
          </w:tcPr>
          <w:p w14:paraId="5F3D9C01" w14:textId="77777777" w:rsidR="00810554" w:rsidRPr="009D77F6" w:rsidRDefault="00E31D02">
            <w:pPr>
              <w:pStyle w:val="TableParagraph"/>
              <w:spacing w:before="111"/>
              <w:ind w:left="109"/>
              <w:rPr>
                <w:sz w:val="18"/>
              </w:rPr>
            </w:pPr>
            <w:r w:rsidRPr="009D77F6">
              <w:rPr>
                <w:sz w:val="18"/>
              </w:rPr>
              <w:t>XX</w:t>
            </w:r>
          </w:p>
        </w:tc>
        <w:tc>
          <w:tcPr>
            <w:tcW w:w="1463" w:type="dxa"/>
            <w:tcBorders>
              <w:top w:val="single" w:sz="4" w:space="0" w:color="000000"/>
              <w:left w:val="single" w:sz="4" w:space="0" w:color="000000"/>
              <w:bottom w:val="single" w:sz="4" w:space="0" w:color="000000"/>
            </w:tcBorders>
          </w:tcPr>
          <w:p w14:paraId="5996BF75" w14:textId="77777777" w:rsidR="00810554" w:rsidRPr="009D77F6" w:rsidRDefault="00E31D02">
            <w:pPr>
              <w:pStyle w:val="TableParagraph"/>
              <w:spacing w:before="111"/>
              <w:ind w:left="106"/>
              <w:rPr>
                <w:sz w:val="18"/>
              </w:rPr>
            </w:pPr>
            <w:r w:rsidRPr="009D77F6">
              <w:rPr>
                <w:sz w:val="18"/>
              </w:rPr>
              <w:t>XXXX</w:t>
            </w:r>
          </w:p>
        </w:tc>
      </w:tr>
      <w:tr w:rsidR="009D77F6" w:rsidRPr="009D77F6" w14:paraId="4E4D0105" w14:textId="77777777">
        <w:trPr>
          <w:trHeight w:val="370"/>
        </w:trPr>
        <w:tc>
          <w:tcPr>
            <w:tcW w:w="1753" w:type="dxa"/>
            <w:tcBorders>
              <w:top w:val="single" w:sz="4" w:space="0" w:color="000000"/>
              <w:bottom w:val="single" w:sz="4" w:space="0" w:color="000000"/>
              <w:right w:val="single" w:sz="4" w:space="0" w:color="000000"/>
            </w:tcBorders>
          </w:tcPr>
          <w:p w14:paraId="1DC0739B" w14:textId="77777777" w:rsidR="00810554" w:rsidRPr="009D77F6" w:rsidRDefault="00E31D02">
            <w:pPr>
              <w:pStyle w:val="TableParagraph"/>
              <w:spacing w:line="203" w:lineRule="exact"/>
              <w:rPr>
                <w:sz w:val="18"/>
              </w:rPr>
            </w:pPr>
            <w:r w:rsidRPr="009D77F6">
              <w:rPr>
                <w:sz w:val="18"/>
              </w:rPr>
              <w:t>72</w:t>
            </w:r>
          </w:p>
        </w:tc>
        <w:tc>
          <w:tcPr>
            <w:tcW w:w="1406" w:type="dxa"/>
            <w:tcBorders>
              <w:top w:val="single" w:sz="4" w:space="0" w:color="000000"/>
              <w:left w:val="single" w:sz="4" w:space="0" w:color="000000"/>
              <w:bottom w:val="single" w:sz="4" w:space="0" w:color="000000"/>
              <w:right w:val="single" w:sz="4" w:space="0" w:color="000000"/>
            </w:tcBorders>
          </w:tcPr>
          <w:p w14:paraId="7B1FBCB9" w14:textId="77777777" w:rsidR="00810554" w:rsidRPr="009D77F6" w:rsidRDefault="00E31D02">
            <w:pPr>
              <w:pStyle w:val="TableParagraph"/>
              <w:spacing w:before="78"/>
              <w:ind w:left="110"/>
              <w:rPr>
                <w:sz w:val="18"/>
              </w:rPr>
            </w:pPr>
            <w:r w:rsidRPr="009D77F6">
              <w:rPr>
                <w:sz w:val="18"/>
              </w:rPr>
              <w:t>XX</w:t>
            </w:r>
          </w:p>
        </w:tc>
        <w:tc>
          <w:tcPr>
            <w:tcW w:w="1265" w:type="dxa"/>
            <w:tcBorders>
              <w:top w:val="single" w:sz="4" w:space="0" w:color="000000"/>
              <w:left w:val="single" w:sz="4" w:space="0" w:color="000000"/>
              <w:bottom w:val="single" w:sz="4" w:space="0" w:color="000000"/>
              <w:right w:val="single" w:sz="4" w:space="0" w:color="000000"/>
            </w:tcBorders>
          </w:tcPr>
          <w:p w14:paraId="0B9806FD" w14:textId="77777777" w:rsidR="00810554" w:rsidRPr="009D77F6" w:rsidRDefault="00E31D02">
            <w:pPr>
              <w:pStyle w:val="TableParagraph"/>
              <w:spacing w:before="78"/>
              <w:ind w:left="109"/>
              <w:rPr>
                <w:sz w:val="18"/>
              </w:rPr>
            </w:pPr>
            <w:r w:rsidRPr="009D77F6">
              <w:rPr>
                <w:sz w:val="18"/>
              </w:rPr>
              <w:t>XX</w:t>
            </w:r>
          </w:p>
        </w:tc>
        <w:tc>
          <w:tcPr>
            <w:tcW w:w="1463" w:type="dxa"/>
            <w:tcBorders>
              <w:top w:val="single" w:sz="4" w:space="0" w:color="000000"/>
              <w:left w:val="single" w:sz="4" w:space="0" w:color="000000"/>
              <w:bottom w:val="single" w:sz="4" w:space="0" w:color="000000"/>
            </w:tcBorders>
          </w:tcPr>
          <w:p w14:paraId="6250BC19" w14:textId="77777777" w:rsidR="00810554" w:rsidRPr="009D77F6" w:rsidRDefault="00E31D02">
            <w:pPr>
              <w:pStyle w:val="TableParagraph"/>
              <w:spacing w:before="78"/>
              <w:ind w:left="106"/>
              <w:rPr>
                <w:sz w:val="18"/>
              </w:rPr>
            </w:pPr>
            <w:r w:rsidRPr="009D77F6">
              <w:rPr>
                <w:sz w:val="18"/>
              </w:rPr>
              <w:t>XXXX</w:t>
            </w:r>
          </w:p>
        </w:tc>
      </w:tr>
      <w:tr w:rsidR="009D77F6" w:rsidRPr="009D77F6" w14:paraId="64DD3567" w14:textId="77777777">
        <w:trPr>
          <w:trHeight w:val="207"/>
        </w:trPr>
        <w:tc>
          <w:tcPr>
            <w:tcW w:w="1753" w:type="dxa"/>
            <w:tcBorders>
              <w:top w:val="single" w:sz="4" w:space="0" w:color="000000"/>
              <w:bottom w:val="single" w:sz="4" w:space="0" w:color="000000"/>
              <w:right w:val="single" w:sz="4" w:space="0" w:color="000000"/>
            </w:tcBorders>
          </w:tcPr>
          <w:p w14:paraId="7B2CF2E8" w14:textId="77777777" w:rsidR="00810554" w:rsidRPr="009D77F6" w:rsidRDefault="00E31D02">
            <w:pPr>
              <w:pStyle w:val="TableParagraph"/>
              <w:spacing w:line="187" w:lineRule="exact"/>
              <w:rPr>
                <w:sz w:val="18"/>
              </w:rPr>
            </w:pPr>
            <w:r w:rsidRPr="009D77F6">
              <w:rPr>
                <w:sz w:val="18"/>
              </w:rPr>
              <w:t>72</w:t>
            </w:r>
          </w:p>
        </w:tc>
        <w:tc>
          <w:tcPr>
            <w:tcW w:w="1406" w:type="dxa"/>
            <w:tcBorders>
              <w:top w:val="single" w:sz="4" w:space="0" w:color="000000"/>
              <w:left w:val="single" w:sz="4" w:space="0" w:color="000000"/>
              <w:bottom w:val="single" w:sz="4" w:space="0" w:color="000000"/>
              <w:right w:val="single" w:sz="4" w:space="0" w:color="000000"/>
            </w:tcBorders>
          </w:tcPr>
          <w:p w14:paraId="066FA32C" w14:textId="77777777" w:rsidR="00810554" w:rsidRPr="009D77F6" w:rsidRDefault="00E31D02">
            <w:pPr>
              <w:pStyle w:val="TableParagraph"/>
              <w:spacing w:line="187" w:lineRule="exact"/>
              <w:ind w:left="110"/>
              <w:rPr>
                <w:sz w:val="18"/>
              </w:rPr>
            </w:pPr>
            <w:r w:rsidRPr="009D77F6">
              <w:rPr>
                <w:sz w:val="18"/>
              </w:rPr>
              <w:t>XX</w:t>
            </w:r>
          </w:p>
        </w:tc>
        <w:tc>
          <w:tcPr>
            <w:tcW w:w="1265" w:type="dxa"/>
            <w:tcBorders>
              <w:top w:val="single" w:sz="4" w:space="0" w:color="000000"/>
              <w:left w:val="single" w:sz="4" w:space="0" w:color="000000"/>
              <w:bottom w:val="single" w:sz="4" w:space="0" w:color="000000"/>
              <w:right w:val="single" w:sz="4" w:space="0" w:color="000000"/>
            </w:tcBorders>
          </w:tcPr>
          <w:p w14:paraId="03D39040" w14:textId="77777777" w:rsidR="00810554" w:rsidRPr="009D77F6" w:rsidRDefault="00E31D02">
            <w:pPr>
              <w:pStyle w:val="TableParagraph"/>
              <w:spacing w:line="187" w:lineRule="exact"/>
              <w:ind w:left="109"/>
              <w:rPr>
                <w:sz w:val="18"/>
              </w:rPr>
            </w:pPr>
            <w:r w:rsidRPr="009D77F6">
              <w:rPr>
                <w:sz w:val="18"/>
              </w:rPr>
              <w:t>XX</w:t>
            </w:r>
          </w:p>
        </w:tc>
        <w:tc>
          <w:tcPr>
            <w:tcW w:w="1463" w:type="dxa"/>
            <w:tcBorders>
              <w:top w:val="single" w:sz="4" w:space="0" w:color="000000"/>
              <w:left w:val="single" w:sz="4" w:space="0" w:color="000000"/>
              <w:bottom w:val="single" w:sz="4" w:space="0" w:color="000000"/>
            </w:tcBorders>
          </w:tcPr>
          <w:p w14:paraId="6651A2BE" w14:textId="77777777" w:rsidR="00810554" w:rsidRPr="009D77F6" w:rsidRDefault="00E31D02">
            <w:pPr>
              <w:pStyle w:val="TableParagraph"/>
              <w:spacing w:line="187" w:lineRule="exact"/>
              <w:ind w:left="106"/>
              <w:rPr>
                <w:sz w:val="18"/>
              </w:rPr>
            </w:pPr>
            <w:r w:rsidRPr="009D77F6">
              <w:rPr>
                <w:sz w:val="18"/>
              </w:rPr>
              <w:t>XXXX</w:t>
            </w:r>
          </w:p>
        </w:tc>
      </w:tr>
      <w:tr w:rsidR="00810554" w:rsidRPr="009D77F6" w14:paraId="03D094F1" w14:textId="77777777">
        <w:trPr>
          <w:trHeight w:val="207"/>
        </w:trPr>
        <w:tc>
          <w:tcPr>
            <w:tcW w:w="1753" w:type="dxa"/>
            <w:tcBorders>
              <w:top w:val="single" w:sz="4" w:space="0" w:color="000000"/>
              <w:right w:val="single" w:sz="4" w:space="0" w:color="000000"/>
            </w:tcBorders>
          </w:tcPr>
          <w:p w14:paraId="15569D37" w14:textId="77777777" w:rsidR="00810554" w:rsidRPr="009D77F6" w:rsidRDefault="00E31D02">
            <w:pPr>
              <w:pStyle w:val="TableParagraph"/>
              <w:spacing w:line="188" w:lineRule="exact"/>
              <w:rPr>
                <w:sz w:val="18"/>
              </w:rPr>
            </w:pPr>
            <w:r w:rsidRPr="009D77F6">
              <w:rPr>
                <w:sz w:val="18"/>
              </w:rPr>
              <w:t>72</w:t>
            </w:r>
          </w:p>
        </w:tc>
        <w:tc>
          <w:tcPr>
            <w:tcW w:w="1406" w:type="dxa"/>
            <w:tcBorders>
              <w:top w:val="single" w:sz="4" w:space="0" w:color="000000"/>
              <w:left w:val="single" w:sz="4" w:space="0" w:color="000000"/>
              <w:right w:val="single" w:sz="4" w:space="0" w:color="000000"/>
            </w:tcBorders>
          </w:tcPr>
          <w:p w14:paraId="36DA16EE" w14:textId="77777777" w:rsidR="00810554" w:rsidRPr="009D77F6" w:rsidRDefault="00E31D02">
            <w:pPr>
              <w:pStyle w:val="TableParagraph"/>
              <w:spacing w:line="188" w:lineRule="exact"/>
              <w:ind w:left="110"/>
              <w:rPr>
                <w:sz w:val="18"/>
              </w:rPr>
            </w:pPr>
            <w:r w:rsidRPr="009D77F6">
              <w:rPr>
                <w:sz w:val="18"/>
              </w:rPr>
              <w:t>XX</w:t>
            </w:r>
          </w:p>
        </w:tc>
        <w:tc>
          <w:tcPr>
            <w:tcW w:w="1265" w:type="dxa"/>
            <w:tcBorders>
              <w:top w:val="single" w:sz="4" w:space="0" w:color="000000"/>
              <w:left w:val="single" w:sz="4" w:space="0" w:color="000000"/>
              <w:right w:val="single" w:sz="4" w:space="0" w:color="000000"/>
            </w:tcBorders>
          </w:tcPr>
          <w:p w14:paraId="67AE7B08" w14:textId="77777777" w:rsidR="00810554" w:rsidRPr="009D77F6" w:rsidRDefault="00E31D02">
            <w:pPr>
              <w:pStyle w:val="TableParagraph"/>
              <w:spacing w:line="188" w:lineRule="exact"/>
              <w:ind w:left="109"/>
              <w:rPr>
                <w:sz w:val="18"/>
              </w:rPr>
            </w:pPr>
            <w:r w:rsidRPr="009D77F6">
              <w:rPr>
                <w:sz w:val="18"/>
              </w:rPr>
              <w:t>XX</w:t>
            </w:r>
          </w:p>
        </w:tc>
        <w:tc>
          <w:tcPr>
            <w:tcW w:w="1463" w:type="dxa"/>
            <w:tcBorders>
              <w:top w:val="single" w:sz="4" w:space="0" w:color="000000"/>
              <w:left w:val="single" w:sz="4" w:space="0" w:color="000000"/>
            </w:tcBorders>
          </w:tcPr>
          <w:p w14:paraId="2BB2C231" w14:textId="77777777" w:rsidR="00810554" w:rsidRPr="009D77F6" w:rsidRDefault="00E31D02">
            <w:pPr>
              <w:pStyle w:val="TableParagraph"/>
              <w:spacing w:line="188" w:lineRule="exact"/>
              <w:ind w:left="106"/>
              <w:rPr>
                <w:sz w:val="18"/>
              </w:rPr>
            </w:pPr>
            <w:r w:rsidRPr="009D77F6">
              <w:rPr>
                <w:sz w:val="18"/>
              </w:rPr>
              <w:t>XXXX-</w:t>
            </w:r>
          </w:p>
        </w:tc>
      </w:tr>
    </w:tbl>
    <w:p w14:paraId="73EE8B6F" w14:textId="77777777" w:rsidR="00810554" w:rsidRPr="009D77F6" w:rsidRDefault="00810554">
      <w:pPr>
        <w:pStyle w:val="Textoindependiente"/>
        <w:spacing w:before="3"/>
        <w:rPr>
          <w:sz w:val="15"/>
        </w:rPr>
      </w:pPr>
    </w:p>
    <w:p w14:paraId="21680FC5" w14:textId="77777777" w:rsidR="00810554" w:rsidRPr="009D77F6" w:rsidRDefault="00E31D02">
      <w:pPr>
        <w:spacing w:before="94" w:line="276" w:lineRule="auto"/>
        <w:ind w:left="707" w:right="998" w:hanging="6"/>
        <w:jc w:val="center"/>
        <w:rPr>
          <w:sz w:val="20"/>
        </w:rPr>
      </w:pPr>
      <w:r w:rsidRPr="009D77F6">
        <w:rPr>
          <w:sz w:val="20"/>
          <w:shd w:val="clear" w:color="auto" w:fill="D2D2D2"/>
        </w:rPr>
        <w:t>[La Entidad contratante deberá diligenciar el cuadro y deberá exigir los contratos</w:t>
      </w:r>
      <w:r w:rsidRPr="009D77F6">
        <w:rPr>
          <w:sz w:val="20"/>
        </w:rPr>
        <w:t xml:space="preserve"> </w:t>
      </w:r>
      <w:r w:rsidRPr="009D77F6">
        <w:rPr>
          <w:sz w:val="20"/>
          <w:shd w:val="clear" w:color="auto" w:fill="D2D2D2"/>
        </w:rPr>
        <w:t>identificados</w:t>
      </w:r>
      <w:r w:rsidRPr="009D77F6">
        <w:rPr>
          <w:spacing w:val="-5"/>
          <w:sz w:val="20"/>
          <w:shd w:val="clear" w:color="auto" w:fill="D2D2D2"/>
        </w:rPr>
        <w:t xml:space="preserve"> </w:t>
      </w:r>
      <w:r w:rsidRPr="009D77F6">
        <w:rPr>
          <w:sz w:val="20"/>
          <w:shd w:val="clear" w:color="auto" w:fill="D2D2D2"/>
        </w:rPr>
        <w:t>con</w:t>
      </w:r>
      <w:r w:rsidRPr="009D77F6">
        <w:rPr>
          <w:spacing w:val="-3"/>
          <w:sz w:val="20"/>
          <w:shd w:val="clear" w:color="auto" w:fill="D2D2D2"/>
        </w:rPr>
        <w:t xml:space="preserve"> </w:t>
      </w:r>
      <w:r w:rsidRPr="009D77F6">
        <w:rPr>
          <w:sz w:val="20"/>
          <w:shd w:val="clear" w:color="auto" w:fill="D2D2D2"/>
        </w:rPr>
        <w:t>el</w:t>
      </w:r>
      <w:r w:rsidRPr="009D77F6">
        <w:rPr>
          <w:spacing w:val="-4"/>
          <w:sz w:val="20"/>
          <w:shd w:val="clear" w:color="auto" w:fill="D2D2D2"/>
        </w:rPr>
        <w:t xml:space="preserve"> </w:t>
      </w:r>
      <w:r w:rsidRPr="009D77F6">
        <w:rPr>
          <w:sz w:val="20"/>
          <w:shd w:val="clear" w:color="auto" w:fill="D2D2D2"/>
        </w:rPr>
        <w:t>Clasificador</w:t>
      </w:r>
      <w:r w:rsidRPr="009D77F6">
        <w:rPr>
          <w:spacing w:val="-3"/>
          <w:sz w:val="20"/>
          <w:shd w:val="clear" w:color="auto" w:fill="D2D2D2"/>
        </w:rPr>
        <w:t xml:space="preserve"> </w:t>
      </w:r>
      <w:r w:rsidRPr="009D77F6">
        <w:rPr>
          <w:sz w:val="20"/>
          <w:shd w:val="clear" w:color="auto" w:fill="D2D2D2"/>
        </w:rPr>
        <w:t>de</w:t>
      </w:r>
      <w:r w:rsidRPr="009D77F6">
        <w:rPr>
          <w:spacing w:val="-5"/>
          <w:sz w:val="20"/>
          <w:shd w:val="clear" w:color="auto" w:fill="D2D2D2"/>
        </w:rPr>
        <w:t xml:space="preserve"> </w:t>
      </w:r>
      <w:r w:rsidRPr="009D77F6">
        <w:rPr>
          <w:sz w:val="20"/>
          <w:shd w:val="clear" w:color="auto" w:fill="D2D2D2"/>
        </w:rPr>
        <w:t>Bienes</w:t>
      </w:r>
      <w:r w:rsidRPr="009D77F6">
        <w:rPr>
          <w:spacing w:val="-2"/>
          <w:sz w:val="20"/>
          <w:shd w:val="clear" w:color="auto" w:fill="D2D2D2"/>
        </w:rPr>
        <w:t xml:space="preserve"> </w:t>
      </w:r>
      <w:r w:rsidRPr="009D77F6">
        <w:rPr>
          <w:sz w:val="20"/>
          <w:shd w:val="clear" w:color="auto" w:fill="D2D2D2"/>
        </w:rPr>
        <w:t>y</w:t>
      </w:r>
      <w:r w:rsidRPr="009D77F6">
        <w:rPr>
          <w:spacing w:val="-6"/>
          <w:sz w:val="20"/>
          <w:shd w:val="clear" w:color="auto" w:fill="D2D2D2"/>
        </w:rPr>
        <w:t xml:space="preserve"> </w:t>
      </w:r>
      <w:r w:rsidRPr="009D77F6">
        <w:rPr>
          <w:sz w:val="20"/>
          <w:shd w:val="clear" w:color="auto" w:fill="D2D2D2"/>
        </w:rPr>
        <w:t>Servicios</w:t>
      </w:r>
      <w:r w:rsidRPr="009D77F6">
        <w:rPr>
          <w:spacing w:val="-4"/>
          <w:sz w:val="20"/>
          <w:shd w:val="clear" w:color="auto" w:fill="D2D2D2"/>
        </w:rPr>
        <w:t xml:space="preserve"> </w:t>
      </w:r>
      <w:r w:rsidRPr="009D77F6">
        <w:rPr>
          <w:sz w:val="20"/>
          <w:shd w:val="clear" w:color="auto" w:fill="D2D2D2"/>
        </w:rPr>
        <w:t>hasta</w:t>
      </w:r>
      <w:r w:rsidRPr="009D77F6">
        <w:rPr>
          <w:spacing w:val="-5"/>
          <w:sz w:val="20"/>
          <w:shd w:val="clear" w:color="auto" w:fill="D2D2D2"/>
        </w:rPr>
        <w:t xml:space="preserve"> </w:t>
      </w:r>
      <w:r w:rsidRPr="009D77F6">
        <w:rPr>
          <w:sz w:val="20"/>
          <w:shd w:val="clear" w:color="auto" w:fill="D2D2D2"/>
        </w:rPr>
        <w:t>el</w:t>
      </w:r>
      <w:r w:rsidRPr="009D77F6">
        <w:rPr>
          <w:spacing w:val="-1"/>
          <w:sz w:val="20"/>
          <w:shd w:val="clear" w:color="auto" w:fill="D2D2D2"/>
        </w:rPr>
        <w:t xml:space="preserve"> </w:t>
      </w:r>
      <w:r w:rsidRPr="009D77F6">
        <w:rPr>
          <w:sz w:val="20"/>
          <w:shd w:val="clear" w:color="auto" w:fill="D2D2D2"/>
        </w:rPr>
        <w:t>tercer</w:t>
      </w:r>
      <w:r w:rsidRPr="009D77F6">
        <w:rPr>
          <w:spacing w:val="-1"/>
          <w:sz w:val="20"/>
          <w:shd w:val="clear" w:color="auto" w:fill="D2D2D2"/>
        </w:rPr>
        <w:t xml:space="preserve"> </w:t>
      </w:r>
      <w:r w:rsidRPr="009D77F6">
        <w:rPr>
          <w:sz w:val="20"/>
          <w:shd w:val="clear" w:color="auto" w:fill="D2D2D2"/>
        </w:rPr>
        <w:t>nivel</w:t>
      </w:r>
      <w:r w:rsidRPr="009D77F6">
        <w:rPr>
          <w:spacing w:val="-4"/>
          <w:sz w:val="20"/>
          <w:shd w:val="clear" w:color="auto" w:fill="D2D2D2"/>
        </w:rPr>
        <w:t xml:space="preserve"> </w:t>
      </w:r>
      <w:r w:rsidRPr="009D77F6">
        <w:rPr>
          <w:sz w:val="20"/>
          <w:shd w:val="clear" w:color="auto" w:fill="D2D2D2"/>
        </w:rPr>
        <w:t>que</w:t>
      </w:r>
      <w:r w:rsidRPr="009D77F6">
        <w:rPr>
          <w:spacing w:val="-2"/>
          <w:sz w:val="20"/>
          <w:shd w:val="clear" w:color="auto" w:fill="D2D2D2"/>
        </w:rPr>
        <w:t xml:space="preserve"> </w:t>
      </w:r>
      <w:r w:rsidRPr="009D77F6">
        <w:rPr>
          <w:sz w:val="20"/>
          <w:shd w:val="clear" w:color="auto" w:fill="D2D2D2"/>
        </w:rPr>
        <w:t>sean</w:t>
      </w:r>
      <w:r w:rsidRPr="009D77F6">
        <w:rPr>
          <w:sz w:val="20"/>
        </w:rPr>
        <w:t xml:space="preserve"> </w:t>
      </w:r>
      <w:r w:rsidRPr="009D77F6">
        <w:rPr>
          <w:sz w:val="20"/>
          <w:shd w:val="clear" w:color="auto" w:fill="D2D2D2"/>
        </w:rPr>
        <w:t>concordantes con el objeto principal del del objeto a</w:t>
      </w:r>
      <w:r w:rsidRPr="009D77F6">
        <w:rPr>
          <w:spacing w:val="-13"/>
          <w:sz w:val="20"/>
          <w:shd w:val="clear" w:color="auto" w:fill="D2D2D2"/>
        </w:rPr>
        <w:t xml:space="preserve"> </w:t>
      </w:r>
      <w:r w:rsidRPr="009D77F6">
        <w:rPr>
          <w:sz w:val="20"/>
          <w:shd w:val="clear" w:color="auto" w:fill="D2D2D2"/>
        </w:rPr>
        <w:t>ejecutar]</w:t>
      </w:r>
    </w:p>
    <w:p w14:paraId="3031C884" w14:textId="77777777" w:rsidR="00810554" w:rsidRPr="009D77F6" w:rsidRDefault="00810554">
      <w:pPr>
        <w:pStyle w:val="Textoindependiente"/>
      </w:pPr>
    </w:p>
    <w:p w14:paraId="00E64287" w14:textId="77777777" w:rsidR="00810554" w:rsidRPr="009D77F6" w:rsidRDefault="00E31D02">
      <w:pPr>
        <w:pStyle w:val="Textoindependiente"/>
        <w:ind w:left="100" w:right="109"/>
        <w:jc w:val="both"/>
      </w:pPr>
      <w:r w:rsidRPr="009D77F6">
        <w:t>Así, cada uno de los contratos que aporte el proponente deberá coincidir con al menos uno de los códigos exigidos por la entidad conforme al Clasificador de Bienes y Servicios hasta el tercer nivel, pero no es posible exigir al proponente que todos los contratos que aportó concuerden con todos los códigos que ha establecido la entidad.</w:t>
      </w:r>
    </w:p>
    <w:p w14:paraId="1C92EEF7" w14:textId="77777777" w:rsidR="00810554" w:rsidRPr="009D77F6" w:rsidRDefault="00810554">
      <w:pPr>
        <w:pStyle w:val="Textoindependiente"/>
      </w:pPr>
    </w:p>
    <w:p w14:paraId="4BE63CDE" w14:textId="77777777" w:rsidR="00810554" w:rsidRPr="009D77F6" w:rsidRDefault="00E31D02">
      <w:pPr>
        <w:pStyle w:val="Textoindependiente"/>
        <w:ind w:left="100" w:right="111"/>
        <w:jc w:val="both"/>
      </w:pPr>
      <w:r w:rsidRPr="009D77F6">
        <w:t>De manera que, conforme al artículo 2.2.1.2.6.1.4. del Decreto 342 de 2019, no es posible que las entidades estatales soliciten al proponente cumplir con todos los códigos que la misma establezca, pues el “Documento Base” hace referencia a que el proponente se encuentre clasificados en “alguno” de los códigos.</w:t>
      </w:r>
    </w:p>
    <w:p w14:paraId="5AB9EC66" w14:textId="77777777" w:rsidR="00810554" w:rsidRPr="009D77F6" w:rsidRDefault="00810554">
      <w:pPr>
        <w:pStyle w:val="Textoindependiente"/>
        <w:spacing w:before="3"/>
        <w:rPr>
          <w:sz w:val="25"/>
        </w:rPr>
      </w:pPr>
    </w:p>
    <w:p w14:paraId="29AEDBD3" w14:textId="77777777" w:rsidR="00810554" w:rsidRPr="009D77F6" w:rsidRDefault="00E31D02">
      <w:pPr>
        <w:pStyle w:val="Ttulo1"/>
        <w:numPr>
          <w:ilvl w:val="0"/>
          <w:numId w:val="2"/>
        </w:numPr>
        <w:tabs>
          <w:tab w:val="left" w:pos="386"/>
        </w:tabs>
        <w:spacing w:before="1"/>
        <w:ind w:hanging="286"/>
        <w:jc w:val="both"/>
      </w:pPr>
      <w:r w:rsidRPr="009D77F6">
        <w:t>Respuesta</w:t>
      </w:r>
    </w:p>
    <w:p w14:paraId="3433EE2B" w14:textId="77777777" w:rsidR="00810554" w:rsidRPr="009D77F6" w:rsidRDefault="00810554">
      <w:pPr>
        <w:pStyle w:val="Textoindependiente"/>
        <w:spacing w:before="7"/>
        <w:rPr>
          <w:b/>
          <w:sz w:val="28"/>
        </w:rPr>
      </w:pPr>
    </w:p>
    <w:p w14:paraId="4744AA28" w14:textId="77777777" w:rsidR="00810554" w:rsidRPr="009D77F6" w:rsidRDefault="00E31D02">
      <w:pPr>
        <w:pStyle w:val="Textoindependiente"/>
        <w:spacing w:before="1" w:line="276" w:lineRule="auto"/>
        <w:ind w:left="100" w:right="110"/>
        <w:jc w:val="both"/>
      </w:pPr>
      <w:r w:rsidRPr="009D77F6">
        <w:t xml:space="preserve">3.1. La entidad estatal al definir la experiencia exigible en el procedimiento de contratación </w:t>
      </w:r>
      <w:r w:rsidRPr="009D77F6">
        <w:lastRenderedPageBreak/>
        <w:t>y una vez identificada la experiencia general y la experiencia específica, cuando esta se deba exigir, debe incluir la totalidad de actividades válidas para la acreditación de experiencia definidas en la Matriz 1 – Experiencia, sin que sea viable exigir actividades o cantidades adicionales o modificar, suprimir, adicionarlas. Es decir, la experiencia se debe solicitar con la descripción completa que corresponda a la experiencia general y especifica definida en la Matriz 1 – Experiencia.</w:t>
      </w:r>
    </w:p>
    <w:p w14:paraId="3040A5C3" w14:textId="77777777" w:rsidR="00810554" w:rsidRPr="009D77F6" w:rsidRDefault="00810554">
      <w:pPr>
        <w:pStyle w:val="Textoindependiente"/>
        <w:spacing w:before="3"/>
        <w:rPr>
          <w:sz w:val="25"/>
        </w:rPr>
      </w:pPr>
    </w:p>
    <w:p w14:paraId="3B23EC87" w14:textId="77777777" w:rsidR="00810554" w:rsidRPr="009D77F6" w:rsidRDefault="00E31D02">
      <w:pPr>
        <w:pStyle w:val="Textoindependiente"/>
        <w:spacing w:line="276" w:lineRule="auto"/>
        <w:ind w:left="100" w:right="107"/>
        <w:jc w:val="both"/>
      </w:pPr>
      <w:r w:rsidRPr="009D77F6">
        <w:t>Por lo tanto, las entidades no pueden requerir experiencia que incluya ítems, cantidades, volúmenes, o áreas específicas, salvo cuando la Matriz 1 – Experiencia así lo exija, ni exigir la presentación de soportes del personal mínimo requerido o de la maquinaria, por cuanto</w:t>
      </w:r>
      <w:r w:rsidRPr="009D77F6">
        <w:rPr>
          <w:spacing w:val="6"/>
        </w:rPr>
        <w:t xml:space="preserve"> </w:t>
      </w:r>
      <w:r w:rsidRPr="009D77F6">
        <w:t>estos</w:t>
      </w:r>
      <w:r w:rsidRPr="009D77F6">
        <w:rPr>
          <w:spacing w:val="6"/>
        </w:rPr>
        <w:t xml:space="preserve"> </w:t>
      </w:r>
      <w:r w:rsidRPr="009D77F6">
        <w:t>únicamente</w:t>
      </w:r>
      <w:r w:rsidRPr="009D77F6">
        <w:rPr>
          <w:spacing w:val="9"/>
        </w:rPr>
        <w:t xml:space="preserve"> </w:t>
      </w:r>
      <w:r w:rsidRPr="009D77F6">
        <w:t>se</w:t>
      </w:r>
      <w:r w:rsidRPr="009D77F6">
        <w:rPr>
          <w:spacing w:val="7"/>
        </w:rPr>
        <w:t xml:space="preserve"> </w:t>
      </w:r>
      <w:r w:rsidRPr="009D77F6">
        <w:t>requieren</w:t>
      </w:r>
      <w:r w:rsidRPr="009D77F6">
        <w:rPr>
          <w:spacing w:val="6"/>
        </w:rPr>
        <w:t xml:space="preserve"> </w:t>
      </w:r>
      <w:r w:rsidRPr="009D77F6">
        <w:t>al</w:t>
      </w:r>
      <w:r w:rsidRPr="009D77F6">
        <w:rPr>
          <w:spacing w:val="7"/>
        </w:rPr>
        <w:t xml:space="preserve"> </w:t>
      </w:r>
      <w:r w:rsidRPr="009D77F6">
        <w:t>contratista</w:t>
      </w:r>
      <w:r w:rsidRPr="009D77F6">
        <w:rPr>
          <w:spacing w:val="7"/>
        </w:rPr>
        <w:t xml:space="preserve"> </w:t>
      </w:r>
      <w:r w:rsidRPr="009D77F6">
        <w:t>seleccionado,</w:t>
      </w:r>
      <w:r w:rsidRPr="009D77F6">
        <w:rPr>
          <w:spacing w:val="5"/>
        </w:rPr>
        <w:t xml:space="preserve"> </w:t>
      </w:r>
      <w:r w:rsidRPr="009D77F6">
        <w:t>y</w:t>
      </w:r>
      <w:r w:rsidRPr="009D77F6">
        <w:rPr>
          <w:spacing w:val="4"/>
        </w:rPr>
        <w:t xml:space="preserve"> </w:t>
      </w:r>
      <w:r w:rsidRPr="009D77F6">
        <w:t>se</w:t>
      </w:r>
      <w:r w:rsidRPr="009D77F6">
        <w:rPr>
          <w:spacing w:val="10"/>
        </w:rPr>
        <w:t xml:space="preserve"> </w:t>
      </w:r>
      <w:r w:rsidRPr="009D77F6">
        <w:t>reitera,</w:t>
      </w:r>
      <w:r w:rsidRPr="009D77F6">
        <w:rPr>
          <w:spacing w:val="5"/>
        </w:rPr>
        <w:t xml:space="preserve"> </w:t>
      </w:r>
      <w:r w:rsidRPr="009D77F6">
        <w:t>la</w:t>
      </w:r>
      <w:r w:rsidRPr="009D77F6">
        <w:rPr>
          <w:spacing w:val="6"/>
        </w:rPr>
        <w:t xml:space="preserve"> </w:t>
      </w:r>
      <w:r w:rsidRPr="009D77F6">
        <w:t>“Matriz</w:t>
      </w:r>
      <w:r w:rsidRPr="009D77F6">
        <w:rPr>
          <w:spacing w:val="5"/>
        </w:rPr>
        <w:t xml:space="preserve"> </w:t>
      </w:r>
      <w:r w:rsidRPr="009D77F6">
        <w:t>1</w:t>
      </w:r>
    </w:p>
    <w:p w14:paraId="6C35C3D8" w14:textId="77777777" w:rsidR="00810554" w:rsidRPr="009D77F6" w:rsidRDefault="00E31D02">
      <w:pPr>
        <w:pStyle w:val="Textoindependiente"/>
        <w:spacing w:line="278" w:lineRule="auto"/>
        <w:ind w:left="100" w:right="110"/>
        <w:jc w:val="both"/>
      </w:pPr>
      <w:r w:rsidRPr="009D77F6">
        <w:t>– Experiencia”, en ningún evento requiere este tipo de soportes como parte de la experiencia.</w:t>
      </w:r>
    </w:p>
    <w:p w14:paraId="65A71646" w14:textId="77777777" w:rsidR="00810554" w:rsidRPr="009D77F6" w:rsidRDefault="00810554">
      <w:pPr>
        <w:pStyle w:val="Textoindependiente"/>
        <w:spacing w:before="9"/>
        <w:rPr>
          <w:sz w:val="24"/>
        </w:rPr>
      </w:pPr>
    </w:p>
    <w:p w14:paraId="6C1B8A71" w14:textId="1DD1B674" w:rsidR="00810554" w:rsidRPr="009D77F6" w:rsidRDefault="00E31D02" w:rsidP="005A19DD">
      <w:pPr>
        <w:pStyle w:val="Textoindependiente"/>
        <w:spacing w:line="276" w:lineRule="auto"/>
        <w:ind w:left="100" w:right="111"/>
        <w:jc w:val="both"/>
      </w:pPr>
      <w:r w:rsidRPr="009D77F6">
        <w:t>Adicionalmente, de acuerdo con el artículo 2.2.1.2.6.1.4. del Decreto 1082 de 2015, las entidades no pueden modificar o alterar los Documentos Tipo, lo cual incluye la imposibilidad de solicitar al proponente que todos los contratos aportados coincidan con</w:t>
      </w:r>
      <w:r w:rsidR="005A19DD">
        <w:t xml:space="preserve"> </w:t>
      </w:r>
      <w:r w:rsidRPr="009D77F6">
        <w:t>todos los códigos que la misma establezca, pues el “Documento Base” en el numeral 3.5.3 señala que de todos los contratos aportados deben estar clasificados en por lo menos uno de los códigos que identificó la entidad.</w:t>
      </w:r>
    </w:p>
    <w:p w14:paraId="779AFD9E" w14:textId="77777777" w:rsidR="00810554" w:rsidRPr="009D77F6" w:rsidRDefault="00810554">
      <w:pPr>
        <w:pStyle w:val="Textoindependiente"/>
        <w:spacing w:before="5"/>
        <w:rPr>
          <w:sz w:val="25"/>
        </w:rPr>
      </w:pPr>
    </w:p>
    <w:p w14:paraId="10009E3F" w14:textId="77777777" w:rsidR="00810554" w:rsidRPr="009D77F6" w:rsidRDefault="00E31D02">
      <w:pPr>
        <w:pStyle w:val="Textoindependiente"/>
        <w:spacing w:line="276" w:lineRule="auto"/>
        <w:ind w:left="100" w:right="106"/>
        <w:jc w:val="both"/>
      </w:pPr>
      <w:r w:rsidRPr="009D77F6">
        <w:t>3.2 La Agencia Nacional de Contratación Pública – Colombia Compra Eficiente no es competente para intervenir en el desarrollo de los procedimientos de contratación de las entidades, ni para efectuar vigilancia y control sobre el desarrollo de estos, por cuanto esta es una competencia cuya titularidad se encuentra en los órganos de control.</w:t>
      </w:r>
    </w:p>
    <w:p w14:paraId="02C39681" w14:textId="77777777" w:rsidR="00810554" w:rsidRPr="009D77F6" w:rsidRDefault="00810554">
      <w:pPr>
        <w:pStyle w:val="Textoindependiente"/>
        <w:spacing w:before="4"/>
        <w:rPr>
          <w:sz w:val="25"/>
        </w:rPr>
      </w:pPr>
    </w:p>
    <w:p w14:paraId="24718E82" w14:textId="77777777" w:rsidR="00810554" w:rsidRPr="009D77F6" w:rsidRDefault="00E31D02">
      <w:pPr>
        <w:pStyle w:val="Textoindependiente"/>
        <w:spacing w:line="276" w:lineRule="auto"/>
        <w:ind w:left="100" w:right="108"/>
        <w:jc w:val="both"/>
      </w:pPr>
      <w:r w:rsidRPr="009D77F6">
        <w:t>Como proponente en desarrollo de los procedimientos de contratación, puede presentar observaciones durante las diferentes etapas, bien sea al proyecto de pliego de condiciones o al pliego de condiciones definitivo, según corresponda.</w:t>
      </w:r>
    </w:p>
    <w:p w14:paraId="3374DB2F" w14:textId="77777777" w:rsidR="00810554" w:rsidRPr="009D77F6" w:rsidRDefault="00810554">
      <w:pPr>
        <w:pStyle w:val="Textoindependiente"/>
        <w:spacing w:before="3"/>
        <w:rPr>
          <w:sz w:val="25"/>
        </w:rPr>
      </w:pPr>
    </w:p>
    <w:p w14:paraId="25096F45" w14:textId="77777777" w:rsidR="00810554" w:rsidRPr="009D77F6" w:rsidRDefault="00E31D02">
      <w:pPr>
        <w:pStyle w:val="Textoindependiente"/>
        <w:spacing w:line="276" w:lineRule="auto"/>
        <w:ind w:left="100" w:right="105"/>
        <w:jc w:val="both"/>
      </w:pPr>
      <w:r w:rsidRPr="009D77F6">
        <w:t>De igual manera, en el evento que se presenten conductas que constituyan falta disciplinaria, detrimento al erario o delito, puede acudir a la Procuraduría General de la Nación, a la Contraloría General de la República o a la Fiscalía General de la Nación, de acuerdo con sus competencias y presentar las quejas o denuncias que correspondan, con el fin que se adelantan las respectivas investigaciones.</w:t>
      </w:r>
    </w:p>
    <w:p w14:paraId="75FE71B2" w14:textId="77777777" w:rsidR="00810554" w:rsidRPr="009D77F6" w:rsidRDefault="00810554">
      <w:pPr>
        <w:pStyle w:val="Textoindependiente"/>
        <w:spacing w:before="2"/>
        <w:rPr>
          <w:sz w:val="25"/>
        </w:rPr>
      </w:pPr>
    </w:p>
    <w:p w14:paraId="3D5CAC61" w14:textId="77777777" w:rsidR="00810554" w:rsidRPr="009D77F6" w:rsidRDefault="00E31D02">
      <w:pPr>
        <w:pStyle w:val="Textoindependiente"/>
        <w:spacing w:before="1" w:line="278" w:lineRule="auto"/>
        <w:ind w:left="100" w:right="112"/>
        <w:jc w:val="both"/>
      </w:pPr>
      <w:r w:rsidRPr="009D77F6">
        <w:t>Este concepto tiene el alcance previsto en el artículo 28 del Código de Procedimiento Administrativo y de lo Contencioso Administrativo.</w:t>
      </w:r>
    </w:p>
    <w:p w14:paraId="274DE2AD" w14:textId="6FD7921E" w:rsidR="00810554" w:rsidRPr="009D77F6" w:rsidRDefault="0093186C">
      <w:pPr>
        <w:pStyle w:val="Textoindependiente"/>
        <w:spacing w:before="5"/>
      </w:pPr>
      <w:r w:rsidRPr="009D77F6">
        <w:rPr>
          <w:noProof/>
          <w:lang w:val="en-US"/>
        </w:rPr>
        <mc:AlternateContent>
          <mc:Choice Requires="wps">
            <w:drawing>
              <wp:anchor distT="0" distB="0" distL="0" distR="0" simplePos="0" relativeHeight="487590912" behindDoc="1" locked="0" layoutInCell="1" allowOverlap="1" wp14:anchorId="2A118BFF" wp14:editId="644CC2BC">
                <wp:simplePos x="0" y="0"/>
                <wp:positionH relativeFrom="page">
                  <wp:posOffset>1514475</wp:posOffset>
                </wp:positionH>
                <wp:positionV relativeFrom="paragraph">
                  <wp:posOffset>194310</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75D672">
              <v:shape id="Freeform 2" style="position:absolute;margin-left:119.25pt;margin-top:15.3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" w14:anchorId="610B679A">
                <v:path arrowok="t" o:connecttype="custom" o:connectlocs="0,0;4686300,0" o:connectangles="0,0"/>
                <w10:wrap type="topAndBottom" anchorx="page"/>
              </v:shape>
            </w:pict>
          </mc:Fallback>
        </mc:AlternateContent>
      </w:r>
    </w:p>
    <w:p w14:paraId="71FDCDBA" w14:textId="77777777" w:rsidR="00810554" w:rsidRPr="009D77F6" w:rsidRDefault="00810554">
      <w:pPr>
        <w:pStyle w:val="Textoindependiente"/>
        <w:spacing w:before="5"/>
        <w:rPr>
          <w:sz w:val="20"/>
        </w:rPr>
      </w:pPr>
    </w:p>
    <w:p w14:paraId="30CA5254" w14:textId="77777777" w:rsidR="00810554" w:rsidRPr="009D77F6" w:rsidRDefault="00E31D02">
      <w:pPr>
        <w:pStyle w:val="Textoindependiente"/>
        <w:ind w:left="100"/>
      </w:pPr>
      <w:r w:rsidRPr="009D77F6">
        <w:t>Atentamente,</w:t>
      </w:r>
    </w:p>
    <w:p w14:paraId="20317662" w14:textId="77777777" w:rsidR="003A1DB2" w:rsidRPr="00B944A3" w:rsidRDefault="003A1DB2" w:rsidP="003A1DB2">
      <w:pPr>
        <w:pStyle w:val="Textoindependiente"/>
        <w:spacing w:before="1"/>
        <w:jc w:val="center"/>
        <w:rPr>
          <w:sz w:val="31"/>
        </w:rPr>
      </w:pPr>
      <w:r>
        <w:rPr>
          <w:noProof/>
          <w:lang w:val="en-US"/>
        </w:rPr>
        <w:lastRenderedPageBreak/>
        <w:drawing>
          <wp:inline distT="0" distB="0" distL="0" distR="0" wp14:anchorId="275D48F6" wp14:editId="1201660E">
            <wp:extent cx="2773144" cy="988695"/>
            <wp:effectExtent l="0" t="0" r="0" b="0"/>
            <wp:docPr id="121431581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6">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653BB9C" w14:textId="77777777" w:rsidR="00810554" w:rsidRPr="009D77F6" w:rsidRDefault="00E31D02" w:rsidP="003A1DB2">
      <w:pPr>
        <w:pStyle w:val="Textoindependiente"/>
        <w:ind w:left="100"/>
      </w:pPr>
      <w:r w:rsidRPr="009D77F6">
        <w:t>Proyectó: Fredy Alexander Rodríguez Ardila</w:t>
      </w:r>
    </w:p>
    <w:sectPr w:rsidR="00810554" w:rsidRPr="009D77F6">
      <w:headerReference w:type="default" r:id="rId17"/>
      <w:footerReference w:type="default" r:id="rId18"/>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0377" w14:textId="77777777" w:rsidR="004E414B" w:rsidRDefault="004E414B">
      <w:r>
        <w:separator/>
      </w:r>
    </w:p>
  </w:endnote>
  <w:endnote w:type="continuationSeparator" w:id="0">
    <w:p w14:paraId="39ECE00D" w14:textId="77777777" w:rsidR="004E414B" w:rsidRDefault="004E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BF1B" w14:textId="77777777" w:rsidR="00810554" w:rsidRDefault="00E31D02">
    <w:pPr>
      <w:pStyle w:val="Textoindependiente"/>
      <w:spacing w:line="14" w:lineRule="auto"/>
      <w:rPr>
        <w:sz w:val="20"/>
      </w:rPr>
    </w:pPr>
    <w:r>
      <w:rPr>
        <w:noProof/>
        <w:lang w:val="en-US"/>
      </w:rPr>
      <w:drawing>
        <wp:anchor distT="0" distB="0" distL="0" distR="0" simplePos="0" relativeHeight="487425024" behindDoc="1" locked="0" layoutInCell="1" allowOverlap="1" wp14:anchorId="4B9CD665" wp14:editId="5AD9B2BD">
          <wp:simplePos x="0" y="0"/>
          <wp:positionH relativeFrom="page">
            <wp:posOffset>1137919</wp:posOffset>
          </wp:positionH>
          <wp:positionV relativeFrom="page">
            <wp:posOffset>8688387</wp:posOffset>
          </wp:positionV>
          <wp:extent cx="5612130" cy="787120"/>
          <wp:effectExtent l="0" t="0" r="0" b="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1EE3" w14:textId="77777777" w:rsidR="004E414B" w:rsidRDefault="004E414B">
      <w:r>
        <w:separator/>
      </w:r>
    </w:p>
  </w:footnote>
  <w:footnote w:type="continuationSeparator" w:id="0">
    <w:p w14:paraId="5216C78A" w14:textId="77777777" w:rsidR="004E414B" w:rsidRDefault="004E414B">
      <w:r>
        <w:continuationSeparator/>
      </w:r>
    </w:p>
  </w:footnote>
  <w:footnote w:id="1">
    <w:p w14:paraId="19B8195F" w14:textId="77777777" w:rsidR="005A19DD" w:rsidRPr="009D77F6" w:rsidRDefault="005A19DD" w:rsidP="005A19DD">
      <w:pPr>
        <w:pStyle w:val="Textoindependiente"/>
        <w:spacing w:before="10"/>
        <w:rPr>
          <w:sz w:val="18"/>
        </w:rPr>
      </w:pPr>
      <w:r>
        <w:rPr>
          <w:rStyle w:val="Refdenotaalpie"/>
        </w:rPr>
        <w:footnoteRef/>
      </w:r>
      <w:r>
        <w:t xml:space="preserve"> </w:t>
      </w:r>
      <w:r w:rsidRPr="009D77F6">
        <w:rPr>
          <w:sz w:val="18"/>
        </w:rPr>
        <w:t xml:space="preserve">Al respecto se pueden consultar las respuestas a las consultas 4201912000004262 del 25 de junio de 2019, </w:t>
      </w:r>
      <w:r w:rsidRPr="009D77F6">
        <w:rPr>
          <w:spacing w:val="40"/>
          <w:sz w:val="18"/>
        </w:rPr>
        <w:t xml:space="preserve"> </w:t>
      </w:r>
      <w:r w:rsidRPr="009D77F6">
        <w:rPr>
          <w:sz w:val="18"/>
        </w:rPr>
        <w:t xml:space="preserve">4201912000004426 </w:t>
      </w:r>
      <w:r w:rsidRPr="009D77F6">
        <w:rPr>
          <w:spacing w:val="40"/>
          <w:sz w:val="18"/>
        </w:rPr>
        <w:t xml:space="preserve"> </w:t>
      </w:r>
      <w:r w:rsidRPr="009D77F6">
        <w:rPr>
          <w:sz w:val="18"/>
        </w:rPr>
        <w:t xml:space="preserve">del </w:t>
      </w:r>
      <w:r w:rsidRPr="009D77F6">
        <w:rPr>
          <w:spacing w:val="41"/>
          <w:sz w:val="18"/>
        </w:rPr>
        <w:t xml:space="preserve"> </w:t>
      </w:r>
      <w:r w:rsidRPr="009D77F6">
        <w:rPr>
          <w:sz w:val="18"/>
        </w:rPr>
        <w:t xml:space="preserve">3 </w:t>
      </w:r>
      <w:r w:rsidRPr="009D77F6">
        <w:rPr>
          <w:spacing w:val="40"/>
          <w:sz w:val="18"/>
        </w:rPr>
        <w:t xml:space="preserve"> </w:t>
      </w:r>
      <w:r w:rsidRPr="009D77F6">
        <w:rPr>
          <w:sz w:val="18"/>
        </w:rPr>
        <w:t xml:space="preserve">de </w:t>
      </w:r>
      <w:r w:rsidRPr="009D77F6">
        <w:rPr>
          <w:spacing w:val="40"/>
          <w:sz w:val="18"/>
        </w:rPr>
        <w:t xml:space="preserve"> </w:t>
      </w:r>
      <w:r w:rsidRPr="009D77F6">
        <w:rPr>
          <w:sz w:val="18"/>
        </w:rPr>
        <w:t xml:space="preserve">julio </w:t>
      </w:r>
      <w:r w:rsidRPr="009D77F6">
        <w:rPr>
          <w:spacing w:val="41"/>
          <w:sz w:val="18"/>
        </w:rPr>
        <w:t xml:space="preserve"> </w:t>
      </w:r>
      <w:r w:rsidRPr="009D77F6">
        <w:rPr>
          <w:sz w:val="18"/>
        </w:rPr>
        <w:t xml:space="preserve">de </w:t>
      </w:r>
      <w:r w:rsidRPr="009D77F6">
        <w:rPr>
          <w:spacing w:val="40"/>
          <w:sz w:val="18"/>
        </w:rPr>
        <w:t xml:space="preserve"> </w:t>
      </w:r>
      <w:r w:rsidRPr="009D77F6">
        <w:rPr>
          <w:sz w:val="18"/>
        </w:rPr>
        <w:t xml:space="preserve">2019, </w:t>
      </w:r>
      <w:r w:rsidRPr="009D77F6">
        <w:rPr>
          <w:spacing w:val="40"/>
          <w:sz w:val="18"/>
        </w:rPr>
        <w:t xml:space="preserve"> </w:t>
      </w:r>
      <w:r w:rsidRPr="009D77F6">
        <w:rPr>
          <w:sz w:val="18"/>
        </w:rPr>
        <w:t xml:space="preserve">4201912000005320 </w:t>
      </w:r>
      <w:r w:rsidRPr="009D77F6">
        <w:rPr>
          <w:spacing w:val="41"/>
          <w:sz w:val="18"/>
        </w:rPr>
        <w:t xml:space="preserve"> </w:t>
      </w:r>
      <w:r w:rsidRPr="009D77F6">
        <w:rPr>
          <w:sz w:val="18"/>
        </w:rPr>
        <w:t xml:space="preserve">del </w:t>
      </w:r>
      <w:r w:rsidRPr="009D77F6">
        <w:rPr>
          <w:spacing w:val="40"/>
          <w:sz w:val="18"/>
        </w:rPr>
        <w:t xml:space="preserve"> </w:t>
      </w:r>
      <w:r w:rsidRPr="009D77F6">
        <w:rPr>
          <w:sz w:val="18"/>
        </w:rPr>
        <w:t xml:space="preserve">6 </w:t>
      </w:r>
      <w:r w:rsidRPr="009D77F6">
        <w:rPr>
          <w:spacing w:val="41"/>
          <w:sz w:val="18"/>
        </w:rPr>
        <w:t xml:space="preserve"> </w:t>
      </w:r>
      <w:r w:rsidRPr="009D77F6">
        <w:rPr>
          <w:sz w:val="18"/>
        </w:rPr>
        <w:t xml:space="preserve">de </w:t>
      </w:r>
      <w:r w:rsidRPr="009D77F6">
        <w:rPr>
          <w:spacing w:val="40"/>
          <w:sz w:val="18"/>
        </w:rPr>
        <w:t xml:space="preserve"> </w:t>
      </w:r>
      <w:r w:rsidRPr="009D77F6">
        <w:rPr>
          <w:sz w:val="18"/>
        </w:rPr>
        <w:t xml:space="preserve">agosto </w:t>
      </w:r>
      <w:r w:rsidRPr="009D77F6">
        <w:rPr>
          <w:spacing w:val="40"/>
          <w:sz w:val="18"/>
        </w:rPr>
        <w:t xml:space="preserve"> </w:t>
      </w:r>
      <w:r w:rsidRPr="009D77F6">
        <w:rPr>
          <w:sz w:val="18"/>
        </w:rPr>
        <w:t xml:space="preserve">de </w:t>
      </w:r>
      <w:r w:rsidRPr="009D77F6">
        <w:rPr>
          <w:spacing w:val="41"/>
          <w:sz w:val="18"/>
        </w:rPr>
        <w:t xml:space="preserve"> </w:t>
      </w:r>
      <w:r w:rsidRPr="009D77F6">
        <w:rPr>
          <w:sz w:val="18"/>
        </w:rPr>
        <w:t>2019,</w:t>
      </w:r>
    </w:p>
    <w:p w14:paraId="46B1FF5E" w14:textId="77777777" w:rsidR="005A19DD" w:rsidRPr="009D77F6" w:rsidRDefault="005A19DD" w:rsidP="005A19DD">
      <w:pPr>
        <w:spacing w:line="206" w:lineRule="exact"/>
        <w:ind w:left="100"/>
        <w:rPr>
          <w:sz w:val="18"/>
        </w:rPr>
      </w:pPr>
      <w:r w:rsidRPr="009D77F6">
        <w:rPr>
          <w:sz w:val="18"/>
        </w:rPr>
        <w:t xml:space="preserve">4201912000005416   del   10   de   agosto   de   2019,   4201912000005609   del   16   </w:t>
      </w:r>
      <w:r w:rsidRPr="009D77F6">
        <w:rPr>
          <w:spacing w:val="2"/>
          <w:sz w:val="18"/>
        </w:rPr>
        <w:t xml:space="preserve">de  </w:t>
      </w:r>
      <w:r w:rsidRPr="009D77F6">
        <w:rPr>
          <w:spacing w:val="50"/>
          <w:sz w:val="18"/>
        </w:rPr>
        <w:t xml:space="preserve"> </w:t>
      </w:r>
      <w:r w:rsidRPr="009D77F6">
        <w:rPr>
          <w:sz w:val="18"/>
        </w:rPr>
        <w:t xml:space="preserve">agosto </w:t>
      </w:r>
      <w:r w:rsidRPr="009D77F6">
        <w:rPr>
          <w:spacing w:val="50"/>
          <w:sz w:val="18"/>
        </w:rPr>
        <w:t xml:space="preserve"> </w:t>
      </w:r>
      <w:r w:rsidRPr="009D77F6">
        <w:rPr>
          <w:sz w:val="18"/>
        </w:rPr>
        <w:t>de   2019,</w:t>
      </w:r>
    </w:p>
    <w:p w14:paraId="359E9948" w14:textId="77777777" w:rsidR="005A19DD" w:rsidRPr="009D77F6" w:rsidRDefault="005A19DD" w:rsidP="005A19DD">
      <w:pPr>
        <w:ind w:left="100"/>
        <w:rPr>
          <w:sz w:val="18"/>
        </w:rPr>
      </w:pPr>
      <w:r w:rsidRPr="009D77F6">
        <w:rPr>
          <w:sz w:val="18"/>
        </w:rPr>
        <w:t>4201912000006151 del 9 de septiembre de 2019, 4201912000007034 del 11 de octubre de 2019, entre otros.</w:t>
      </w:r>
    </w:p>
    <w:p w14:paraId="3CDE29E3" w14:textId="55F456F0" w:rsidR="005A19DD" w:rsidRPr="005A19DD" w:rsidRDefault="005A19DD">
      <w:pPr>
        <w:pStyle w:val="Textonotapie"/>
      </w:pPr>
    </w:p>
  </w:footnote>
  <w:footnote w:id="2">
    <w:p w14:paraId="46D06606" w14:textId="77777777" w:rsidR="005A19DD" w:rsidRPr="009D77F6" w:rsidRDefault="005A19DD" w:rsidP="005A19DD">
      <w:pPr>
        <w:spacing w:before="87" w:line="244" w:lineRule="auto"/>
        <w:ind w:left="100" w:right="110" w:firstLine="707"/>
        <w:jc w:val="both"/>
        <w:rPr>
          <w:sz w:val="18"/>
        </w:rPr>
      </w:pPr>
      <w:r>
        <w:rPr>
          <w:rStyle w:val="Refdenotaalpie"/>
        </w:rPr>
        <w:footnoteRef/>
      </w:r>
      <w:r>
        <w:t xml:space="preserve"> </w:t>
      </w:r>
      <w:r w:rsidRPr="009D77F6">
        <w:rPr>
          <w:sz w:val="18"/>
        </w:rPr>
        <w:t>Ley 1150 de 2007, artículo 6, artículo modificado por el artículo 221 del Decreto 19 de 2012: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3E6DB35" w14:textId="77777777" w:rsidR="005A19DD" w:rsidRPr="009D77F6" w:rsidRDefault="005A19DD" w:rsidP="005A19DD">
      <w:pPr>
        <w:spacing w:line="202" w:lineRule="exact"/>
        <w:ind w:left="100"/>
        <w:rPr>
          <w:sz w:val="18"/>
        </w:rPr>
      </w:pPr>
      <w:r w:rsidRPr="009D77F6">
        <w:rPr>
          <w:sz w:val="18"/>
        </w:rPr>
        <w:t>(…)</w:t>
      </w:r>
    </w:p>
    <w:p w14:paraId="0A7450BB" w14:textId="77777777" w:rsidR="005A19DD" w:rsidRPr="009D77F6" w:rsidRDefault="005A19DD" w:rsidP="005A19DD">
      <w:pPr>
        <w:pStyle w:val="Textoindependiente"/>
        <w:spacing w:before="1"/>
        <w:rPr>
          <w:sz w:val="18"/>
        </w:rPr>
      </w:pPr>
    </w:p>
    <w:p w14:paraId="43266A66" w14:textId="17CAD92A" w:rsidR="005A19DD" w:rsidRPr="005A19DD" w:rsidRDefault="005A19DD" w:rsidP="005A19DD">
      <w:pPr>
        <w:ind w:left="100" w:right="108"/>
        <w:jc w:val="both"/>
      </w:pPr>
      <w:r w:rsidRPr="009D77F6">
        <w:rPr>
          <w:sz w:val="18"/>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footnote>
  <w:footnote w:id="3">
    <w:p w14:paraId="640B1253" w14:textId="77777777" w:rsidR="005A19DD" w:rsidRPr="009D77F6" w:rsidRDefault="005A19DD" w:rsidP="005A19DD">
      <w:pPr>
        <w:spacing w:before="90" w:line="252" w:lineRule="auto"/>
        <w:ind w:left="100" w:right="115" w:firstLine="707"/>
        <w:jc w:val="both"/>
        <w:rPr>
          <w:sz w:val="18"/>
        </w:rPr>
      </w:pPr>
      <w:r>
        <w:rPr>
          <w:rStyle w:val="Refdenotaalpie"/>
        </w:rPr>
        <w:footnoteRef/>
      </w:r>
      <w:r>
        <w:t xml:space="preserve"> </w:t>
      </w:r>
      <w:r w:rsidRPr="009D77F6">
        <w:rPr>
          <w:sz w:val="18"/>
        </w:rPr>
        <w:t>Ley 1150 de 2007, artículo 6: “En dicho registro constará la información relacionada con la experiencia, capacidad jurídica, financiera y de organización del proponente y su clasificación”.</w:t>
      </w:r>
    </w:p>
    <w:p w14:paraId="396113CF" w14:textId="6012996D" w:rsidR="005A19DD" w:rsidRPr="005A19DD" w:rsidRDefault="005A19DD">
      <w:pPr>
        <w:pStyle w:val="Textonotapie"/>
      </w:pPr>
    </w:p>
  </w:footnote>
  <w:footnote w:id="4">
    <w:p w14:paraId="566B08D4" w14:textId="77777777" w:rsidR="005A19DD" w:rsidRPr="009D77F6" w:rsidRDefault="005A19DD" w:rsidP="005A19DD">
      <w:pPr>
        <w:spacing w:line="244" w:lineRule="auto"/>
        <w:ind w:left="100" w:right="109" w:firstLine="707"/>
        <w:jc w:val="both"/>
        <w:rPr>
          <w:sz w:val="18"/>
        </w:rPr>
      </w:pPr>
      <w:r>
        <w:rPr>
          <w:rStyle w:val="Refdenotaalpie"/>
        </w:rPr>
        <w:footnoteRef/>
      </w:r>
      <w:r>
        <w:t xml:space="preserve"> </w:t>
      </w:r>
      <w:r w:rsidRPr="009D77F6">
        <w:rPr>
          <w:sz w:val="18"/>
        </w:rPr>
        <w:t>Decreto 1082 de 2018,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33E88BA" w14:textId="77777777" w:rsidR="005A19DD" w:rsidRPr="009D77F6" w:rsidRDefault="005A19DD" w:rsidP="005A19DD">
      <w:pPr>
        <w:pStyle w:val="Textoindependiente"/>
        <w:spacing w:before="8"/>
        <w:rPr>
          <w:sz w:val="17"/>
        </w:rPr>
      </w:pPr>
    </w:p>
    <w:p w14:paraId="71102DFF" w14:textId="77777777" w:rsidR="005A19DD" w:rsidRPr="009D77F6" w:rsidRDefault="005A19DD" w:rsidP="005A19DD">
      <w:pPr>
        <w:ind w:left="100"/>
        <w:jc w:val="both"/>
        <w:rPr>
          <w:sz w:val="18"/>
        </w:rPr>
      </w:pPr>
      <w:r w:rsidRPr="009D77F6">
        <w:rPr>
          <w:sz w:val="18"/>
        </w:rPr>
        <w:t>“1. Si es una persona natural:</w:t>
      </w:r>
    </w:p>
    <w:p w14:paraId="14C17518" w14:textId="77777777" w:rsidR="005A19DD" w:rsidRPr="009D77F6" w:rsidRDefault="005A19DD" w:rsidP="005A19DD">
      <w:pPr>
        <w:pStyle w:val="Textoindependiente"/>
        <w:spacing w:before="10"/>
        <w:rPr>
          <w:sz w:val="17"/>
        </w:rPr>
      </w:pPr>
    </w:p>
    <w:p w14:paraId="5CB5CB18" w14:textId="77777777" w:rsidR="005A19DD" w:rsidRPr="009D77F6" w:rsidRDefault="005A19DD" w:rsidP="005A19DD">
      <w:pPr>
        <w:ind w:left="100" w:right="109"/>
        <w:jc w:val="both"/>
        <w:rPr>
          <w:sz w:val="18"/>
        </w:rPr>
      </w:pPr>
      <w:r w:rsidRPr="009D77F6">
        <w:rPr>
          <w:sz w:val="18"/>
        </w:rPr>
        <w:t>“1.1. Bienes, obras y servicios que ofrecerá a las Entidades Estatales, identificados con el Clasificador de Bienes y Servicios en el tercer nivel.</w:t>
      </w:r>
    </w:p>
    <w:p w14:paraId="453D4C75" w14:textId="77777777" w:rsidR="005A19DD" w:rsidRPr="009D77F6" w:rsidRDefault="005A19DD" w:rsidP="005A19DD">
      <w:pPr>
        <w:pStyle w:val="Textoindependiente"/>
        <w:spacing w:before="11"/>
        <w:rPr>
          <w:sz w:val="17"/>
        </w:rPr>
      </w:pPr>
    </w:p>
    <w:p w14:paraId="5BAAFE31" w14:textId="77777777" w:rsidR="005A19DD" w:rsidRPr="009D77F6" w:rsidRDefault="005A19DD" w:rsidP="005A19DD">
      <w:pPr>
        <w:ind w:left="100" w:right="106"/>
        <w:jc w:val="both"/>
        <w:rPr>
          <w:sz w:val="18"/>
        </w:rPr>
      </w:pPr>
      <w:r w:rsidRPr="009D77F6">
        <w:rPr>
          <w:sz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9D77F6">
        <w:rPr>
          <w:spacing w:val="-10"/>
          <w:sz w:val="18"/>
        </w:rPr>
        <w:t xml:space="preserve"> </w:t>
      </w:r>
      <w:r w:rsidRPr="009D77F6">
        <w:rPr>
          <w:sz w:val="18"/>
        </w:rPr>
        <w:t>nivel.</w:t>
      </w:r>
    </w:p>
    <w:p w14:paraId="49E687E6" w14:textId="39BD5604" w:rsidR="005A19DD" w:rsidRDefault="005A19DD" w:rsidP="005A19DD">
      <w:pPr>
        <w:ind w:left="100"/>
        <w:rPr>
          <w:sz w:val="18"/>
        </w:rPr>
      </w:pPr>
      <w:r w:rsidRPr="009D77F6">
        <w:rPr>
          <w:sz w:val="18"/>
        </w:rPr>
        <w:t>(…)</w:t>
      </w:r>
    </w:p>
    <w:p w14:paraId="34C08C9A" w14:textId="77777777" w:rsidR="005A19DD" w:rsidRPr="009D77F6" w:rsidRDefault="005A19DD" w:rsidP="005A19DD">
      <w:pPr>
        <w:spacing w:before="79"/>
        <w:ind w:left="100"/>
        <w:rPr>
          <w:sz w:val="18"/>
        </w:rPr>
      </w:pPr>
      <w:r w:rsidRPr="009D77F6">
        <w:rPr>
          <w:sz w:val="18"/>
        </w:rPr>
        <w:t>“2. Si es una persona jurídica:</w:t>
      </w:r>
    </w:p>
    <w:p w14:paraId="59DEC3DD" w14:textId="77777777" w:rsidR="005A19DD" w:rsidRPr="009D77F6" w:rsidRDefault="005A19DD" w:rsidP="005A19DD">
      <w:pPr>
        <w:pStyle w:val="Textoindependiente"/>
        <w:spacing w:before="10"/>
        <w:rPr>
          <w:sz w:val="17"/>
        </w:rPr>
      </w:pPr>
    </w:p>
    <w:p w14:paraId="520CDFE8" w14:textId="77777777" w:rsidR="005A19DD" w:rsidRPr="009D77F6" w:rsidRDefault="005A19DD" w:rsidP="005A19DD">
      <w:pPr>
        <w:ind w:left="100" w:right="105"/>
        <w:rPr>
          <w:sz w:val="18"/>
        </w:rPr>
      </w:pPr>
      <w:r w:rsidRPr="009D77F6">
        <w:rPr>
          <w:sz w:val="18"/>
        </w:rPr>
        <w:t>“2.1. Bienes, obras y servicios que ofrecerá a las Entidades Estatales, identificados con el Clasificador de Bienes y Servicios en el tercer nivel.</w:t>
      </w:r>
    </w:p>
    <w:p w14:paraId="52F6B354" w14:textId="77777777" w:rsidR="005A19DD" w:rsidRPr="009D77F6" w:rsidRDefault="005A19DD" w:rsidP="005A19DD">
      <w:pPr>
        <w:spacing w:before="1"/>
        <w:ind w:left="100"/>
        <w:rPr>
          <w:sz w:val="18"/>
        </w:rPr>
      </w:pPr>
      <w:r w:rsidRPr="009D77F6">
        <w:rPr>
          <w:sz w:val="18"/>
        </w:rPr>
        <w:t>(…)</w:t>
      </w:r>
    </w:p>
    <w:p w14:paraId="5D4A7482" w14:textId="77777777" w:rsidR="005A19DD" w:rsidRPr="009D77F6" w:rsidRDefault="005A19DD" w:rsidP="005A19DD">
      <w:pPr>
        <w:pStyle w:val="Textoindependiente"/>
        <w:spacing w:before="10"/>
        <w:rPr>
          <w:sz w:val="17"/>
        </w:rPr>
      </w:pPr>
    </w:p>
    <w:p w14:paraId="0C6474A6" w14:textId="77777777" w:rsidR="005A19DD" w:rsidRPr="009D77F6" w:rsidRDefault="005A19DD" w:rsidP="005A19DD">
      <w:pPr>
        <w:spacing w:before="1"/>
        <w:ind w:left="100" w:right="108"/>
        <w:jc w:val="both"/>
        <w:rPr>
          <w:sz w:val="18"/>
        </w:rPr>
      </w:pPr>
      <w:r w:rsidRPr="009D77F6">
        <w:rPr>
          <w:sz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w:t>
      </w:r>
      <w:r w:rsidRPr="009D77F6">
        <w:rPr>
          <w:spacing w:val="-9"/>
          <w:sz w:val="18"/>
        </w:rPr>
        <w:t xml:space="preserve"> </w:t>
      </w:r>
      <w:r w:rsidRPr="009D77F6">
        <w:rPr>
          <w:sz w:val="18"/>
        </w:rPr>
        <w:t>constituyentes”.</w:t>
      </w:r>
    </w:p>
    <w:p w14:paraId="2F99A7A1" w14:textId="77777777" w:rsidR="005A19DD" w:rsidRPr="009D77F6" w:rsidRDefault="005A19DD" w:rsidP="005A19DD">
      <w:pPr>
        <w:ind w:left="100"/>
        <w:rPr>
          <w:sz w:val="18"/>
        </w:rPr>
      </w:pPr>
    </w:p>
    <w:p w14:paraId="3D791BD1" w14:textId="5B047E38" w:rsidR="005A19DD" w:rsidRPr="005A19DD" w:rsidRDefault="005A19DD">
      <w:pPr>
        <w:pStyle w:val="Textonotapie"/>
        <w:rPr>
          <w:lang w:val="es-MX"/>
        </w:rPr>
      </w:pPr>
    </w:p>
  </w:footnote>
  <w:footnote w:id="5">
    <w:p w14:paraId="09C7EF34" w14:textId="0980BF8C" w:rsidR="005A19DD" w:rsidRPr="009D77F6" w:rsidRDefault="005A19DD" w:rsidP="005A19DD">
      <w:pPr>
        <w:spacing w:line="242" w:lineRule="auto"/>
        <w:ind w:left="100" w:right="105" w:firstLine="707"/>
        <w:jc w:val="both"/>
        <w:rPr>
          <w:sz w:val="18"/>
        </w:rPr>
      </w:pPr>
      <w:r>
        <w:rPr>
          <w:rStyle w:val="Refdenotaalpie"/>
        </w:rPr>
        <w:footnoteRef/>
      </w:r>
      <w:r>
        <w:t xml:space="preserve"> </w:t>
      </w:r>
      <w:r w:rsidRPr="009D77F6">
        <w:rPr>
          <w:sz w:val="18"/>
        </w:rPr>
        <w:t>De acuerdo con la Guía para la codificación de bienes y servicios y con el código estándar de productos y servicios de Naciones Unidas, V.14.080 expedida por Colombia Compra Eficiente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Este sistema de clasificación permite codificar productos y servicios de forma clara ya que se basa en estándares acordados por la industria los cuales facilitan el comercio entre empresas y gobierno. La versión implementada en Colombia es la UNSPSC, V.14.080, traducida al</w:t>
      </w:r>
      <w:r w:rsidRPr="009D77F6">
        <w:rPr>
          <w:spacing w:val="-4"/>
          <w:sz w:val="18"/>
        </w:rPr>
        <w:t xml:space="preserve"> </w:t>
      </w:r>
      <w:r w:rsidRPr="009D77F6">
        <w:rPr>
          <w:sz w:val="18"/>
        </w:rPr>
        <w:t>español”.</w:t>
      </w:r>
    </w:p>
    <w:p w14:paraId="3E954306" w14:textId="4C62EA6B" w:rsidR="005A19DD" w:rsidRPr="005A19DD" w:rsidRDefault="005A19D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6F83" w14:textId="77777777" w:rsidR="00810554" w:rsidRDefault="00E31D02">
    <w:pPr>
      <w:pStyle w:val="Textoindependiente"/>
      <w:spacing w:line="14" w:lineRule="auto"/>
      <w:rPr>
        <w:sz w:val="20"/>
      </w:rPr>
    </w:pPr>
    <w:r>
      <w:rPr>
        <w:noProof/>
        <w:lang w:val="en-US"/>
      </w:rPr>
      <w:drawing>
        <wp:anchor distT="0" distB="0" distL="0" distR="0" simplePos="0" relativeHeight="487424512" behindDoc="1" locked="0" layoutInCell="1" allowOverlap="1" wp14:anchorId="05C88A6C" wp14:editId="7972FE90">
          <wp:simplePos x="0" y="0"/>
          <wp:positionH relativeFrom="page">
            <wp:posOffset>5304473</wp:posOffset>
          </wp:positionH>
          <wp:positionV relativeFrom="page">
            <wp:posOffset>468247</wp:posOffset>
          </wp:positionV>
          <wp:extent cx="1346374" cy="521377"/>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5EEA"/>
    <w:multiLevelType w:val="hybridMultilevel"/>
    <w:tmpl w:val="164002C0"/>
    <w:lvl w:ilvl="0" w:tplc="FCE22516">
      <w:start w:val="1"/>
      <w:numFmt w:val="lowerLetter"/>
      <w:lvlText w:val="%1)"/>
      <w:lvlJc w:val="left"/>
      <w:pPr>
        <w:ind w:left="100" w:hanging="285"/>
      </w:pPr>
      <w:rPr>
        <w:rFonts w:ascii="Arial" w:eastAsia="Arial" w:hAnsi="Arial" w:cs="Arial" w:hint="default"/>
        <w:color w:val="4E4D4D"/>
        <w:spacing w:val="-1"/>
        <w:w w:val="100"/>
        <w:sz w:val="22"/>
        <w:szCs w:val="22"/>
        <w:lang w:val="es-ES" w:eastAsia="en-US" w:bidi="ar-SA"/>
      </w:rPr>
    </w:lvl>
    <w:lvl w:ilvl="1" w:tplc="063690B8">
      <w:start w:val="1"/>
      <w:numFmt w:val="lowerLetter"/>
      <w:lvlText w:val="%2)"/>
      <w:lvlJc w:val="left"/>
      <w:pPr>
        <w:ind w:left="820" w:hanging="360"/>
      </w:pPr>
      <w:rPr>
        <w:rFonts w:ascii="Arial" w:eastAsia="Arial" w:hAnsi="Arial" w:cs="Arial" w:hint="default"/>
        <w:color w:val="4E4D4D"/>
        <w:spacing w:val="-20"/>
        <w:w w:val="100"/>
        <w:sz w:val="22"/>
        <w:szCs w:val="22"/>
        <w:lang w:val="es-ES" w:eastAsia="en-US" w:bidi="ar-SA"/>
      </w:rPr>
    </w:lvl>
    <w:lvl w:ilvl="2" w:tplc="82CC58FE">
      <w:start w:val="1"/>
      <w:numFmt w:val="upperLetter"/>
      <w:lvlText w:val="%3."/>
      <w:lvlJc w:val="left"/>
      <w:pPr>
        <w:ind w:left="1168" w:hanging="360"/>
      </w:pPr>
      <w:rPr>
        <w:rFonts w:ascii="Arial" w:eastAsia="Arial" w:hAnsi="Arial" w:cs="Arial" w:hint="default"/>
        <w:color w:val="3B3B3B"/>
        <w:spacing w:val="-3"/>
        <w:w w:val="100"/>
        <w:sz w:val="22"/>
        <w:szCs w:val="22"/>
        <w:lang w:val="es-ES" w:eastAsia="en-US" w:bidi="ar-SA"/>
      </w:rPr>
    </w:lvl>
    <w:lvl w:ilvl="3" w:tplc="77240E2C">
      <w:numFmt w:val="bullet"/>
      <w:lvlText w:val="•"/>
      <w:lvlJc w:val="left"/>
      <w:pPr>
        <w:ind w:left="2157" w:hanging="360"/>
      </w:pPr>
      <w:rPr>
        <w:rFonts w:hint="default"/>
        <w:lang w:val="es-ES" w:eastAsia="en-US" w:bidi="ar-SA"/>
      </w:rPr>
    </w:lvl>
    <w:lvl w:ilvl="4" w:tplc="15AA8D64">
      <w:numFmt w:val="bullet"/>
      <w:lvlText w:val="•"/>
      <w:lvlJc w:val="left"/>
      <w:pPr>
        <w:ind w:left="3155" w:hanging="360"/>
      </w:pPr>
      <w:rPr>
        <w:rFonts w:hint="default"/>
        <w:lang w:val="es-ES" w:eastAsia="en-US" w:bidi="ar-SA"/>
      </w:rPr>
    </w:lvl>
    <w:lvl w:ilvl="5" w:tplc="C83C632C">
      <w:numFmt w:val="bullet"/>
      <w:lvlText w:val="•"/>
      <w:lvlJc w:val="left"/>
      <w:pPr>
        <w:ind w:left="4152" w:hanging="360"/>
      </w:pPr>
      <w:rPr>
        <w:rFonts w:hint="default"/>
        <w:lang w:val="es-ES" w:eastAsia="en-US" w:bidi="ar-SA"/>
      </w:rPr>
    </w:lvl>
    <w:lvl w:ilvl="6" w:tplc="2C60C92A">
      <w:numFmt w:val="bullet"/>
      <w:lvlText w:val="•"/>
      <w:lvlJc w:val="left"/>
      <w:pPr>
        <w:ind w:left="5150" w:hanging="360"/>
      </w:pPr>
      <w:rPr>
        <w:rFonts w:hint="default"/>
        <w:lang w:val="es-ES" w:eastAsia="en-US" w:bidi="ar-SA"/>
      </w:rPr>
    </w:lvl>
    <w:lvl w:ilvl="7" w:tplc="073863FE">
      <w:numFmt w:val="bullet"/>
      <w:lvlText w:val="•"/>
      <w:lvlJc w:val="left"/>
      <w:pPr>
        <w:ind w:left="6147" w:hanging="360"/>
      </w:pPr>
      <w:rPr>
        <w:rFonts w:hint="default"/>
        <w:lang w:val="es-ES" w:eastAsia="en-US" w:bidi="ar-SA"/>
      </w:rPr>
    </w:lvl>
    <w:lvl w:ilvl="8" w:tplc="8B2A507A">
      <w:numFmt w:val="bullet"/>
      <w:lvlText w:val="•"/>
      <w:lvlJc w:val="left"/>
      <w:pPr>
        <w:ind w:left="7145" w:hanging="360"/>
      </w:pPr>
      <w:rPr>
        <w:rFonts w:hint="default"/>
        <w:lang w:val="es-ES" w:eastAsia="en-US" w:bidi="ar-SA"/>
      </w:rPr>
    </w:lvl>
  </w:abstractNum>
  <w:abstractNum w:abstractNumId="1" w15:restartNumberingAfterBreak="0">
    <w:nsid w:val="753E2829"/>
    <w:multiLevelType w:val="multilevel"/>
    <w:tmpl w:val="3850DE78"/>
    <w:lvl w:ilvl="0">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465" w:hanging="366"/>
      </w:pPr>
      <w:rPr>
        <w:rFonts w:hint="default"/>
        <w:b/>
        <w:bCs/>
        <w:spacing w:val="-1"/>
        <w:w w:val="100"/>
        <w:lang w:val="es-ES" w:eastAsia="en-US" w:bidi="ar-SA"/>
      </w:rPr>
    </w:lvl>
    <w:lvl w:ilvl="2">
      <w:start w:val="1"/>
      <w:numFmt w:val="upperLetter"/>
      <w:lvlText w:val="%3."/>
      <w:lvlJc w:val="left"/>
      <w:pPr>
        <w:ind w:left="1168" w:hanging="360"/>
      </w:pPr>
      <w:rPr>
        <w:rFonts w:ascii="Arial" w:eastAsia="Arial" w:hAnsi="Arial" w:cs="Arial" w:hint="default"/>
        <w:color w:val="3B3B3B"/>
        <w:spacing w:val="-16"/>
        <w:w w:val="100"/>
        <w:sz w:val="20"/>
        <w:szCs w:val="20"/>
        <w:lang w:val="es-ES" w:eastAsia="en-US" w:bidi="ar-SA"/>
      </w:rPr>
    </w:lvl>
    <w:lvl w:ilvl="3">
      <w:numFmt w:val="bullet"/>
      <w:lvlText w:val="•"/>
      <w:lvlJc w:val="left"/>
      <w:pPr>
        <w:ind w:left="1160" w:hanging="360"/>
      </w:pPr>
      <w:rPr>
        <w:rFonts w:hint="default"/>
        <w:lang w:val="es-ES" w:eastAsia="en-US" w:bidi="ar-SA"/>
      </w:rPr>
    </w:lvl>
    <w:lvl w:ilvl="4">
      <w:numFmt w:val="bullet"/>
      <w:lvlText w:val="•"/>
      <w:lvlJc w:val="left"/>
      <w:pPr>
        <w:ind w:left="2300" w:hanging="360"/>
      </w:pPr>
      <w:rPr>
        <w:rFonts w:hint="default"/>
        <w:lang w:val="es-ES" w:eastAsia="en-US" w:bidi="ar-SA"/>
      </w:rPr>
    </w:lvl>
    <w:lvl w:ilvl="5">
      <w:numFmt w:val="bullet"/>
      <w:lvlText w:val="•"/>
      <w:lvlJc w:val="left"/>
      <w:pPr>
        <w:ind w:left="3440" w:hanging="360"/>
      </w:pPr>
      <w:rPr>
        <w:rFonts w:hint="default"/>
        <w:lang w:val="es-ES" w:eastAsia="en-US" w:bidi="ar-SA"/>
      </w:rPr>
    </w:lvl>
    <w:lvl w:ilvl="6">
      <w:numFmt w:val="bullet"/>
      <w:lvlText w:val="•"/>
      <w:lvlJc w:val="left"/>
      <w:pPr>
        <w:ind w:left="4580" w:hanging="360"/>
      </w:pPr>
      <w:rPr>
        <w:rFonts w:hint="default"/>
        <w:lang w:val="es-ES" w:eastAsia="en-US" w:bidi="ar-SA"/>
      </w:rPr>
    </w:lvl>
    <w:lvl w:ilvl="7">
      <w:numFmt w:val="bullet"/>
      <w:lvlText w:val="•"/>
      <w:lvlJc w:val="left"/>
      <w:pPr>
        <w:ind w:left="5720" w:hanging="360"/>
      </w:pPr>
      <w:rPr>
        <w:rFonts w:hint="default"/>
        <w:lang w:val="es-ES" w:eastAsia="en-US" w:bidi="ar-SA"/>
      </w:rPr>
    </w:lvl>
    <w:lvl w:ilvl="8">
      <w:numFmt w:val="bullet"/>
      <w:lvlText w:val="•"/>
      <w:lvlJc w:val="left"/>
      <w:pPr>
        <w:ind w:left="6860"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54"/>
    <w:rsid w:val="0014277A"/>
    <w:rsid w:val="00172C73"/>
    <w:rsid w:val="001E0C0B"/>
    <w:rsid w:val="00293DE9"/>
    <w:rsid w:val="003A1DB2"/>
    <w:rsid w:val="004C42C1"/>
    <w:rsid w:val="004E35B6"/>
    <w:rsid w:val="004E414B"/>
    <w:rsid w:val="005958F8"/>
    <w:rsid w:val="005A19DD"/>
    <w:rsid w:val="00624BF5"/>
    <w:rsid w:val="006B110D"/>
    <w:rsid w:val="00810554"/>
    <w:rsid w:val="0093186C"/>
    <w:rsid w:val="009B6E4F"/>
    <w:rsid w:val="009D77F6"/>
    <w:rsid w:val="00E31D02"/>
    <w:rsid w:val="00E774CB"/>
    <w:rsid w:val="00F53D91"/>
    <w:rsid w:val="23AAA045"/>
    <w:rsid w:val="308363AA"/>
    <w:rsid w:val="315E10EF"/>
    <w:rsid w:val="32DE4A00"/>
    <w:rsid w:val="331C6FF4"/>
    <w:rsid w:val="389D2151"/>
    <w:rsid w:val="3A896FE5"/>
    <w:rsid w:val="4860FD27"/>
    <w:rsid w:val="52025E10"/>
    <w:rsid w:val="5E149069"/>
    <w:rsid w:val="605C4985"/>
    <w:rsid w:val="6A224F8A"/>
    <w:rsid w:val="6F668C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6506"/>
  <w15:docId w15:val="{CC39A2E8-5D0F-430B-BBA8-E5AA19B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pPr>
      <w:ind w:left="97"/>
    </w:pPr>
  </w:style>
  <w:style w:type="paragraph" w:styleId="Textonotapie">
    <w:name w:val="footnote text"/>
    <w:basedOn w:val="Normal"/>
    <w:link w:val="TextonotapieCar"/>
    <w:uiPriority w:val="99"/>
    <w:semiHidden/>
    <w:unhideWhenUsed/>
    <w:rsid w:val="005A19DD"/>
    <w:rPr>
      <w:sz w:val="20"/>
      <w:szCs w:val="20"/>
    </w:rPr>
  </w:style>
  <w:style w:type="character" w:customStyle="1" w:styleId="TextonotapieCar">
    <w:name w:val="Texto nota pie Car"/>
    <w:basedOn w:val="Fuentedeprrafopredeter"/>
    <w:link w:val="Textonotapie"/>
    <w:uiPriority w:val="99"/>
    <w:semiHidden/>
    <w:rsid w:val="005A19DD"/>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A1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es/Clasificacion/test/pager/callback?_=1396361496688&amp;page=0&amp;field_event_category_value=All&amp;sort=asc&amp;order=Familia%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ombiacompra.gov.co/es/Clasificacion/test/pager/callback?_=1396361496688&amp;page=0&amp;field_event_category_value=All&amp;sort=desc&amp;order=Segmen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Nombre%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Clase%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4A7C-F3A6-417A-82DE-DA417C60F97B}">
  <ds:schemaRefs>
    <ds:schemaRef ds:uri="http://schemas.microsoft.com/sharepoint/v3/contenttype/forms"/>
  </ds:schemaRefs>
</ds:datastoreItem>
</file>

<file path=customXml/itemProps2.xml><?xml version="1.0" encoding="utf-8"?>
<ds:datastoreItem xmlns:ds="http://schemas.openxmlformats.org/officeDocument/2006/customXml" ds:itemID="{7DC26E48-370D-4935-92D0-7D5A3730973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BC58EB0-42E4-48D4-A78E-FFC67EBB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2C6DB-BA1F-4BDD-9ED4-C0748F62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4103</Words>
  <Characters>23390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2020-08-05T15:54:00Z</dcterms:created>
  <dcterms:modified xsi:type="dcterms:W3CDTF">2020-08-05T15:54:00Z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2020-03-10T00:00:00Z</vt:filetime>
  </property>
  <property fmtid="{D5CDD505-2E9C-101B-9397-08002B2CF9AE}" pid="5" name="ContentTypeId">
    <vt:lpwstr>0x010100F2E0F32964D9B84EA054B84E5D4157A0</vt:lpwstr>
  </property>
</Properties>
</file>