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3694D" w14:textId="5BCC10A0" w:rsidR="00B64328" w:rsidRPr="005B7D35" w:rsidRDefault="06DED32D" w:rsidP="0E8167D4">
      <w:pPr>
        <w:jc w:val="right"/>
        <w:rPr>
          <w:rFonts w:ascii="Arial" w:eastAsia="Arial" w:hAnsi="Arial" w:cs="Arial"/>
          <w:sz w:val="16"/>
          <w:szCs w:val="16"/>
          <w:lang w:val="es-CO"/>
        </w:rPr>
      </w:pPr>
      <w:bookmarkStart w:id="0" w:name="_Hlk31817693"/>
      <w:bookmarkStart w:id="1" w:name="_GoBack"/>
      <w:bookmarkEnd w:id="1"/>
      <w:r w:rsidRPr="0E8167D4">
        <w:rPr>
          <w:rFonts w:ascii="Arial" w:eastAsia="Arial" w:hAnsi="Arial" w:cs="Arial"/>
          <w:b/>
          <w:bCs/>
          <w:sz w:val="16"/>
          <w:szCs w:val="16"/>
        </w:rPr>
        <w:t>CCE-DES-FM-17</w:t>
      </w:r>
    </w:p>
    <w:p w14:paraId="21B9BE52" w14:textId="055F1D51" w:rsidR="00B64328" w:rsidRPr="007974BC" w:rsidRDefault="00B64328" w:rsidP="0E8167D4">
      <w:pPr>
        <w:jc w:val="both"/>
        <w:rPr>
          <w:rFonts w:ascii="Arial" w:eastAsia="Arial" w:hAnsi="Arial" w:cs="Arial"/>
          <w:sz w:val="16"/>
          <w:szCs w:val="16"/>
          <w:lang w:val="es-CO"/>
        </w:rPr>
      </w:pPr>
    </w:p>
    <w:p w14:paraId="4232661F" w14:textId="10271DBA" w:rsidR="007B0854" w:rsidRPr="005B7D35" w:rsidRDefault="00AA64DC" w:rsidP="00B64328">
      <w:pPr>
        <w:jc w:val="both"/>
        <w:rPr>
          <w:rFonts w:ascii="Arial" w:hAnsi="Arial" w:cs="Arial"/>
          <w:b/>
          <w:color w:val="000000" w:themeColor="text1"/>
          <w:sz w:val="22"/>
          <w:lang w:val="es-CO"/>
        </w:rPr>
      </w:pPr>
      <w:r w:rsidRPr="005B7D35">
        <w:rPr>
          <w:rFonts w:ascii="Arial" w:hAnsi="Arial" w:cs="Arial"/>
          <w:b/>
          <w:color w:val="000000" w:themeColor="text1"/>
          <w:sz w:val="22"/>
          <w:lang w:val="es-CO"/>
        </w:rPr>
        <w:t>CONTRATO ESTATAL</w:t>
      </w:r>
      <w:r w:rsidR="007B0854" w:rsidRPr="005B7D35">
        <w:rPr>
          <w:rFonts w:ascii="Arial" w:hAnsi="Arial" w:cs="Arial"/>
          <w:b/>
          <w:color w:val="000000" w:themeColor="text1"/>
          <w:sz w:val="22"/>
          <w:lang w:val="es-CO"/>
        </w:rPr>
        <w:t xml:space="preserve"> </w:t>
      </w:r>
      <w:r w:rsidR="00B64328" w:rsidRPr="005B7D35">
        <w:rPr>
          <w:rFonts w:ascii="Arial" w:eastAsia="Calibri" w:hAnsi="Arial" w:cs="Arial"/>
          <w:b/>
          <w:color w:val="000000" w:themeColor="text1"/>
          <w:sz w:val="22"/>
        </w:rPr>
        <w:t>–</w:t>
      </w:r>
      <w:r w:rsidR="007B0854" w:rsidRPr="005B7D35">
        <w:rPr>
          <w:rFonts w:ascii="Arial" w:hAnsi="Arial" w:cs="Arial"/>
          <w:b/>
          <w:color w:val="000000" w:themeColor="text1"/>
          <w:sz w:val="22"/>
          <w:lang w:val="es-CO"/>
        </w:rPr>
        <w:t xml:space="preserve"> </w:t>
      </w:r>
      <w:r w:rsidRPr="005B7D35">
        <w:rPr>
          <w:rFonts w:ascii="Arial" w:hAnsi="Arial" w:cs="Arial"/>
          <w:b/>
          <w:color w:val="000000" w:themeColor="text1"/>
          <w:sz w:val="22"/>
          <w:lang w:val="es-CO"/>
        </w:rPr>
        <w:t>Perfeccionamiento</w:t>
      </w:r>
      <w:r w:rsidR="007B0854" w:rsidRPr="005B7D35">
        <w:rPr>
          <w:rFonts w:ascii="Arial" w:hAnsi="Arial" w:cs="Arial"/>
          <w:b/>
          <w:color w:val="000000" w:themeColor="text1"/>
          <w:sz w:val="22"/>
          <w:lang w:val="es-CO"/>
        </w:rPr>
        <w:t xml:space="preserve"> </w:t>
      </w:r>
    </w:p>
    <w:p w14:paraId="22848024" w14:textId="77777777" w:rsidR="007B0854" w:rsidRPr="005B7D35" w:rsidRDefault="007B0854" w:rsidP="00B64328">
      <w:pPr>
        <w:jc w:val="both"/>
        <w:rPr>
          <w:rFonts w:ascii="Arial" w:hAnsi="Arial" w:cs="Arial"/>
          <w:color w:val="000000" w:themeColor="text1"/>
          <w:sz w:val="20"/>
          <w:szCs w:val="20"/>
          <w:lang w:val="es-CO"/>
        </w:rPr>
      </w:pPr>
    </w:p>
    <w:p w14:paraId="5D32471C" w14:textId="77777777" w:rsidR="00C50B96" w:rsidRPr="005B7D35" w:rsidRDefault="00C50B96" w:rsidP="00B64328">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El texto original del artículo 41 de la Ley 80 de 1993 indicó que los requisitos para perfeccionar el contrato son: i) llegar a un acuerdo sobre el objeto y la contraprestación, y ii) que conste por escrito. Por su parte, para iniciar la ejecución se requería: i) la constitución y aprobación de la garantía y ii) la existencia del registro presupuestal.</w:t>
      </w:r>
    </w:p>
    <w:p w14:paraId="0EE3F935" w14:textId="77777777" w:rsidR="007B0854" w:rsidRPr="005B7D35" w:rsidRDefault="007B0854" w:rsidP="00B64328">
      <w:pPr>
        <w:jc w:val="both"/>
        <w:rPr>
          <w:rFonts w:ascii="Arial" w:hAnsi="Arial" w:cs="Arial"/>
          <w:color w:val="000000" w:themeColor="text1"/>
          <w:sz w:val="20"/>
          <w:szCs w:val="20"/>
          <w:lang w:val="es-CO"/>
        </w:rPr>
      </w:pPr>
    </w:p>
    <w:p w14:paraId="547A08B2" w14:textId="4DCE5453" w:rsidR="00C000CF" w:rsidRPr="005B7D35" w:rsidRDefault="00C50B96" w:rsidP="01105039">
      <w:pPr>
        <w:jc w:val="both"/>
        <w:rPr>
          <w:rFonts w:ascii="Arial" w:hAnsi="Arial" w:cs="Arial"/>
          <w:b/>
          <w:bCs/>
          <w:color w:val="000000" w:themeColor="text1"/>
          <w:sz w:val="22"/>
          <w:lang w:val="es-CO"/>
        </w:rPr>
      </w:pPr>
      <w:r w:rsidRPr="01105039">
        <w:rPr>
          <w:rFonts w:ascii="Arial" w:hAnsi="Arial" w:cs="Arial"/>
          <w:b/>
          <w:bCs/>
          <w:color w:val="000000" w:themeColor="text1"/>
          <w:sz w:val="22"/>
          <w:lang w:val="es-CO"/>
        </w:rPr>
        <w:t>APORTES AL SISTEMA DE SEGURIDAD SOCIAL</w:t>
      </w:r>
      <w:r w:rsidR="00C000CF" w:rsidRPr="01105039">
        <w:rPr>
          <w:rFonts w:ascii="Arial" w:hAnsi="Arial" w:cs="Arial"/>
          <w:b/>
          <w:bCs/>
          <w:color w:val="000000" w:themeColor="text1"/>
          <w:sz w:val="22"/>
          <w:lang w:val="es-CO"/>
        </w:rPr>
        <w:t xml:space="preserve"> </w:t>
      </w:r>
      <w:r w:rsidR="00B64328" w:rsidRPr="01105039">
        <w:rPr>
          <w:rFonts w:ascii="Arial" w:eastAsia="Calibri" w:hAnsi="Arial" w:cs="Arial"/>
          <w:b/>
          <w:bCs/>
          <w:color w:val="000000" w:themeColor="text1"/>
          <w:sz w:val="22"/>
        </w:rPr>
        <w:t>–</w:t>
      </w:r>
      <w:r w:rsidR="00C000CF" w:rsidRPr="01105039">
        <w:rPr>
          <w:rFonts w:ascii="Arial" w:hAnsi="Arial" w:cs="Arial"/>
          <w:b/>
          <w:bCs/>
          <w:color w:val="000000" w:themeColor="text1"/>
          <w:sz w:val="22"/>
          <w:lang w:val="es-CO"/>
        </w:rPr>
        <w:t xml:space="preserve"> </w:t>
      </w:r>
      <w:r w:rsidRPr="01105039">
        <w:rPr>
          <w:rFonts w:ascii="Arial" w:hAnsi="Arial" w:cs="Arial"/>
          <w:b/>
          <w:bCs/>
          <w:color w:val="000000" w:themeColor="text1"/>
          <w:sz w:val="22"/>
          <w:lang w:val="es-CO"/>
        </w:rPr>
        <w:t xml:space="preserve">Obligación </w:t>
      </w:r>
      <w:r w:rsidR="00B64328" w:rsidRPr="01105039">
        <w:rPr>
          <w:rFonts w:ascii="Arial" w:eastAsia="Calibri" w:hAnsi="Arial" w:cs="Arial"/>
          <w:b/>
          <w:bCs/>
          <w:color w:val="000000" w:themeColor="text1"/>
          <w:sz w:val="22"/>
        </w:rPr>
        <w:t>–</w:t>
      </w:r>
      <w:r w:rsidRPr="01105039">
        <w:rPr>
          <w:rFonts w:ascii="Arial" w:hAnsi="Arial" w:cs="Arial"/>
          <w:b/>
          <w:bCs/>
          <w:color w:val="000000" w:themeColor="text1"/>
          <w:sz w:val="22"/>
          <w:lang w:val="es-CO"/>
        </w:rPr>
        <w:t xml:space="preserve"> Contratista</w:t>
      </w:r>
    </w:p>
    <w:p w14:paraId="3E427743" w14:textId="39DF3C6C" w:rsidR="007B0854" w:rsidRPr="005B7D35" w:rsidRDefault="007B0854" w:rsidP="00B64328">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 xml:space="preserve"> </w:t>
      </w:r>
    </w:p>
    <w:p w14:paraId="330FA40A" w14:textId="59A87F47" w:rsidR="00C000CF" w:rsidRPr="005B7D35" w:rsidRDefault="00E322D7" w:rsidP="00B64328">
      <w:pPr>
        <w:jc w:val="both"/>
        <w:rPr>
          <w:rFonts w:ascii="Arial" w:hAnsi="Arial" w:cs="Arial"/>
          <w:color w:val="000000" w:themeColor="text1"/>
          <w:sz w:val="20"/>
          <w:szCs w:val="20"/>
          <w:lang w:val="es-CO"/>
        </w:rPr>
      </w:pPr>
      <w:r w:rsidRPr="42D6D31E">
        <w:rPr>
          <w:rFonts w:ascii="Arial" w:hAnsi="Arial" w:cs="Arial"/>
          <w:color w:val="000000" w:themeColor="text1"/>
          <w:sz w:val="20"/>
          <w:szCs w:val="20"/>
          <w:lang w:val="es-CO"/>
        </w:rPr>
        <w:t xml:space="preserve">[…] </w:t>
      </w:r>
      <w:r w:rsidR="2347B37D" w:rsidRPr="42D6D31E">
        <w:rPr>
          <w:rFonts w:ascii="Arial" w:hAnsi="Arial" w:cs="Arial"/>
          <w:color w:val="000000" w:themeColor="text1"/>
          <w:sz w:val="20"/>
          <w:szCs w:val="20"/>
          <w:lang w:val="es-CO"/>
        </w:rPr>
        <w:t>l</w:t>
      </w:r>
      <w:r w:rsidR="00C50B96" w:rsidRPr="42D6D31E">
        <w:rPr>
          <w:rFonts w:ascii="Arial" w:hAnsi="Arial" w:cs="Arial"/>
          <w:color w:val="000000" w:themeColor="text1"/>
          <w:sz w:val="20"/>
          <w:szCs w:val="20"/>
          <w:lang w:val="es-CO"/>
        </w:rPr>
        <w:t xml:space="preserve">a jurisprudencia reiteró la necesidad de que las entidades estatales, durante la ejecución de un contrato, verifiquen el cumplimiento de las obligaciones del sistema de seguridad social por parte de los oferentes. Luego, el artículo 23 de la Ley 1150 de 2007 modificó el inciso segundo del artículo 41 de la Ley 80 de 1993, incluyendo la obligación, para los proponentes y contratistas, de estar a paz y salvo con los aportes parafiscales al Sistema de Seguridad Social integral. </w:t>
      </w:r>
    </w:p>
    <w:p w14:paraId="0D039EB7" w14:textId="77777777" w:rsidR="00C50B96" w:rsidRPr="005B7D35" w:rsidRDefault="00C50B96" w:rsidP="00B64328">
      <w:pPr>
        <w:jc w:val="both"/>
        <w:rPr>
          <w:rFonts w:ascii="Arial" w:hAnsi="Arial" w:cs="Arial"/>
          <w:color w:val="000000" w:themeColor="text1"/>
          <w:sz w:val="20"/>
          <w:szCs w:val="20"/>
          <w:lang w:val="es-CO"/>
        </w:rPr>
      </w:pPr>
    </w:p>
    <w:p w14:paraId="530E34F5" w14:textId="5A3052AE" w:rsidR="00E11654" w:rsidRPr="005B7D35" w:rsidRDefault="00C50B96" w:rsidP="00B64328">
      <w:pPr>
        <w:jc w:val="both"/>
        <w:rPr>
          <w:rFonts w:ascii="Arial" w:hAnsi="Arial" w:cs="Arial"/>
          <w:b/>
          <w:color w:val="000000" w:themeColor="text1"/>
          <w:sz w:val="22"/>
          <w:lang w:val="es-CO"/>
        </w:rPr>
      </w:pPr>
      <w:r w:rsidRPr="005B7D35">
        <w:rPr>
          <w:rFonts w:ascii="Arial" w:hAnsi="Arial" w:cs="Arial"/>
          <w:b/>
          <w:color w:val="000000" w:themeColor="text1"/>
          <w:sz w:val="22"/>
          <w:lang w:val="es-CO"/>
        </w:rPr>
        <w:t xml:space="preserve">APORTES AL SISTEMA DE SEGURIDAD SOCIAL </w:t>
      </w:r>
      <w:r w:rsidR="00B64328" w:rsidRPr="005B7D35">
        <w:rPr>
          <w:rFonts w:ascii="Arial" w:eastAsia="Calibri" w:hAnsi="Arial" w:cs="Arial"/>
          <w:b/>
          <w:color w:val="000000" w:themeColor="text1"/>
          <w:sz w:val="22"/>
        </w:rPr>
        <w:t>–</w:t>
      </w:r>
      <w:r w:rsidRPr="005B7D35">
        <w:rPr>
          <w:rFonts w:ascii="Arial" w:hAnsi="Arial" w:cs="Arial"/>
          <w:b/>
          <w:color w:val="000000" w:themeColor="text1"/>
          <w:sz w:val="22"/>
          <w:lang w:val="es-CO"/>
        </w:rPr>
        <w:t xml:space="preserve"> Obligación </w:t>
      </w:r>
      <w:r w:rsidR="00B64328" w:rsidRPr="005B7D35">
        <w:rPr>
          <w:rFonts w:ascii="Arial" w:eastAsia="Calibri" w:hAnsi="Arial" w:cs="Arial"/>
          <w:b/>
          <w:color w:val="000000" w:themeColor="text1"/>
          <w:sz w:val="22"/>
        </w:rPr>
        <w:t>–</w:t>
      </w:r>
      <w:r w:rsidRPr="005B7D35">
        <w:rPr>
          <w:rFonts w:ascii="Arial" w:hAnsi="Arial" w:cs="Arial"/>
          <w:b/>
          <w:color w:val="000000" w:themeColor="text1"/>
          <w:sz w:val="22"/>
          <w:lang w:val="es-CO"/>
        </w:rPr>
        <w:t xml:space="preserve"> Ejecución</w:t>
      </w:r>
      <w:r w:rsidR="00F86796" w:rsidRPr="005B7D35">
        <w:rPr>
          <w:rFonts w:ascii="Arial" w:hAnsi="Arial" w:cs="Arial"/>
          <w:b/>
          <w:color w:val="000000" w:themeColor="text1"/>
          <w:sz w:val="22"/>
          <w:lang w:val="es-CO"/>
        </w:rPr>
        <w:t xml:space="preserve"> del contrato</w:t>
      </w:r>
    </w:p>
    <w:p w14:paraId="4D006503" w14:textId="20D384B2" w:rsidR="00C50B96" w:rsidRPr="005B7D35" w:rsidRDefault="00C50B96" w:rsidP="00B64328">
      <w:pPr>
        <w:jc w:val="both"/>
        <w:rPr>
          <w:rFonts w:ascii="Arial" w:hAnsi="Arial" w:cs="Arial"/>
          <w:color w:val="000000" w:themeColor="text1"/>
          <w:sz w:val="20"/>
          <w:szCs w:val="20"/>
          <w:lang w:val="es-CO"/>
        </w:rPr>
      </w:pPr>
    </w:p>
    <w:p w14:paraId="3CCD47BD" w14:textId="77777777" w:rsidR="00C50B96" w:rsidRPr="005B7D35" w:rsidRDefault="00C50B96" w:rsidP="00B64328">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 xml:space="preserve">De la lectura integral del artículo 23 de la Ley 1150 de 2007 se concluye que, si bien los proponentes y los contratistas deben estar al día en el pago al Sistema de Seguridad Social, la verificación de este requisito, por parte de las entidades estatales, se realizará cuando realicen los pagos del contrato, es decir, durante la ejecución. </w:t>
      </w:r>
    </w:p>
    <w:p w14:paraId="6D965F27" w14:textId="73A2BEF5" w:rsidR="00C50B96" w:rsidRPr="005B7D35" w:rsidRDefault="00C50B96" w:rsidP="00B64328">
      <w:pPr>
        <w:jc w:val="both"/>
        <w:rPr>
          <w:rFonts w:ascii="Arial" w:hAnsi="Arial" w:cs="Arial"/>
          <w:color w:val="000000" w:themeColor="text1"/>
          <w:sz w:val="20"/>
          <w:szCs w:val="20"/>
          <w:lang w:val="es-CO"/>
        </w:rPr>
      </w:pPr>
    </w:p>
    <w:p w14:paraId="4584C380" w14:textId="31A17F50" w:rsidR="00C50B96" w:rsidRPr="005B7D35" w:rsidRDefault="00C50B96" w:rsidP="01105039">
      <w:pPr>
        <w:jc w:val="both"/>
        <w:rPr>
          <w:rFonts w:ascii="Arial" w:hAnsi="Arial" w:cs="Arial"/>
          <w:b/>
          <w:bCs/>
          <w:color w:val="000000" w:themeColor="text1"/>
          <w:sz w:val="22"/>
          <w:lang w:val="es-CO"/>
        </w:rPr>
      </w:pPr>
      <w:r w:rsidRPr="01105039">
        <w:rPr>
          <w:rFonts w:ascii="Arial" w:hAnsi="Arial" w:cs="Arial"/>
          <w:b/>
          <w:bCs/>
          <w:color w:val="000000" w:themeColor="text1"/>
          <w:sz w:val="22"/>
          <w:lang w:val="es-CO"/>
        </w:rPr>
        <w:t xml:space="preserve">APORTES AL SISTEMA DE SEGURIDAD SOCIAL </w:t>
      </w:r>
      <w:r w:rsidR="00B64328" w:rsidRPr="01105039">
        <w:rPr>
          <w:rFonts w:ascii="Arial" w:eastAsia="Calibri" w:hAnsi="Arial" w:cs="Arial"/>
          <w:b/>
          <w:bCs/>
          <w:color w:val="000000" w:themeColor="text1"/>
          <w:sz w:val="22"/>
        </w:rPr>
        <w:t>–</w:t>
      </w:r>
      <w:r w:rsidRPr="01105039">
        <w:rPr>
          <w:rFonts w:ascii="Arial" w:hAnsi="Arial" w:cs="Arial"/>
          <w:b/>
          <w:bCs/>
          <w:color w:val="000000" w:themeColor="text1"/>
          <w:sz w:val="22"/>
          <w:lang w:val="es-CO"/>
        </w:rPr>
        <w:t xml:space="preserve"> Obligación </w:t>
      </w:r>
      <w:r w:rsidR="00B64328" w:rsidRPr="01105039">
        <w:rPr>
          <w:rFonts w:ascii="Arial" w:eastAsia="Calibri" w:hAnsi="Arial" w:cs="Arial"/>
          <w:b/>
          <w:bCs/>
          <w:color w:val="000000" w:themeColor="text1"/>
          <w:sz w:val="22"/>
        </w:rPr>
        <w:t>–</w:t>
      </w:r>
      <w:r w:rsidRPr="01105039">
        <w:rPr>
          <w:rFonts w:ascii="Arial" w:hAnsi="Arial" w:cs="Arial"/>
          <w:b/>
          <w:bCs/>
          <w:color w:val="000000" w:themeColor="text1"/>
          <w:sz w:val="22"/>
          <w:lang w:val="es-CO"/>
        </w:rPr>
        <w:t xml:space="preserve"> Persona jurídica</w:t>
      </w:r>
    </w:p>
    <w:p w14:paraId="21CF05C9" w14:textId="77777777" w:rsidR="00C50B96" w:rsidRPr="005B7D35" w:rsidRDefault="00C50B96" w:rsidP="00B64328">
      <w:pPr>
        <w:jc w:val="both"/>
        <w:rPr>
          <w:rFonts w:ascii="Arial" w:hAnsi="Arial" w:cs="Arial"/>
          <w:color w:val="000000" w:themeColor="text1"/>
          <w:sz w:val="20"/>
          <w:szCs w:val="20"/>
          <w:lang w:val="es-CO"/>
        </w:rPr>
      </w:pPr>
    </w:p>
    <w:p w14:paraId="40026B4E" w14:textId="3B6EDAE2" w:rsidR="00C50B96" w:rsidRPr="005B7D35" w:rsidRDefault="00C50B96" w:rsidP="00B64328">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No obstante, el 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 oferta.</w:t>
      </w:r>
    </w:p>
    <w:p w14:paraId="1F4FE333" w14:textId="5A869D59" w:rsidR="00C50B96" w:rsidRPr="005B7D35" w:rsidRDefault="00C50B96" w:rsidP="00B64328">
      <w:pPr>
        <w:jc w:val="both"/>
        <w:rPr>
          <w:rFonts w:ascii="Arial" w:hAnsi="Arial" w:cs="Arial"/>
          <w:color w:val="000000" w:themeColor="text1"/>
          <w:sz w:val="20"/>
          <w:szCs w:val="20"/>
          <w:lang w:val="es-CO"/>
        </w:rPr>
      </w:pPr>
    </w:p>
    <w:p w14:paraId="794F40F6" w14:textId="579FD109" w:rsidR="00C50B96" w:rsidRPr="005B7D35" w:rsidRDefault="00867885" w:rsidP="00B64328">
      <w:pPr>
        <w:jc w:val="both"/>
        <w:rPr>
          <w:rFonts w:ascii="Arial" w:hAnsi="Arial" w:cs="Arial"/>
          <w:b/>
          <w:color w:val="000000" w:themeColor="text1"/>
          <w:sz w:val="22"/>
          <w:lang w:val="es-CO"/>
        </w:rPr>
      </w:pPr>
      <w:r w:rsidRPr="005B7D35">
        <w:rPr>
          <w:rFonts w:ascii="Arial" w:hAnsi="Arial" w:cs="Arial"/>
          <w:b/>
          <w:color w:val="000000" w:themeColor="text1"/>
          <w:sz w:val="22"/>
          <w:lang w:val="es-CO"/>
        </w:rPr>
        <w:t xml:space="preserve">APORTES AL SISTEMA DE SEGURIDAD SOCIAL </w:t>
      </w:r>
      <w:r w:rsidR="00B64328" w:rsidRPr="005B7D35">
        <w:rPr>
          <w:rFonts w:ascii="Arial" w:eastAsia="Calibri" w:hAnsi="Arial" w:cs="Arial"/>
          <w:b/>
          <w:color w:val="000000" w:themeColor="text1"/>
          <w:sz w:val="22"/>
        </w:rPr>
        <w:t>–</w:t>
      </w:r>
      <w:r w:rsidRPr="005B7D35">
        <w:rPr>
          <w:rFonts w:ascii="Arial" w:hAnsi="Arial" w:cs="Arial"/>
          <w:b/>
          <w:color w:val="000000" w:themeColor="text1"/>
          <w:sz w:val="22"/>
          <w:lang w:val="es-CO"/>
        </w:rPr>
        <w:t xml:space="preserve"> Verificación </w:t>
      </w:r>
    </w:p>
    <w:p w14:paraId="33281846" w14:textId="24380741" w:rsidR="00867885" w:rsidRPr="005B7D35" w:rsidRDefault="00867885" w:rsidP="00B64328">
      <w:pPr>
        <w:jc w:val="both"/>
        <w:rPr>
          <w:rFonts w:ascii="Arial" w:hAnsi="Arial" w:cs="Arial"/>
          <w:color w:val="000000" w:themeColor="text1"/>
          <w:sz w:val="20"/>
          <w:szCs w:val="20"/>
          <w:lang w:val="es-CO"/>
        </w:rPr>
      </w:pPr>
    </w:p>
    <w:p w14:paraId="491CC279" w14:textId="3E89E7B8" w:rsidR="00A45B87" w:rsidRPr="005B7D35" w:rsidRDefault="00867885" w:rsidP="00E11654">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En este sentido, la verificación del aporte al pago al sistema de seguridad social cambia dependiendo si se trata de una persona natural o una jurídica: i) si es persona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 facturas.</w:t>
      </w:r>
    </w:p>
    <w:p w14:paraId="63B27FD5" w14:textId="51DF0943" w:rsidR="006F0AB8" w:rsidRPr="007974BC" w:rsidRDefault="006F0AB8" w:rsidP="004C321E">
      <w:pPr>
        <w:autoSpaceDE w:val="0"/>
        <w:autoSpaceDN w:val="0"/>
        <w:adjustRightInd w:val="0"/>
        <w:rPr>
          <w:rFonts w:ascii="Arial" w:hAnsi="Arial" w:cs="Arial"/>
          <w:color w:val="000000" w:themeColor="text1"/>
          <w:sz w:val="20"/>
          <w:szCs w:val="20"/>
          <w:lang w:val="es-CO"/>
        </w:rPr>
      </w:pPr>
    </w:p>
    <w:p w14:paraId="747324FB" w14:textId="77777777" w:rsidR="006F0AB8" w:rsidRPr="007974BC" w:rsidRDefault="006F0AB8" w:rsidP="004C321E">
      <w:pPr>
        <w:autoSpaceDE w:val="0"/>
        <w:autoSpaceDN w:val="0"/>
        <w:adjustRightInd w:val="0"/>
        <w:rPr>
          <w:rFonts w:ascii="Arial" w:hAnsi="Arial" w:cs="Arial"/>
          <w:color w:val="000000" w:themeColor="text1"/>
          <w:sz w:val="20"/>
          <w:szCs w:val="20"/>
          <w:lang w:val="es-CO"/>
        </w:rPr>
      </w:pPr>
    </w:p>
    <w:p w14:paraId="065BBCAB" w14:textId="58F122A7" w:rsidR="004C321E" w:rsidRPr="007974BC" w:rsidRDefault="004C321E" w:rsidP="004C321E">
      <w:pPr>
        <w:autoSpaceDE w:val="0"/>
        <w:autoSpaceDN w:val="0"/>
        <w:adjustRightInd w:val="0"/>
        <w:rPr>
          <w:rFonts w:ascii="Arial" w:hAnsi="Arial" w:cs="Arial"/>
          <w:color w:val="000000" w:themeColor="text1"/>
          <w:sz w:val="22"/>
          <w:lang w:val="es-CO"/>
        </w:rPr>
      </w:pPr>
      <w:r w:rsidRPr="007974BC">
        <w:rPr>
          <w:rFonts w:ascii="Arial" w:hAnsi="Arial" w:cs="Arial"/>
          <w:color w:val="000000" w:themeColor="text1"/>
          <w:sz w:val="22"/>
          <w:lang w:val="es-CO"/>
        </w:rPr>
        <w:t xml:space="preserve">Bogotá D.C., </w:t>
      </w:r>
      <w:r w:rsidRPr="007974BC">
        <w:rPr>
          <w:rFonts w:ascii="Arial" w:hAnsi="Arial" w:cs="Arial"/>
          <w:b/>
          <w:bCs/>
          <w:color w:val="000000" w:themeColor="text1"/>
          <w:sz w:val="22"/>
          <w:lang w:val="es-CO"/>
        </w:rPr>
        <w:t xml:space="preserve">05/02/2020 Hora 18:0:20s </w:t>
      </w:r>
    </w:p>
    <w:p w14:paraId="1C57553C" w14:textId="35CB5721" w:rsidR="0078122E" w:rsidRPr="007974BC" w:rsidRDefault="004C321E" w:rsidP="004C321E">
      <w:pPr>
        <w:jc w:val="right"/>
        <w:rPr>
          <w:rFonts w:ascii="Arial" w:hAnsi="Arial" w:cs="Arial"/>
          <w:b/>
          <w:bCs/>
          <w:color w:val="000000" w:themeColor="text1"/>
          <w:sz w:val="22"/>
          <w:lang w:val="es-CO"/>
        </w:rPr>
      </w:pPr>
      <w:r w:rsidRPr="007974BC">
        <w:rPr>
          <w:rFonts w:ascii="Arial" w:hAnsi="Arial" w:cs="Arial"/>
          <w:b/>
          <w:bCs/>
          <w:color w:val="000000" w:themeColor="text1"/>
          <w:sz w:val="22"/>
          <w:lang w:val="es-CO"/>
        </w:rPr>
        <w:t>N° Radicado: 2202013000000723</w:t>
      </w:r>
    </w:p>
    <w:p w14:paraId="6119A54E" w14:textId="13F395E3" w:rsidR="0078122E" w:rsidRPr="005B7D35" w:rsidRDefault="0078122E" w:rsidP="0078122E">
      <w:pPr>
        <w:rPr>
          <w:rFonts w:ascii="Arial" w:eastAsia="Calibri" w:hAnsi="Arial" w:cs="Arial"/>
          <w:color w:val="000000" w:themeColor="text1"/>
          <w:sz w:val="20"/>
          <w:szCs w:val="20"/>
        </w:rPr>
      </w:pPr>
      <w:r w:rsidRPr="005B7D35">
        <w:rPr>
          <w:rFonts w:ascii="Arial" w:eastAsia="Calibri" w:hAnsi="Arial" w:cs="Arial"/>
          <w:color w:val="000000" w:themeColor="text1"/>
          <w:sz w:val="20"/>
          <w:szCs w:val="20"/>
        </w:rPr>
        <w:t xml:space="preserve">Señor </w:t>
      </w:r>
    </w:p>
    <w:p w14:paraId="18295DF8" w14:textId="551D4636" w:rsidR="00515B32" w:rsidRPr="005B7D35" w:rsidRDefault="00575013" w:rsidP="0078122E">
      <w:pPr>
        <w:rPr>
          <w:rFonts w:ascii="Arial" w:eastAsia="Calibri" w:hAnsi="Arial" w:cs="Arial"/>
          <w:b/>
          <w:color w:val="000000" w:themeColor="text1"/>
          <w:sz w:val="20"/>
          <w:szCs w:val="20"/>
        </w:rPr>
      </w:pPr>
      <w:r w:rsidRPr="005B7D35">
        <w:rPr>
          <w:rFonts w:ascii="Arial" w:eastAsia="Calibri" w:hAnsi="Arial" w:cs="Arial"/>
          <w:b/>
          <w:color w:val="000000" w:themeColor="text1"/>
          <w:sz w:val="20"/>
          <w:szCs w:val="20"/>
        </w:rPr>
        <w:t>María Clara Potes</w:t>
      </w:r>
    </w:p>
    <w:p w14:paraId="5FB4F046" w14:textId="2C90E901" w:rsidR="0078122E" w:rsidRPr="005B7D35" w:rsidRDefault="00575013" w:rsidP="0078122E">
      <w:pPr>
        <w:rPr>
          <w:rFonts w:ascii="Arial" w:eastAsia="Calibri" w:hAnsi="Arial" w:cs="Arial"/>
          <w:color w:val="000000" w:themeColor="text1"/>
          <w:sz w:val="20"/>
          <w:szCs w:val="20"/>
        </w:rPr>
      </w:pPr>
      <w:r w:rsidRPr="005B7D35">
        <w:rPr>
          <w:rFonts w:ascii="Arial" w:eastAsia="Calibri" w:hAnsi="Arial" w:cs="Arial"/>
          <w:color w:val="000000" w:themeColor="text1"/>
          <w:sz w:val="20"/>
          <w:szCs w:val="20"/>
        </w:rPr>
        <w:t>Villmaría</w:t>
      </w:r>
    </w:p>
    <w:p w14:paraId="738CBD52" w14:textId="60CF59D5" w:rsidR="007B0854" w:rsidRPr="005B7D35" w:rsidRDefault="007B0854" w:rsidP="005B6FB7">
      <w:pPr>
        <w:jc w:val="center"/>
        <w:rPr>
          <w:rFonts w:ascii="Arial" w:eastAsia="Calibri" w:hAnsi="Arial" w:cs="Arial"/>
          <w:b/>
          <w:color w:val="000000" w:themeColor="text1"/>
          <w:sz w:val="20"/>
          <w:szCs w:val="20"/>
        </w:rPr>
      </w:pPr>
      <w:bookmarkStart w:id="2" w:name="_Hlk29890381"/>
      <w:r w:rsidRPr="005B7D35">
        <w:rPr>
          <w:rFonts w:ascii="Arial" w:eastAsia="Calibri" w:hAnsi="Arial" w:cs="Arial"/>
          <w:b/>
          <w:color w:val="000000" w:themeColor="text1"/>
          <w:sz w:val="20"/>
          <w:szCs w:val="20"/>
        </w:rPr>
        <w:lastRenderedPageBreak/>
        <w:t>Concepto C ─ 0</w:t>
      </w:r>
      <w:r w:rsidR="00867885" w:rsidRPr="005B7D35">
        <w:rPr>
          <w:rFonts w:ascii="Arial" w:eastAsia="Calibri" w:hAnsi="Arial" w:cs="Arial"/>
          <w:b/>
          <w:color w:val="000000" w:themeColor="text1"/>
          <w:sz w:val="20"/>
          <w:szCs w:val="20"/>
        </w:rPr>
        <w:t>4</w:t>
      </w:r>
      <w:r w:rsidR="000D2F5F" w:rsidRPr="005B7D35">
        <w:rPr>
          <w:rFonts w:ascii="Arial" w:eastAsia="Calibri" w:hAnsi="Arial" w:cs="Arial"/>
          <w:b/>
          <w:color w:val="000000" w:themeColor="text1"/>
          <w:sz w:val="20"/>
          <w:szCs w:val="20"/>
        </w:rPr>
        <w:t>0</w:t>
      </w:r>
      <w:r w:rsidRPr="005B7D35">
        <w:rPr>
          <w:rFonts w:ascii="Arial" w:eastAsia="Calibri" w:hAnsi="Arial" w:cs="Arial"/>
          <w:b/>
          <w:color w:val="000000" w:themeColor="text1"/>
          <w:sz w:val="20"/>
          <w:szCs w:val="20"/>
        </w:rPr>
        <w:t xml:space="preserve"> de 2020</w:t>
      </w:r>
    </w:p>
    <w:p w14:paraId="7947F6BC" w14:textId="77777777" w:rsidR="007B0854" w:rsidRPr="005B7D35" w:rsidRDefault="007B0854" w:rsidP="007B0854">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807"/>
      </w:tblGrid>
      <w:tr w:rsidR="005B7D35" w:rsidRPr="005B7D35" w14:paraId="0292AC9D" w14:textId="77777777" w:rsidTr="00B608B9">
        <w:tc>
          <w:tcPr>
            <w:tcW w:w="3119" w:type="dxa"/>
            <w:hideMark/>
          </w:tcPr>
          <w:p w14:paraId="58D1858D" w14:textId="77777777" w:rsidR="007B0854" w:rsidRPr="005B7D35" w:rsidRDefault="007B0854" w:rsidP="00C21AB6">
            <w:pPr>
              <w:rPr>
                <w:rFonts w:ascii="Arial" w:eastAsia="Calibri" w:hAnsi="Arial" w:cs="Arial"/>
                <w:color w:val="000000" w:themeColor="text1"/>
                <w:sz w:val="22"/>
              </w:rPr>
            </w:pPr>
            <w:r w:rsidRPr="005B7D35">
              <w:rPr>
                <w:rFonts w:ascii="Arial" w:eastAsia="Calibri" w:hAnsi="Arial" w:cs="Arial"/>
                <w:b/>
                <w:color w:val="000000" w:themeColor="text1"/>
                <w:sz w:val="22"/>
              </w:rPr>
              <w:t>Temas:</w:t>
            </w:r>
            <w:r w:rsidRPr="005B7D35">
              <w:rPr>
                <w:rFonts w:ascii="Arial" w:eastAsia="Calibri" w:hAnsi="Arial" w:cs="Arial"/>
                <w:color w:val="000000" w:themeColor="text1"/>
                <w:sz w:val="22"/>
              </w:rPr>
              <w:t xml:space="preserve">           </w:t>
            </w:r>
          </w:p>
          <w:p w14:paraId="78FD6AC7" w14:textId="77777777" w:rsidR="007B0854" w:rsidRPr="005B7D35" w:rsidRDefault="007B0854" w:rsidP="00C21AB6">
            <w:pPr>
              <w:rPr>
                <w:rFonts w:ascii="Arial" w:eastAsia="Calibri" w:hAnsi="Arial" w:cs="Arial"/>
                <w:color w:val="000000" w:themeColor="text1"/>
                <w:sz w:val="22"/>
              </w:rPr>
            </w:pPr>
            <w:r w:rsidRPr="005B7D35">
              <w:rPr>
                <w:rFonts w:ascii="Arial" w:eastAsia="Calibri" w:hAnsi="Arial" w:cs="Arial"/>
                <w:color w:val="000000" w:themeColor="text1"/>
                <w:sz w:val="22"/>
              </w:rPr>
              <w:t xml:space="preserve">                           </w:t>
            </w:r>
          </w:p>
        </w:tc>
        <w:tc>
          <w:tcPr>
            <w:tcW w:w="5807" w:type="dxa"/>
            <w:hideMark/>
          </w:tcPr>
          <w:p w14:paraId="7EBDA200" w14:textId="77777777" w:rsidR="00867885" w:rsidRPr="005B7D35" w:rsidRDefault="00867885" w:rsidP="00867885">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 xml:space="preserve">CONTRATO ESTATAL ― Perfeccionamiento </w:t>
            </w:r>
          </w:p>
          <w:p w14:paraId="4BFCE345" w14:textId="77777777" w:rsidR="00867885" w:rsidRPr="005B7D35" w:rsidRDefault="00867885" w:rsidP="00867885">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APORTES AL SISTEMA DE SEGURIDAD SOCIAL ― Obligación ― Contratistas</w:t>
            </w:r>
          </w:p>
          <w:p w14:paraId="3FA79EEA" w14:textId="5DD58E8C" w:rsidR="00867885" w:rsidRPr="005B7D35" w:rsidRDefault="00867885" w:rsidP="00867885">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APORTES AL SISTEMA DE SEGURIDAD SOCIAL ― Obligación ― Ejecución</w:t>
            </w:r>
            <w:r w:rsidR="00F86796" w:rsidRPr="005B7D35">
              <w:rPr>
                <w:rFonts w:ascii="Arial" w:hAnsi="Arial" w:cs="Arial"/>
                <w:color w:val="000000" w:themeColor="text1"/>
                <w:sz w:val="20"/>
                <w:szCs w:val="20"/>
                <w:lang w:val="es-CO"/>
              </w:rPr>
              <w:t xml:space="preserve"> del contrato</w:t>
            </w:r>
          </w:p>
          <w:p w14:paraId="1C88507A" w14:textId="77777777" w:rsidR="00867885" w:rsidRPr="005B7D35" w:rsidRDefault="00867885" w:rsidP="00867885">
            <w:pPr>
              <w:rPr>
                <w:color w:val="000000" w:themeColor="text1"/>
              </w:rPr>
            </w:pPr>
            <w:r w:rsidRPr="005B7D35">
              <w:rPr>
                <w:rFonts w:ascii="Arial" w:hAnsi="Arial" w:cs="Arial"/>
                <w:color w:val="000000" w:themeColor="text1"/>
                <w:sz w:val="20"/>
                <w:szCs w:val="20"/>
                <w:lang w:val="es-CO"/>
              </w:rPr>
              <w:t>APORTES AL SISTEMA DE SEGURIDAD SOCIAL ― Obligación ― Personas jurídicas</w:t>
            </w:r>
          </w:p>
          <w:p w14:paraId="34840727" w14:textId="77777777" w:rsidR="00867885" w:rsidRPr="005B7D35" w:rsidRDefault="00867885" w:rsidP="00867885">
            <w:pPr>
              <w:jc w:val="both"/>
              <w:rPr>
                <w:rFonts w:ascii="Arial" w:hAnsi="Arial" w:cs="Arial"/>
                <w:color w:val="000000" w:themeColor="text1"/>
                <w:sz w:val="20"/>
                <w:szCs w:val="20"/>
                <w:lang w:val="es-CO"/>
              </w:rPr>
            </w:pPr>
            <w:r w:rsidRPr="005B7D35">
              <w:rPr>
                <w:rFonts w:ascii="Arial" w:hAnsi="Arial" w:cs="Arial"/>
                <w:color w:val="000000" w:themeColor="text1"/>
                <w:sz w:val="20"/>
                <w:szCs w:val="20"/>
                <w:lang w:val="es-CO"/>
              </w:rPr>
              <w:t xml:space="preserve">APORTES AL SISTEMA DE SEGURIDAD SOCIAL ― Verificación </w:t>
            </w:r>
          </w:p>
          <w:p w14:paraId="2CF65E76" w14:textId="279448E8" w:rsidR="007B0854" w:rsidRPr="005B7D35" w:rsidRDefault="007B0854" w:rsidP="000D2F5F">
            <w:pPr>
              <w:jc w:val="both"/>
              <w:rPr>
                <w:rFonts w:ascii="Arial" w:eastAsia="Calibri" w:hAnsi="Arial" w:cs="Arial"/>
                <w:color w:val="000000" w:themeColor="text1"/>
                <w:sz w:val="22"/>
              </w:rPr>
            </w:pPr>
          </w:p>
        </w:tc>
      </w:tr>
      <w:tr w:rsidR="007B0854" w:rsidRPr="005B7D35" w14:paraId="1A5E5E77" w14:textId="77777777" w:rsidTr="00B608B9">
        <w:tc>
          <w:tcPr>
            <w:tcW w:w="3119" w:type="dxa"/>
          </w:tcPr>
          <w:p w14:paraId="4FF4AB0C" w14:textId="77777777" w:rsidR="007B0854" w:rsidRPr="005B7D35" w:rsidRDefault="007B0854" w:rsidP="00C21AB6">
            <w:pPr>
              <w:rPr>
                <w:rFonts w:ascii="Arial" w:eastAsia="Calibri" w:hAnsi="Arial" w:cs="Arial"/>
                <w:b/>
                <w:color w:val="000000" w:themeColor="text1"/>
                <w:sz w:val="22"/>
              </w:rPr>
            </w:pPr>
            <w:r w:rsidRPr="005B7D35">
              <w:rPr>
                <w:rFonts w:ascii="Arial" w:eastAsia="Calibri" w:hAnsi="Arial" w:cs="Arial"/>
                <w:b/>
                <w:color w:val="000000" w:themeColor="text1"/>
                <w:sz w:val="22"/>
              </w:rPr>
              <w:t>Radicación:</w:t>
            </w:r>
            <w:r w:rsidRPr="005B7D35">
              <w:rPr>
                <w:rFonts w:ascii="Arial" w:eastAsia="Calibri" w:hAnsi="Arial" w:cs="Arial"/>
                <w:color w:val="000000" w:themeColor="text1"/>
                <w:sz w:val="22"/>
              </w:rPr>
              <w:t xml:space="preserve">                              </w:t>
            </w:r>
          </w:p>
        </w:tc>
        <w:tc>
          <w:tcPr>
            <w:tcW w:w="5807" w:type="dxa"/>
          </w:tcPr>
          <w:p w14:paraId="7852C50C" w14:textId="4A46067A" w:rsidR="006A50AF" w:rsidRPr="005B7D35" w:rsidRDefault="007B0854" w:rsidP="00B608B9">
            <w:pPr>
              <w:jc w:val="both"/>
              <w:rPr>
                <w:rFonts w:ascii="Arial" w:eastAsia="Calibri" w:hAnsi="Arial" w:cs="Arial"/>
                <w:color w:val="000000" w:themeColor="text1"/>
                <w:sz w:val="22"/>
              </w:rPr>
            </w:pPr>
            <w:r w:rsidRPr="005B7D35">
              <w:rPr>
                <w:rFonts w:ascii="Arial" w:eastAsia="Calibri" w:hAnsi="Arial" w:cs="Arial"/>
                <w:color w:val="000000" w:themeColor="text1"/>
                <w:sz w:val="22"/>
              </w:rPr>
              <w:t>Respuesta a consulta #</w:t>
            </w:r>
            <w:r w:rsidR="00CD5152" w:rsidRPr="005B7D35">
              <w:rPr>
                <w:rFonts w:ascii="Arial" w:eastAsia="Calibri" w:hAnsi="Arial" w:cs="Arial"/>
                <w:color w:val="000000" w:themeColor="text1"/>
                <w:sz w:val="22"/>
              </w:rPr>
              <w:t>420201</w:t>
            </w:r>
            <w:r w:rsidR="00575013" w:rsidRPr="005B7D35">
              <w:rPr>
                <w:rFonts w:ascii="Arial" w:eastAsia="Calibri" w:hAnsi="Arial" w:cs="Arial"/>
                <w:color w:val="000000" w:themeColor="text1"/>
                <w:sz w:val="22"/>
              </w:rPr>
              <w:t>2</w:t>
            </w:r>
            <w:r w:rsidR="00CD5152" w:rsidRPr="005B7D35">
              <w:rPr>
                <w:rFonts w:ascii="Arial" w:eastAsia="Calibri" w:hAnsi="Arial" w:cs="Arial"/>
                <w:color w:val="000000" w:themeColor="text1"/>
                <w:sz w:val="22"/>
              </w:rPr>
              <w:t>000000</w:t>
            </w:r>
            <w:r w:rsidR="00575013" w:rsidRPr="005B7D35">
              <w:rPr>
                <w:rFonts w:ascii="Arial" w:eastAsia="Calibri" w:hAnsi="Arial" w:cs="Arial"/>
                <w:color w:val="000000" w:themeColor="text1"/>
                <w:sz w:val="22"/>
              </w:rPr>
              <w:t>13</w:t>
            </w:r>
            <w:r w:rsidR="007C4F42" w:rsidRPr="005B7D35">
              <w:rPr>
                <w:rFonts w:ascii="Arial" w:eastAsia="Calibri" w:hAnsi="Arial" w:cs="Arial"/>
                <w:color w:val="000000" w:themeColor="text1"/>
                <w:sz w:val="22"/>
              </w:rPr>
              <w:t>7</w:t>
            </w:r>
            <w:r w:rsidR="00CD5152" w:rsidRPr="005B7D35">
              <w:rPr>
                <w:rFonts w:ascii="Arial" w:eastAsia="Calibri" w:hAnsi="Arial" w:cs="Arial"/>
                <w:color w:val="000000" w:themeColor="text1"/>
                <w:sz w:val="22"/>
              </w:rPr>
              <w:t xml:space="preserve"> </w:t>
            </w:r>
          </w:p>
        </w:tc>
      </w:tr>
    </w:tbl>
    <w:p w14:paraId="315AAD82" w14:textId="58159067" w:rsidR="007B0854" w:rsidRPr="005B7D35" w:rsidRDefault="007B0854" w:rsidP="007B0854">
      <w:pPr>
        <w:jc w:val="both"/>
        <w:rPr>
          <w:rFonts w:ascii="Arial" w:eastAsia="Calibri" w:hAnsi="Arial" w:cs="Arial"/>
          <w:color w:val="000000" w:themeColor="text1"/>
          <w:sz w:val="22"/>
        </w:rPr>
      </w:pPr>
    </w:p>
    <w:p w14:paraId="7EBF297E" w14:textId="77777777" w:rsidR="007B0854" w:rsidRPr="005B7D35" w:rsidRDefault="007B0854" w:rsidP="007B0854">
      <w:pPr>
        <w:rPr>
          <w:rFonts w:ascii="Arial" w:eastAsia="Calibri" w:hAnsi="Arial" w:cs="Arial"/>
          <w:color w:val="000000" w:themeColor="text1"/>
          <w:sz w:val="22"/>
        </w:rPr>
      </w:pPr>
    </w:p>
    <w:p w14:paraId="06A7BBBE" w14:textId="5322CA26" w:rsidR="007B0854" w:rsidRPr="005B7D35" w:rsidRDefault="007B0854" w:rsidP="007B0854">
      <w:pPr>
        <w:rPr>
          <w:rFonts w:ascii="Arial" w:eastAsia="Calibri" w:hAnsi="Arial" w:cs="Arial"/>
          <w:color w:val="000000" w:themeColor="text1"/>
          <w:sz w:val="22"/>
        </w:rPr>
      </w:pPr>
      <w:r w:rsidRPr="005B7D35">
        <w:rPr>
          <w:rFonts w:ascii="Arial" w:eastAsia="Calibri" w:hAnsi="Arial" w:cs="Arial"/>
          <w:color w:val="000000" w:themeColor="text1"/>
          <w:sz w:val="22"/>
        </w:rPr>
        <w:t>Estimad</w:t>
      </w:r>
      <w:r w:rsidR="00575013" w:rsidRPr="005B7D35">
        <w:rPr>
          <w:rFonts w:ascii="Arial" w:eastAsia="Calibri" w:hAnsi="Arial" w:cs="Arial"/>
          <w:color w:val="000000" w:themeColor="text1"/>
          <w:sz w:val="22"/>
        </w:rPr>
        <w:t>a</w:t>
      </w:r>
      <w:r w:rsidR="00515B32" w:rsidRPr="005B7D35">
        <w:rPr>
          <w:rFonts w:ascii="Arial" w:eastAsia="Calibri" w:hAnsi="Arial" w:cs="Arial"/>
          <w:color w:val="000000" w:themeColor="text1"/>
          <w:sz w:val="22"/>
        </w:rPr>
        <w:t xml:space="preserve"> </w:t>
      </w:r>
      <w:r w:rsidRPr="005B7D35">
        <w:rPr>
          <w:rFonts w:ascii="Arial" w:eastAsia="Calibri" w:hAnsi="Arial" w:cs="Arial"/>
          <w:color w:val="000000" w:themeColor="text1"/>
          <w:sz w:val="22"/>
        </w:rPr>
        <w:t>señor</w:t>
      </w:r>
      <w:r w:rsidR="00575013" w:rsidRPr="005B7D35">
        <w:rPr>
          <w:rFonts w:ascii="Arial" w:eastAsia="Calibri" w:hAnsi="Arial" w:cs="Arial"/>
          <w:color w:val="000000" w:themeColor="text1"/>
          <w:sz w:val="22"/>
        </w:rPr>
        <w:t>a</w:t>
      </w:r>
      <w:r w:rsidR="000172E5" w:rsidRPr="005B7D35">
        <w:rPr>
          <w:rFonts w:ascii="Arial" w:eastAsia="Calibri" w:hAnsi="Arial" w:cs="Arial"/>
          <w:color w:val="000000" w:themeColor="text1"/>
          <w:sz w:val="22"/>
        </w:rPr>
        <w:t xml:space="preserve"> </w:t>
      </w:r>
      <w:r w:rsidR="00575013" w:rsidRPr="005B7D35">
        <w:rPr>
          <w:rFonts w:ascii="Arial" w:eastAsia="Calibri" w:hAnsi="Arial" w:cs="Arial"/>
          <w:color w:val="000000" w:themeColor="text1"/>
          <w:sz w:val="22"/>
        </w:rPr>
        <w:t>Potes</w:t>
      </w:r>
      <w:r w:rsidR="000172E5" w:rsidRPr="005B7D35">
        <w:rPr>
          <w:rFonts w:ascii="Arial" w:eastAsia="Calibri" w:hAnsi="Arial" w:cs="Arial"/>
          <w:color w:val="000000" w:themeColor="text1"/>
          <w:sz w:val="22"/>
        </w:rPr>
        <w:t>,</w:t>
      </w:r>
    </w:p>
    <w:p w14:paraId="6BDA09F7" w14:textId="77777777" w:rsidR="007B0854" w:rsidRPr="005B7D35" w:rsidRDefault="007B0854" w:rsidP="007B0854">
      <w:pPr>
        <w:rPr>
          <w:rFonts w:ascii="Arial" w:eastAsia="Calibri" w:hAnsi="Arial" w:cs="Arial"/>
          <w:color w:val="000000" w:themeColor="text1"/>
          <w:sz w:val="22"/>
        </w:rPr>
      </w:pPr>
    </w:p>
    <w:p w14:paraId="26BD2D70" w14:textId="251912BD" w:rsidR="007B0854" w:rsidRPr="005B7D35" w:rsidRDefault="007B0854" w:rsidP="007B0854">
      <w:pPr>
        <w:spacing w:line="276" w:lineRule="auto"/>
        <w:jc w:val="both"/>
        <w:rPr>
          <w:rFonts w:ascii="Arial" w:eastAsia="Calibri" w:hAnsi="Arial" w:cs="Arial"/>
          <w:color w:val="000000" w:themeColor="text1"/>
          <w:sz w:val="22"/>
        </w:rPr>
      </w:pPr>
      <w:r w:rsidRPr="005B7D35">
        <w:rPr>
          <w:rFonts w:ascii="Arial" w:eastAsia="Calibri" w:hAnsi="Arial" w:cs="Arial"/>
          <w:color w:val="000000" w:themeColor="text1"/>
          <w:sz w:val="22"/>
        </w:rPr>
        <w:t>La Agencia Nacional de Contratación Pública ―Colombia Compra Eficiente― responde su consult</w:t>
      </w:r>
      <w:r w:rsidR="00575013" w:rsidRPr="005B7D35">
        <w:rPr>
          <w:rFonts w:ascii="Arial" w:eastAsia="Calibri" w:hAnsi="Arial" w:cs="Arial"/>
          <w:color w:val="000000" w:themeColor="text1"/>
          <w:sz w:val="22"/>
        </w:rPr>
        <w:t>a</w:t>
      </w:r>
      <w:r w:rsidRPr="005B7D35">
        <w:rPr>
          <w:rFonts w:ascii="Arial" w:eastAsia="Calibri" w:hAnsi="Arial" w:cs="Arial"/>
          <w:color w:val="000000" w:themeColor="text1"/>
          <w:sz w:val="22"/>
        </w:rPr>
        <w:t xml:space="preserve"> del </w:t>
      </w:r>
      <w:r w:rsidR="00575013" w:rsidRPr="005B7D35">
        <w:rPr>
          <w:rFonts w:ascii="Arial" w:eastAsia="Calibri" w:hAnsi="Arial" w:cs="Arial"/>
          <w:color w:val="000000" w:themeColor="text1"/>
          <w:sz w:val="22"/>
        </w:rPr>
        <w:t>10 de enero</w:t>
      </w:r>
      <w:r w:rsidRPr="005B7D35">
        <w:rPr>
          <w:rFonts w:ascii="Arial" w:eastAsia="Calibri" w:hAnsi="Arial" w:cs="Arial"/>
          <w:color w:val="000000" w:themeColor="text1"/>
          <w:sz w:val="22"/>
        </w:rPr>
        <w:t xml:space="preserve"> de 20</w:t>
      </w:r>
      <w:r w:rsidR="00575013" w:rsidRPr="005B7D35">
        <w:rPr>
          <w:rFonts w:ascii="Arial" w:eastAsia="Calibri" w:hAnsi="Arial" w:cs="Arial"/>
          <w:color w:val="000000" w:themeColor="text1"/>
          <w:sz w:val="22"/>
        </w:rPr>
        <w:t>20</w:t>
      </w:r>
      <w:r w:rsidRPr="005B7D35">
        <w:rPr>
          <w:rFonts w:ascii="Arial" w:eastAsia="Calibri" w:hAnsi="Arial" w:cs="Arial"/>
          <w:color w:val="000000" w:themeColor="text1"/>
          <w:sz w:val="22"/>
        </w:rPr>
        <w:t xml:space="preserve">, en ejercicio de la competencia otorgada por el numeral 8 del artículo 11 y el numeral 5 del artículo 3 del Decreto Ley 4170 de 2011. </w:t>
      </w:r>
    </w:p>
    <w:bookmarkEnd w:id="2"/>
    <w:p w14:paraId="4284D9F5" w14:textId="77777777" w:rsidR="007B0854" w:rsidRPr="005B7D35" w:rsidRDefault="007B0854" w:rsidP="007B0854">
      <w:pPr>
        <w:spacing w:line="276" w:lineRule="auto"/>
        <w:jc w:val="both"/>
        <w:rPr>
          <w:rFonts w:ascii="Arial" w:eastAsia="Calibri" w:hAnsi="Arial" w:cs="Arial"/>
          <w:color w:val="000000" w:themeColor="text1"/>
          <w:sz w:val="22"/>
        </w:rPr>
      </w:pPr>
    </w:p>
    <w:p w14:paraId="7DAA75A6" w14:textId="740FDDEE" w:rsidR="007B0854" w:rsidRPr="005B7D35" w:rsidRDefault="007B0854" w:rsidP="007B0854">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5B7D35">
        <w:rPr>
          <w:rFonts w:ascii="Arial" w:eastAsia="Calibri" w:hAnsi="Arial" w:cs="Arial"/>
          <w:b/>
          <w:color w:val="000000" w:themeColor="text1"/>
          <w:sz w:val="22"/>
        </w:rPr>
        <w:t xml:space="preserve">Problema planteado </w:t>
      </w:r>
    </w:p>
    <w:p w14:paraId="0F7065DB" w14:textId="77777777" w:rsidR="007B0854" w:rsidRPr="005B7D35" w:rsidRDefault="007B0854" w:rsidP="007B0854">
      <w:pPr>
        <w:tabs>
          <w:tab w:val="left" w:pos="426"/>
        </w:tabs>
        <w:spacing w:line="276" w:lineRule="auto"/>
        <w:jc w:val="both"/>
        <w:rPr>
          <w:rFonts w:ascii="Arial" w:eastAsia="Calibri" w:hAnsi="Arial" w:cs="Arial"/>
          <w:b/>
          <w:color w:val="000000" w:themeColor="text1"/>
          <w:sz w:val="22"/>
        </w:rPr>
      </w:pPr>
    </w:p>
    <w:p w14:paraId="123BA20B" w14:textId="7A551832" w:rsidR="007C4F42" w:rsidRPr="005B7D35" w:rsidRDefault="007B0854" w:rsidP="007B0854">
      <w:pPr>
        <w:tabs>
          <w:tab w:val="left" w:pos="426"/>
        </w:tabs>
        <w:spacing w:line="276" w:lineRule="auto"/>
        <w:jc w:val="both"/>
        <w:rPr>
          <w:rFonts w:ascii="Arial" w:eastAsia="Calibri" w:hAnsi="Arial" w:cs="Arial"/>
          <w:color w:val="000000" w:themeColor="text1"/>
          <w:sz w:val="22"/>
        </w:rPr>
      </w:pPr>
      <w:r w:rsidRPr="005B7D35">
        <w:rPr>
          <w:rFonts w:ascii="Arial" w:eastAsia="Calibri" w:hAnsi="Arial" w:cs="Arial"/>
          <w:color w:val="000000" w:themeColor="text1"/>
          <w:sz w:val="22"/>
        </w:rPr>
        <w:t xml:space="preserve">Usted realiza la siguiente </w:t>
      </w:r>
      <w:r w:rsidR="000172E5" w:rsidRPr="005B7D35">
        <w:rPr>
          <w:rFonts w:ascii="Arial" w:eastAsia="Calibri" w:hAnsi="Arial" w:cs="Arial"/>
          <w:color w:val="000000" w:themeColor="text1"/>
          <w:sz w:val="22"/>
        </w:rPr>
        <w:t>consulta</w:t>
      </w:r>
      <w:r w:rsidRPr="005B7D35">
        <w:rPr>
          <w:rFonts w:ascii="Arial" w:eastAsia="Calibri" w:hAnsi="Arial" w:cs="Arial"/>
          <w:color w:val="000000" w:themeColor="text1"/>
          <w:sz w:val="22"/>
        </w:rPr>
        <w:t xml:space="preserve">: </w:t>
      </w:r>
      <w:r w:rsidR="000172E5" w:rsidRPr="005B7D35">
        <w:rPr>
          <w:rFonts w:ascii="Arial" w:eastAsia="Calibri" w:hAnsi="Arial" w:cs="Arial"/>
          <w:color w:val="000000" w:themeColor="text1"/>
          <w:sz w:val="22"/>
        </w:rPr>
        <w:t>«</w:t>
      </w:r>
      <w:r w:rsidR="007C4F42" w:rsidRPr="005B7D35">
        <w:rPr>
          <w:rFonts w:ascii="Arial" w:eastAsia="Calibri" w:hAnsi="Arial" w:cs="Arial"/>
          <w:color w:val="000000" w:themeColor="text1"/>
          <w:sz w:val="22"/>
        </w:rPr>
        <w:t xml:space="preserve">Quisiera saber si para presentar una licitación pública, es obligatorio estar cotizando al sistema de seguridad social como independiente, así en el momento de presentar la licitación, la persona no tenga trabajo ni ningún contrato vigente. Esta pregunta se hace, porque la mayoría de las entidades están solicitando las planillas de pago de seguridad social como independientes. ¿Entonces si una persona está sin contratos y sin trabajo, está obligado a cotizar solo para poder presentar licitaciones?». </w:t>
      </w:r>
    </w:p>
    <w:p w14:paraId="474AAB5E" w14:textId="77777777" w:rsidR="007C4F42" w:rsidRPr="005B7D35" w:rsidRDefault="007C4F42" w:rsidP="007B0854">
      <w:pPr>
        <w:tabs>
          <w:tab w:val="left" w:pos="426"/>
        </w:tabs>
        <w:spacing w:line="276" w:lineRule="auto"/>
        <w:jc w:val="both"/>
        <w:rPr>
          <w:rFonts w:ascii="Arial" w:eastAsia="Calibri" w:hAnsi="Arial" w:cs="Arial"/>
          <w:color w:val="000000" w:themeColor="text1"/>
          <w:sz w:val="22"/>
        </w:rPr>
      </w:pPr>
    </w:p>
    <w:p w14:paraId="134348CB" w14:textId="77777777" w:rsidR="007B0854" w:rsidRPr="005B7D35" w:rsidRDefault="007B0854" w:rsidP="007B0854">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5B7D35">
        <w:rPr>
          <w:rFonts w:ascii="Arial" w:eastAsia="Calibri" w:hAnsi="Arial" w:cs="Arial"/>
          <w:b/>
          <w:color w:val="000000" w:themeColor="text1"/>
          <w:sz w:val="22"/>
        </w:rPr>
        <w:t>Consideraciones</w:t>
      </w:r>
    </w:p>
    <w:p w14:paraId="174C5370" w14:textId="7015C6C2" w:rsidR="007B0854" w:rsidRPr="005B7D35" w:rsidRDefault="007B0854" w:rsidP="007B0854">
      <w:pPr>
        <w:spacing w:line="276" w:lineRule="auto"/>
        <w:jc w:val="both"/>
        <w:rPr>
          <w:rFonts w:ascii="Arial" w:eastAsia="Calibri" w:hAnsi="Arial" w:cs="Arial"/>
          <w:b/>
          <w:color w:val="000000" w:themeColor="text1"/>
          <w:sz w:val="22"/>
        </w:rPr>
      </w:pPr>
    </w:p>
    <w:p w14:paraId="0E76F631" w14:textId="1B626895" w:rsidR="00A45B87" w:rsidRPr="005B7D35" w:rsidRDefault="00A45B87" w:rsidP="007B0854">
      <w:pPr>
        <w:spacing w:line="276" w:lineRule="auto"/>
        <w:jc w:val="both"/>
        <w:rPr>
          <w:rFonts w:ascii="Arial" w:eastAsia="Calibri" w:hAnsi="Arial" w:cs="Arial"/>
          <w:b/>
          <w:color w:val="000000" w:themeColor="text1"/>
          <w:sz w:val="22"/>
        </w:rPr>
      </w:pPr>
      <w:bookmarkStart w:id="3" w:name="_Hlk31817327"/>
      <w:r w:rsidRPr="005B7D35">
        <w:rPr>
          <w:rFonts w:ascii="Arial" w:eastAsia="Calibri" w:hAnsi="Arial" w:cs="Arial"/>
          <w:b/>
          <w:color w:val="000000" w:themeColor="text1"/>
          <w:sz w:val="22"/>
        </w:rPr>
        <w:t xml:space="preserve">2.1. Verificación por parte de las entidades estatales del pago al Sistema de Seguridad Social Integral </w:t>
      </w:r>
    </w:p>
    <w:p w14:paraId="2952EFE7" w14:textId="77777777" w:rsidR="00A45B87" w:rsidRPr="005B7D35" w:rsidRDefault="00A45B87" w:rsidP="007B0854">
      <w:pPr>
        <w:spacing w:line="276" w:lineRule="auto"/>
        <w:jc w:val="both"/>
        <w:rPr>
          <w:rFonts w:ascii="Arial" w:eastAsia="Calibri" w:hAnsi="Arial" w:cs="Arial"/>
          <w:b/>
          <w:color w:val="000000" w:themeColor="text1"/>
          <w:sz w:val="22"/>
        </w:rPr>
      </w:pPr>
    </w:p>
    <w:p w14:paraId="377F157D" w14:textId="3931A562" w:rsidR="00575013" w:rsidRPr="005B7D35" w:rsidRDefault="00A45B87" w:rsidP="00575013">
      <w:pPr>
        <w:spacing w:line="276" w:lineRule="auto"/>
        <w:jc w:val="both"/>
        <w:rPr>
          <w:rFonts w:ascii="Arial" w:hAnsi="Arial" w:cs="Arial"/>
          <w:color w:val="000000" w:themeColor="text1"/>
          <w:sz w:val="22"/>
        </w:rPr>
      </w:pPr>
      <w:r w:rsidRPr="005B7D35">
        <w:rPr>
          <w:rFonts w:ascii="Arial" w:hAnsi="Arial" w:cs="Arial"/>
          <w:color w:val="000000" w:themeColor="text1"/>
          <w:sz w:val="22"/>
        </w:rPr>
        <w:t>Ley 80 de 1993, en e</w:t>
      </w:r>
      <w:r w:rsidR="00620199" w:rsidRPr="005B7D35">
        <w:rPr>
          <w:rFonts w:ascii="Arial" w:hAnsi="Arial" w:cs="Arial"/>
          <w:color w:val="000000" w:themeColor="text1"/>
          <w:sz w:val="22"/>
        </w:rPr>
        <w:t>l texto original del artículo 41</w:t>
      </w:r>
      <w:r w:rsidRPr="005B7D35">
        <w:rPr>
          <w:rFonts w:ascii="Arial" w:hAnsi="Arial" w:cs="Arial"/>
          <w:color w:val="000000" w:themeColor="text1"/>
          <w:sz w:val="22"/>
        </w:rPr>
        <w:t>,</w:t>
      </w:r>
      <w:r w:rsidR="00575013" w:rsidRPr="005B7D35">
        <w:rPr>
          <w:rFonts w:ascii="Arial" w:hAnsi="Arial" w:cs="Arial"/>
          <w:color w:val="000000" w:themeColor="text1"/>
          <w:sz w:val="22"/>
        </w:rPr>
        <w:t xml:space="preserve"> indicó que los requisitos para perfeccionar el contrato son: i) llegar a un acuerdo sobre el objeto y la contraprestación, y ii) que conste por escrito. Por su parte, para iniciar la ejecución se requería: i) la constitución y aprobación de la garantía y ii) la existencia del registro presupuestal.</w:t>
      </w:r>
    </w:p>
    <w:p w14:paraId="348BD738" w14:textId="77777777" w:rsidR="00575013" w:rsidRPr="005B7D35" w:rsidRDefault="00575013" w:rsidP="00620199">
      <w:pPr>
        <w:spacing w:line="276" w:lineRule="auto"/>
        <w:ind w:firstLine="708"/>
        <w:jc w:val="both"/>
        <w:rPr>
          <w:rFonts w:ascii="Arial" w:hAnsi="Arial" w:cs="Arial"/>
          <w:color w:val="000000" w:themeColor="text1"/>
          <w:sz w:val="22"/>
        </w:rPr>
      </w:pPr>
      <w:r w:rsidRPr="005B7D35">
        <w:rPr>
          <w:rFonts w:ascii="Arial" w:hAnsi="Arial" w:cs="Arial"/>
          <w:color w:val="000000" w:themeColor="text1"/>
          <w:sz w:val="22"/>
        </w:rPr>
        <w:t xml:space="preserve">Posteriormente,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w:t>
      </w:r>
      <w:r w:rsidRPr="005B7D35">
        <w:rPr>
          <w:rFonts w:ascii="Arial" w:hAnsi="Arial" w:cs="Arial"/>
          <w:color w:val="000000" w:themeColor="text1"/>
          <w:sz w:val="22"/>
        </w:rPr>
        <w:lastRenderedPageBreak/>
        <w:t>obligaciones del contratista frente a los aportes mencionados durante toda su vigencia, estableciendo una correcta relación entre el monto cancelado y las sumas que debió cotizar</w:t>
      </w:r>
      <w:r w:rsidRPr="005B7D35">
        <w:rPr>
          <w:rStyle w:val="Refdenotaalpie"/>
          <w:rFonts w:ascii="Arial" w:hAnsi="Arial" w:cs="Arial"/>
          <w:color w:val="000000" w:themeColor="text1"/>
          <w:sz w:val="22"/>
        </w:rPr>
        <w:footnoteReference w:id="1"/>
      </w:r>
      <w:r w:rsidRPr="005B7D35">
        <w:rPr>
          <w:rFonts w:ascii="Arial" w:hAnsi="Arial" w:cs="Arial"/>
          <w:color w:val="000000" w:themeColor="text1"/>
          <w:sz w:val="22"/>
        </w:rPr>
        <w:t xml:space="preserve">. </w:t>
      </w:r>
    </w:p>
    <w:p w14:paraId="7EC8D14C" w14:textId="77777777" w:rsidR="00575013" w:rsidRPr="005B7D35" w:rsidRDefault="00575013" w:rsidP="00620199">
      <w:pPr>
        <w:spacing w:line="276" w:lineRule="auto"/>
        <w:ind w:firstLine="708"/>
        <w:jc w:val="both"/>
        <w:rPr>
          <w:rFonts w:ascii="Arial" w:hAnsi="Arial" w:cs="Arial"/>
          <w:color w:val="000000" w:themeColor="text1"/>
          <w:sz w:val="22"/>
        </w:rPr>
      </w:pPr>
      <w:r w:rsidRPr="005B7D35">
        <w:rPr>
          <w:rFonts w:ascii="Arial" w:hAnsi="Arial" w:cs="Arial"/>
          <w:color w:val="000000" w:themeColor="text1"/>
          <w:sz w:val="22"/>
        </w:rPr>
        <w:t>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23652E84" w14:textId="422CB8A6" w:rsidR="00575013" w:rsidRPr="005B7D35" w:rsidRDefault="00575013" w:rsidP="00A45B87">
      <w:pPr>
        <w:spacing w:line="276" w:lineRule="auto"/>
        <w:ind w:firstLine="708"/>
        <w:jc w:val="both"/>
        <w:rPr>
          <w:rFonts w:ascii="Arial" w:hAnsi="Arial" w:cs="Arial"/>
          <w:color w:val="000000" w:themeColor="text1"/>
          <w:sz w:val="22"/>
        </w:rPr>
      </w:pPr>
      <w:r w:rsidRPr="005B7D35">
        <w:rPr>
          <w:rFonts w:ascii="Arial" w:hAnsi="Arial" w:cs="Arial"/>
          <w:color w:val="000000" w:themeColor="text1"/>
          <w:sz w:val="22"/>
        </w:rPr>
        <w:t xml:space="preserve">Esta norma fue analizada </w:t>
      </w:r>
      <w:r w:rsidR="00620199" w:rsidRPr="005B7D35">
        <w:rPr>
          <w:rFonts w:ascii="Arial" w:hAnsi="Arial" w:cs="Arial"/>
          <w:color w:val="000000" w:themeColor="text1"/>
          <w:sz w:val="22"/>
        </w:rPr>
        <w:t xml:space="preserve">por la </w:t>
      </w:r>
      <w:r w:rsidRPr="005B7D35">
        <w:rPr>
          <w:rFonts w:ascii="Arial" w:hAnsi="Arial" w:cs="Arial"/>
          <w:color w:val="000000" w:themeColor="text1"/>
          <w:sz w:val="22"/>
        </w:rPr>
        <w:t>Sección Tercera</w:t>
      </w:r>
      <w:r w:rsidR="00BC2CC4" w:rsidRPr="005B7D35">
        <w:rPr>
          <w:rFonts w:ascii="Arial" w:hAnsi="Arial" w:cs="Arial"/>
          <w:color w:val="000000" w:themeColor="text1"/>
          <w:sz w:val="22"/>
        </w:rPr>
        <w:t xml:space="preserve"> del Consejo de Estado, que</w:t>
      </w:r>
      <w:r w:rsidRPr="005B7D35">
        <w:rPr>
          <w:rFonts w:ascii="Arial" w:hAnsi="Arial" w:cs="Arial"/>
          <w:color w:val="000000" w:themeColor="text1"/>
          <w:sz w:val="22"/>
        </w:rPr>
        <w:t xml:space="preserve">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w:t>
      </w:r>
      <w:r w:rsidR="00A45B87" w:rsidRPr="005B7D35">
        <w:rPr>
          <w:rFonts w:ascii="Arial" w:hAnsi="Arial" w:cs="Arial"/>
          <w:color w:val="000000" w:themeColor="text1"/>
          <w:sz w:val="22"/>
        </w:rPr>
        <w:t>S</w:t>
      </w:r>
      <w:r w:rsidRPr="005B7D35">
        <w:rPr>
          <w:rFonts w:ascii="Arial" w:hAnsi="Arial" w:cs="Arial"/>
          <w:color w:val="000000" w:themeColor="text1"/>
          <w:sz w:val="22"/>
        </w:rPr>
        <w:t xml:space="preserve">istema de </w:t>
      </w:r>
      <w:r w:rsidR="00A45B87" w:rsidRPr="005B7D35">
        <w:rPr>
          <w:rFonts w:ascii="Arial" w:hAnsi="Arial" w:cs="Arial"/>
          <w:color w:val="000000" w:themeColor="text1"/>
          <w:sz w:val="22"/>
        </w:rPr>
        <w:t>S</w:t>
      </w:r>
      <w:r w:rsidRPr="005B7D35">
        <w:rPr>
          <w:rFonts w:ascii="Arial" w:hAnsi="Arial" w:cs="Arial"/>
          <w:color w:val="000000" w:themeColor="text1"/>
          <w:sz w:val="22"/>
        </w:rPr>
        <w:t xml:space="preserve">eguridad </w:t>
      </w:r>
      <w:r w:rsidR="00A45B87" w:rsidRPr="005B7D35">
        <w:rPr>
          <w:rFonts w:ascii="Arial" w:hAnsi="Arial" w:cs="Arial"/>
          <w:color w:val="000000" w:themeColor="text1"/>
          <w:sz w:val="22"/>
        </w:rPr>
        <w:t>S</w:t>
      </w:r>
      <w:r w:rsidRPr="005B7D35">
        <w:rPr>
          <w:rFonts w:ascii="Arial" w:hAnsi="Arial" w:cs="Arial"/>
          <w:color w:val="000000" w:themeColor="text1"/>
          <w:sz w:val="22"/>
        </w:rPr>
        <w:t>ocial</w:t>
      </w:r>
      <w:r w:rsidR="00A45B87" w:rsidRPr="005B7D35">
        <w:rPr>
          <w:rFonts w:ascii="Arial" w:hAnsi="Arial" w:cs="Arial"/>
          <w:color w:val="000000" w:themeColor="text1"/>
          <w:sz w:val="22"/>
        </w:rPr>
        <w:t xml:space="preserve"> Integral</w:t>
      </w:r>
      <w:r w:rsidRPr="005B7D35">
        <w:rPr>
          <w:rStyle w:val="Refdenotaalpie"/>
          <w:rFonts w:ascii="Arial" w:hAnsi="Arial" w:cs="Arial"/>
          <w:color w:val="000000" w:themeColor="text1"/>
          <w:sz w:val="21"/>
          <w:szCs w:val="21"/>
        </w:rPr>
        <w:footnoteReference w:id="2"/>
      </w:r>
      <w:r w:rsidRPr="005B7D35">
        <w:rPr>
          <w:rFonts w:ascii="Arial" w:hAnsi="Arial" w:cs="Arial"/>
          <w:color w:val="000000" w:themeColor="text1"/>
          <w:sz w:val="21"/>
          <w:szCs w:val="21"/>
        </w:rPr>
        <w:t>.</w:t>
      </w:r>
      <w:r w:rsidR="00A45B87" w:rsidRPr="005B7D35">
        <w:rPr>
          <w:rFonts w:ascii="Arial" w:hAnsi="Arial" w:cs="Arial"/>
          <w:color w:val="000000" w:themeColor="text1"/>
          <w:sz w:val="21"/>
          <w:szCs w:val="21"/>
        </w:rPr>
        <w:t xml:space="preserve"> </w:t>
      </w:r>
      <w:r w:rsidRPr="005B7D35">
        <w:rPr>
          <w:rFonts w:ascii="Arial" w:hAnsi="Arial" w:cs="Arial"/>
          <w:color w:val="000000" w:themeColor="text1"/>
          <w:sz w:val="22"/>
        </w:rPr>
        <w:t xml:space="preserve">Por lo tanto, la jurisprudencia reiteró la </w:t>
      </w:r>
      <w:r w:rsidRPr="005B7D35">
        <w:rPr>
          <w:rFonts w:ascii="Arial" w:hAnsi="Arial" w:cs="Arial"/>
          <w:color w:val="000000" w:themeColor="text1"/>
          <w:sz w:val="22"/>
        </w:rPr>
        <w:lastRenderedPageBreak/>
        <w:t xml:space="preserve">necesidad de que las entidades estatales, durante la ejecución de un contrato, verifiquen el cumplimiento de las obligaciones del sistema de seguridad social por parte de los oferentes. Luego, el artículo 23 de la Ley 1150 de 2007 modificó el inciso segundo del artículo 41 de la Ley 80 de 1993, incluyendo la obligación, para los proponentes y contratistas, de estar a paz y salvo con los aportes parafiscales al Sistema de Seguridad Social </w:t>
      </w:r>
      <w:r w:rsidR="00C77432" w:rsidRPr="005B7D35">
        <w:rPr>
          <w:rFonts w:ascii="Arial" w:hAnsi="Arial" w:cs="Arial"/>
          <w:color w:val="000000" w:themeColor="text1"/>
          <w:sz w:val="22"/>
        </w:rPr>
        <w:t>I</w:t>
      </w:r>
      <w:r w:rsidRPr="005B7D35">
        <w:rPr>
          <w:rFonts w:ascii="Arial" w:hAnsi="Arial" w:cs="Arial"/>
          <w:color w:val="000000" w:themeColor="text1"/>
          <w:sz w:val="22"/>
        </w:rPr>
        <w:t>ntegral, al señalar:</w:t>
      </w:r>
    </w:p>
    <w:p w14:paraId="7BB630FA" w14:textId="60BA7437" w:rsidR="00575013" w:rsidRPr="005B7D35" w:rsidRDefault="00575013" w:rsidP="00575013">
      <w:pPr>
        <w:spacing w:line="276" w:lineRule="auto"/>
        <w:jc w:val="both"/>
        <w:rPr>
          <w:rFonts w:ascii="Arial" w:hAnsi="Arial" w:cs="Arial"/>
          <w:color w:val="000000" w:themeColor="text1"/>
          <w:sz w:val="22"/>
        </w:rPr>
      </w:pPr>
    </w:p>
    <w:p w14:paraId="6C095D16" w14:textId="7A665D5C" w:rsidR="00A45B87" w:rsidRPr="005B7D35" w:rsidRDefault="00A45B87" w:rsidP="00575013">
      <w:pPr>
        <w:spacing w:line="276" w:lineRule="auto"/>
        <w:jc w:val="both"/>
        <w:rPr>
          <w:rFonts w:ascii="Arial" w:hAnsi="Arial" w:cs="Arial"/>
          <w:color w:val="000000" w:themeColor="text1"/>
          <w:sz w:val="22"/>
        </w:rPr>
      </w:pPr>
      <w:r w:rsidRPr="005B7D35">
        <w:rPr>
          <w:rFonts w:ascii="Arial" w:hAnsi="Arial" w:cs="Arial"/>
          <w:color w:val="000000" w:themeColor="text1"/>
          <w:sz w:val="22"/>
        </w:rPr>
        <w:tab/>
        <w:t>[…]</w:t>
      </w:r>
    </w:p>
    <w:p w14:paraId="44188357" w14:textId="77777777" w:rsidR="00A45B87" w:rsidRPr="005B7D35" w:rsidRDefault="00A45B87" w:rsidP="00575013">
      <w:pPr>
        <w:spacing w:line="276" w:lineRule="auto"/>
        <w:jc w:val="both"/>
        <w:rPr>
          <w:rFonts w:ascii="Arial" w:hAnsi="Arial" w:cs="Arial"/>
          <w:color w:val="000000" w:themeColor="text1"/>
          <w:sz w:val="22"/>
        </w:rPr>
      </w:pPr>
    </w:p>
    <w:p w14:paraId="693A4188" w14:textId="77777777" w:rsidR="00575013" w:rsidRPr="005B7D35" w:rsidRDefault="00575013" w:rsidP="00A243BB">
      <w:pPr>
        <w:pStyle w:val="NormalWeb"/>
        <w:tabs>
          <w:tab w:val="left" w:pos="7938"/>
          <w:tab w:val="left" w:pos="8080"/>
        </w:tabs>
        <w:spacing w:before="0" w:beforeAutospacing="0" w:after="0" w:afterAutospacing="0"/>
        <w:ind w:left="709" w:right="425"/>
        <w:jc w:val="both"/>
        <w:rPr>
          <w:rFonts w:ascii="Arial" w:hAnsi="Arial" w:cs="Arial"/>
          <w:color w:val="000000" w:themeColor="text1"/>
          <w:sz w:val="21"/>
          <w:szCs w:val="21"/>
        </w:rPr>
      </w:pPr>
      <w:r w:rsidRPr="005B7D35">
        <w:rPr>
          <w:rFonts w:ascii="Arial" w:hAnsi="Arial" w:cs="Arial"/>
          <w:color w:val="000000" w:themeColor="text1"/>
          <w:sz w:val="21"/>
          <w:szCs w:val="21"/>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074B5BD8" w14:textId="77777777" w:rsidR="00A243BB" w:rsidRPr="005B7D35" w:rsidRDefault="00A243BB" w:rsidP="00A243BB">
      <w:pPr>
        <w:pStyle w:val="NormalWeb"/>
        <w:spacing w:before="0" w:beforeAutospacing="0" w:after="0" w:afterAutospacing="0"/>
        <w:ind w:left="709" w:right="426"/>
        <w:jc w:val="both"/>
        <w:rPr>
          <w:rStyle w:val="baj"/>
          <w:rFonts w:ascii="Arial" w:hAnsi="Arial" w:cs="Arial"/>
          <w:bCs/>
          <w:color w:val="000000" w:themeColor="text1"/>
          <w:sz w:val="21"/>
          <w:szCs w:val="21"/>
        </w:rPr>
      </w:pPr>
    </w:p>
    <w:p w14:paraId="7AF0DF6F" w14:textId="0DE0E204" w:rsidR="00575013" w:rsidRPr="005B7D35" w:rsidRDefault="00575013" w:rsidP="00A243BB">
      <w:pPr>
        <w:pStyle w:val="NormalWeb"/>
        <w:spacing w:before="0" w:beforeAutospacing="0" w:after="0" w:afterAutospacing="0"/>
        <w:ind w:left="709" w:right="426"/>
        <w:jc w:val="both"/>
        <w:rPr>
          <w:rFonts w:ascii="Arial" w:hAnsi="Arial" w:cs="Arial"/>
          <w:color w:val="000000" w:themeColor="text1"/>
          <w:sz w:val="21"/>
          <w:szCs w:val="21"/>
        </w:rPr>
      </w:pPr>
      <w:r w:rsidRPr="005B7D35">
        <w:rPr>
          <w:rStyle w:val="baj"/>
          <w:rFonts w:ascii="Arial" w:hAnsi="Arial" w:cs="Arial"/>
          <w:bCs/>
          <w:color w:val="000000" w:themeColor="text1"/>
          <w:sz w:val="21"/>
          <w:szCs w:val="21"/>
        </w:rPr>
        <w:t>Parágrafo 1.</w:t>
      </w:r>
      <w:r w:rsidRPr="005B7D35">
        <w:rPr>
          <w:rFonts w:ascii="Arial" w:hAnsi="Arial" w:cs="Arial"/>
          <w:color w:val="000000" w:themeColor="text1"/>
          <w:sz w:val="21"/>
          <w:szCs w:val="21"/>
        </w:rPr>
        <w:t> El requisito establecido en la parte final del inciso segundo de este artículo deberá acreditarse para la realización de cada pago derivado del contrato estatal.</w:t>
      </w:r>
    </w:p>
    <w:p w14:paraId="6BE2DBEC" w14:textId="77777777" w:rsidR="00A243BB" w:rsidRPr="005B7D35" w:rsidRDefault="00A243BB" w:rsidP="00A243BB">
      <w:pPr>
        <w:pStyle w:val="NormalWeb"/>
        <w:spacing w:before="0" w:beforeAutospacing="0" w:after="0" w:afterAutospacing="0"/>
        <w:ind w:left="709" w:right="426"/>
        <w:jc w:val="both"/>
        <w:rPr>
          <w:rFonts w:ascii="Arial" w:hAnsi="Arial" w:cs="Arial"/>
          <w:color w:val="000000" w:themeColor="text1"/>
          <w:sz w:val="21"/>
          <w:szCs w:val="21"/>
        </w:rPr>
      </w:pPr>
    </w:p>
    <w:p w14:paraId="05B8AE26" w14:textId="710F1D45" w:rsidR="00575013" w:rsidRPr="005B7D35" w:rsidRDefault="00575013" w:rsidP="00A243BB">
      <w:pPr>
        <w:pStyle w:val="NormalWeb"/>
        <w:spacing w:before="0" w:beforeAutospacing="0" w:after="0" w:afterAutospacing="0"/>
        <w:ind w:left="709" w:right="426"/>
        <w:jc w:val="both"/>
        <w:rPr>
          <w:rFonts w:ascii="Arial" w:hAnsi="Arial" w:cs="Arial"/>
          <w:color w:val="000000" w:themeColor="text1"/>
          <w:sz w:val="21"/>
          <w:szCs w:val="21"/>
        </w:rPr>
      </w:pPr>
      <w:r w:rsidRPr="005B7D35">
        <w:rPr>
          <w:rFonts w:ascii="Arial" w:hAnsi="Arial" w:cs="Arial"/>
          <w:color w:val="000000" w:themeColor="text1"/>
          <w:sz w:val="21"/>
          <w:szCs w:val="21"/>
        </w:rPr>
        <w:t>El servidor público que sin justa causa no verifique el pago de los aportes a que se refiere el presente artículo, incurrirá en causal de mala conducta, que será sancionada con arreglo al régimen disciplinario vigente.</w:t>
      </w:r>
    </w:p>
    <w:p w14:paraId="0DF5D55E" w14:textId="77777777" w:rsidR="00A243BB" w:rsidRPr="005B7D35" w:rsidRDefault="00A243BB" w:rsidP="00575013">
      <w:pPr>
        <w:pStyle w:val="NormalWeb"/>
        <w:spacing w:beforeAutospacing="0" w:afterAutospacing="0"/>
        <w:ind w:left="708" w:right="426"/>
        <w:jc w:val="both"/>
        <w:rPr>
          <w:rFonts w:ascii="Arial" w:hAnsi="Arial" w:cs="Arial"/>
          <w:color w:val="000000" w:themeColor="text1"/>
          <w:sz w:val="20"/>
          <w:szCs w:val="20"/>
        </w:rPr>
      </w:pPr>
    </w:p>
    <w:p w14:paraId="18FD8EFF" w14:textId="791BD050" w:rsidR="00575013" w:rsidRPr="005B7D35" w:rsidRDefault="00575013" w:rsidP="00A243BB">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De la lectura integral del artículo 23 de la Ley 1150 de 2007 se concluye que</w:t>
      </w:r>
      <w:r w:rsidR="00A243BB" w:rsidRPr="005B7D35">
        <w:rPr>
          <w:rFonts w:ascii="Arial" w:hAnsi="Arial" w:cs="Arial"/>
          <w:color w:val="000000" w:themeColor="text1"/>
          <w:sz w:val="22"/>
          <w:lang w:val="es-CO"/>
        </w:rPr>
        <w:t>,</w:t>
      </w:r>
      <w:r w:rsidRPr="005B7D35">
        <w:rPr>
          <w:rFonts w:ascii="Arial" w:hAnsi="Arial" w:cs="Arial"/>
          <w:color w:val="000000" w:themeColor="text1"/>
          <w:sz w:val="22"/>
          <w:lang w:val="es-CO"/>
        </w:rPr>
        <w:t xml:space="preserve"> si bien los proponentes y los contratistas deben estar al día en el pago al Sistema de Seguridad Social, la verificación de este requisito, por parte de las entidades estatales, se realizará cuando realicen los pagos del contrato, es decir, durante la ejecución. </w:t>
      </w:r>
    </w:p>
    <w:p w14:paraId="4E33CA56" w14:textId="77777777" w:rsidR="00575013" w:rsidRPr="005B7D35" w:rsidRDefault="00575013" w:rsidP="00A243BB">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No obstante, el 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ejecutarlo, si lo es para admitir la oferta.</w:t>
      </w:r>
    </w:p>
    <w:p w14:paraId="1ED013F7" w14:textId="74673A88" w:rsidR="00575013" w:rsidRPr="005B7D35" w:rsidRDefault="00575013" w:rsidP="00A243BB">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 xml:space="preserve">En este sentido, la verificación del aporte al pago al sistema de seguridad social cambia dependiendo si se trata de una persona natural o una jurídica: i) si es </w:t>
      </w:r>
      <w:r w:rsidR="00A243BB" w:rsidRPr="005B7D35">
        <w:rPr>
          <w:rFonts w:ascii="Arial" w:hAnsi="Arial" w:cs="Arial"/>
          <w:color w:val="000000" w:themeColor="text1"/>
          <w:sz w:val="22"/>
          <w:lang w:val="es-CO"/>
        </w:rPr>
        <w:t>persona</w:t>
      </w:r>
      <w:r w:rsidRPr="005B7D35">
        <w:rPr>
          <w:rFonts w:ascii="Arial" w:hAnsi="Arial" w:cs="Arial"/>
          <w:color w:val="000000" w:themeColor="text1"/>
          <w:sz w:val="22"/>
          <w:lang w:val="es-CO"/>
        </w:rPr>
        <w:t xml:space="preserve">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w:t>
      </w:r>
      <w:r w:rsidRPr="005B7D35">
        <w:rPr>
          <w:rFonts w:ascii="Arial" w:hAnsi="Arial" w:cs="Arial"/>
          <w:color w:val="000000" w:themeColor="text1"/>
          <w:sz w:val="22"/>
          <w:lang w:val="es-CO"/>
        </w:rPr>
        <w:lastRenderedPageBreak/>
        <w:t>misma; sin perjuicio de que durante la ejecución del contrato también se acredite el pago al sistema de seguridad social para cancelar las cuentas o facturas.</w:t>
      </w:r>
    </w:p>
    <w:p w14:paraId="6663E383" w14:textId="77777777" w:rsidR="006A24B9" w:rsidRPr="005B7D35" w:rsidRDefault="006A24B9" w:rsidP="006A24B9">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373D794E" w14:textId="13E6F154" w:rsidR="006A24B9" w:rsidRPr="005B7D35" w:rsidRDefault="006A24B9" w:rsidP="006A24B9">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w:t>
      </w:r>
      <w:r w:rsidR="009E2107" w:rsidRPr="005B7D35">
        <w:rPr>
          <w:rFonts w:ascii="Arial" w:hAnsi="Arial" w:cs="Arial"/>
          <w:color w:val="000000" w:themeColor="text1"/>
          <w:sz w:val="22"/>
          <w:lang w:val="es-CO"/>
        </w:rPr>
        <w:t>o</w:t>
      </w:r>
      <w:r w:rsidRPr="005B7D35">
        <w:rPr>
          <w:rFonts w:ascii="Arial" w:hAnsi="Arial" w:cs="Arial"/>
          <w:color w:val="000000" w:themeColor="text1"/>
          <w:sz w:val="22"/>
          <w:lang w:val="es-CO"/>
        </w:rPr>
        <w:t xml:space="preserve"> como durante su ejecución y liquidación.</w:t>
      </w:r>
    </w:p>
    <w:bookmarkEnd w:id="3"/>
    <w:p w14:paraId="04BCBF84" w14:textId="580BE09A" w:rsidR="006A24B9" w:rsidRPr="005B7D35" w:rsidRDefault="006A24B9" w:rsidP="006A24B9">
      <w:pPr>
        <w:spacing w:line="276" w:lineRule="auto"/>
        <w:jc w:val="both"/>
        <w:rPr>
          <w:rFonts w:ascii="Arial" w:hAnsi="Arial" w:cs="Arial"/>
          <w:color w:val="000000" w:themeColor="text1"/>
          <w:sz w:val="22"/>
          <w:lang w:val="es-CO"/>
        </w:rPr>
      </w:pPr>
    </w:p>
    <w:p w14:paraId="5AB44FE2" w14:textId="31D02EE0" w:rsidR="006A24B9" w:rsidRPr="005B7D35" w:rsidRDefault="006A24B9" w:rsidP="006A24B9">
      <w:pPr>
        <w:spacing w:line="276" w:lineRule="auto"/>
        <w:jc w:val="both"/>
        <w:rPr>
          <w:rFonts w:ascii="Arial" w:hAnsi="Arial" w:cs="Arial"/>
          <w:b/>
          <w:bCs/>
          <w:color w:val="000000" w:themeColor="text1"/>
          <w:sz w:val="22"/>
          <w:lang w:val="es-CO"/>
        </w:rPr>
      </w:pPr>
      <w:bookmarkStart w:id="4" w:name="_Hlk31817368"/>
      <w:r w:rsidRPr="005B7D35">
        <w:rPr>
          <w:rFonts w:ascii="Arial" w:hAnsi="Arial" w:cs="Arial"/>
          <w:b/>
          <w:bCs/>
          <w:color w:val="000000" w:themeColor="text1"/>
          <w:sz w:val="22"/>
          <w:lang w:val="es-CO"/>
        </w:rPr>
        <w:t xml:space="preserve">2.2. Cambios que realizó la Ley 1955 de 2019 al Decreto 1273 de 2018. Cotización mes vencido y deber de verificación de las entidades estatales durante toda la vigencia del contrato </w:t>
      </w:r>
    </w:p>
    <w:p w14:paraId="7F2FAD4C" w14:textId="0DF7931A" w:rsidR="006A24B9" w:rsidRPr="005B7D35" w:rsidRDefault="006A24B9" w:rsidP="006A24B9">
      <w:pPr>
        <w:spacing w:line="276" w:lineRule="auto"/>
        <w:jc w:val="both"/>
        <w:rPr>
          <w:rFonts w:ascii="Arial" w:hAnsi="Arial" w:cs="Arial"/>
          <w:color w:val="000000" w:themeColor="text1"/>
          <w:sz w:val="22"/>
          <w:lang w:val="es-CO"/>
        </w:rPr>
      </w:pPr>
    </w:p>
    <w:p w14:paraId="6DD31606" w14:textId="390C15D6" w:rsidR="006A24B9" w:rsidRPr="005B7D35" w:rsidRDefault="006A24B9" w:rsidP="006A24B9">
      <w:pPr>
        <w:spacing w:line="276" w:lineRule="auto"/>
        <w:jc w:val="both"/>
        <w:rPr>
          <w:rFonts w:ascii="Arial" w:hAnsi="Arial" w:cs="Arial"/>
          <w:color w:val="000000" w:themeColor="text1"/>
          <w:sz w:val="22"/>
          <w:lang w:val="es-CO"/>
        </w:rPr>
      </w:pPr>
      <w:r w:rsidRPr="005B7D35">
        <w:rPr>
          <w:rFonts w:ascii="Arial" w:hAnsi="Arial" w:cs="Arial"/>
          <w:color w:val="000000" w:themeColor="text1"/>
          <w:sz w:val="22"/>
          <w:lang w:val="es-CO"/>
        </w:rPr>
        <w:t>La Ley 1753 de 2015, por la cual se expide el Plan Nacional de Desarrollo 2014 ―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ii) la de los contratistas «de prestación de servicios personales relacionados con las funciones de la entidad contratante y que no impliquen subcontratación alguna o compra de insumos o expensas relacionados directamente con la ejecución del contrato»</w:t>
      </w:r>
      <w:r w:rsidRPr="005B7D35">
        <w:rPr>
          <w:rStyle w:val="Refdenotaalpie"/>
          <w:rFonts w:ascii="Arial" w:hAnsi="Arial" w:cs="Arial"/>
          <w:color w:val="000000" w:themeColor="text1"/>
          <w:sz w:val="22"/>
          <w:lang w:val="es-CO"/>
        </w:rPr>
        <w:footnoteReference w:id="3"/>
      </w:r>
      <w:r w:rsidRPr="005B7D35">
        <w:rPr>
          <w:rFonts w:ascii="Arial" w:hAnsi="Arial" w:cs="Arial"/>
          <w:color w:val="000000" w:themeColor="text1"/>
          <w:sz w:val="22"/>
          <w:lang w:val="es-CO"/>
        </w:rPr>
        <w:t xml:space="preserve">. </w:t>
      </w:r>
    </w:p>
    <w:p w14:paraId="77A8BEFD" w14:textId="1FB3E6E6" w:rsidR="006A24B9" w:rsidRPr="005B7D35" w:rsidRDefault="006A24B9" w:rsidP="006A24B9">
      <w:pPr>
        <w:spacing w:line="276" w:lineRule="auto"/>
        <w:jc w:val="both"/>
        <w:rPr>
          <w:rFonts w:ascii="Arial" w:hAnsi="Arial" w:cs="Arial"/>
          <w:color w:val="000000" w:themeColor="text1"/>
          <w:sz w:val="22"/>
          <w:lang w:val="es-CO"/>
        </w:rPr>
      </w:pPr>
    </w:p>
    <w:p w14:paraId="20C960E5" w14:textId="77777777" w:rsidR="006A24B9" w:rsidRPr="005B7D35" w:rsidRDefault="006A24B9" w:rsidP="006A24B9">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En ambos casos el ingreso base de cotización al Sistema de Seguridad Social corresponde, como mínimo, el cuarenta por ciento [40%] del valor mensualizado del contrato o de los ingresos. La diferencia es que en la segunda circunstancia no aplica el sistema de presunción de ingresos, ni la deducción de expensas y además los contratantes –públicos y privados– deben retener directamente la cotización de los contratistas, a partir de la fecha y con la metodología que determine el Gobierno Nacional por vía reglamentaria. </w:t>
      </w:r>
    </w:p>
    <w:p w14:paraId="53ADCA1D" w14:textId="02FA182F" w:rsidR="006A24B9" w:rsidRPr="005B7D35" w:rsidRDefault="006A24B9" w:rsidP="006A24B9">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r w:rsidRPr="005B7D35">
        <w:rPr>
          <w:rStyle w:val="Refdenotaalpie"/>
          <w:rFonts w:ascii="Arial" w:hAnsi="Arial" w:cs="Arial"/>
          <w:color w:val="000000" w:themeColor="text1"/>
          <w:sz w:val="22"/>
          <w:lang w:val="es-CO"/>
        </w:rPr>
        <w:footnoteReference w:id="4"/>
      </w:r>
      <w:r w:rsidRPr="005B7D35">
        <w:rPr>
          <w:rFonts w:ascii="Arial" w:hAnsi="Arial" w:cs="Arial"/>
          <w:color w:val="000000" w:themeColor="text1"/>
          <w:sz w:val="22"/>
          <w:lang w:val="es-CO"/>
        </w:rPr>
        <w:t>. Conforme a lo previsto, para pagar el mes de diciembre basta acreditar el pago de la seguridad social de noviembre.</w:t>
      </w:r>
    </w:p>
    <w:p w14:paraId="36840B3A" w14:textId="5325A759" w:rsidR="006A24B9" w:rsidRPr="005B7D35" w:rsidRDefault="00226B64" w:rsidP="00226B64">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El pago mes vencido se reiteró en el artículo 3.2.7.6 del citado Decreto, previendo que dicho ajuste empezaría a regir a partir del 1 de octubre de 2018. Así lo sostuvo en los siguientes términos:</w:t>
      </w:r>
    </w:p>
    <w:p w14:paraId="22DA665D" w14:textId="1AD542E2" w:rsidR="006A24B9" w:rsidRPr="005B7D35" w:rsidRDefault="006A24B9" w:rsidP="006A24B9">
      <w:pPr>
        <w:spacing w:line="276" w:lineRule="auto"/>
        <w:jc w:val="both"/>
        <w:rPr>
          <w:rFonts w:ascii="Arial" w:hAnsi="Arial" w:cs="Arial"/>
          <w:color w:val="000000" w:themeColor="text1"/>
          <w:sz w:val="22"/>
          <w:lang w:val="es-CO"/>
        </w:rPr>
      </w:pPr>
    </w:p>
    <w:p w14:paraId="0273A701" w14:textId="564B4595" w:rsidR="00226B64" w:rsidRPr="005B7D35" w:rsidRDefault="00226B64" w:rsidP="00226B64">
      <w:pPr>
        <w:tabs>
          <w:tab w:val="left" w:pos="8789"/>
        </w:tabs>
        <w:spacing w:line="276" w:lineRule="auto"/>
        <w:ind w:left="705" w:right="567"/>
        <w:jc w:val="both"/>
        <w:rPr>
          <w:rFonts w:ascii="Arial" w:eastAsia="Times New Roman" w:hAnsi="Arial" w:cs="Arial"/>
          <w:color w:val="000000" w:themeColor="text1"/>
          <w:sz w:val="21"/>
          <w:szCs w:val="21"/>
          <w:lang w:val="es-CO" w:eastAsia="es-CO"/>
        </w:rPr>
      </w:pPr>
      <w:r w:rsidRPr="005B7D35">
        <w:rPr>
          <w:rFonts w:ascii="Arial" w:eastAsia="Times New Roman" w:hAnsi="Arial" w:cs="Arial"/>
          <w:color w:val="000000" w:themeColor="text1"/>
          <w:sz w:val="21"/>
          <w:szCs w:val="21"/>
          <w:lang w:val="es-CO" w:eastAsia="es-CO"/>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14:paraId="40B0CC10" w14:textId="599156B4" w:rsidR="00226B64" w:rsidRPr="005B7D35" w:rsidRDefault="00226B64" w:rsidP="00226B64">
      <w:pPr>
        <w:pStyle w:val="Default"/>
        <w:spacing w:line="276" w:lineRule="auto"/>
        <w:ind w:firstLine="708"/>
        <w:jc w:val="both"/>
        <w:rPr>
          <w:color w:val="000000" w:themeColor="text1"/>
          <w:sz w:val="22"/>
          <w:szCs w:val="22"/>
          <w:lang w:val="es-CO"/>
        </w:rPr>
      </w:pPr>
    </w:p>
    <w:p w14:paraId="577A85EE" w14:textId="77777777" w:rsidR="00226B64" w:rsidRPr="005B7D35" w:rsidRDefault="00226B64" w:rsidP="00226B64">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lastRenderedPageBreak/>
        <w:t xml:space="preserve">Lo anterior implica que el pago al Sistema de Seguridad Social Integral, como se observa en la norma transcrita, es mes vencido. </w:t>
      </w:r>
    </w:p>
    <w:p w14:paraId="1270EC02" w14:textId="77777777" w:rsidR="00226B64" w:rsidRPr="005B7D35" w:rsidRDefault="00226B64" w:rsidP="00226B64">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 </w:t>
      </w:r>
    </w:p>
    <w:p w14:paraId="2A96D07B" w14:textId="3A8398D6" w:rsidR="00226B64" w:rsidRPr="005B7D35" w:rsidRDefault="00226B64" w:rsidP="008E57C9">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Posteriormente, la Ley 1955 de 2019, en el artículo 336, dejó sin efectos el artículo 135 de la Ley 1735 de 2015 y reguló el tema en el artículo 244, señalando que los trabajadores independientes con ingresos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r w:rsidRPr="005B7D35">
        <w:rPr>
          <w:rStyle w:val="Refdenotaalpie"/>
          <w:color w:val="000000" w:themeColor="text1"/>
          <w:sz w:val="22"/>
          <w:szCs w:val="22"/>
          <w:lang w:val="es-CO"/>
        </w:rPr>
        <w:footnoteReference w:id="5"/>
      </w:r>
      <w:r w:rsidRPr="005B7D35">
        <w:rPr>
          <w:color w:val="000000" w:themeColor="text1"/>
          <w:sz w:val="22"/>
          <w:szCs w:val="22"/>
          <w:lang w:val="es-CO"/>
        </w:rPr>
        <w:t>.</w:t>
      </w:r>
    </w:p>
    <w:p w14:paraId="53C37F4D" w14:textId="585518A7" w:rsidR="006A24B9" w:rsidRPr="005B7D35" w:rsidRDefault="008E57C9" w:rsidP="00A243BB">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 xml:space="preserve">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w:t>
      </w:r>
      <w:r w:rsidRPr="005B7D35">
        <w:rPr>
          <w:rFonts w:ascii="Arial" w:hAnsi="Arial" w:cs="Arial"/>
          <w:color w:val="000000" w:themeColor="text1"/>
          <w:sz w:val="22"/>
          <w:lang w:val="es-CO"/>
        </w:rPr>
        <w:lastRenderedPageBreak/>
        <w:t>de los contratantes públicos y privados ya no será posible. Así lo determinó el Ministerio de Trabajo, mediante el concepto con radicado No. 08SE2019120300000025234 del 28 de junio de 2019, en los siguientes términos:</w:t>
      </w:r>
    </w:p>
    <w:p w14:paraId="539FADC9" w14:textId="2FDAE02C" w:rsidR="008E57C9" w:rsidRPr="005B7D35" w:rsidRDefault="008E57C9" w:rsidP="00A243BB">
      <w:pPr>
        <w:spacing w:line="276" w:lineRule="auto"/>
        <w:ind w:firstLine="708"/>
        <w:jc w:val="both"/>
        <w:rPr>
          <w:rFonts w:ascii="Arial" w:hAnsi="Arial" w:cs="Arial"/>
          <w:color w:val="000000" w:themeColor="text1"/>
          <w:sz w:val="22"/>
          <w:lang w:val="es-CO"/>
        </w:rPr>
      </w:pPr>
    </w:p>
    <w:p w14:paraId="1567EAF7" w14:textId="68FB7B8D" w:rsidR="008E57C9" w:rsidRPr="005B7D35" w:rsidRDefault="008E57C9" w:rsidP="00EE3F35">
      <w:pPr>
        <w:pStyle w:val="Default"/>
        <w:ind w:left="708" w:right="426"/>
        <w:jc w:val="both"/>
        <w:rPr>
          <w:rFonts w:eastAsia="Times New Roman"/>
          <w:color w:val="000000" w:themeColor="text1"/>
          <w:sz w:val="21"/>
          <w:szCs w:val="21"/>
          <w:lang w:val="es-CO" w:eastAsia="es-CO"/>
        </w:rPr>
      </w:pPr>
      <w:r w:rsidRPr="005B7D35">
        <w:rPr>
          <w:rFonts w:eastAsia="Times New Roman"/>
          <w:color w:val="000000" w:themeColor="text1"/>
          <w:sz w:val="21"/>
          <w:szCs w:val="21"/>
          <w:lang w:val="es-CO" w:eastAsia="es-CO"/>
        </w:rPr>
        <w:t xml:space="preserve">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14:paraId="12BFD141" w14:textId="77777777" w:rsidR="008E57C9" w:rsidRPr="005B7D35" w:rsidRDefault="008E57C9" w:rsidP="00EE3F35">
      <w:pPr>
        <w:pStyle w:val="Default"/>
        <w:ind w:left="708" w:right="426"/>
        <w:jc w:val="both"/>
        <w:rPr>
          <w:rFonts w:eastAsia="Times New Roman"/>
          <w:color w:val="000000" w:themeColor="text1"/>
          <w:sz w:val="21"/>
          <w:szCs w:val="21"/>
          <w:lang w:val="es-CO" w:eastAsia="es-CO"/>
        </w:rPr>
      </w:pPr>
    </w:p>
    <w:p w14:paraId="4EADBB74" w14:textId="41A8F2E9" w:rsidR="008E57C9" w:rsidRPr="005B7D35" w:rsidRDefault="008E57C9" w:rsidP="00EE3F35">
      <w:pPr>
        <w:pStyle w:val="Default"/>
        <w:ind w:left="708" w:right="426"/>
        <w:jc w:val="both"/>
        <w:rPr>
          <w:rFonts w:eastAsia="Times New Roman"/>
          <w:color w:val="000000" w:themeColor="text1"/>
          <w:sz w:val="21"/>
          <w:szCs w:val="21"/>
          <w:lang w:val="es-CO" w:eastAsia="es-CO"/>
        </w:rPr>
      </w:pPr>
      <w:r w:rsidRPr="005B7D35">
        <w:rPr>
          <w:rFonts w:eastAsia="Times New Roman"/>
          <w:color w:val="000000" w:themeColor="text1"/>
          <w:sz w:val="21"/>
          <w:szCs w:val="21"/>
          <w:lang w:val="es-CO" w:eastAsia="es-CO"/>
        </w:rPr>
        <w:t xml:space="preserve">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 vencido. </w:t>
      </w:r>
    </w:p>
    <w:p w14:paraId="097BAF29" w14:textId="77777777" w:rsidR="008E57C9" w:rsidRPr="005B7D35" w:rsidRDefault="008E57C9" w:rsidP="00EE3F35">
      <w:pPr>
        <w:pStyle w:val="Default"/>
        <w:ind w:left="708" w:right="426"/>
        <w:jc w:val="both"/>
        <w:rPr>
          <w:rFonts w:eastAsia="Times New Roman"/>
          <w:color w:val="000000" w:themeColor="text1"/>
          <w:sz w:val="21"/>
          <w:szCs w:val="21"/>
          <w:lang w:val="es-CO" w:eastAsia="es-CO"/>
        </w:rPr>
      </w:pPr>
    </w:p>
    <w:p w14:paraId="7AD6BDE4" w14:textId="79FD340B" w:rsidR="008E57C9" w:rsidRPr="005B7D35" w:rsidRDefault="008E57C9" w:rsidP="00EE3F35">
      <w:pPr>
        <w:ind w:left="708" w:right="426"/>
        <w:jc w:val="both"/>
        <w:rPr>
          <w:rFonts w:ascii="Arial" w:eastAsia="Times New Roman" w:hAnsi="Arial" w:cs="Arial"/>
          <w:color w:val="000000" w:themeColor="text1"/>
          <w:sz w:val="21"/>
          <w:szCs w:val="21"/>
          <w:lang w:val="es-CO" w:eastAsia="es-CO"/>
        </w:rPr>
      </w:pPr>
      <w:r w:rsidRPr="005B7D35">
        <w:rPr>
          <w:rFonts w:ascii="Arial" w:eastAsia="Times New Roman" w:hAnsi="Arial" w:cs="Arial"/>
          <w:color w:val="000000" w:themeColor="text1"/>
          <w:sz w:val="21"/>
          <w:szCs w:val="21"/>
          <w:lang w:val="es-CO" w:eastAsia="es-CO"/>
        </w:rPr>
        <w:t>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14:paraId="77AB0B9F" w14:textId="77E9D6C8" w:rsidR="008E57C9" w:rsidRPr="005B7D35" w:rsidRDefault="008E57C9" w:rsidP="00A243BB">
      <w:pPr>
        <w:spacing w:line="276" w:lineRule="auto"/>
        <w:ind w:firstLine="708"/>
        <w:jc w:val="both"/>
        <w:rPr>
          <w:rFonts w:ascii="Arial" w:hAnsi="Arial" w:cs="Arial"/>
          <w:color w:val="000000" w:themeColor="text1"/>
          <w:sz w:val="22"/>
          <w:lang w:val="es-CO"/>
        </w:rPr>
      </w:pPr>
    </w:p>
    <w:p w14:paraId="3C3116AD" w14:textId="77777777" w:rsidR="008E57C9" w:rsidRPr="005B7D35" w:rsidRDefault="008E57C9" w:rsidP="008E57C9">
      <w:pPr>
        <w:pStyle w:val="Default"/>
        <w:jc w:val="both"/>
        <w:rPr>
          <w:color w:val="000000" w:themeColor="text1"/>
          <w:sz w:val="22"/>
          <w:szCs w:val="22"/>
          <w:lang w:val="es-CO"/>
        </w:rPr>
      </w:pPr>
      <w:r w:rsidRPr="005B7D35">
        <w:rPr>
          <w:color w:val="000000" w:themeColor="text1"/>
          <w:sz w:val="22"/>
          <w:szCs w:val="22"/>
          <w:lang w:val="es-CO"/>
        </w:rPr>
        <w:t xml:space="preserve">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ii) la base mínima de cotización es el 40% del valor mensualizado de ingresos o del contrato, iii) la cotización se realizará mes vencido, y finalmente, iv) el pago lo efectuará directamente el trabajador independiente. </w:t>
      </w:r>
    </w:p>
    <w:p w14:paraId="423FB660" w14:textId="77777777" w:rsidR="008E57C9" w:rsidRPr="005B7D35" w:rsidRDefault="008E57C9" w:rsidP="008E57C9">
      <w:pPr>
        <w:pStyle w:val="Default"/>
        <w:jc w:val="both"/>
        <w:rPr>
          <w:color w:val="000000" w:themeColor="text1"/>
          <w:sz w:val="22"/>
          <w:szCs w:val="22"/>
          <w:lang w:val="es-CO"/>
        </w:rPr>
      </w:pPr>
      <w:r w:rsidRPr="005B7D35">
        <w:rPr>
          <w:color w:val="000000" w:themeColor="text1"/>
          <w:sz w:val="22"/>
          <w:szCs w:val="22"/>
          <w:lang w:val="es-CO"/>
        </w:rPr>
        <w:t xml:space="preserve">En este sentido, para que a los contratistas se les pague el mes de diciembre, bastará con que presenten el pago del sistema de seguridad social del mes de noviembre. Ahora, usted pregunta: ¿es posible que los supervisores soliciten el pago del mes de diciembre aun cuando la planilla no se encuentre vencida, para la firma del acta final? Para responder, previamente se explicará el alcance del deber de verificación a cargo de los supervidores y ordenadores del gasto. </w:t>
      </w:r>
    </w:p>
    <w:p w14:paraId="21445E50" w14:textId="77777777" w:rsidR="008E57C9" w:rsidRPr="005B7D35" w:rsidRDefault="008E57C9" w:rsidP="008E57C9">
      <w:pPr>
        <w:pStyle w:val="Default"/>
        <w:spacing w:line="276" w:lineRule="auto"/>
        <w:jc w:val="both"/>
        <w:rPr>
          <w:color w:val="000000" w:themeColor="text1"/>
          <w:sz w:val="22"/>
          <w:szCs w:val="22"/>
          <w:lang w:val="es-CO"/>
        </w:rPr>
      </w:pPr>
      <w:r w:rsidRPr="005B7D35">
        <w:rPr>
          <w:color w:val="000000" w:themeColor="text1"/>
          <w:sz w:val="22"/>
          <w:szCs w:val="22"/>
          <w:lang w:val="es-CO"/>
        </w:rPr>
        <w:t xml:space="preserve">Teniendo en cuenta lo dicho anteriormente, es deber de las entidades estatales, en relación con los aportes del contratista al Sistema de Seguridad Social Integral, al momento de efectuar los pagos y de suscribir la liquidación del contrato –esto último, en los casos en que aplica–, «verificar y dejar constancia del cumplimiento de las obligaciones del contratista frente a los aportes mencionados durante toda su vigencia», según el artículo 50 de la Ley 789 de 2002. Es decir, para el último pago y para la liquidar el contrato, cuando esta aplique, </w:t>
      </w:r>
      <w:r w:rsidRPr="005B7D35">
        <w:rPr>
          <w:color w:val="000000" w:themeColor="text1"/>
          <w:sz w:val="22"/>
          <w:szCs w:val="22"/>
          <w:lang w:val="es-CO"/>
        </w:rPr>
        <w:lastRenderedPageBreak/>
        <w:t xml:space="preserve">las entidades estatales deben verificar que el contratista se encuentre al día en el pago de sus aportes al Sistema de Seguridad Social Integral, «durante toda su vigencia», o sea, durante toda la vigencia del contrato, pues así lo exige el mencionado artículo. Ahora, ¿qué se entiende por vigencia del contrato?, y concretamente, ¿qué alcance debe otorgársele a esta expresión, en el contexto del deber de verificación, que ostentan las entidades estatales, del cumplimiento de las obligaciones del contratista frente al Sistema de Seguridad Social Integral, en el momento del último pago y de la liquidación del contrato? </w:t>
      </w:r>
    </w:p>
    <w:p w14:paraId="06FEB684" w14:textId="45588279" w:rsidR="008E57C9" w:rsidRPr="005B7D35" w:rsidRDefault="008E57C9" w:rsidP="008E57C9">
      <w:pPr>
        <w:pStyle w:val="Default"/>
        <w:spacing w:line="276" w:lineRule="auto"/>
        <w:ind w:firstLine="708"/>
        <w:jc w:val="both"/>
        <w:rPr>
          <w:color w:val="000000" w:themeColor="text1"/>
          <w:sz w:val="22"/>
          <w:szCs w:val="22"/>
        </w:rPr>
      </w:pPr>
      <w:r w:rsidRPr="005B7D35">
        <w:rPr>
          <w:color w:val="000000" w:themeColor="text1"/>
          <w:sz w:val="22"/>
          <w:szCs w:val="22"/>
          <w:lang w:val="es-CO"/>
        </w:rPr>
        <w:t>La vigencia del contrato se define como el período en el que existen obligaciones derivadas de aquel. En tal sentido, plazo del contrato no es sinónimo de su vigencia,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Pr="005B7D35">
        <w:rPr>
          <w:color w:val="000000" w:themeColor="text1"/>
          <w:vertAlign w:val="superscript"/>
          <w:lang w:val="es-CO"/>
        </w:rPr>
        <w:footnoteReference w:id="6"/>
      </w:r>
      <w:r w:rsidRPr="005B7D35">
        <w:rPr>
          <w:color w:val="000000" w:themeColor="text1"/>
          <w:sz w:val="22"/>
          <w:szCs w:val="22"/>
          <w:lang w:val="es-CO"/>
        </w:rPr>
        <w:t>– o bien</w:t>
      </w:r>
      <w:r w:rsidRPr="005B7D35">
        <w:rPr>
          <w:color w:val="000000" w:themeColor="text1"/>
          <w:sz w:val="22"/>
          <w:lang w:val="es-CO"/>
        </w:rPr>
        <w:t xml:space="preserve"> </w:t>
      </w:r>
      <w:r w:rsidRPr="005B7D35">
        <w:rPr>
          <w:color w:val="000000" w:themeColor="text1"/>
          <w:sz w:val="22"/>
          <w:szCs w:val="22"/>
          <w:lang w:val="es-CO"/>
        </w:rPr>
        <w:t>porque, contractual o normativamente, han permanecido obligaciones que deben cumplirse después de la finalización del plazo contractual –o sea, después de lo que suele llamarse la «terminación» del contrato–, como, por ejemplo, suscribir la liquidación –en ciertos eventos–, efectuar el pago final, actualizar el valor y la vigencia de las garantías, suscribir el acta de recibo final –cuando así se haya pactado– o hacer los aportes a la seguridad social sobre los ingresos del mes anterior</w:t>
      </w:r>
      <w:r w:rsidRPr="005B7D35">
        <w:rPr>
          <w:rStyle w:val="Refdenotaalpie"/>
          <w:color w:val="000000" w:themeColor="text1"/>
          <w:sz w:val="22"/>
          <w:szCs w:val="22"/>
          <w:lang w:val="es-CO"/>
        </w:rPr>
        <w:footnoteReference w:id="7"/>
      </w:r>
      <w:r w:rsidRPr="005B7D35">
        <w:rPr>
          <w:color w:val="000000" w:themeColor="text1"/>
          <w:sz w:val="22"/>
          <w:szCs w:val="22"/>
          <w:lang w:val="es-CO"/>
        </w:rPr>
        <w:t>.</w:t>
      </w:r>
      <w:r w:rsidRPr="005B7D35">
        <w:rPr>
          <w:color w:val="000000" w:themeColor="text1"/>
          <w:sz w:val="22"/>
          <w:szCs w:val="22"/>
        </w:rPr>
        <w:t xml:space="preserve"> </w:t>
      </w:r>
    </w:p>
    <w:p w14:paraId="60E1B8F4" w14:textId="74AC8E7D" w:rsidR="008E57C9" w:rsidRPr="005B7D35" w:rsidRDefault="008E57C9" w:rsidP="008E57C9">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Esta forma de concebir el plazo de ejecución, como tiempo dentro del cual han de cumplirse las obligaciones, pero cuyo vencimiento no extingue el contrato, guarda consonancia con el artículo 1625 del Código Civil, que regula las formas de extinción de las obligaciones, del siguiente modo:</w:t>
      </w:r>
    </w:p>
    <w:p w14:paraId="54E8006B" w14:textId="77777777" w:rsidR="008E57C9" w:rsidRPr="005B7D35" w:rsidRDefault="008E57C9" w:rsidP="00A243BB">
      <w:pPr>
        <w:spacing w:line="276" w:lineRule="auto"/>
        <w:ind w:firstLine="708"/>
        <w:jc w:val="both"/>
        <w:rPr>
          <w:rFonts w:ascii="Arial" w:hAnsi="Arial" w:cs="Arial"/>
          <w:color w:val="000000" w:themeColor="text1"/>
          <w:sz w:val="22"/>
          <w:lang w:val="es-CO"/>
        </w:rPr>
      </w:pPr>
    </w:p>
    <w:p w14:paraId="586584F1" w14:textId="77777777" w:rsidR="00EE3F35" w:rsidRPr="005B7D35" w:rsidRDefault="00EE3F35" w:rsidP="00853034">
      <w:pPr>
        <w:spacing w:line="276" w:lineRule="auto"/>
        <w:ind w:firstLine="708"/>
        <w:jc w:val="both"/>
        <w:rPr>
          <w:rFonts w:ascii="Arial" w:hAnsi="Arial" w:cs="Arial"/>
          <w:color w:val="000000" w:themeColor="text1"/>
          <w:sz w:val="22"/>
          <w:lang w:val="es-CO"/>
        </w:rPr>
      </w:pPr>
    </w:p>
    <w:p w14:paraId="39CF4507" w14:textId="77777777" w:rsidR="00EE3F35" w:rsidRPr="005B7D35" w:rsidRDefault="00EE3F35" w:rsidP="00EE3F35">
      <w:pPr>
        <w:pStyle w:val="Default"/>
        <w:ind w:left="708"/>
        <w:jc w:val="both"/>
        <w:rPr>
          <w:color w:val="000000" w:themeColor="text1"/>
          <w:sz w:val="21"/>
          <w:szCs w:val="21"/>
          <w:lang w:val="es-CO"/>
        </w:rPr>
      </w:pPr>
      <w:r w:rsidRPr="005B7D35">
        <w:rPr>
          <w:color w:val="000000" w:themeColor="text1"/>
          <w:sz w:val="21"/>
          <w:szCs w:val="21"/>
          <w:lang w:val="es-CO"/>
        </w:rPr>
        <w:lastRenderedPageBreak/>
        <w:t xml:space="preserve">Toda obligación puede extinguirse por una convención en que las partes interesadas, siendo capaces de disponer libremente de lo suyo, consientan en darla por nula. </w:t>
      </w:r>
    </w:p>
    <w:p w14:paraId="4A126C2E" w14:textId="77777777" w:rsidR="00EE3F35" w:rsidRPr="005B7D35" w:rsidRDefault="00EE3F35" w:rsidP="00EE3F35">
      <w:pPr>
        <w:pStyle w:val="Default"/>
        <w:jc w:val="both"/>
        <w:rPr>
          <w:color w:val="000000" w:themeColor="text1"/>
          <w:sz w:val="21"/>
          <w:szCs w:val="21"/>
          <w:lang w:val="es-CO"/>
        </w:rPr>
      </w:pPr>
    </w:p>
    <w:p w14:paraId="5F97FFFF" w14:textId="66F47262"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Las obligaciones se extinguen además en todo o en parte: </w:t>
      </w:r>
    </w:p>
    <w:p w14:paraId="4AD5129C" w14:textId="77777777" w:rsidR="00EE3F35" w:rsidRPr="005B7D35" w:rsidRDefault="00EE3F35" w:rsidP="00EE3F35">
      <w:pPr>
        <w:pStyle w:val="Default"/>
        <w:ind w:firstLine="708"/>
        <w:jc w:val="both"/>
        <w:rPr>
          <w:color w:val="000000" w:themeColor="text1"/>
          <w:sz w:val="21"/>
          <w:szCs w:val="21"/>
          <w:lang w:val="es-CO"/>
        </w:rPr>
      </w:pPr>
    </w:p>
    <w:p w14:paraId="6544CD66" w14:textId="6B37D1EC"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1° Por la solución o pago efectivo; </w:t>
      </w:r>
    </w:p>
    <w:p w14:paraId="577D301C" w14:textId="77777777" w:rsidR="00EE3F35" w:rsidRPr="005B7D35" w:rsidRDefault="00EE3F35" w:rsidP="00EE3F35">
      <w:pPr>
        <w:pStyle w:val="Default"/>
        <w:ind w:firstLine="708"/>
        <w:jc w:val="both"/>
        <w:rPr>
          <w:color w:val="000000" w:themeColor="text1"/>
          <w:sz w:val="21"/>
          <w:szCs w:val="21"/>
          <w:lang w:val="es-CO"/>
        </w:rPr>
      </w:pPr>
    </w:p>
    <w:p w14:paraId="1B88B43F" w14:textId="78AB993B"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2° Por la novación; </w:t>
      </w:r>
    </w:p>
    <w:p w14:paraId="6A225E53" w14:textId="77777777" w:rsidR="00EE3F35" w:rsidRPr="005B7D35" w:rsidRDefault="00EE3F35" w:rsidP="00EE3F35">
      <w:pPr>
        <w:pStyle w:val="Default"/>
        <w:ind w:firstLine="708"/>
        <w:jc w:val="both"/>
        <w:rPr>
          <w:color w:val="000000" w:themeColor="text1"/>
          <w:sz w:val="21"/>
          <w:szCs w:val="21"/>
          <w:lang w:val="es-CO"/>
        </w:rPr>
      </w:pPr>
    </w:p>
    <w:p w14:paraId="6677A7D5" w14:textId="43897397"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3° Por la transacción; </w:t>
      </w:r>
    </w:p>
    <w:p w14:paraId="0B242EBE" w14:textId="77777777" w:rsidR="00EE3F35" w:rsidRPr="005B7D35" w:rsidRDefault="00EE3F35" w:rsidP="00EE3F35">
      <w:pPr>
        <w:pStyle w:val="Default"/>
        <w:ind w:firstLine="708"/>
        <w:jc w:val="both"/>
        <w:rPr>
          <w:color w:val="000000" w:themeColor="text1"/>
          <w:sz w:val="21"/>
          <w:szCs w:val="21"/>
          <w:lang w:val="es-CO"/>
        </w:rPr>
      </w:pPr>
    </w:p>
    <w:p w14:paraId="176E7325" w14:textId="0621DC0F"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4° Por la remisión; </w:t>
      </w:r>
    </w:p>
    <w:p w14:paraId="5C03E54B" w14:textId="77777777" w:rsidR="00EE3F35" w:rsidRPr="005B7D35" w:rsidRDefault="00EE3F35" w:rsidP="00EE3F35">
      <w:pPr>
        <w:pStyle w:val="Default"/>
        <w:ind w:firstLine="708"/>
        <w:jc w:val="both"/>
        <w:rPr>
          <w:color w:val="000000" w:themeColor="text1"/>
          <w:sz w:val="21"/>
          <w:szCs w:val="21"/>
          <w:lang w:val="es-CO"/>
        </w:rPr>
      </w:pPr>
    </w:p>
    <w:p w14:paraId="034400FA" w14:textId="1C8050C7"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5° Por la compensación; </w:t>
      </w:r>
    </w:p>
    <w:p w14:paraId="01A7B6AB" w14:textId="77777777" w:rsidR="00EE3F35" w:rsidRPr="005B7D35" w:rsidRDefault="00EE3F35" w:rsidP="00EE3F35">
      <w:pPr>
        <w:pStyle w:val="Default"/>
        <w:ind w:firstLine="708"/>
        <w:jc w:val="both"/>
        <w:rPr>
          <w:color w:val="000000" w:themeColor="text1"/>
          <w:sz w:val="21"/>
          <w:szCs w:val="21"/>
          <w:lang w:val="es-CO"/>
        </w:rPr>
      </w:pPr>
    </w:p>
    <w:p w14:paraId="62E62294" w14:textId="1A175F78"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6° Por la confusión; </w:t>
      </w:r>
    </w:p>
    <w:p w14:paraId="0DB62B8E" w14:textId="77777777" w:rsidR="00EE3F35" w:rsidRPr="005B7D35" w:rsidRDefault="00EE3F35" w:rsidP="00EE3F35">
      <w:pPr>
        <w:pStyle w:val="Default"/>
        <w:ind w:firstLine="708"/>
        <w:jc w:val="both"/>
        <w:rPr>
          <w:color w:val="000000" w:themeColor="text1"/>
          <w:sz w:val="21"/>
          <w:szCs w:val="21"/>
          <w:lang w:val="es-CO"/>
        </w:rPr>
      </w:pPr>
    </w:p>
    <w:p w14:paraId="31C9649B" w14:textId="20B1A4F7"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7° Por la pérdida de la cosa que se debe; </w:t>
      </w:r>
    </w:p>
    <w:p w14:paraId="5A1266AB" w14:textId="77777777" w:rsidR="00EE3F35" w:rsidRPr="005B7D35" w:rsidRDefault="00EE3F35" w:rsidP="00EE3F35">
      <w:pPr>
        <w:pStyle w:val="Default"/>
        <w:ind w:firstLine="708"/>
        <w:jc w:val="both"/>
        <w:rPr>
          <w:color w:val="000000" w:themeColor="text1"/>
          <w:sz w:val="21"/>
          <w:szCs w:val="21"/>
          <w:lang w:val="es-CO"/>
        </w:rPr>
      </w:pPr>
    </w:p>
    <w:p w14:paraId="16255AD0" w14:textId="0EF98288"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8° Por la declaración de nulidad o por la rescisión; </w:t>
      </w:r>
    </w:p>
    <w:p w14:paraId="15115375" w14:textId="77777777" w:rsidR="00EE3F35" w:rsidRPr="005B7D35" w:rsidRDefault="00EE3F35" w:rsidP="00EE3F35">
      <w:pPr>
        <w:pStyle w:val="Default"/>
        <w:ind w:firstLine="708"/>
        <w:jc w:val="both"/>
        <w:rPr>
          <w:color w:val="000000" w:themeColor="text1"/>
          <w:sz w:val="21"/>
          <w:szCs w:val="21"/>
          <w:lang w:val="es-CO"/>
        </w:rPr>
      </w:pPr>
    </w:p>
    <w:p w14:paraId="3219A27F" w14:textId="54BB5DE2" w:rsidR="00EE3F35" w:rsidRPr="005B7D35" w:rsidRDefault="00EE3F35" w:rsidP="00EE3F35">
      <w:pPr>
        <w:pStyle w:val="Default"/>
        <w:ind w:firstLine="708"/>
        <w:jc w:val="both"/>
        <w:rPr>
          <w:color w:val="000000" w:themeColor="text1"/>
          <w:sz w:val="21"/>
          <w:szCs w:val="21"/>
          <w:lang w:val="es-CO"/>
        </w:rPr>
      </w:pPr>
      <w:r w:rsidRPr="005B7D35">
        <w:rPr>
          <w:color w:val="000000" w:themeColor="text1"/>
          <w:sz w:val="21"/>
          <w:szCs w:val="21"/>
          <w:lang w:val="es-CO"/>
        </w:rPr>
        <w:t xml:space="preserve">9° Por el evento de la condición resolutoria; </w:t>
      </w:r>
    </w:p>
    <w:p w14:paraId="330D91A7" w14:textId="77777777" w:rsidR="00EE3F35" w:rsidRPr="005B7D35" w:rsidRDefault="00EE3F35" w:rsidP="00EE3F35">
      <w:pPr>
        <w:pStyle w:val="Default"/>
        <w:ind w:firstLine="708"/>
        <w:jc w:val="both"/>
        <w:rPr>
          <w:color w:val="000000" w:themeColor="text1"/>
          <w:sz w:val="21"/>
          <w:szCs w:val="21"/>
          <w:lang w:val="es-CO"/>
        </w:rPr>
      </w:pPr>
    </w:p>
    <w:p w14:paraId="16EC01AE" w14:textId="1C7BC02D" w:rsidR="00EE3F35" w:rsidRPr="005B7D35" w:rsidRDefault="00EE3F35" w:rsidP="00EE3F35">
      <w:pPr>
        <w:spacing w:line="276" w:lineRule="auto"/>
        <w:ind w:firstLine="708"/>
        <w:jc w:val="both"/>
        <w:rPr>
          <w:rFonts w:ascii="Arial" w:hAnsi="Arial" w:cs="Arial"/>
          <w:color w:val="000000" w:themeColor="text1"/>
          <w:sz w:val="21"/>
          <w:szCs w:val="21"/>
          <w:lang w:val="es-CO"/>
        </w:rPr>
      </w:pPr>
      <w:r w:rsidRPr="005B7D35">
        <w:rPr>
          <w:rFonts w:ascii="Arial" w:hAnsi="Arial" w:cs="Arial"/>
          <w:color w:val="000000" w:themeColor="text1"/>
          <w:sz w:val="21"/>
          <w:szCs w:val="21"/>
          <w:lang w:val="es-CO"/>
        </w:rPr>
        <w:t>10° Por la prescripción.</w:t>
      </w:r>
    </w:p>
    <w:p w14:paraId="339F94A3" w14:textId="77777777" w:rsidR="00EE3F35" w:rsidRPr="005B7D35" w:rsidRDefault="00EE3F35" w:rsidP="00EE3F35">
      <w:pPr>
        <w:spacing w:line="276" w:lineRule="auto"/>
        <w:ind w:firstLine="708"/>
        <w:jc w:val="both"/>
        <w:rPr>
          <w:rFonts w:ascii="Arial" w:hAnsi="Arial" w:cs="Arial"/>
          <w:color w:val="000000" w:themeColor="text1"/>
          <w:sz w:val="22"/>
          <w:lang w:val="es-CO"/>
        </w:rPr>
      </w:pPr>
    </w:p>
    <w:p w14:paraId="6130D239" w14:textId="77777777" w:rsidR="00EE3F35" w:rsidRPr="005B7D35" w:rsidRDefault="00EE3F35" w:rsidP="00EE3F35">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Esto significa que si la totalidad de las obligaciones no se ha extinguido por alguno de los modos previstos en el citado artículo, el contrato permanece vigente. </w:t>
      </w:r>
    </w:p>
    <w:p w14:paraId="28FDC207" w14:textId="77777777" w:rsidR="00EE3F35" w:rsidRPr="005B7D35" w:rsidRDefault="00EE3F35" w:rsidP="00EE3F35">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 1993–. </w:t>
      </w:r>
    </w:p>
    <w:p w14:paraId="5BC5F4B7" w14:textId="2A0960E8" w:rsidR="00EE3F35" w:rsidRPr="005B7D35" w:rsidRDefault="00EE3F35" w:rsidP="00EE3F35">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Ahora bien, las cotizaciones, por parte de los contratistas de prestación de servicios –considerados, según la normativa de seguridad social, como trabajadores independientes–, debe realizarse según los plazos y condiciones establecidas en el Decreto 1990 de 2016, es decir, a más tardar en las fechas definidas, según los dos últimos dígitos del NIT o del documento de identificación, en la forma que expresa el artículo 3.2.2.1. de dicho Decreto, así:</w:t>
      </w:r>
    </w:p>
    <w:p w14:paraId="69D21036" w14:textId="21E10DE9" w:rsidR="00EE3F35" w:rsidRPr="005B7D35" w:rsidRDefault="00EE3F35" w:rsidP="00853034">
      <w:pPr>
        <w:spacing w:line="276" w:lineRule="auto"/>
        <w:ind w:firstLine="708"/>
        <w:jc w:val="both"/>
        <w:rPr>
          <w:rFonts w:ascii="Arial" w:hAnsi="Arial" w:cs="Arial"/>
          <w:color w:val="000000" w:themeColor="text1"/>
          <w:sz w:val="22"/>
          <w:lang w:val="es-CO"/>
        </w:rPr>
      </w:pPr>
    </w:p>
    <w:p w14:paraId="51DF5AB7" w14:textId="3734D6B0" w:rsidR="00EE3F35" w:rsidRPr="005B7D35" w:rsidRDefault="00EE3F35" w:rsidP="009470D4">
      <w:pPr>
        <w:ind w:left="708" w:right="567"/>
        <w:jc w:val="both"/>
        <w:rPr>
          <w:rFonts w:ascii="Arial" w:eastAsia="Times New Roman" w:hAnsi="Arial" w:cs="Arial"/>
          <w:color w:val="000000" w:themeColor="text1"/>
          <w:sz w:val="21"/>
          <w:szCs w:val="21"/>
          <w:lang w:val="es-CO" w:eastAsia="es-CO"/>
        </w:rPr>
      </w:pPr>
      <w:r w:rsidRPr="005B7D35">
        <w:rPr>
          <w:rFonts w:ascii="Arial" w:eastAsia="Times New Roman" w:hAnsi="Arial" w:cs="Arial"/>
          <w:color w:val="000000" w:themeColor="text1"/>
          <w:sz w:val="21"/>
          <w:szCs w:val="21"/>
          <w:lang w:val="es-CO" w:eastAsia="es-CO"/>
        </w:rPr>
        <w:t>«Artículo 3.2.2.1. Plazos para la autoliquidación y el pago de los aportes al Sistema de Seguridad Social Integral y Aportes Parafiscales. Todos los aportantes a los Sistemas de Salud, Pensiones y Riesgos Laborales del Sistema de Seguridad Social Integral, así como aquellos a favor del Servicio Nacional del Aprendizaje -</w:t>
      </w:r>
      <w:r w:rsidRPr="005B7D35">
        <w:rPr>
          <w:rFonts w:ascii="Arial" w:eastAsia="Times New Roman" w:hAnsi="Arial" w:cs="Arial"/>
          <w:color w:val="000000" w:themeColor="text1"/>
          <w:sz w:val="21"/>
          <w:szCs w:val="21"/>
          <w:lang w:val="es-CO" w:eastAsia="es-CO"/>
        </w:rPr>
        <w:lastRenderedPageBreak/>
        <w:t>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 continuación:</w:t>
      </w:r>
    </w:p>
    <w:p w14:paraId="49D6B1F7" w14:textId="4C7630F0" w:rsidR="00EE3F35" w:rsidRPr="005B7D35" w:rsidRDefault="00EE3F35" w:rsidP="00853034">
      <w:pPr>
        <w:spacing w:line="276" w:lineRule="auto"/>
        <w:ind w:firstLine="708"/>
        <w:jc w:val="both"/>
        <w:rPr>
          <w:rFonts w:ascii="Arial" w:hAnsi="Arial" w:cs="Arial"/>
          <w:color w:val="000000" w:themeColor="text1"/>
          <w:sz w:val="22"/>
          <w:lang w:val="es-CO"/>
        </w:rPr>
      </w:pPr>
    </w:p>
    <w:tbl>
      <w:tblPr>
        <w:tblW w:w="0" w:type="auto"/>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5386"/>
      </w:tblGrid>
      <w:tr w:rsidR="005B7D35" w:rsidRPr="005B7D35" w14:paraId="18188A26" w14:textId="77777777" w:rsidTr="009470D4">
        <w:tc>
          <w:tcPr>
            <w:tcW w:w="2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74C08F"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b/>
                <w:bCs/>
                <w:color w:val="000000" w:themeColor="text1"/>
                <w:sz w:val="17"/>
                <w:szCs w:val="17"/>
                <w:lang w:val="es-ES" w:eastAsia="es-ES"/>
              </w:rPr>
              <w:t>Día hábil</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0BF08F"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b/>
                <w:bCs/>
                <w:color w:val="000000" w:themeColor="text1"/>
                <w:sz w:val="17"/>
                <w:szCs w:val="17"/>
                <w:lang w:val="es-ES" w:eastAsia="es-ES"/>
              </w:rPr>
              <w:t>Dos últimos dígitos del NIT o documento de identificación</w:t>
            </w:r>
          </w:p>
        </w:tc>
      </w:tr>
      <w:tr w:rsidR="005B7D35" w:rsidRPr="005B7D35" w14:paraId="47C42439"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89260"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2°</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413B0"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00 al 07</w:t>
            </w:r>
          </w:p>
        </w:tc>
      </w:tr>
      <w:tr w:rsidR="005B7D35" w:rsidRPr="005B7D35" w14:paraId="058FCF19"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AE8984"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3°</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E7734"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08 al 14</w:t>
            </w:r>
          </w:p>
        </w:tc>
      </w:tr>
      <w:tr w:rsidR="005B7D35" w:rsidRPr="005B7D35" w14:paraId="27BA2551"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8B750"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4°</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6D71F8"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15 al 21</w:t>
            </w:r>
          </w:p>
        </w:tc>
      </w:tr>
      <w:tr w:rsidR="005B7D35" w:rsidRPr="005B7D35" w14:paraId="241C7F6C"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364F52"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5°</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DCDC9"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22 al 28</w:t>
            </w:r>
          </w:p>
        </w:tc>
      </w:tr>
      <w:tr w:rsidR="005B7D35" w:rsidRPr="005B7D35" w14:paraId="40F809BF"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511F2F"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6°</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263CD1"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29 al 35</w:t>
            </w:r>
          </w:p>
        </w:tc>
      </w:tr>
      <w:tr w:rsidR="005B7D35" w:rsidRPr="005B7D35" w14:paraId="52AD6317"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9ACCD7"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7°</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10F85"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36 al 42</w:t>
            </w:r>
          </w:p>
        </w:tc>
      </w:tr>
      <w:tr w:rsidR="005B7D35" w:rsidRPr="005B7D35" w14:paraId="49A19F75"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BF5A45"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8°</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F6FF01"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43 al 49</w:t>
            </w:r>
          </w:p>
        </w:tc>
      </w:tr>
      <w:tr w:rsidR="005B7D35" w:rsidRPr="005B7D35" w14:paraId="5CCA617A"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6F1A07"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9°</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6662B"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50 al 56</w:t>
            </w:r>
          </w:p>
        </w:tc>
      </w:tr>
      <w:tr w:rsidR="005B7D35" w:rsidRPr="005B7D35" w14:paraId="612CB099"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0A67B3"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10°</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92AD3"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57 al 63</w:t>
            </w:r>
          </w:p>
        </w:tc>
      </w:tr>
      <w:tr w:rsidR="005B7D35" w:rsidRPr="005B7D35" w14:paraId="183FF54C"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7FD685"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11°</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55663C"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64 al 69</w:t>
            </w:r>
          </w:p>
        </w:tc>
      </w:tr>
      <w:tr w:rsidR="005B7D35" w:rsidRPr="005B7D35" w14:paraId="557A8A29"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234DB"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12°</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A2A401"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70 al 75</w:t>
            </w:r>
          </w:p>
        </w:tc>
      </w:tr>
      <w:tr w:rsidR="005B7D35" w:rsidRPr="005B7D35" w14:paraId="2244C572"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1331E4"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13°</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6DE05A"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76 al 81</w:t>
            </w:r>
          </w:p>
        </w:tc>
      </w:tr>
      <w:tr w:rsidR="005B7D35" w:rsidRPr="005B7D35" w14:paraId="1F5D2CA1"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577DB5"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14°</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E53B0"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82 al 87</w:t>
            </w:r>
          </w:p>
        </w:tc>
      </w:tr>
      <w:tr w:rsidR="005B7D35" w:rsidRPr="005B7D35" w14:paraId="07268A5D"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85DDFA"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15°</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19038"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88 al 93</w:t>
            </w:r>
          </w:p>
        </w:tc>
      </w:tr>
      <w:tr w:rsidR="005B7D35" w:rsidRPr="005B7D35" w14:paraId="558BC053" w14:textId="77777777" w:rsidTr="009470D4">
        <w:tc>
          <w:tcPr>
            <w:tcW w:w="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96D957"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23"/>
                <w:szCs w:val="23"/>
                <w:lang w:val="es-ES" w:eastAsia="es-ES"/>
              </w:rPr>
              <w:t>16°</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1CCA5A" w14:textId="77777777" w:rsidR="00EE3F35" w:rsidRPr="005B7D35" w:rsidRDefault="00EE3F35" w:rsidP="00EE3F35">
            <w:pPr>
              <w:jc w:val="center"/>
              <w:rPr>
                <w:rFonts w:ascii="Arial" w:eastAsia="Times New Roman" w:hAnsi="Arial" w:cs="Arial"/>
                <w:color w:val="000000" w:themeColor="text1"/>
                <w:sz w:val="23"/>
                <w:szCs w:val="23"/>
                <w:lang w:val="es-ES" w:eastAsia="es-ES"/>
              </w:rPr>
            </w:pPr>
            <w:r w:rsidRPr="005B7D35">
              <w:rPr>
                <w:rFonts w:ascii="Arial" w:eastAsia="Times New Roman" w:hAnsi="Arial" w:cs="Arial"/>
                <w:color w:val="000000" w:themeColor="text1"/>
                <w:sz w:val="17"/>
                <w:szCs w:val="17"/>
                <w:lang w:val="es-ES" w:eastAsia="es-ES"/>
              </w:rPr>
              <w:t>94 al 99</w:t>
            </w:r>
          </w:p>
        </w:tc>
      </w:tr>
    </w:tbl>
    <w:p w14:paraId="6D5E2410" w14:textId="77777777" w:rsidR="00EE3F35" w:rsidRPr="005B7D35" w:rsidRDefault="00EE3F35" w:rsidP="00EE3F35">
      <w:pPr>
        <w:shd w:val="clear" w:color="auto" w:fill="FFFFFF"/>
        <w:jc w:val="both"/>
        <w:rPr>
          <w:rFonts w:ascii="Arial" w:eastAsia="Times New Roman" w:hAnsi="Arial" w:cs="Arial"/>
          <w:color w:val="000000" w:themeColor="text1"/>
          <w:sz w:val="36"/>
          <w:szCs w:val="36"/>
          <w:lang w:val="es-ES" w:eastAsia="es-ES"/>
        </w:rPr>
      </w:pPr>
      <w:r w:rsidRPr="005B7D35">
        <w:rPr>
          <w:rFonts w:ascii="Arial" w:eastAsia="Times New Roman" w:hAnsi="Arial" w:cs="Arial"/>
          <w:color w:val="000000" w:themeColor="text1"/>
          <w:sz w:val="36"/>
          <w:szCs w:val="36"/>
          <w:lang w:val="es-ES" w:eastAsia="es-ES"/>
        </w:rPr>
        <w:t> </w:t>
      </w:r>
    </w:p>
    <w:p w14:paraId="01BDB63B" w14:textId="2506B05D" w:rsidR="009470D4" w:rsidRPr="005B7D35" w:rsidRDefault="009470D4" w:rsidP="009470D4">
      <w:pPr>
        <w:pStyle w:val="Default"/>
        <w:rPr>
          <w:color w:val="000000" w:themeColor="text1"/>
          <w:sz w:val="22"/>
          <w:szCs w:val="22"/>
          <w:lang w:val="es-CO"/>
        </w:rPr>
      </w:pPr>
      <w:r w:rsidRPr="005B7D35">
        <w:rPr>
          <w:color w:val="000000" w:themeColor="text1"/>
          <w:sz w:val="22"/>
          <w:szCs w:val="22"/>
          <w:lang w:val="es-CO"/>
        </w:rPr>
        <w:t xml:space="preserve">Así lo reconoció el Ministerio de Salud recientemente: </w:t>
      </w:r>
    </w:p>
    <w:p w14:paraId="0CA8A71F" w14:textId="77777777" w:rsidR="009470D4" w:rsidRPr="005B7D35" w:rsidRDefault="009470D4" w:rsidP="009470D4">
      <w:pPr>
        <w:pStyle w:val="Default"/>
        <w:rPr>
          <w:color w:val="000000" w:themeColor="text1"/>
          <w:sz w:val="22"/>
          <w:szCs w:val="22"/>
        </w:rPr>
      </w:pPr>
    </w:p>
    <w:p w14:paraId="6604A4B6" w14:textId="36BC79A5" w:rsidR="009470D4" w:rsidRPr="005B7D35" w:rsidRDefault="009470D4" w:rsidP="009470D4">
      <w:pPr>
        <w:pStyle w:val="Default"/>
        <w:tabs>
          <w:tab w:val="left" w:pos="8222"/>
        </w:tabs>
        <w:ind w:left="708" w:right="567"/>
        <w:jc w:val="both"/>
        <w:rPr>
          <w:rFonts w:eastAsia="Times New Roman"/>
          <w:color w:val="000000" w:themeColor="text1"/>
          <w:sz w:val="21"/>
          <w:szCs w:val="21"/>
          <w:lang w:val="es-CO" w:eastAsia="es-CO"/>
        </w:rPr>
      </w:pPr>
      <w:r w:rsidRPr="005B7D35">
        <w:rPr>
          <w:rFonts w:eastAsia="Times New Roman"/>
          <w:color w:val="000000" w:themeColor="text1"/>
          <w:sz w:val="21"/>
          <w:szCs w:val="21"/>
          <w:lang w:val="es-CO" w:eastAsia="es-CO"/>
        </w:rPr>
        <w:t xml:space="preserve">[…], respecto del pago de la seguridad social, como requisito a cumplir por parte de los contratistas de prestación de servicios, le informo que, a la luz de la Ley 1955 de 2019, el artículo 244 establece que la cotización se realiza mes vencido, al disponer lo siguiente: </w:t>
      </w:r>
    </w:p>
    <w:p w14:paraId="77936E2E" w14:textId="77777777" w:rsidR="009470D4" w:rsidRPr="005B7D35" w:rsidRDefault="009470D4" w:rsidP="009470D4">
      <w:pPr>
        <w:pStyle w:val="Default"/>
        <w:tabs>
          <w:tab w:val="left" w:pos="8222"/>
        </w:tabs>
        <w:ind w:left="708" w:right="567"/>
        <w:jc w:val="both"/>
        <w:rPr>
          <w:rFonts w:eastAsia="Times New Roman"/>
          <w:color w:val="000000" w:themeColor="text1"/>
          <w:sz w:val="21"/>
          <w:szCs w:val="21"/>
          <w:lang w:val="es-CO" w:eastAsia="es-CO"/>
        </w:rPr>
      </w:pPr>
    </w:p>
    <w:p w14:paraId="53A11DF1" w14:textId="6A9CD6B1" w:rsidR="009470D4" w:rsidRPr="005B7D35" w:rsidRDefault="009470D4" w:rsidP="009470D4">
      <w:pPr>
        <w:pStyle w:val="Default"/>
        <w:tabs>
          <w:tab w:val="left" w:pos="8222"/>
        </w:tabs>
        <w:ind w:left="708" w:right="567"/>
        <w:jc w:val="both"/>
        <w:rPr>
          <w:i/>
          <w:iCs/>
          <w:color w:val="000000" w:themeColor="text1"/>
          <w:sz w:val="21"/>
          <w:szCs w:val="21"/>
        </w:rPr>
      </w:pPr>
      <w:r w:rsidRPr="005B7D35">
        <w:rPr>
          <w:rFonts w:eastAsia="Times New Roman"/>
          <w:color w:val="000000" w:themeColor="text1"/>
          <w:sz w:val="21"/>
          <w:szCs w:val="21"/>
          <w:lang w:val="es-CO" w:eastAsia="es-CO"/>
        </w:rPr>
        <w:t>ARTÍCULO 244. INGRESO BASE DE COTIZACIÓN (IBC) DE LOS INDEPENDIENTES. Los trabajadores independientes con ingresos netos iguales o superiores a 1 salario mínimo legal mensual vigente que celebren contratos de prestación de servicios personales, cotizarán mes vencido al Sistema de Seguridad Social Integral, sobre una base mínima del 40% del valor mensualizado del contrato, sin incluir el valor del Impuesto al Valor Agregado (IVA). (...). (cursivas fuera de texto)</w:t>
      </w:r>
      <w:r w:rsidRPr="005B7D35">
        <w:rPr>
          <w:i/>
          <w:iCs/>
          <w:color w:val="000000" w:themeColor="text1"/>
          <w:sz w:val="21"/>
          <w:szCs w:val="21"/>
        </w:rPr>
        <w:t xml:space="preserve"> </w:t>
      </w:r>
    </w:p>
    <w:p w14:paraId="1DE52410" w14:textId="77777777" w:rsidR="009470D4" w:rsidRPr="005B7D35" w:rsidRDefault="009470D4" w:rsidP="009470D4">
      <w:pPr>
        <w:pStyle w:val="Default"/>
        <w:tabs>
          <w:tab w:val="left" w:pos="8222"/>
        </w:tabs>
        <w:ind w:left="708" w:right="567"/>
        <w:jc w:val="both"/>
        <w:rPr>
          <w:rFonts w:eastAsia="Times New Roman"/>
          <w:color w:val="000000" w:themeColor="text1"/>
          <w:sz w:val="21"/>
          <w:szCs w:val="21"/>
          <w:lang w:val="es-CO" w:eastAsia="es-CO"/>
        </w:rPr>
      </w:pPr>
    </w:p>
    <w:p w14:paraId="67067D17" w14:textId="4FC97B60" w:rsidR="009470D4" w:rsidRPr="005B7D35" w:rsidRDefault="009470D4" w:rsidP="009470D4">
      <w:pPr>
        <w:pStyle w:val="Default"/>
        <w:ind w:left="708" w:right="567"/>
        <w:jc w:val="both"/>
        <w:rPr>
          <w:rFonts w:eastAsia="Times New Roman"/>
          <w:color w:val="000000" w:themeColor="text1"/>
          <w:sz w:val="21"/>
          <w:szCs w:val="21"/>
          <w:lang w:val="es-CO" w:eastAsia="es-CO"/>
        </w:rPr>
      </w:pPr>
      <w:r w:rsidRPr="005B7D35">
        <w:rPr>
          <w:rFonts w:eastAsia="Times New Roman"/>
          <w:color w:val="000000" w:themeColor="text1"/>
          <w:sz w:val="21"/>
          <w:szCs w:val="21"/>
          <w:lang w:val="es-CO" w:eastAsia="es-CO"/>
        </w:rPr>
        <w:t xml:space="preserve">Es decir, se entiende por mes vencido, el aporte posterior que realiza un contratista independiente, al Sistema de Seguridad Social Integral, el cual debe ser sobre la base mínima del 40% del valor mensual del mismo. A manera de ejemplo, el pago de septiembre se paga en el mes de octubre, y así sucesivamente, cumpliendo en estricto orden con las fechas o plazos de pago, según los últimos dos dígitos del documento de identidad, conforme a lo establecido en el Decreto 1990 de 2016, por el cual se “Sustitúyase el Título 2 de la Parte 2 del Libro 3 del Decreto Único Reglamentario del Sector Salud y Protección Social, Decreto 780 de 2016, el cual </w:t>
      </w:r>
      <w:r w:rsidRPr="005B7D35">
        <w:rPr>
          <w:rFonts w:eastAsia="Times New Roman"/>
          <w:color w:val="000000" w:themeColor="text1"/>
          <w:sz w:val="21"/>
          <w:szCs w:val="21"/>
          <w:lang w:val="es-CO" w:eastAsia="es-CO"/>
        </w:rPr>
        <w:lastRenderedPageBreak/>
        <w:t>quedará así: TÍTULO 2 PLAZOS PARA EL PAGO, Artículo 3.2.2.1.Plazos para la autoliquidación y el pago de los aportes al Sistema de Seguridad Social Integral y Aportes Parafiscales.(...)”</w:t>
      </w:r>
      <w:r w:rsidRPr="005B7D35">
        <w:rPr>
          <w:rStyle w:val="Refdenotaalpie"/>
          <w:rFonts w:eastAsia="Times New Roman"/>
          <w:color w:val="000000" w:themeColor="text1"/>
          <w:sz w:val="21"/>
          <w:szCs w:val="21"/>
          <w:lang w:val="es-CO" w:eastAsia="es-CO"/>
        </w:rPr>
        <w:footnoteReference w:id="8"/>
      </w:r>
    </w:p>
    <w:p w14:paraId="2E907881" w14:textId="77777777" w:rsidR="009470D4" w:rsidRPr="005B7D35" w:rsidRDefault="009470D4" w:rsidP="009470D4">
      <w:pPr>
        <w:pStyle w:val="Default"/>
        <w:rPr>
          <w:color w:val="000000" w:themeColor="text1"/>
          <w:sz w:val="22"/>
          <w:szCs w:val="22"/>
        </w:rPr>
      </w:pPr>
    </w:p>
    <w:p w14:paraId="7EF9D3B0" w14:textId="1C1A3DC0" w:rsidR="009470D4" w:rsidRPr="005B7D35" w:rsidRDefault="009470D4" w:rsidP="009470D4">
      <w:pPr>
        <w:pStyle w:val="Default"/>
        <w:spacing w:line="276" w:lineRule="auto"/>
        <w:ind w:firstLine="708"/>
        <w:rPr>
          <w:color w:val="000000" w:themeColor="text1"/>
          <w:sz w:val="22"/>
          <w:szCs w:val="22"/>
          <w:lang w:val="es-CO"/>
        </w:rPr>
      </w:pPr>
      <w:r w:rsidRPr="005B7D35">
        <w:rPr>
          <w:color w:val="000000" w:themeColor="text1"/>
          <w:sz w:val="22"/>
          <w:szCs w:val="22"/>
          <w:lang w:val="es-CO"/>
        </w:rPr>
        <w:t xml:space="preserve">De lo anterior, puede concluirse: </w:t>
      </w:r>
    </w:p>
    <w:p w14:paraId="35BFBB67" w14:textId="77777777" w:rsidR="009470D4" w:rsidRPr="005B7D35" w:rsidRDefault="009470D4" w:rsidP="009470D4">
      <w:pPr>
        <w:pStyle w:val="Default"/>
        <w:spacing w:line="276" w:lineRule="auto"/>
        <w:ind w:firstLine="708"/>
        <w:rPr>
          <w:color w:val="000000" w:themeColor="text1"/>
          <w:sz w:val="22"/>
          <w:szCs w:val="22"/>
          <w:lang w:val="es-CO"/>
        </w:rPr>
      </w:pPr>
    </w:p>
    <w:p w14:paraId="513AFC33" w14:textId="77777777" w:rsidR="009470D4" w:rsidRPr="005B7D35" w:rsidRDefault="009470D4" w:rsidP="009470D4">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i) Los contratistas de prestación de servicios –trabajadores independientes–, que devenguen una suma neta igual o superior a un salario mínimo legal mensual vigente, tienen la obligación de pagar sus aportes al Sistema de Seguridad Social Integral, mes vencido, sobre la base mínima del 40% del valor mensualizado del contrato, sin incluir el IVA. Así se deduce actualmente del artículo 244 de la Ley 1955 de 2019. </w:t>
      </w:r>
    </w:p>
    <w:p w14:paraId="5EEA14B4" w14:textId="77777777" w:rsidR="009470D4" w:rsidRPr="005B7D35" w:rsidRDefault="009470D4" w:rsidP="009470D4">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ii) Los contratistas obligados a cotizar al Sistema de Seguridad Social Integral deben hacerlo, a más tardar, en los días hábiles previstos en el artículo 3.2.2.1. del Decreto 1990 de 2016, según los dos últimos dígitos del NIT o documento de identificación, por el mes anterior. Así, por ejemplo, el pago de los aportes a la seguridad social del mes de diciembre debe efectuarse en enero, según los plazos establecidos en dicho Decreto. </w:t>
      </w:r>
    </w:p>
    <w:p w14:paraId="1A7B0CE9" w14:textId="77777777" w:rsidR="009470D4" w:rsidRPr="005B7D35" w:rsidRDefault="009470D4" w:rsidP="009470D4">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iii) Como las entidades estatales tienen el deber de verificar, para «cada pago», que los contratistas hayan cumplido sus obligaciones con el Sistema de Seguridad Social Integral –pues no otra cosa se infiere del artículo 23 de la Ley 1150 de 2007–, dichas entidades deben revisar que el contratista haya cotizado al sistema, de manera correcta, según el Ingreso Base de Cotización (IBC) del mes anterior. Por consiguiente –teniendo en cuenta la hipótesis de la consulta–, para el pago de los honorarios devengados por el contratista durante el mes de diciembre las entidades estatales deben verificar la cotización con la planilla del mes de noviembre. En consecuencia, si en el contrato quedó estipulado que el pago de los honorarios devengados por el contratista en diciembre se haría por parte de la entidad estatal durante ese mismo mes, una vez presentada la cuenta de cobro o factura correspondiente, el contratante no puede exigirle al contratista la presentación de la planilla que acredite la cotización al sistema de Seguridad Social Integral del mes de diciembre, pues él tiene derecho a cotizar mes vencido, o sea, a hacerlo en enero, según la fecha de corte establecida en el artículo 3.2.2.1. del Decreto 1990 de 2016. </w:t>
      </w:r>
    </w:p>
    <w:p w14:paraId="3CC81203" w14:textId="15959512" w:rsidR="00EE3F35" w:rsidRPr="005B7D35" w:rsidRDefault="009470D4" w:rsidP="009470D4">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 xml:space="preserve">iv) Ahora bien, si en el contrato se establece un plazo para que la entidad estatal le pague los honorarios al contratista, que supera el mes en el que este presenta su última cuenta de cobro o factura, pero que no excede del plazo que el contratista tiene para hacer su cotización al Sistema de Seguridad Social Integral, por el mes vencido, la entidad estatal tampoco puede exigirle la planilla del mes de los honorarios que le pagará como requisito para cancelárselos. Dicho en otras palabras y en términos ilustrativos, si la entidad puede pagarle al contratista la cuenta de cobro o factura de diciembre hasta el 15 de enero –porque constituyó la correspondiente cuenta por pagar, según el artículo 89 del Decreto 111 de </w:t>
      </w:r>
      <w:r w:rsidRPr="005B7D35">
        <w:rPr>
          <w:rFonts w:ascii="Arial" w:hAnsi="Arial" w:cs="Arial"/>
          <w:color w:val="000000" w:themeColor="text1"/>
          <w:sz w:val="22"/>
          <w:lang w:val="es-CO"/>
        </w:rPr>
        <w:lastRenderedPageBreak/>
        <w:t>1996</w:t>
      </w:r>
      <w:r w:rsidRPr="005B7D35">
        <w:rPr>
          <w:rStyle w:val="Refdenotaalpie"/>
          <w:rFonts w:ascii="Arial" w:hAnsi="Arial" w:cs="Arial"/>
          <w:color w:val="000000" w:themeColor="text1"/>
          <w:sz w:val="22"/>
          <w:lang w:val="es-CO"/>
        </w:rPr>
        <w:footnoteReference w:id="9"/>
      </w:r>
      <w:r w:rsidRPr="005B7D35">
        <w:rPr>
          <w:rFonts w:ascii="Arial" w:hAnsi="Arial" w:cs="Arial"/>
          <w:color w:val="000000" w:themeColor="text1"/>
          <w:sz w:val="22"/>
          <w:lang w:val="es-CO"/>
        </w:rPr>
        <w:t xml:space="preserve"> y el artículo 13 del Decreto 115 de 1996</w:t>
      </w:r>
      <w:r w:rsidR="006C3034" w:rsidRPr="005B7D35">
        <w:rPr>
          <w:rStyle w:val="Refdenotaalpie"/>
          <w:rFonts w:ascii="Arial" w:hAnsi="Arial" w:cs="Arial"/>
          <w:color w:val="000000" w:themeColor="text1"/>
          <w:sz w:val="22"/>
          <w:lang w:val="es-CO"/>
        </w:rPr>
        <w:footnoteReference w:id="10"/>
      </w:r>
      <w:r w:rsidRPr="005B7D35">
        <w:rPr>
          <w:rFonts w:ascii="Arial" w:hAnsi="Arial" w:cs="Arial"/>
          <w:color w:val="000000" w:themeColor="text1"/>
          <w:sz w:val="22"/>
          <w:lang w:val="es-CO"/>
        </w:rPr>
        <w:t>–, pero el contratista tiene plazo para cotizar al Sistema de Seguridad Social Integral por el IBC devengado en diciembre hasta el día hábil 16 de enero –pues su número de identificación termina en 95–, la entidad estatal le debe pagar con la verificación de la planilla de aportes de noviembre.</w:t>
      </w:r>
    </w:p>
    <w:p w14:paraId="54B19FEA" w14:textId="77777777" w:rsidR="006C3034" w:rsidRPr="005B7D35" w:rsidRDefault="006C3034" w:rsidP="006C3034">
      <w:pPr>
        <w:pStyle w:val="Default"/>
        <w:spacing w:line="276" w:lineRule="auto"/>
        <w:ind w:firstLine="708"/>
        <w:jc w:val="both"/>
        <w:rPr>
          <w:color w:val="000000" w:themeColor="text1"/>
          <w:sz w:val="22"/>
          <w:szCs w:val="22"/>
          <w:lang w:val="es-CO"/>
        </w:rPr>
      </w:pPr>
      <w:r w:rsidRPr="005B7D35">
        <w:rPr>
          <w:color w:val="000000" w:themeColor="text1"/>
          <w:sz w:val="22"/>
          <w:szCs w:val="22"/>
          <w:lang w:val="es-CO"/>
        </w:rPr>
        <w:t xml:space="preserve">v) No obstante, aún en los casos en los cuales la entidad estatal le pague al contratista los honorarios devengados en el último mes de ejecución del contrato con la planilla del mes anterior –o sea, aun cuando ya la entidad pública haya realizado el último pago–, esta conserva la obligación de verificar que el contratista cotice por lo devengado en el último mes, así ya no tenga pagos pendientes por hacerle; pues esto es lo que se concluye de la lectura del artículo 50 de la Ley 789 de 2002, cuando dispone que «Las Entidades públicas en el momento de liquidar los contratos deberán verificar y dejar constancia del cumplimiento de las obligaciones del contratista frente a los aportes mencionados durante toda su vigencia […]». Y como la vigencia del contrato no termina sino hasta que se extinguen todas las obligaciones, según el artículo 1625 del Código Civil –tal como se explicó en este concepto–, el contratista mantiene la obligación de cotizar a la seguridad social por lo devengado en el último mes y la entidad estatal conserva, a su vez, la obligación de verificar que aquel cumpla con dicho deber, a pesar de que ya le haya pagado su última factura o cuenta de cobro. En caso de que advierta un incumplimiento de dicha obligación por parte del contratista, deberá reportarlo ante las autoridades competentes. Por tanto, a título de ejemplo, si la entidad estatal le paga al contratista los honorarios de diciembre el 31 de este mismo mes o el día hábil 12 de enero, pero el contratista tiene plazo para cotizar al Sistema de Seguridad Social Integral por lo devengado en diciembre hasta el día hábil 15 de enero, la entidad estatal debe verificar a partir del día hábil 16 de enero que el contratista haya cumplido con esta obligación, así ya le haya efectuado el pago y, en caso negativo, </w:t>
      </w:r>
      <w:r w:rsidRPr="005B7D35">
        <w:rPr>
          <w:color w:val="000000" w:themeColor="text1"/>
          <w:sz w:val="22"/>
          <w:szCs w:val="22"/>
          <w:lang w:val="es-CO"/>
        </w:rPr>
        <w:lastRenderedPageBreak/>
        <w:t xml:space="preserve">requerirlo y reportarlo a las autoridades competentes para adelantar las investigaciones y procedimientos administrativos sancionatorios pertinentes, entre las que se encuentra la Unidad de Gestión Pensional y Parafiscales [UGPP]. </w:t>
      </w:r>
    </w:p>
    <w:p w14:paraId="45767114" w14:textId="3D50A515" w:rsidR="00EE3F35" w:rsidRPr="005B7D35" w:rsidRDefault="006C3034" w:rsidP="006C3034">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vi) Ahora bien, para que las entidades estatales puedan cumplir eficazmente su deber de verificar que el contratista satisfaga, durante toda la vigencia del contrato, su obligación de cotizar al Sistema de Seguridad Social Integral, esta Subdirección recomienda que en los contratos estatales se establezca un plazo de pago de los honorarios, que vaya más allá de la fecha límite que tiene el contratista para cancelar sus aportes al Sistema de Seguridad Social Integral por el mes vencido, de manera que la entidad pública pueda condicionar el pago de los honorarios a la cotización del mes anterior, y concretamente, que le pueda exigir al contratista la planilla de diciembre para pagarle los honorarios de este mes. Ello sin perjuicio del deber que también tiene la entidad estatal de verificar el pago de la seguridad social de noviembre.</w:t>
      </w:r>
    </w:p>
    <w:bookmarkEnd w:id="4"/>
    <w:p w14:paraId="17264C72" w14:textId="334F6CFC" w:rsidR="00EE3F35" w:rsidRPr="005B7D35" w:rsidRDefault="00EE3F35" w:rsidP="00853034">
      <w:pPr>
        <w:spacing w:line="276" w:lineRule="auto"/>
        <w:ind w:firstLine="708"/>
        <w:jc w:val="both"/>
        <w:rPr>
          <w:rFonts w:ascii="Arial" w:hAnsi="Arial" w:cs="Arial"/>
          <w:color w:val="000000" w:themeColor="text1"/>
          <w:sz w:val="22"/>
          <w:lang w:val="es-CO"/>
        </w:rPr>
      </w:pPr>
    </w:p>
    <w:p w14:paraId="53494096" w14:textId="11D925F2" w:rsidR="007B0854" w:rsidRPr="005B7D35" w:rsidRDefault="007B0854" w:rsidP="00BB4763">
      <w:pPr>
        <w:pStyle w:val="Prrafodelista"/>
        <w:numPr>
          <w:ilvl w:val="0"/>
          <w:numId w:val="7"/>
        </w:numPr>
        <w:tabs>
          <w:tab w:val="left" w:pos="284"/>
        </w:tabs>
        <w:spacing w:line="276" w:lineRule="auto"/>
        <w:ind w:left="284"/>
        <w:jc w:val="both"/>
        <w:rPr>
          <w:rFonts w:ascii="Arial" w:eastAsia="Calibri" w:hAnsi="Arial" w:cs="Arial"/>
          <w:color w:val="000000" w:themeColor="text1"/>
          <w:sz w:val="22"/>
        </w:rPr>
      </w:pPr>
      <w:r w:rsidRPr="005B7D35">
        <w:rPr>
          <w:rFonts w:ascii="Arial" w:eastAsia="Calibri" w:hAnsi="Arial" w:cs="Arial"/>
          <w:b/>
          <w:color w:val="000000" w:themeColor="text1"/>
          <w:sz w:val="22"/>
        </w:rPr>
        <w:t>Respuesta</w:t>
      </w:r>
    </w:p>
    <w:p w14:paraId="3C3FAEDB" w14:textId="77777777" w:rsidR="007B0854" w:rsidRPr="005B7D35" w:rsidRDefault="007B0854" w:rsidP="007B0854">
      <w:pPr>
        <w:spacing w:line="276" w:lineRule="auto"/>
        <w:ind w:left="709" w:right="709"/>
        <w:jc w:val="both"/>
        <w:rPr>
          <w:rFonts w:ascii="Arial" w:eastAsia="Calibri" w:hAnsi="Arial" w:cs="Arial"/>
          <w:i/>
          <w:color w:val="000000" w:themeColor="text1"/>
          <w:sz w:val="22"/>
        </w:rPr>
      </w:pPr>
    </w:p>
    <w:p w14:paraId="003F6F36" w14:textId="77777777" w:rsidR="00543F4A" w:rsidRPr="005B7D35" w:rsidRDefault="00543F4A" w:rsidP="00543F4A">
      <w:pPr>
        <w:tabs>
          <w:tab w:val="left" w:pos="426"/>
        </w:tabs>
        <w:spacing w:line="276" w:lineRule="auto"/>
        <w:ind w:left="708" w:right="426"/>
        <w:jc w:val="both"/>
        <w:rPr>
          <w:rFonts w:ascii="Arial" w:eastAsia="Calibri" w:hAnsi="Arial" w:cs="Arial"/>
          <w:color w:val="000000" w:themeColor="text1"/>
          <w:sz w:val="22"/>
        </w:rPr>
      </w:pPr>
      <w:r w:rsidRPr="005B7D35">
        <w:rPr>
          <w:rFonts w:ascii="Arial" w:eastAsia="Calibri" w:hAnsi="Arial" w:cs="Arial"/>
          <w:color w:val="000000" w:themeColor="text1"/>
          <w:sz w:val="22"/>
        </w:rPr>
        <w:t xml:space="preserve">«Quisiera saber si para presentar una licitación pública, es obligatorio estar cotizando al sistema de seguridad social como independiente, así en el momento de presentar la licitación, la persona no tenga trabajo ni ningún contrato vigente. Esta pregunta se hace, porque la mayoría de las entidades están solicitando las planillas de pago de seguridad social como independientes. ¿Entonces si una persona está sin contratos y sin trabajo, está obligado a cotizar solo para poder presentar licitaciones?». </w:t>
      </w:r>
    </w:p>
    <w:p w14:paraId="3D0AACF4" w14:textId="77777777" w:rsidR="002D3467" w:rsidRPr="005B7D35" w:rsidRDefault="002D3467" w:rsidP="002D3467">
      <w:pPr>
        <w:tabs>
          <w:tab w:val="left" w:pos="426"/>
        </w:tabs>
        <w:spacing w:line="276" w:lineRule="auto"/>
        <w:ind w:left="708" w:right="709"/>
        <w:jc w:val="both"/>
        <w:rPr>
          <w:rFonts w:ascii="Arial" w:eastAsia="Calibri" w:hAnsi="Arial" w:cs="Arial"/>
          <w:color w:val="000000" w:themeColor="text1"/>
          <w:sz w:val="22"/>
        </w:rPr>
      </w:pPr>
    </w:p>
    <w:p w14:paraId="32703040" w14:textId="6ADEE830" w:rsidR="000D2F5F" w:rsidRPr="005B7D35" w:rsidRDefault="000D2F5F" w:rsidP="000D2F5F">
      <w:pPr>
        <w:spacing w:line="276" w:lineRule="auto"/>
        <w:jc w:val="both"/>
        <w:rPr>
          <w:rFonts w:ascii="Arial" w:hAnsi="Arial" w:cs="Arial"/>
          <w:color w:val="000000" w:themeColor="text1"/>
          <w:sz w:val="22"/>
          <w:lang w:val="es-CO"/>
        </w:rPr>
      </w:pPr>
      <w:r w:rsidRPr="005B7D35">
        <w:rPr>
          <w:rFonts w:ascii="Arial" w:hAnsi="Arial" w:cs="Arial"/>
          <w:color w:val="000000" w:themeColor="text1"/>
          <w:sz w:val="22"/>
          <w:lang w:val="es-CO"/>
        </w:rPr>
        <w:t xml:space="preserve">Las entidades estatales tienen el deber de verificar el pago al sistema de seguridad social dependiendo si el contrato se celebra con una persona natural o con una jurídica: i) el inciso segundo del artículo 41 de la Ley 80 de 1993 señala que el proponente y el contratista deberán acreditar el pago de la  seguridad social para realizar cada pago derivado del contrato, en este caso se refiere tanto a la persona natural como a la jurídica; y ii) el artículo 50 de la Ley 789 de 2002 establece que las personas jurídicas, para presentar la oferta, deben aportar el certificado del revisor fiscal o del representante legal que acredite el pago del sistema de seguridad social de sus empleados. </w:t>
      </w:r>
    </w:p>
    <w:p w14:paraId="0291B768" w14:textId="0AAA31C6" w:rsidR="000D2F5F" w:rsidRPr="005B7D35" w:rsidRDefault="000D2F5F" w:rsidP="000D2F5F">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 xml:space="preserve">En otras palabras, para las personas naturales, la acreditación del pago de seguridad social se verifica durante la ejecución del contrato, como condición para el pago del contrato. Por su parte, las personas jurídicas deberán acreditar el pago de la seguridad social no sólo durante la ejecución del contrato, sino también como un requisito para presentar la oferta, constituyéndose ese requisito en un criterio de la admisión de la oferta. </w:t>
      </w:r>
    </w:p>
    <w:p w14:paraId="464165F9" w14:textId="3E441E52" w:rsidR="000D2F5F" w:rsidRPr="005B7D35" w:rsidRDefault="000D2F5F" w:rsidP="000D2F5F">
      <w:pPr>
        <w:spacing w:line="276" w:lineRule="auto"/>
        <w:ind w:firstLine="708"/>
        <w:jc w:val="both"/>
        <w:rPr>
          <w:rFonts w:ascii="Arial" w:hAnsi="Arial" w:cs="Arial"/>
          <w:color w:val="000000" w:themeColor="text1"/>
          <w:sz w:val="22"/>
          <w:lang w:val="es-CO"/>
        </w:rPr>
      </w:pPr>
      <w:r w:rsidRPr="005B7D35">
        <w:rPr>
          <w:rFonts w:ascii="Arial" w:hAnsi="Arial" w:cs="Arial"/>
          <w:color w:val="000000" w:themeColor="text1"/>
          <w:sz w:val="22"/>
          <w:lang w:val="es-CO"/>
        </w:rPr>
        <w:t xml:space="preserve">Por otro lado, la afiliación- no el pago- al sistema de seguridad social de salud y pensiones, se verificará, en virtud del artículo 26 de la Ley 1393 de 2010 y del artículo 50 de la Ley 789 de 2002, al celebrar el contrato estatal, es decir, en el momento que se va a </w:t>
      </w:r>
      <w:r w:rsidRPr="005B7D35">
        <w:rPr>
          <w:rFonts w:ascii="Arial" w:hAnsi="Arial" w:cs="Arial"/>
          <w:color w:val="000000" w:themeColor="text1"/>
          <w:sz w:val="22"/>
          <w:lang w:val="es-CO"/>
        </w:rPr>
        <w:lastRenderedPageBreak/>
        <w:t>perfeccionar el contrato, siempre y cuando, el contrato se celebre con una persona natural, toda vez que las personas jurídicas no se afilian al Sistema de Seguridad Social.</w:t>
      </w:r>
    </w:p>
    <w:p w14:paraId="03EA695F" w14:textId="77777777" w:rsidR="007B0854" w:rsidRPr="005B7D35" w:rsidRDefault="007B0854" w:rsidP="007B0854">
      <w:pPr>
        <w:spacing w:line="276" w:lineRule="auto"/>
        <w:ind w:firstLine="708"/>
        <w:jc w:val="both"/>
        <w:rPr>
          <w:rFonts w:ascii="Arial" w:eastAsia="Calibri" w:hAnsi="Arial" w:cs="Arial"/>
          <w:color w:val="000000" w:themeColor="text1"/>
          <w:sz w:val="22"/>
        </w:rPr>
      </w:pPr>
      <w:r w:rsidRPr="005B7D35">
        <w:rPr>
          <w:rFonts w:ascii="Arial" w:eastAsia="Calibri" w:hAnsi="Arial" w:cs="Arial"/>
          <w:color w:val="000000" w:themeColor="text1"/>
          <w:sz w:val="22"/>
        </w:rPr>
        <w:t>Este concepto tiene el alcance previsto en el artículo 28 del Código de Procedimiento Administrativo y de lo Contencioso Administrativo.</w:t>
      </w:r>
    </w:p>
    <w:p w14:paraId="52D9179C" w14:textId="77777777" w:rsidR="007B0854" w:rsidRPr="005B7D35" w:rsidRDefault="007B0854" w:rsidP="007B0854">
      <w:pPr>
        <w:spacing w:line="276" w:lineRule="auto"/>
        <w:jc w:val="both"/>
        <w:rPr>
          <w:rFonts w:ascii="Arial" w:eastAsia="Calibri" w:hAnsi="Arial" w:cs="Arial"/>
          <w:color w:val="000000" w:themeColor="text1"/>
          <w:sz w:val="22"/>
        </w:rPr>
      </w:pPr>
    </w:p>
    <w:p w14:paraId="54284AB1" w14:textId="7BC2C58D" w:rsidR="007B0854" w:rsidRPr="005B7D35" w:rsidRDefault="007B0854" w:rsidP="00867885">
      <w:pPr>
        <w:jc w:val="both"/>
        <w:rPr>
          <w:rFonts w:ascii="Arial" w:eastAsia="Times New Roman" w:hAnsi="Arial" w:cs="Arial"/>
          <w:color w:val="000000" w:themeColor="text1"/>
          <w:sz w:val="22"/>
          <w:lang w:eastAsia="es-CO"/>
        </w:rPr>
      </w:pPr>
      <w:r w:rsidRPr="005B7D35">
        <w:rPr>
          <w:noProof/>
          <w:color w:val="000000" w:themeColor="text1"/>
          <w:lang w:val="en-US"/>
        </w:rPr>
        <mc:AlternateContent>
          <mc:Choice Requires="wps">
            <w:drawing>
              <wp:anchor distT="0" distB="0" distL="114300" distR="114300" simplePos="0" relativeHeight="251657216" behindDoc="0" locked="0" layoutInCell="1" allowOverlap="1" wp14:anchorId="69DD9D77" wp14:editId="75EEDA8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2579428">
              <v:line id="Conector recto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F1AA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r w:rsidRPr="005B7D35">
        <w:rPr>
          <w:rFonts w:ascii="Arial" w:eastAsia="Times New Roman" w:hAnsi="Arial" w:cs="Arial"/>
          <w:color w:val="000000" w:themeColor="text1"/>
          <w:sz w:val="22"/>
          <w:lang w:eastAsia="es-CO"/>
        </w:rPr>
        <w:t>Atentamente,</w:t>
      </w:r>
    </w:p>
    <w:p w14:paraId="28C643A4" w14:textId="39C35F3C" w:rsidR="007B0854" w:rsidRPr="005B7D35" w:rsidRDefault="00A52C2F" w:rsidP="007B0854">
      <w:pPr>
        <w:jc w:val="center"/>
        <w:rPr>
          <w:rFonts w:ascii="Arial" w:eastAsia="Times New Roman" w:hAnsi="Arial" w:cs="Arial"/>
          <w:color w:val="000000" w:themeColor="text1"/>
          <w:sz w:val="18"/>
          <w:szCs w:val="20"/>
          <w:lang w:eastAsia="es-CO"/>
        </w:rPr>
      </w:pPr>
      <w:r>
        <w:rPr>
          <w:noProof/>
          <w:lang w:val="en-US"/>
        </w:rPr>
        <w:drawing>
          <wp:inline distT="0" distB="0" distL="0" distR="0" wp14:anchorId="17295924" wp14:editId="45FAA63B">
            <wp:extent cx="2773045" cy="988695"/>
            <wp:effectExtent l="0" t="0" r="0" b="0"/>
            <wp:docPr id="139480204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91DAE2A" w14:textId="77777777" w:rsidR="007B0854" w:rsidRPr="005B7D35" w:rsidRDefault="007B0854" w:rsidP="007B0854">
      <w:pPr>
        <w:rPr>
          <w:rFonts w:ascii="Arial" w:eastAsia="Times New Roman" w:hAnsi="Arial" w:cs="Arial"/>
          <w:color w:val="000000" w:themeColor="text1"/>
          <w:sz w:val="18"/>
          <w:szCs w:val="20"/>
          <w:lang w:eastAsia="es-CO"/>
        </w:rPr>
      </w:pPr>
    </w:p>
    <w:p w14:paraId="7591B3A3" w14:textId="43D1B332" w:rsidR="007B0854" w:rsidRPr="005B7D35" w:rsidRDefault="007B0854" w:rsidP="0078122E">
      <w:pPr>
        <w:rPr>
          <w:rFonts w:ascii="Arial" w:eastAsia="Times New Roman" w:hAnsi="Arial" w:cs="Arial"/>
          <w:color w:val="000000" w:themeColor="text1"/>
          <w:sz w:val="18"/>
          <w:szCs w:val="20"/>
          <w:lang w:eastAsia="es-CO"/>
        </w:rPr>
      </w:pPr>
      <w:r w:rsidRPr="005B7D35">
        <w:rPr>
          <w:rFonts w:ascii="Arial" w:eastAsia="Times New Roman" w:hAnsi="Arial" w:cs="Arial"/>
          <w:color w:val="000000" w:themeColor="text1"/>
          <w:sz w:val="18"/>
          <w:szCs w:val="20"/>
          <w:lang w:eastAsia="es-CO"/>
        </w:rPr>
        <w:t xml:space="preserve">Proyectó: </w:t>
      </w:r>
      <w:r w:rsidR="007C211F" w:rsidRPr="005B7D35">
        <w:rPr>
          <w:rFonts w:ascii="Arial" w:eastAsia="Times New Roman" w:hAnsi="Arial" w:cs="Arial"/>
          <w:color w:val="000000" w:themeColor="text1"/>
          <w:sz w:val="18"/>
          <w:szCs w:val="20"/>
          <w:lang w:eastAsia="es-CO"/>
        </w:rPr>
        <w:t>Leider Gómez Caballero</w:t>
      </w:r>
    </w:p>
    <w:bookmarkEnd w:id="0"/>
    <w:p w14:paraId="1577D03D" w14:textId="77777777" w:rsidR="007B0854" w:rsidRPr="005B7D35" w:rsidRDefault="007B0854" w:rsidP="0078122E">
      <w:pPr>
        <w:rPr>
          <w:rFonts w:ascii="Arial" w:eastAsia="Calibri" w:hAnsi="Arial" w:cs="Arial"/>
          <w:color w:val="000000" w:themeColor="text1"/>
          <w:sz w:val="20"/>
          <w:szCs w:val="20"/>
        </w:rPr>
      </w:pPr>
    </w:p>
    <w:sectPr w:rsidR="007B0854" w:rsidRPr="005B7D35" w:rsidSect="00F84899">
      <w:headerReference w:type="default" r:id="rId12"/>
      <w:footerReference w:type="default" r:id="rId13"/>
      <w:pgSz w:w="12240" w:h="15840"/>
      <w:pgMar w:top="1779"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4B2EA" w14:textId="77777777" w:rsidR="00BA000C" w:rsidRDefault="00BA000C">
      <w:r>
        <w:separator/>
      </w:r>
    </w:p>
  </w:endnote>
  <w:endnote w:type="continuationSeparator" w:id="0">
    <w:p w14:paraId="3979BA2C" w14:textId="77777777" w:rsidR="00BA000C" w:rsidRDefault="00BA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569B" w14:textId="760DF9A4" w:rsidR="00C82F25" w:rsidRDefault="00C82F25" w:rsidP="007B0854">
    <w:pPr>
      <w:pStyle w:val="Sinespaciado"/>
      <w:jc w:val="center"/>
      <w:rPr>
        <w:rFonts w:ascii="Arial" w:hAnsi="Arial" w:cs="Arial"/>
        <w:sz w:val="18"/>
        <w:szCs w:val="18"/>
      </w:rPr>
    </w:pPr>
  </w:p>
  <w:p w14:paraId="112F11DA" w14:textId="77777777" w:rsidR="005D4944" w:rsidRDefault="005D4944" w:rsidP="007B0854">
    <w:pPr>
      <w:pStyle w:val="Sinespaciado"/>
      <w:jc w:val="center"/>
      <w:rPr>
        <w:rFonts w:ascii="Arial" w:hAnsi="Arial" w:cs="Arial"/>
        <w:sz w:val="18"/>
        <w:szCs w:val="18"/>
      </w:rPr>
    </w:pPr>
  </w:p>
  <w:p w14:paraId="312C4A14" w14:textId="31FA3254" w:rsidR="007B0854" w:rsidRDefault="007B0854" w:rsidP="007B0854">
    <w:pPr>
      <w:pStyle w:val="Sinespaciado"/>
      <w:jc w:val="center"/>
      <w:rPr>
        <w:noProof/>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63257E">
      <w:rPr>
        <w:rFonts w:ascii="Arial" w:hAnsi="Arial" w:cs="Arial"/>
        <w:noProof/>
        <w:sz w:val="18"/>
        <w:szCs w:val="18"/>
      </w:rPr>
      <w:t>1</w:t>
    </w:r>
    <w:r w:rsidRPr="00D04413">
      <w:rPr>
        <w:rFonts w:ascii="Arial" w:hAnsi="Arial" w:cs="Arial"/>
        <w:sz w:val="18"/>
        <w:szCs w:val="18"/>
      </w:rPr>
      <w:fldChar w:fldCharType="end"/>
    </w:r>
  </w:p>
  <w:p w14:paraId="48FC6A04" w14:textId="1EE18C69" w:rsidR="009047C5" w:rsidRPr="007B0854" w:rsidRDefault="01105039" w:rsidP="007B0854">
    <w:pPr>
      <w:pStyle w:val="Piedepgina"/>
      <w:jc w:val="center"/>
      <w:rPr>
        <w:lang w:val="es-ES"/>
      </w:rPr>
    </w:pPr>
    <w:r>
      <w:rPr>
        <w:noProof/>
        <w:lang w:val="en-US"/>
      </w:rPr>
      <w:drawing>
        <wp:inline distT="0" distB="0" distL="0" distR="0" wp14:anchorId="608B196D" wp14:editId="2A1DC29E">
          <wp:extent cx="4241994" cy="595165"/>
          <wp:effectExtent l="0" t="0" r="6350" b="0"/>
          <wp:docPr id="1124538826"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E99260C" w14:textId="77777777" w:rsidR="00E1062F" w:rsidRDefault="00E106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2A83" w14:textId="77777777" w:rsidR="00BA000C" w:rsidRDefault="00BA000C">
      <w:r>
        <w:separator/>
      </w:r>
    </w:p>
  </w:footnote>
  <w:footnote w:type="continuationSeparator" w:id="0">
    <w:p w14:paraId="05327152" w14:textId="77777777" w:rsidR="00BA000C" w:rsidRDefault="00BA000C">
      <w:r>
        <w:continuationSeparator/>
      </w:r>
    </w:p>
  </w:footnote>
  <w:footnote w:id="1">
    <w:p w14:paraId="75BBAF47" w14:textId="0FEC56D7" w:rsidR="00620199" w:rsidRPr="005B7D35" w:rsidRDefault="00575013" w:rsidP="00F86796">
      <w:pPr>
        <w:pStyle w:val="NormalWeb"/>
        <w:spacing w:before="0" w:beforeAutospacing="0" w:after="0" w:afterAutospacing="0"/>
        <w:ind w:firstLine="708"/>
        <w:jc w:val="both"/>
        <w:rPr>
          <w:rFonts w:ascii="Arial" w:hAnsi="Arial" w:cs="Arial"/>
          <w:color w:val="000000" w:themeColor="text1"/>
          <w:sz w:val="19"/>
          <w:szCs w:val="19"/>
          <w:lang w:eastAsia="en-US"/>
        </w:rPr>
      </w:pPr>
      <w:r w:rsidRPr="005B7D35">
        <w:rPr>
          <w:rStyle w:val="Refdenotaalpie"/>
          <w:rFonts w:asciiTheme="minorHAnsi" w:hAnsiTheme="minorHAnsi"/>
          <w:color w:val="000000" w:themeColor="text1"/>
          <w:sz w:val="19"/>
          <w:szCs w:val="19"/>
        </w:rPr>
        <w:footnoteRef/>
      </w:r>
      <w:r w:rsidRPr="005B7D35">
        <w:rPr>
          <w:color w:val="000000" w:themeColor="text1"/>
          <w:sz w:val="19"/>
          <w:szCs w:val="19"/>
        </w:rPr>
        <w:t xml:space="preserve"> </w:t>
      </w:r>
      <w:r w:rsidRPr="005B7D35">
        <w:rPr>
          <w:rFonts w:ascii="Arial" w:hAnsi="Arial" w:cs="Arial"/>
          <w:color w:val="000000" w:themeColor="text1"/>
          <w:sz w:val="19"/>
          <w:szCs w:val="19"/>
        </w:rPr>
        <w:t xml:space="preserve">Ley 789 de 2002: </w:t>
      </w:r>
      <w:r w:rsidR="00620199" w:rsidRPr="005B7D35">
        <w:rPr>
          <w:rFonts w:ascii="Arial" w:hAnsi="Arial" w:cs="Arial"/>
          <w:color w:val="000000" w:themeColor="text1"/>
          <w:sz w:val="19"/>
          <w:szCs w:val="19"/>
        </w:rPr>
        <w:t>«</w:t>
      </w:r>
      <w:r w:rsidRPr="005B7D35">
        <w:rPr>
          <w:rFonts w:ascii="Arial" w:hAnsi="Arial" w:cs="Arial"/>
          <w:color w:val="000000" w:themeColor="text1"/>
          <w:sz w:val="19"/>
          <w:szCs w:val="19"/>
        </w:rPr>
        <w:t>Artículo 50. Control a la evasión de los recursos parafiscales</w:t>
      </w:r>
      <w:r w:rsidR="00C50B96" w:rsidRPr="005B7D35">
        <w:rPr>
          <w:rFonts w:ascii="Arial" w:hAnsi="Arial" w:cs="Arial"/>
          <w:color w:val="000000" w:themeColor="text1"/>
          <w:sz w:val="19"/>
          <w:szCs w:val="19"/>
        </w:rPr>
        <w:t>.</w:t>
      </w:r>
      <w:r w:rsidRPr="005B7D35">
        <w:rPr>
          <w:rFonts w:ascii="Arial" w:hAnsi="Arial" w:cs="Arial"/>
          <w:color w:val="000000" w:themeColor="text1"/>
          <w:sz w:val="19"/>
          <w:szCs w:val="19"/>
        </w:rPr>
        <w:t xml:space="preserve"> </w:t>
      </w:r>
      <w:r w:rsidRPr="005B7D35">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67D61DDE" w14:textId="77777777" w:rsidR="00620199" w:rsidRPr="005B7D35" w:rsidRDefault="00620199" w:rsidP="00F86796">
      <w:pPr>
        <w:pStyle w:val="NormalWeb"/>
        <w:spacing w:before="0" w:beforeAutospacing="0" w:after="0" w:afterAutospacing="0"/>
        <w:ind w:firstLine="708"/>
        <w:jc w:val="both"/>
        <w:rPr>
          <w:rFonts w:ascii="Arial" w:hAnsi="Arial" w:cs="Arial"/>
          <w:color w:val="000000" w:themeColor="text1"/>
          <w:sz w:val="19"/>
          <w:szCs w:val="19"/>
          <w:lang w:eastAsia="en-US"/>
        </w:rPr>
      </w:pPr>
    </w:p>
    <w:p w14:paraId="64A1E8B7" w14:textId="1C44BBDF" w:rsidR="00575013" w:rsidRPr="005B7D35" w:rsidRDefault="00620199" w:rsidP="00F86796">
      <w:pPr>
        <w:pStyle w:val="NormalWeb"/>
        <w:spacing w:before="0" w:beforeAutospacing="0" w:after="0" w:afterAutospacing="0"/>
        <w:jc w:val="both"/>
        <w:rPr>
          <w:rFonts w:ascii="Arial" w:hAnsi="Arial" w:cs="Arial"/>
          <w:color w:val="000000" w:themeColor="text1"/>
          <w:sz w:val="19"/>
          <w:szCs w:val="19"/>
        </w:rPr>
      </w:pPr>
      <w:r w:rsidRPr="005B7D35">
        <w:rPr>
          <w:rFonts w:ascii="Arial" w:hAnsi="Arial" w:cs="Arial"/>
          <w:color w:val="000000" w:themeColor="text1"/>
          <w:sz w:val="19"/>
          <w:szCs w:val="19"/>
        </w:rPr>
        <w:t>»</w:t>
      </w:r>
      <w:r w:rsidR="00575013" w:rsidRPr="005B7D35">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13E814E9" w14:textId="77777777" w:rsidR="00620199" w:rsidRPr="005B7D35" w:rsidRDefault="00620199" w:rsidP="00F86796">
      <w:pPr>
        <w:pStyle w:val="NormalWeb"/>
        <w:spacing w:before="0" w:beforeAutospacing="0" w:after="0" w:afterAutospacing="0"/>
        <w:jc w:val="both"/>
        <w:rPr>
          <w:rFonts w:ascii="Arial" w:hAnsi="Arial" w:cs="Arial"/>
          <w:color w:val="000000" w:themeColor="text1"/>
          <w:sz w:val="19"/>
          <w:szCs w:val="19"/>
          <w:lang w:eastAsia="en-US"/>
        </w:rPr>
      </w:pPr>
    </w:p>
    <w:p w14:paraId="3269A76C" w14:textId="4976D947" w:rsidR="00575013" w:rsidRPr="005B7D35" w:rsidRDefault="00620199" w:rsidP="00F86796">
      <w:pPr>
        <w:jc w:val="both"/>
        <w:rPr>
          <w:rFonts w:ascii="Arial" w:eastAsia="Times New Roman" w:hAnsi="Arial" w:cs="Arial"/>
          <w:color w:val="000000" w:themeColor="text1"/>
          <w:sz w:val="19"/>
          <w:szCs w:val="19"/>
          <w:lang w:val="es-CO"/>
        </w:rPr>
      </w:pPr>
      <w:r w:rsidRPr="005B7D35">
        <w:rPr>
          <w:rFonts w:ascii="Arial" w:eastAsia="Times New Roman" w:hAnsi="Arial" w:cs="Arial"/>
          <w:color w:val="000000" w:themeColor="text1"/>
          <w:sz w:val="19"/>
          <w:szCs w:val="19"/>
          <w:lang w:val="es-CO"/>
        </w:rPr>
        <w:t>»</w:t>
      </w:r>
      <w:r w:rsidR="00575013" w:rsidRPr="005B7D35">
        <w:rPr>
          <w:rFonts w:ascii="Arial" w:eastAsia="Times New Roman" w:hAnsi="Arial" w:cs="Arial"/>
          <w:color w:val="000000" w:themeColor="text1"/>
          <w:sz w:val="19"/>
          <w:szCs w:val="19"/>
          <w:lang w:val="es-CO"/>
        </w:rPr>
        <w:t xml:space="preserve">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r w:rsidRPr="005B7D35">
        <w:rPr>
          <w:rFonts w:ascii="Arial" w:eastAsia="Times New Roman" w:hAnsi="Arial" w:cs="Arial"/>
          <w:color w:val="000000" w:themeColor="text1"/>
          <w:sz w:val="19"/>
          <w:szCs w:val="19"/>
          <w:lang w:val="es-CO"/>
        </w:rPr>
        <w:t>más</w:t>
      </w:r>
      <w:r w:rsidR="00575013" w:rsidRPr="005B7D35">
        <w:rPr>
          <w:rFonts w:ascii="Arial" w:eastAsia="Times New Roman" w:hAnsi="Arial" w:cs="Arial"/>
          <w:color w:val="000000" w:themeColor="text1"/>
          <w:sz w:val="19"/>
          <w:szCs w:val="19"/>
          <w:lang w:val="es-CO"/>
        </w:rPr>
        <w:t xml:space="preserve"> de seis (6) meses de constituida, deberá acreditar los pagos a partir de la fecha de su constitución.</w:t>
      </w:r>
    </w:p>
    <w:p w14:paraId="6F7A6031" w14:textId="77777777" w:rsidR="00620199" w:rsidRPr="005B7D35" w:rsidRDefault="00620199" w:rsidP="00F86796">
      <w:pPr>
        <w:jc w:val="both"/>
        <w:rPr>
          <w:rFonts w:ascii="Arial" w:eastAsia="Times New Roman" w:hAnsi="Arial" w:cs="Arial"/>
          <w:color w:val="000000" w:themeColor="text1"/>
          <w:sz w:val="19"/>
          <w:szCs w:val="19"/>
          <w:lang w:val="es-CO"/>
        </w:rPr>
      </w:pPr>
    </w:p>
    <w:p w14:paraId="1A48A624" w14:textId="6E678F82" w:rsidR="00575013" w:rsidRPr="005B7D35" w:rsidRDefault="00620199" w:rsidP="00F86796">
      <w:pPr>
        <w:jc w:val="both"/>
        <w:rPr>
          <w:rFonts w:ascii="Arial" w:eastAsia="Times New Roman" w:hAnsi="Arial" w:cs="Arial"/>
          <w:color w:val="000000" w:themeColor="text1"/>
          <w:sz w:val="19"/>
          <w:szCs w:val="19"/>
          <w:lang w:val="es-CO"/>
        </w:rPr>
      </w:pPr>
      <w:r w:rsidRPr="005B7D35">
        <w:rPr>
          <w:rFonts w:ascii="Arial" w:eastAsia="Times New Roman" w:hAnsi="Arial" w:cs="Arial"/>
          <w:color w:val="000000" w:themeColor="text1"/>
          <w:sz w:val="19"/>
          <w:szCs w:val="19"/>
          <w:lang w:val="es-CO"/>
        </w:rPr>
        <w:t>»</w:t>
      </w:r>
      <w:r w:rsidR="00575013" w:rsidRPr="005B7D35">
        <w:rPr>
          <w:rFonts w:ascii="Arial" w:eastAsia="Times New Roman" w:hAnsi="Arial" w:cs="Arial"/>
          <w:color w:val="000000" w:themeColor="text1"/>
          <w:sz w:val="19"/>
          <w:szCs w:val="19"/>
          <w:lang w:val="es-CO"/>
        </w:rPr>
        <w:t>Para la presentación de ofertas por parte de personas jurídicas será indispensable acreditar el requisito señalado anteriormente. El funcionario que no deje constancia de la verificación del cumplimiento de este requisito incurrirá en causal de mala conducta</w:t>
      </w:r>
      <w:r w:rsidRPr="005B7D35">
        <w:rPr>
          <w:rFonts w:ascii="Arial" w:eastAsia="Times New Roman" w:hAnsi="Arial" w:cs="Arial"/>
          <w:color w:val="000000" w:themeColor="text1"/>
          <w:sz w:val="19"/>
          <w:szCs w:val="19"/>
          <w:lang w:val="es-CO"/>
        </w:rPr>
        <w:t>»</w:t>
      </w:r>
      <w:r w:rsidR="00575013" w:rsidRPr="005B7D35">
        <w:rPr>
          <w:rFonts w:ascii="Arial" w:eastAsia="Times New Roman" w:hAnsi="Arial" w:cs="Arial"/>
          <w:color w:val="000000" w:themeColor="text1"/>
          <w:sz w:val="19"/>
          <w:szCs w:val="19"/>
          <w:lang w:val="es-CO"/>
        </w:rPr>
        <w:t>.</w:t>
      </w:r>
    </w:p>
    <w:p w14:paraId="15F97088" w14:textId="77777777" w:rsidR="00620199" w:rsidRPr="005B7D35" w:rsidRDefault="00620199" w:rsidP="00F86796">
      <w:pPr>
        <w:jc w:val="both"/>
        <w:rPr>
          <w:rFonts w:ascii="Arial" w:eastAsia="Times New Roman" w:hAnsi="Arial" w:cs="Arial"/>
          <w:color w:val="000000" w:themeColor="text1"/>
          <w:sz w:val="19"/>
          <w:szCs w:val="19"/>
          <w:lang w:val="es-CO"/>
        </w:rPr>
      </w:pPr>
    </w:p>
  </w:footnote>
  <w:footnote w:id="2">
    <w:p w14:paraId="6B413569" w14:textId="31DA9A0A" w:rsidR="00575013" w:rsidRPr="005B7D35" w:rsidRDefault="00575013" w:rsidP="00F86796">
      <w:pPr>
        <w:pStyle w:val="Textoindependiente21"/>
        <w:spacing w:line="240" w:lineRule="auto"/>
        <w:ind w:left="0" w:firstLine="708"/>
        <w:rPr>
          <w:rFonts w:ascii="Arial" w:hAnsi="Arial" w:cs="Arial"/>
          <w:color w:val="000000" w:themeColor="text1"/>
          <w:sz w:val="19"/>
          <w:szCs w:val="19"/>
          <w:lang w:val="es-ES_tradnl"/>
        </w:rPr>
      </w:pPr>
      <w:r w:rsidRPr="005B7D35">
        <w:rPr>
          <w:rStyle w:val="Refdenotaalpie"/>
          <w:rFonts w:asciiTheme="minorHAnsi" w:hAnsiTheme="minorHAnsi"/>
          <w:color w:val="000000" w:themeColor="text1"/>
          <w:sz w:val="19"/>
          <w:szCs w:val="19"/>
        </w:rPr>
        <w:footnoteRef/>
      </w:r>
      <w:r w:rsidRPr="005B7D35">
        <w:rPr>
          <w:rFonts w:asciiTheme="minorHAnsi" w:hAnsiTheme="minorHAnsi"/>
          <w:color w:val="000000" w:themeColor="text1"/>
          <w:sz w:val="19"/>
          <w:szCs w:val="19"/>
        </w:rPr>
        <w:t xml:space="preserve"> </w:t>
      </w:r>
      <w:r w:rsidR="00620199" w:rsidRPr="005B7D35">
        <w:rPr>
          <w:rFonts w:ascii="Arial" w:hAnsi="Arial" w:cs="Arial"/>
          <w:color w:val="000000" w:themeColor="text1"/>
          <w:sz w:val="19"/>
          <w:szCs w:val="19"/>
        </w:rPr>
        <w:t>Consejo de Estado, Sección Tercera, sentencia del 8 de junio de 2011, Rad. 20001-23-31-000-2005-00409-01(AP), C.P. Enrique Gil Botero.</w:t>
      </w:r>
      <w:r w:rsidR="00620199" w:rsidRPr="005B7D35">
        <w:rPr>
          <w:color w:val="000000" w:themeColor="text1"/>
          <w:sz w:val="19"/>
          <w:szCs w:val="19"/>
        </w:rPr>
        <w:t xml:space="preserve"> </w:t>
      </w:r>
    </w:p>
    <w:p w14:paraId="3FAAE705" w14:textId="77777777" w:rsidR="00575013" w:rsidRPr="005B7D35" w:rsidRDefault="00575013" w:rsidP="00F86796">
      <w:pPr>
        <w:pStyle w:val="Textonotapie"/>
        <w:ind w:firstLine="708"/>
        <w:rPr>
          <w:rFonts w:ascii="Arial" w:hAnsi="Arial" w:cs="Arial"/>
          <w:color w:val="000000" w:themeColor="text1"/>
          <w:sz w:val="19"/>
          <w:szCs w:val="19"/>
          <w:lang w:val="es-ES_tradnl"/>
        </w:rPr>
      </w:pPr>
    </w:p>
  </w:footnote>
  <w:footnote w:id="3">
    <w:p w14:paraId="2E3BB119" w14:textId="77777777" w:rsidR="006A24B9" w:rsidRPr="005B7D35" w:rsidRDefault="006A24B9" w:rsidP="006A24B9">
      <w:pPr>
        <w:pStyle w:val="Default"/>
        <w:ind w:firstLine="708"/>
        <w:jc w:val="both"/>
        <w:rPr>
          <w:rFonts w:eastAsia="Times New Roman"/>
          <w:color w:val="000000" w:themeColor="text1"/>
          <w:sz w:val="19"/>
          <w:szCs w:val="19"/>
          <w:lang w:val="es-CO"/>
        </w:rPr>
      </w:pPr>
      <w:r w:rsidRPr="005B7D35">
        <w:rPr>
          <w:rStyle w:val="Refdenotaalpie"/>
          <w:color w:val="000000" w:themeColor="text1"/>
        </w:rPr>
        <w:footnoteRef/>
      </w:r>
      <w:r w:rsidRPr="005B7D35">
        <w:rPr>
          <w:color w:val="000000" w:themeColor="text1"/>
        </w:rPr>
        <w:t xml:space="preserve"> </w:t>
      </w:r>
      <w:r w:rsidRPr="005B7D35">
        <w:rPr>
          <w:rFonts w:eastAsia="Times New Roman"/>
          <w:color w:val="000000" w:themeColor="text1"/>
          <w:sz w:val="19"/>
          <w:szCs w:val="19"/>
          <w:lang w:val="es-CO"/>
        </w:rPr>
        <w:t xml:space="preserve">Ley 1753 de 2015: «Artículo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 </w:t>
      </w:r>
    </w:p>
    <w:p w14:paraId="4305E865" w14:textId="77777777" w:rsidR="006A24B9" w:rsidRPr="005B7D35" w:rsidRDefault="006A24B9" w:rsidP="006A24B9">
      <w:pPr>
        <w:pStyle w:val="Default"/>
        <w:ind w:firstLine="708"/>
        <w:jc w:val="both"/>
        <w:rPr>
          <w:rFonts w:eastAsia="Times New Roman"/>
          <w:color w:val="000000" w:themeColor="text1"/>
          <w:sz w:val="19"/>
          <w:szCs w:val="19"/>
          <w:lang w:val="es-CO"/>
        </w:rPr>
      </w:pPr>
      <w:r w:rsidRPr="005B7D35">
        <w:rPr>
          <w:rFonts w:eastAsia="Times New Roman"/>
          <w:color w:val="000000" w:themeColor="text1"/>
          <w:sz w:val="19"/>
          <w:szCs w:val="19"/>
          <w:lang w:val="es-CO"/>
        </w:rPr>
        <w:t xml:space="preserve">»En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 </w:t>
      </w:r>
    </w:p>
    <w:p w14:paraId="54B13C23" w14:textId="77777777" w:rsidR="006A24B9" w:rsidRPr="005B7D35" w:rsidRDefault="006A24B9" w:rsidP="006A24B9">
      <w:pPr>
        <w:pStyle w:val="Default"/>
        <w:ind w:firstLine="708"/>
        <w:jc w:val="both"/>
        <w:rPr>
          <w:rFonts w:eastAsia="Times New Roman"/>
          <w:color w:val="000000" w:themeColor="text1"/>
          <w:sz w:val="19"/>
          <w:szCs w:val="19"/>
          <w:lang w:val="es-CO"/>
        </w:rPr>
      </w:pPr>
      <w:r w:rsidRPr="005B7D35">
        <w:rPr>
          <w:rFonts w:eastAsia="Times New Roman"/>
          <w:color w:val="000000" w:themeColor="text1"/>
          <w:sz w:val="19"/>
          <w:szCs w:val="19"/>
          <w:lang w:val="es-CO"/>
        </w:rPr>
        <w:t xml:space="preserve">»En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 </w:t>
      </w:r>
    </w:p>
    <w:p w14:paraId="2A60688B" w14:textId="4641C067" w:rsidR="006A24B9" w:rsidRPr="005B7D35" w:rsidRDefault="006A24B9" w:rsidP="006A24B9">
      <w:pPr>
        <w:pStyle w:val="Textonotapie"/>
        <w:ind w:firstLine="708"/>
        <w:jc w:val="both"/>
        <w:rPr>
          <w:rFonts w:ascii="Arial" w:eastAsia="Times New Roman" w:hAnsi="Arial" w:cs="Arial"/>
          <w:color w:val="000000" w:themeColor="text1"/>
          <w:sz w:val="19"/>
          <w:szCs w:val="19"/>
          <w:lang w:val="es-CO"/>
        </w:rPr>
      </w:pPr>
      <w:r w:rsidRPr="005B7D35">
        <w:rPr>
          <w:rFonts w:ascii="Arial" w:eastAsia="Times New Roman" w:hAnsi="Arial" w:cs="Arial"/>
          <w:color w:val="000000" w:themeColor="text1"/>
          <w:sz w:val="19"/>
          <w:szCs w:val="19"/>
          <w:lang w:val="es-CO"/>
        </w:rPr>
        <w:t xml:space="preserve">»Cuando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  </w:t>
      </w:r>
    </w:p>
    <w:p w14:paraId="637F0163" w14:textId="77777777" w:rsidR="006A24B9" w:rsidRPr="005B7D35" w:rsidRDefault="006A24B9" w:rsidP="006A24B9">
      <w:pPr>
        <w:pStyle w:val="Textonotapie"/>
        <w:ind w:firstLine="708"/>
        <w:rPr>
          <w:color w:val="000000" w:themeColor="text1"/>
          <w:lang w:val="es-ES"/>
        </w:rPr>
      </w:pPr>
    </w:p>
  </w:footnote>
  <w:footnote w:id="4">
    <w:p w14:paraId="541BE86F" w14:textId="52869ADB" w:rsidR="00226B64" w:rsidRPr="005B7D35" w:rsidRDefault="006A24B9" w:rsidP="00226B64">
      <w:pPr>
        <w:pStyle w:val="Default"/>
        <w:ind w:firstLine="708"/>
        <w:jc w:val="both"/>
        <w:rPr>
          <w:rFonts w:eastAsia="Times New Roman"/>
          <w:color w:val="000000" w:themeColor="text1"/>
          <w:sz w:val="19"/>
          <w:szCs w:val="19"/>
          <w:lang w:val="es-CO"/>
        </w:rPr>
      </w:pPr>
      <w:r w:rsidRPr="005B7D35">
        <w:rPr>
          <w:rStyle w:val="Refdenotaalpie"/>
          <w:color w:val="000000" w:themeColor="text1"/>
        </w:rPr>
        <w:footnoteRef/>
      </w:r>
      <w:r w:rsidR="00226B64" w:rsidRPr="005B7D35">
        <w:rPr>
          <w:color w:val="000000" w:themeColor="text1"/>
        </w:rPr>
        <w:t xml:space="preserve"> </w:t>
      </w:r>
      <w:r w:rsidR="00226B64" w:rsidRPr="005B7D35">
        <w:rPr>
          <w:rFonts w:eastAsia="Times New Roman"/>
          <w:color w:val="000000" w:themeColor="text1"/>
          <w:sz w:val="19"/>
          <w:szCs w:val="19"/>
          <w:lang w:val="es-CO"/>
        </w:rPr>
        <w:t xml:space="preserve">Decreto 1273 de 2018: «Artículo 2.2.1.1.1.7 Pago de cotizaciones de los trabajadores independientes al Sistema de Seguridad Social Integral. 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 </w:t>
      </w:r>
    </w:p>
    <w:p w14:paraId="4F7E7AAC" w14:textId="4DB0CFDA" w:rsidR="006A24B9" w:rsidRPr="005B7D35" w:rsidRDefault="00226B64" w:rsidP="00226B64">
      <w:pPr>
        <w:pStyle w:val="Textonotapie"/>
        <w:ind w:firstLine="708"/>
        <w:jc w:val="both"/>
        <w:rPr>
          <w:color w:val="000000" w:themeColor="text1"/>
          <w:lang w:val="es-ES"/>
        </w:rPr>
      </w:pPr>
      <w:r w:rsidRPr="005B7D35">
        <w:rPr>
          <w:rFonts w:ascii="Arial" w:eastAsia="Times New Roman" w:hAnsi="Arial" w:cs="Arial"/>
          <w:color w:val="000000" w:themeColor="text1"/>
          <w:sz w:val="19"/>
          <w:szCs w:val="19"/>
          <w:lang w:val="es-CO"/>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r w:rsidRPr="005B7D35">
        <w:rPr>
          <w:color w:val="000000" w:themeColor="text1"/>
          <w:sz w:val="19"/>
          <w:szCs w:val="19"/>
        </w:rPr>
        <w:t xml:space="preserve"> </w:t>
      </w:r>
      <w:r w:rsidRPr="005B7D35">
        <w:rPr>
          <w:color w:val="000000" w:themeColor="text1"/>
        </w:rPr>
        <w:t xml:space="preserve"> </w:t>
      </w:r>
    </w:p>
  </w:footnote>
  <w:footnote w:id="5">
    <w:p w14:paraId="643A0567" w14:textId="77777777" w:rsidR="008E57C9" w:rsidRPr="005B7D35" w:rsidRDefault="00226B64" w:rsidP="008E57C9">
      <w:pPr>
        <w:pStyle w:val="Default"/>
        <w:ind w:firstLine="708"/>
        <w:jc w:val="both"/>
        <w:rPr>
          <w:rFonts w:eastAsia="Times New Roman"/>
          <w:color w:val="000000" w:themeColor="text1"/>
          <w:sz w:val="19"/>
          <w:szCs w:val="19"/>
          <w:lang w:val="es-CO"/>
        </w:rPr>
      </w:pPr>
      <w:r w:rsidRPr="005B7D35">
        <w:rPr>
          <w:rStyle w:val="Refdenotaalpie"/>
          <w:color w:val="000000" w:themeColor="text1"/>
        </w:rPr>
        <w:footnoteRef/>
      </w:r>
      <w:r w:rsidR="008E57C9" w:rsidRPr="005B7D35">
        <w:rPr>
          <w:color w:val="000000" w:themeColor="text1"/>
        </w:rPr>
        <w:t xml:space="preserve"> </w:t>
      </w:r>
      <w:r w:rsidR="008E57C9" w:rsidRPr="005B7D35">
        <w:rPr>
          <w:rFonts w:eastAsia="Times New Roman"/>
          <w:color w:val="000000" w:themeColor="text1"/>
          <w:sz w:val="19"/>
          <w:szCs w:val="19"/>
          <w:lang w:val="es-CO"/>
        </w:rPr>
        <w:t xml:space="preserve">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 </w:t>
      </w:r>
    </w:p>
    <w:p w14:paraId="20EE3DDA" w14:textId="77777777" w:rsidR="008E57C9" w:rsidRPr="005B7D35" w:rsidRDefault="008E57C9" w:rsidP="008E57C9">
      <w:pPr>
        <w:pStyle w:val="Default"/>
        <w:ind w:firstLine="708"/>
        <w:jc w:val="both"/>
        <w:rPr>
          <w:rFonts w:eastAsia="Times New Roman"/>
          <w:color w:val="000000" w:themeColor="text1"/>
          <w:sz w:val="19"/>
          <w:szCs w:val="19"/>
          <w:lang w:val="es-CO"/>
        </w:rPr>
      </w:pPr>
      <w:r w:rsidRPr="005B7D35">
        <w:rPr>
          <w:rFonts w:eastAsia="Times New Roman"/>
          <w:color w:val="000000" w:themeColor="text1"/>
          <w:sz w:val="19"/>
          <w:szCs w:val="19"/>
          <w:lang w:val="es-CO"/>
        </w:rPr>
        <w:t xml:space="preserve">»Los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 </w:t>
      </w:r>
    </w:p>
    <w:p w14:paraId="6EC78A37" w14:textId="77777777" w:rsidR="008E57C9" w:rsidRPr="005B7D35" w:rsidRDefault="008E57C9" w:rsidP="008E57C9">
      <w:pPr>
        <w:pStyle w:val="Default"/>
        <w:ind w:firstLine="708"/>
        <w:jc w:val="both"/>
        <w:rPr>
          <w:rFonts w:eastAsia="Times New Roman"/>
          <w:color w:val="000000" w:themeColor="text1"/>
          <w:sz w:val="19"/>
          <w:szCs w:val="19"/>
          <w:lang w:val="es-CO"/>
        </w:rPr>
      </w:pPr>
      <w:r w:rsidRPr="005B7D35">
        <w:rPr>
          <w:rFonts w:eastAsia="Times New Roman"/>
          <w:color w:val="000000" w:themeColor="text1"/>
          <w:sz w:val="19"/>
          <w:szCs w:val="19"/>
          <w:lang w:val="es-CO"/>
        </w:rPr>
        <w:t xml:space="preserve">»El Gobierno nacional reglamentará el mecanismo para realizar la mensualización de que trata el presente artículo. </w:t>
      </w:r>
    </w:p>
    <w:p w14:paraId="03F4DD80" w14:textId="77777777" w:rsidR="008E57C9" w:rsidRPr="005B7D35" w:rsidRDefault="008E57C9" w:rsidP="008E57C9">
      <w:pPr>
        <w:pStyle w:val="Default"/>
        <w:ind w:firstLine="708"/>
        <w:jc w:val="both"/>
        <w:rPr>
          <w:rFonts w:eastAsia="Times New Roman"/>
          <w:color w:val="000000" w:themeColor="text1"/>
          <w:sz w:val="19"/>
          <w:szCs w:val="19"/>
          <w:lang w:val="es-CO"/>
        </w:rPr>
      </w:pPr>
      <w:r w:rsidRPr="005B7D35">
        <w:rPr>
          <w:rFonts w:eastAsia="Times New Roman"/>
          <w:color w:val="000000" w:themeColor="text1"/>
          <w:sz w:val="19"/>
          <w:szCs w:val="19"/>
          <w:lang w:val="es-CO"/>
        </w:rPr>
        <w:t xml:space="preserve">»Parágrafo.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 </w:t>
      </w:r>
    </w:p>
    <w:p w14:paraId="76F4BA9D" w14:textId="63E23145" w:rsidR="00226B64" w:rsidRPr="005B7D35" w:rsidRDefault="008E57C9" w:rsidP="008E57C9">
      <w:pPr>
        <w:pStyle w:val="Textonotapie"/>
        <w:ind w:firstLine="708"/>
        <w:jc w:val="both"/>
        <w:rPr>
          <w:rFonts w:ascii="Arial" w:eastAsia="Times New Roman" w:hAnsi="Arial" w:cs="Arial"/>
          <w:color w:val="000000" w:themeColor="text1"/>
          <w:sz w:val="19"/>
          <w:szCs w:val="19"/>
          <w:lang w:val="es-CO"/>
        </w:rPr>
      </w:pPr>
      <w:r w:rsidRPr="005B7D35">
        <w:rPr>
          <w:rFonts w:ascii="Arial" w:eastAsia="Times New Roman" w:hAnsi="Arial" w:cs="Arial"/>
          <w:color w:val="000000" w:themeColor="text1"/>
          <w:sz w:val="19"/>
          <w:szCs w:val="19"/>
          <w:lang w:val="es-CO"/>
        </w:rPr>
        <w:t xml:space="preserve">»No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  </w:t>
      </w:r>
    </w:p>
    <w:p w14:paraId="79F9487B" w14:textId="333E4548" w:rsidR="00226B64" w:rsidRPr="005B7D35" w:rsidRDefault="00226B64" w:rsidP="00226B64">
      <w:pPr>
        <w:pStyle w:val="Textonotapie"/>
        <w:ind w:firstLine="708"/>
        <w:rPr>
          <w:color w:val="000000" w:themeColor="text1"/>
          <w:lang w:val="es-ES"/>
        </w:rPr>
      </w:pPr>
      <w:r w:rsidRPr="005B7D35">
        <w:rPr>
          <w:color w:val="000000" w:themeColor="text1"/>
        </w:rPr>
        <w:t xml:space="preserve"> </w:t>
      </w:r>
    </w:p>
  </w:footnote>
  <w:footnote w:id="6">
    <w:p w14:paraId="66083DEE" w14:textId="1E225CB4" w:rsidR="008E57C9" w:rsidRPr="005B7D35" w:rsidRDefault="008E57C9" w:rsidP="008E57C9">
      <w:pPr>
        <w:pStyle w:val="Default"/>
        <w:ind w:firstLine="708"/>
        <w:jc w:val="both"/>
        <w:rPr>
          <w:rFonts w:eastAsia="Times New Roman"/>
          <w:color w:val="000000" w:themeColor="text1"/>
          <w:sz w:val="18"/>
          <w:szCs w:val="18"/>
          <w:lang w:val="es-CO"/>
        </w:rPr>
      </w:pPr>
      <w:r w:rsidRPr="005B7D35">
        <w:rPr>
          <w:rStyle w:val="Refdenotaalpie"/>
          <w:color w:val="000000" w:themeColor="text1"/>
        </w:rPr>
        <w:footnoteRef/>
      </w:r>
      <w:r w:rsidRPr="005B7D35">
        <w:rPr>
          <w:color w:val="000000" w:themeColor="text1"/>
        </w:rPr>
        <w:t xml:space="preserve"> </w:t>
      </w:r>
      <w:r w:rsidRPr="005B7D35">
        <w:rPr>
          <w:rFonts w:eastAsia="Times New Roman"/>
          <w:color w:val="000000" w:themeColor="text1"/>
          <w:sz w:val="18"/>
          <w:szCs w:val="18"/>
          <w:lang w:val="es-CO"/>
        </w:rPr>
        <w:t xml:space="preserve">En efecto, el artículo 1608 del Código Civil prevé lo siguiente: «El deudor está en mora: </w:t>
      </w:r>
    </w:p>
    <w:p w14:paraId="653CBC82" w14:textId="77777777" w:rsidR="008E57C9" w:rsidRPr="005B7D35" w:rsidRDefault="008E57C9" w:rsidP="008E57C9">
      <w:pPr>
        <w:pStyle w:val="Default"/>
        <w:jc w:val="both"/>
        <w:rPr>
          <w:rFonts w:eastAsia="Times New Roman"/>
          <w:color w:val="000000" w:themeColor="text1"/>
          <w:sz w:val="18"/>
          <w:szCs w:val="18"/>
          <w:lang w:val="es-CO"/>
        </w:rPr>
      </w:pPr>
      <w:r w:rsidRPr="005B7D35">
        <w:rPr>
          <w:rFonts w:eastAsia="Times New Roman"/>
          <w:color w:val="000000" w:themeColor="text1"/>
          <w:sz w:val="18"/>
          <w:szCs w:val="18"/>
          <w:lang w:val="es-CO"/>
        </w:rPr>
        <w:t xml:space="preserve">1° Cuando no ha cumplido la obligación dentro del término estipulado; salvo que la ley, en casos especiales, exija que se requiera al deudor para constituirlo en mora. </w:t>
      </w:r>
    </w:p>
    <w:p w14:paraId="6618BA64" w14:textId="77777777" w:rsidR="008E57C9" w:rsidRPr="005B7D35" w:rsidRDefault="008E57C9" w:rsidP="008E57C9">
      <w:pPr>
        <w:pStyle w:val="Default"/>
        <w:jc w:val="both"/>
        <w:rPr>
          <w:rFonts w:eastAsia="Times New Roman"/>
          <w:color w:val="000000" w:themeColor="text1"/>
          <w:sz w:val="18"/>
          <w:szCs w:val="18"/>
          <w:lang w:val="es-CO"/>
        </w:rPr>
      </w:pPr>
      <w:r w:rsidRPr="005B7D35">
        <w:rPr>
          <w:rFonts w:eastAsia="Times New Roman"/>
          <w:color w:val="000000" w:themeColor="text1"/>
          <w:sz w:val="18"/>
          <w:szCs w:val="18"/>
          <w:lang w:val="es-CO"/>
        </w:rPr>
        <w:t xml:space="preserve">2° Cuando la cosa no ha podido ser dada o ejecutada sino dentro de cierto tiempo y el deudor lo ha dejado pasar sin darla o ejecutarla. </w:t>
      </w:r>
    </w:p>
    <w:p w14:paraId="7E2B9B87" w14:textId="5DB36F22" w:rsidR="008E57C9" w:rsidRPr="005B7D35" w:rsidRDefault="008E57C9" w:rsidP="008E57C9">
      <w:pPr>
        <w:pStyle w:val="Textonotapie"/>
        <w:ind w:firstLine="708"/>
        <w:jc w:val="both"/>
        <w:rPr>
          <w:rFonts w:ascii="Arial" w:eastAsia="Times New Roman" w:hAnsi="Arial" w:cs="Arial"/>
          <w:color w:val="000000" w:themeColor="text1"/>
          <w:sz w:val="18"/>
          <w:szCs w:val="18"/>
          <w:lang w:val="es-CO"/>
        </w:rPr>
      </w:pPr>
      <w:r w:rsidRPr="005B7D35">
        <w:rPr>
          <w:rFonts w:ascii="Arial" w:eastAsia="Times New Roman" w:hAnsi="Arial" w:cs="Arial"/>
          <w:color w:val="000000" w:themeColor="text1"/>
          <w:sz w:val="18"/>
          <w:szCs w:val="18"/>
          <w:lang w:val="es-CO"/>
        </w:rPr>
        <w:t xml:space="preserve">3° En los demás casos, cuando el deudor ha sido judicialmente reconvenido por el acreedor» (cursivas fuera de texto).  </w:t>
      </w:r>
    </w:p>
    <w:p w14:paraId="6B10E530" w14:textId="77777777" w:rsidR="008E57C9" w:rsidRPr="005B7D35" w:rsidRDefault="008E57C9">
      <w:pPr>
        <w:pStyle w:val="Textonotapie"/>
        <w:rPr>
          <w:color w:val="000000" w:themeColor="text1"/>
          <w:lang w:val="es-ES"/>
        </w:rPr>
      </w:pPr>
    </w:p>
  </w:footnote>
  <w:footnote w:id="7">
    <w:p w14:paraId="6F923F62" w14:textId="76CFD141" w:rsidR="008E57C9" w:rsidRPr="005B7D35" w:rsidRDefault="008E57C9" w:rsidP="008E57C9">
      <w:pPr>
        <w:pStyle w:val="Textonotapie"/>
        <w:ind w:firstLine="708"/>
        <w:jc w:val="both"/>
        <w:rPr>
          <w:color w:val="000000" w:themeColor="text1"/>
          <w:lang w:val="es-ES"/>
        </w:rPr>
      </w:pPr>
      <w:r w:rsidRPr="005B7D35">
        <w:rPr>
          <w:rStyle w:val="Refdenotaalpie"/>
          <w:color w:val="000000" w:themeColor="text1"/>
        </w:rPr>
        <w:footnoteRef/>
      </w:r>
      <w:r w:rsidRPr="005B7D35">
        <w:rPr>
          <w:color w:val="000000" w:themeColor="text1"/>
        </w:rPr>
        <w:t xml:space="preserve"> </w:t>
      </w:r>
      <w:r w:rsidRPr="005B7D35">
        <w:rPr>
          <w:rFonts w:ascii="Arial" w:eastAsia="Times New Roman" w:hAnsi="Arial" w:cs="Arial"/>
          <w:color w:val="000000" w:themeColor="text1"/>
          <w:sz w:val="18"/>
          <w:szCs w:val="18"/>
          <w:lang w:val="es-CO"/>
        </w:rPr>
        <w:t>Sobre el entendimiento de la vigencia del contrato, como un concepto distinto al plazo de ejecución, puede verse la siguiente providencia: Consejo de Estado. Sección Tercera. Sentencia del 18 de marzo de 2004. 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contrato, puede consultarse el fallo del Consejo de Estado. Sección Tercera. Subsección B. Sentencia del 1 de agosto de 2018. Exp. 40.237. Consejero Ponente: Ramiro Pazos Guerrero.</w:t>
      </w:r>
      <w:r w:rsidRPr="005B7D35">
        <w:rPr>
          <w:color w:val="000000" w:themeColor="text1"/>
        </w:rPr>
        <w:t xml:space="preserve">  </w:t>
      </w:r>
    </w:p>
  </w:footnote>
  <w:footnote w:id="8">
    <w:p w14:paraId="7F8F02DD" w14:textId="2DA3BF03" w:rsidR="009470D4" w:rsidRPr="005B7D35" w:rsidRDefault="009470D4" w:rsidP="009470D4">
      <w:pPr>
        <w:pStyle w:val="Textonotapie"/>
        <w:ind w:firstLine="708"/>
        <w:jc w:val="both"/>
        <w:rPr>
          <w:color w:val="000000" w:themeColor="text1"/>
          <w:lang w:val="es-ES"/>
        </w:rPr>
      </w:pPr>
      <w:r w:rsidRPr="005B7D35">
        <w:rPr>
          <w:rStyle w:val="Refdenotaalpie"/>
          <w:color w:val="000000" w:themeColor="text1"/>
        </w:rPr>
        <w:footnoteRef/>
      </w:r>
      <w:r w:rsidRPr="005B7D35">
        <w:rPr>
          <w:color w:val="000000" w:themeColor="text1"/>
        </w:rPr>
        <w:t xml:space="preserve"> </w:t>
      </w:r>
      <w:r w:rsidRPr="005B7D35">
        <w:rPr>
          <w:rFonts w:ascii="Arial" w:eastAsia="Times New Roman" w:hAnsi="Arial" w:cs="Arial"/>
          <w:color w:val="000000" w:themeColor="text1"/>
          <w:sz w:val="18"/>
          <w:szCs w:val="18"/>
          <w:lang w:val="es-CO"/>
        </w:rPr>
        <w:t>Ministerio de Salud. Concepto del 28 de octubre de 2019. Radicado 201911601443771.</w:t>
      </w:r>
      <w:r w:rsidRPr="005B7D35">
        <w:rPr>
          <w:color w:val="000000" w:themeColor="text1"/>
          <w:sz w:val="19"/>
          <w:szCs w:val="19"/>
        </w:rPr>
        <w:t xml:space="preserve"> </w:t>
      </w:r>
      <w:r w:rsidRPr="005B7D35">
        <w:rPr>
          <w:color w:val="000000" w:themeColor="text1"/>
        </w:rPr>
        <w:t xml:space="preserve"> </w:t>
      </w:r>
    </w:p>
  </w:footnote>
  <w:footnote w:id="9">
    <w:p w14:paraId="2653EC8F" w14:textId="77777777" w:rsidR="009470D4" w:rsidRPr="005B7D35" w:rsidRDefault="009470D4" w:rsidP="009470D4">
      <w:pPr>
        <w:pStyle w:val="Default"/>
        <w:ind w:firstLine="708"/>
        <w:jc w:val="both"/>
        <w:rPr>
          <w:rFonts w:eastAsia="Times New Roman"/>
          <w:color w:val="000000" w:themeColor="text1"/>
          <w:sz w:val="19"/>
          <w:szCs w:val="19"/>
          <w:lang w:val="es-CO"/>
        </w:rPr>
      </w:pPr>
      <w:r w:rsidRPr="005B7D35">
        <w:rPr>
          <w:rStyle w:val="Refdenotaalpie"/>
          <w:color w:val="000000" w:themeColor="text1"/>
        </w:rPr>
        <w:footnoteRef/>
      </w:r>
      <w:r w:rsidRPr="005B7D35">
        <w:rPr>
          <w:color w:val="000000" w:themeColor="text1"/>
        </w:rPr>
        <w:t xml:space="preserve"> </w:t>
      </w:r>
      <w:r w:rsidRPr="005B7D35">
        <w:rPr>
          <w:rFonts w:eastAsia="Times New Roman"/>
          <w:color w:val="000000" w:themeColor="text1"/>
          <w:sz w:val="19"/>
          <w:szCs w:val="19"/>
          <w:lang w:val="es-CO"/>
        </w:rPr>
        <w:t xml:space="preserve">Esta norma establece: «Las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 </w:t>
      </w:r>
    </w:p>
    <w:p w14:paraId="7CA702E3" w14:textId="77777777" w:rsidR="009470D4" w:rsidRPr="005B7D35" w:rsidRDefault="009470D4" w:rsidP="009470D4">
      <w:pPr>
        <w:pStyle w:val="Default"/>
        <w:ind w:firstLine="708"/>
        <w:jc w:val="both"/>
        <w:rPr>
          <w:rFonts w:eastAsia="Times New Roman"/>
          <w:color w:val="000000" w:themeColor="text1"/>
          <w:sz w:val="19"/>
          <w:szCs w:val="19"/>
          <w:lang w:val="es-CO"/>
        </w:rPr>
      </w:pPr>
      <w:r w:rsidRPr="005B7D35">
        <w:rPr>
          <w:rFonts w:eastAsia="Times New Roman"/>
          <w:color w:val="000000" w:themeColor="text1"/>
          <w:sz w:val="19"/>
          <w:szCs w:val="19"/>
          <w:lang w:val="es-CO"/>
        </w:rPr>
        <w:t xml:space="preserve">»Al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 </w:t>
      </w:r>
    </w:p>
    <w:p w14:paraId="2E26AF9C" w14:textId="77777777" w:rsidR="009470D4" w:rsidRPr="005B7D35" w:rsidRDefault="009470D4" w:rsidP="009470D4">
      <w:pPr>
        <w:pStyle w:val="Default"/>
        <w:ind w:firstLine="708"/>
        <w:jc w:val="both"/>
        <w:rPr>
          <w:rFonts w:eastAsia="Times New Roman"/>
          <w:color w:val="000000" w:themeColor="text1"/>
          <w:sz w:val="19"/>
          <w:szCs w:val="19"/>
          <w:lang w:val="es-CO"/>
        </w:rPr>
      </w:pPr>
      <w:r w:rsidRPr="005B7D35">
        <w:rPr>
          <w:rFonts w:eastAsia="Times New Roman"/>
          <w:color w:val="000000" w:themeColor="text1"/>
          <w:sz w:val="19"/>
          <w:szCs w:val="19"/>
          <w:lang w:val="es-CO"/>
        </w:rPr>
        <w:t xml:space="preserve">»Igualmente, cada órgano constituirá al 31 de diciembre del año cuentas por pagar con las obligaciones correspondientes a los anticipas pactados en los contratos y a la entrega de bienes y servicios. </w:t>
      </w:r>
    </w:p>
    <w:p w14:paraId="514B5853" w14:textId="1D2BB1F1" w:rsidR="009470D4" w:rsidRPr="005B7D35" w:rsidRDefault="009470D4" w:rsidP="009470D4">
      <w:pPr>
        <w:pStyle w:val="Textonotapie"/>
        <w:ind w:firstLine="708"/>
        <w:jc w:val="both"/>
        <w:rPr>
          <w:rFonts w:ascii="Arial" w:eastAsia="Times New Roman" w:hAnsi="Arial" w:cs="Arial"/>
          <w:color w:val="000000" w:themeColor="text1"/>
          <w:sz w:val="19"/>
          <w:szCs w:val="19"/>
          <w:lang w:val="es-CO"/>
        </w:rPr>
      </w:pPr>
      <w:r w:rsidRPr="005B7D35">
        <w:rPr>
          <w:rFonts w:ascii="Arial" w:eastAsia="Times New Roman" w:hAnsi="Arial" w:cs="Arial"/>
          <w:color w:val="000000" w:themeColor="text1"/>
          <w:sz w:val="19"/>
          <w:szCs w:val="19"/>
          <w:lang w:val="es-CO"/>
        </w:rPr>
        <w:t xml:space="preserve">»El Gobierno Nacional establecerá los requisitos y plazos que se deben observar para el cumplimiento del presente artículo (Ley 38/89, artículo 72, Ley 179/94, artículo 38, Ley 225/95, artículo 8o. )».  </w:t>
      </w:r>
    </w:p>
    <w:p w14:paraId="4E36AE56" w14:textId="77777777" w:rsidR="009470D4" w:rsidRPr="005B7D35" w:rsidRDefault="009470D4" w:rsidP="009470D4">
      <w:pPr>
        <w:pStyle w:val="Textonotapie"/>
        <w:ind w:firstLine="708"/>
        <w:rPr>
          <w:color w:val="000000" w:themeColor="text1"/>
          <w:lang w:val="es-ES"/>
        </w:rPr>
      </w:pPr>
    </w:p>
  </w:footnote>
  <w:footnote w:id="10">
    <w:p w14:paraId="664DFDF5" w14:textId="77777777" w:rsidR="006C3034" w:rsidRPr="005B7D35" w:rsidRDefault="006C3034" w:rsidP="006C3034">
      <w:pPr>
        <w:pStyle w:val="Default"/>
        <w:ind w:firstLine="708"/>
        <w:jc w:val="both"/>
        <w:rPr>
          <w:rFonts w:eastAsia="Times New Roman"/>
          <w:color w:val="000000" w:themeColor="text1"/>
          <w:sz w:val="19"/>
          <w:szCs w:val="19"/>
          <w:lang w:val="es-CO"/>
        </w:rPr>
      </w:pPr>
      <w:r w:rsidRPr="005B7D35">
        <w:rPr>
          <w:rStyle w:val="Refdenotaalpie"/>
          <w:color w:val="000000" w:themeColor="text1"/>
        </w:rPr>
        <w:footnoteRef/>
      </w:r>
      <w:r w:rsidRPr="005B7D35">
        <w:rPr>
          <w:color w:val="000000" w:themeColor="text1"/>
        </w:rPr>
        <w:t xml:space="preserve"> </w:t>
      </w:r>
      <w:r w:rsidRPr="005B7D35">
        <w:rPr>
          <w:rFonts w:eastAsia="Times New Roman"/>
          <w:color w:val="000000" w:themeColor="text1"/>
          <w:sz w:val="19"/>
          <w:szCs w:val="19"/>
          <w:lang w:val="es-CO"/>
        </w:rPr>
        <w:t xml:space="preserve">Al tenor de esta disposición «El presupuesto de gastos comprende las apropiaciones para gastos de funcionamiento, gastos de operación comercial, servicio de la deuda y gastos de inversión que se causen durante la vigencia fiscal respectiva. </w:t>
      </w:r>
    </w:p>
    <w:p w14:paraId="26848957" w14:textId="59147C3D" w:rsidR="006C3034" w:rsidRPr="005B7D35" w:rsidRDefault="006C3034" w:rsidP="006C3034">
      <w:pPr>
        <w:pStyle w:val="Default"/>
        <w:ind w:firstLine="708"/>
        <w:jc w:val="both"/>
        <w:rPr>
          <w:color w:val="000000" w:themeColor="text1"/>
        </w:rPr>
      </w:pPr>
      <w:r w:rsidRPr="005B7D35">
        <w:rPr>
          <w:rFonts w:eastAsia="Times New Roman"/>
          <w:color w:val="000000" w:themeColor="text1"/>
          <w:sz w:val="19"/>
          <w:szCs w:val="19"/>
          <w:lang w:val="es-CO"/>
        </w:rPr>
        <w:t>»La causación del gasto debe contar con la apropiación presupuestal correspondiente, así su pago se efectúe en la siguiente vigencia fiscal. El pago deberá incluirse en el presupuesto del año siguiente como una cuenta por pagar».</w:t>
      </w:r>
      <w:r w:rsidRPr="005B7D35">
        <w:rPr>
          <w:color w:val="000000" w:themeColor="text1"/>
          <w:sz w:val="19"/>
          <w:szCs w:val="19"/>
        </w:rPr>
        <w:t xml:space="preserve"> </w:t>
      </w:r>
      <w:r w:rsidRPr="005B7D35">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6944"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37883" w14:textId="77777777" w:rsidR="00E1062F" w:rsidRDefault="00E10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CE702DC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1B3077"/>
    <w:multiLevelType w:val="hybridMultilevel"/>
    <w:tmpl w:val="E6D057C6"/>
    <w:lvl w:ilvl="0" w:tplc="C5FAB4A0">
      <w:start w:val="2"/>
      <w:numFmt w:val="decimal"/>
      <w:lvlText w:val="%1."/>
      <w:lvlJc w:val="left"/>
      <w:pPr>
        <w:ind w:left="6601" w:hanging="360"/>
      </w:pPr>
      <w:rPr>
        <w:rFonts w:hint="default"/>
        <w:b/>
      </w:rPr>
    </w:lvl>
    <w:lvl w:ilvl="1" w:tplc="0C0A0019" w:tentative="1">
      <w:start w:val="1"/>
      <w:numFmt w:val="lowerLetter"/>
      <w:lvlText w:val="%2."/>
      <w:lvlJc w:val="left"/>
      <w:pPr>
        <w:ind w:left="7321" w:hanging="360"/>
      </w:pPr>
    </w:lvl>
    <w:lvl w:ilvl="2" w:tplc="0C0A001B" w:tentative="1">
      <w:start w:val="1"/>
      <w:numFmt w:val="lowerRoman"/>
      <w:lvlText w:val="%3."/>
      <w:lvlJc w:val="right"/>
      <w:pPr>
        <w:ind w:left="8041" w:hanging="180"/>
      </w:pPr>
    </w:lvl>
    <w:lvl w:ilvl="3" w:tplc="0C0A000F" w:tentative="1">
      <w:start w:val="1"/>
      <w:numFmt w:val="decimal"/>
      <w:lvlText w:val="%4."/>
      <w:lvlJc w:val="left"/>
      <w:pPr>
        <w:ind w:left="8761" w:hanging="360"/>
      </w:pPr>
    </w:lvl>
    <w:lvl w:ilvl="4" w:tplc="0C0A0019" w:tentative="1">
      <w:start w:val="1"/>
      <w:numFmt w:val="lowerLetter"/>
      <w:lvlText w:val="%5."/>
      <w:lvlJc w:val="left"/>
      <w:pPr>
        <w:ind w:left="9481" w:hanging="360"/>
      </w:pPr>
    </w:lvl>
    <w:lvl w:ilvl="5" w:tplc="0C0A001B" w:tentative="1">
      <w:start w:val="1"/>
      <w:numFmt w:val="lowerRoman"/>
      <w:lvlText w:val="%6."/>
      <w:lvlJc w:val="right"/>
      <w:pPr>
        <w:ind w:left="10201" w:hanging="180"/>
      </w:pPr>
    </w:lvl>
    <w:lvl w:ilvl="6" w:tplc="0C0A000F" w:tentative="1">
      <w:start w:val="1"/>
      <w:numFmt w:val="decimal"/>
      <w:lvlText w:val="%7."/>
      <w:lvlJc w:val="left"/>
      <w:pPr>
        <w:ind w:left="10921" w:hanging="360"/>
      </w:pPr>
    </w:lvl>
    <w:lvl w:ilvl="7" w:tplc="0C0A0019" w:tentative="1">
      <w:start w:val="1"/>
      <w:numFmt w:val="lowerLetter"/>
      <w:lvlText w:val="%8."/>
      <w:lvlJc w:val="left"/>
      <w:pPr>
        <w:ind w:left="11641" w:hanging="360"/>
      </w:pPr>
    </w:lvl>
    <w:lvl w:ilvl="8" w:tplc="0C0A001B" w:tentative="1">
      <w:start w:val="1"/>
      <w:numFmt w:val="lowerRoman"/>
      <w:lvlText w:val="%9."/>
      <w:lvlJc w:val="right"/>
      <w:pPr>
        <w:ind w:left="12361"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72E5"/>
    <w:rsid w:val="000313D7"/>
    <w:rsid w:val="00032DBA"/>
    <w:rsid w:val="000400A2"/>
    <w:rsid w:val="00064F68"/>
    <w:rsid w:val="00080CE2"/>
    <w:rsid w:val="000942EB"/>
    <w:rsid w:val="000B103F"/>
    <w:rsid w:val="000D2F5F"/>
    <w:rsid w:val="000D712A"/>
    <w:rsid w:val="000F14E8"/>
    <w:rsid w:val="000F35A7"/>
    <w:rsid w:val="00103915"/>
    <w:rsid w:val="00122B23"/>
    <w:rsid w:val="00137FFA"/>
    <w:rsid w:val="00161D76"/>
    <w:rsid w:val="001B1119"/>
    <w:rsid w:val="001C317A"/>
    <w:rsid w:val="001C5CEA"/>
    <w:rsid w:val="001E7AC6"/>
    <w:rsid w:val="00220E13"/>
    <w:rsid w:val="00226B64"/>
    <w:rsid w:val="00234B84"/>
    <w:rsid w:val="002371D6"/>
    <w:rsid w:val="00280D67"/>
    <w:rsid w:val="002D3467"/>
    <w:rsid w:val="002E1C22"/>
    <w:rsid w:val="002F61EF"/>
    <w:rsid w:val="00302566"/>
    <w:rsid w:val="003033BA"/>
    <w:rsid w:val="00323F49"/>
    <w:rsid w:val="00327580"/>
    <w:rsid w:val="0034680A"/>
    <w:rsid w:val="00386456"/>
    <w:rsid w:val="00387027"/>
    <w:rsid w:val="003A0EAE"/>
    <w:rsid w:val="003A581E"/>
    <w:rsid w:val="0042177C"/>
    <w:rsid w:val="00433AE1"/>
    <w:rsid w:val="0044012D"/>
    <w:rsid w:val="004422D6"/>
    <w:rsid w:val="004C321E"/>
    <w:rsid w:val="004D450E"/>
    <w:rsid w:val="0051074C"/>
    <w:rsid w:val="00513AF2"/>
    <w:rsid w:val="00515B32"/>
    <w:rsid w:val="00521C97"/>
    <w:rsid w:val="0052563B"/>
    <w:rsid w:val="00537D9B"/>
    <w:rsid w:val="00543F4A"/>
    <w:rsid w:val="0054413A"/>
    <w:rsid w:val="005564CA"/>
    <w:rsid w:val="00575013"/>
    <w:rsid w:val="00576A86"/>
    <w:rsid w:val="005B1F24"/>
    <w:rsid w:val="005B6FB7"/>
    <w:rsid w:val="005B7D35"/>
    <w:rsid w:val="005D4944"/>
    <w:rsid w:val="00603C96"/>
    <w:rsid w:val="00620199"/>
    <w:rsid w:val="0063257E"/>
    <w:rsid w:val="00655371"/>
    <w:rsid w:val="00685C1F"/>
    <w:rsid w:val="00697665"/>
    <w:rsid w:val="006A24B9"/>
    <w:rsid w:val="006A50AF"/>
    <w:rsid w:val="006A70D8"/>
    <w:rsid w:val="006A7FD0"/>
    <w:rsid w:val="006C3034"/>
    <w:rsid w:val="006D12E4"/>
    <w:rsid w:val="006D7687"/>
    <w:rsid w:val="006E0572"/>
    <w:rsid w:val="006F0AB8"/>
    <w:rsid w:val="00705631"/>
    <w:rsid w:val="00742DD2"/>
    <w:rsid w:val="0075647A"/>
    <w:rsid w:val="007618CF"/>
    <w:rsid w:val="007634AD"/>
    <w:rsid w:val="0078122E"/>
    <w:rsid w:val="00794A8A"/>
    <w:rsid w:val="00794CAB"/>
    <w:rsid w:val="007974BC"/>
    <w:rsid w:val="007B0854"/>
    <w:rsid w:val="007C211F"/>
    <w:rsid w:val="007C4F42"/>
    <w:rsid w:val="007E0224"/>
    <w:rsid w:val="007F4F2B"/>
    <w:rsid w:val="007F72CB"/>
    <w:rsid w:val="0083119B"/>
    <w:rsid w:val="00836EAB"/>
    <w:rsid w:val="0085092D"/>
    <w:rsid w:val="00853034"/>
    <w:rsid w:val="00867885"/>
    <w:rsid w:val="00896514"/>
    <w:rsid w:val="008E1C15"/>
    <w:rsid w:val="008E57C9"/>
    <w:rsid w:val="009047C5"/>
    <w:rsid w:val="00934893"/>
    <w:rsid w:val="009470D4"/>
    <w:rsid w:val="0095385A"/>
    <w:rsid w:val="00973297"/>
    <w:rsid w:val="00983902"/>
    <w:rsid w:val="009C43E6"/>
    <w:rsid w:val="009E2107"/>
    <w:rsid w:val="00A14613"/>
    <w:rsid w:val="00A243BB"/>
    <w:rsid w:val="00A24560"/>
    <w:rsid w:val="00A34538"/>
    <w:rsid w:val="00A45B87"/>
    <w:rsid w:val="00A465FB"/>
    <w:rsid w:val="00A52C2F"/>
    <w:rsid w:val="00A667C2"/>
    <w:rsid w:val="00A92566"/>
    <w:rsid w:val="00AA442B"/>
    <w:rsid w:val="00AA64DC"/>
    <w:rsid w:val="00B22E22"/>
    <w:rsid w:val="00B23723"/>
    <w:rsid w:val="00B4758A"/>
    <w:rsid w:val="00B525CB"/>
    <w:rsid w:val="00B54CA9"/>
    <w:rsid w:val="00B608B9"/>
    <w:rsid w:val="00B63CB2"/>
    <w:rsid w:val="00B64328"/>
    <w:rsid w:val="00BA000C"/>
    <w:rsid w:val="00BB4763"/>
    <w:rsid w:val="00BB6989"/>
    <w:rsid w:val="00BB73CC"/>
    <w:rsid w:val="00BC2CC4"/>
    <w:rsid w:val="00BD78FE"/>
    <w:rsid w:val="00C000CF"/>
    <w:rsid w:val="00C50B96"/>
    <w:rsid w:val="00C543AF"/>
    <w:rsid w:val="00C74055"/>
    <w:rsid w:val="00C769C7"/>
    <w:rsid w:val="00C76B3E"/>
    <w:rsid w:val="00C77432"/>
    <w:rsid w:val="00C82F25"/>
    <w:rsid w:val="00CC00CD"/>
    <w:rsid w:val="00CD5152"/>
    <w:rsid w:val="00CE2808"/>
    <w:rsid w:val="00CE3895"/>
    <w:rsid w:val="00D115D8"/>
    <w:rsid w:val="00D16E39"/>
    <w:rsid w:val="00D446FA"/>
    <w:rsid w:val="00D63A2D"/>
    <w:rsid w:val="00D67076"/>
    <w:rsid w:val="00D70D2A"/>
    <w:rsid w:val="00D714BE"/>
    <w:rsid w:val="00D72E9D"/>
    <w:rsid w:val="00D74066"/>
    <w:rsid w:val="00D74C9A"/>
    <w:rsid w:val="00D82CE5"/>
    <w:rsid w:val="00D91494"/>
    <w:rsid w:val="00DA5AB1"/>
    <w:rsid w:val="00DC51E1"/>
    <w:rsid w:val="00DC62E5"/>
    <w:rsid w:val="00DC7E89"/>
    <w:rsid w:val="00DD735D"/>
    <w:rsid w:val="00DE3119"/>
    <w:rsid w:val="00DF236B"/>
    <w:rsid w:val="00E01186"/>
    <w:rsid w:val="00E1062F"/>
    <w:rsid w:val="00E11654"/>
    <w:rsid w:val="00E13AB8"/>
    <w:rsid w:val="00E2328E"/>
    <w:rsid w:val="00E303F8"/>
    <w:rsid w:val="00E322D7"/>
    <w:rsid w:val="00E33B62"/>
    <w:rsid w:val="00E44AA4"/>
    <w:rsid w:val="00E455F9"/>
    <w:rsid w:val="00E50738"/>
    <w:rsid w:val="00EC23BE"/>
    <w:rsid w:val="00ED2D1C"/>
    <w:rsid w:val="00EE3F35"/>
    <w:rsid w:val="00F14B46"/>
    <w:rsid w:val="00F26DED"/>
    <w:rsid w:val="00F31A69"/>
    <w:rsid w:val="00F666A1"/>
    <w:rsid w:val="00F84899"/>
    <w:rsid w:val="00F859F0"/>
    <w:rsid w:val="00F86796"/>
    <w:rsid w:val="00FA3C28"/>
    <w:rsid w:val="00FC38A3"/>
    <w:rsid w:val="00FE141E"/>
    <w:rsid w:val="01105039"/>
    <w:rsid w:val="06DED32D"/>
    <w:rsid w:val="0E8167D4"/>
    <w:rsid w:val="2347B37D"/>
    <w:rsid w:val="42D6D31E"/>
    <w:rsid w:val="612CFFA9"/>
    <w:rsid w:val="7E0A78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
    <w:basedOn w:val="Fuentedeprrafopredeter"/>
    <w:uiPriority w:val="99"/>
    <w:semiHidden/>
    <w:unhideWhenUsed/>
    <w:rsid w:val="007B0854"/>
    <w:rPr>
      <w:vertAlign w:val="superscript"/>
    </w:rPr>
  </w:style>
  <w:style w:type="character" w:styleId="Textoennegrita">
    <w:name w:val="Strong"/>
    <w:basedOn w:val="Fuentedeprrafopredeter"/>
    <w:uiPriority w:val="22"/>
    <w:qFormat/>
    <w:rsid w:val="00E2328E"/>
    <w:rPr>
      <w:b/>
      <w:bCs/>
    </w:rPr>
  </w:style>
  <w:style w:type="paragraph" w:customStyle="1" w:styleId="pa22">
    <w:name w:val="pa22"/>
    <w:basedOn w:val="Normal"/>
    <w:rsid w:val="00603C96"/>
    <w:pPr>
      <w:spacing w:before="100" w:beforeAutospacing="1" w:after="100" w:afterAutospacing="1"/>
    </w:pPr>
    <w:rPr>
      <w:rFonts w:ascii="Times New Roman" w:eastAsia="Times New Roman" w:hAnsi="Times New Roman" w:cs="Times New Roman"/>
      <w:szCs w:val="24"/>
      <w:lang w:val="es-ES" w:eastAsia="es-ES"/>
    </w:rPr>
  </w:style>
  <w:style w:type="character" w:customStyle="1" w:styleId="a0">
    <w:name w:val="a0"/>
    <w:basedOn w:val="Fuentedeprrafopredeter"/>
    <w:rsid w:val="00603C96"/>
  </w:style>
  <w:style w:type="paragraph" w:customStyle="1" w:styleId="Textoindependiente21">
    <w:name w:val="Texto independiente 21"/>
    <w:basedOn w:val="Normal"/>
    <w:uiPriority w:val="99"/>
    <w:rsid w:val="00575013"/>
    <w:pPr>
      <w:overflowPunct w:val="0"/>
      <w:autoSpaceDE w:val="0"/>
      <w:autoSpaceDN w:val="0"/>
      <w:adjustRightInd w:val="0"/>
      <w:spacing w:line="360" w:lineRule="auto"/>
      <w:ind w:left="360" w:hanging="360"/>
      <w:jc w:val="both"/>
    </w:pPr>
    <w:rPr>
      <w:rFonts w:ascii="Century Gothic" w:eastAsia="Times New Roman" w:hAnsi="Century Gothic" w:cs="Times New Roman"/>
      <w:sz w:val="22"/>
      <w:szCs w:val="20"/>
      <w:lang w:val="es-ES" w:eastAsia="es-ES"/>
    </w:rPr>
  </w:style>
  <w:style w:type="character" w:customStyle="1" w:styleId="baj">
    <w:name w:val="b_aj"/>
    <w:basedOn w:val="Fuentedeprrafopredeter"/>
    <w:rsid w:val="00575013"/>
  </w:style>
  <w:style w:type="paragraph" w:customStyle="1" w:styleId="Default">
    <w:name w:val="Default"/>
    <w:rsid w:val="006A24B9"/>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9888421">
      <w:bodyDiv w:val="1"/>
      <w:marLeft w:val="0"/>
      <w:marRight w:val="0"/>
      <w:marTop w:val="0"/>
      <w:marBottom w:val="0"/>
      <w:divBdr>
        <w:top w:val="none" w:sz="0" w:space="0" w:color="auto"/>
        <w:left w:val="none" w:sz="0" w:space="0" w:color="auto"/>
        <w:bottom w:val="none" w:sz="0" w:space="0" w:color="auto"/>
        <w:right w:val="none" w:sz="0" w:space="0" w:color="auto"/>
      </w:divBdr>
    </w:div>
    <w:div w:id="1111242951">
      <w:bodyDiv w:val="1"/>
      <w:marLeft w:val="0"/>
      <w:marRight w:val="0"/>
      <w:marTop w:val="0"/>
      <w:marBottom w:val="0"/>
      <w:divBdr>
        <w:top w:val="none" w:sz="0" w:space="0" w:color="auto"/>
        <w:left w:val="none" w:sz="0" w:space="0" w:color="auto"/>
        <w:bottom w:val="none" w:sz="0" w:space="0" w:color="auto"/>
        <w:right w:val="none" w:sz="0" w:space="0" w:color="auto"/>
      </w:divBdr>
    </w:div>
    <w:div w:id="14109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D01D-6A68-4FCC-8220-D08491A9A8F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46C324B-9579-46BF-A822-DE7EFDC67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A01AE2F-E6D6-4607-9484-C2344580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4993</Words>
  <Characters>28466</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2020-01-23T20:35:00Z</cp:lastPrinted>
  <dcterms:created xsi:type="dcterms:W3CDTF">2020-08-06T17:13:00Z</dcterms:created>
  <dcterms:modified xsi:type="dcterms:W3CDTF">2020-08-06T17:13:00Z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