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9273" w14:textId="07126AC4" w:rsidR="007D048A" w:rsidRPr="007D048A" w:rsidRDefault="007D048A" w:rsidP="007D048A">
      <w:pPr>
        <w:jc w:val="right"/>
        <w:rPr>
          <w:rStyle w:val="eop"/>
          <w:rFonts w:ascii="Arial" w:hAnsi="Arial" w:cs="Arial"/>
          <w:color w:val="000000" w:themeColor="text1"/>
          <w:shd w:val="clear" w:color="auto" w:fill="FFFFFF"/>
        </w:rPr>
      </w:pPr>
      <w:bookmarkStart w:id="0" w:name="_GoBack"/>
      <w:bookmarkEnd w:id="0"/>
      <w:r w:rsidRPr="007D048A">
        <w:rPr>
          <w:rStyle w:val="normaltextrun"/>
          <w:rFonts w:ascii="Arial" w:hAnsi="Arial" w:cs="Arial"/>
          <w:b/>
          <w:bCs/>
          <w:color w:val="000000" w:themeColor="text1"/>
          <w:sz w:val="16"/>
          <w:szCs w:val="16"/>
          <w:shd w:val="clear" w:color="auto" w:fill="FFFFFF"/>
        </w:rPr>
        <w:t>CCE-DES-FM-17</w:t>
      </w:r>
      <w:r w:rsidRPr="007D048A">
        <w:rPr>
          <w:rStyle w:val="eop"/>
          <w:rFonts w:ascii="Arial" w:hAnsi="Arial" w:cs="Arial"/>
          <w:color w:val="000000" w:themeColor="text1"/>
          <w:shd w:val="clear" w:color="auto" w:fill="FFFFFF"/>
        </w:rPr>
        <w:t> </w:t>
      </w:r>
    </w:p>
    <w:p w14:paraId="68969AAC" w14:textId="77777777" w:rsidR="007D048A" w:rsidRPr="007D048A" w:rsidRDefault="007D048A" w:rsidP="007D048A">
      <w:pPr>
        <w:jc w:val="right"/>
        <w:rPr>
          <w:rFonts w:ascii="Arial" w:hAnsi="Arial" w:cs="Arial"/>
          <w:b/>
          <w:color w:val="000000" w:themeColor="text1"/>
          <w:sz w:val="16"/>
          <w:szCs w:val="16"/>
          <w:lang w:val="es-CO"/>
        </w:rPr>
      </w:pPr>
    </w:p>
    <w:p w14:paraId="4232661F" w14:textId="44AB9763" w:rsidR="007B0854" w:rsidRPr="007D048A" w:rsidRDefault="00AA64DC" w:rsidP="007B0854">
      <w:pPr>
        <w:jc w:val="both"/>
        <w:rPr>
          <w:rFonts w:ascii="Arial" w:hAnsi="Arial" w:cs="Arial"/>
          <w:b/>
          <w:color w:val="000000" w:themeColor="text1"/>
          <w:sz w:val="22"/>
          <w:lang w:val="es-CO"/>
        </w:rPr>
      </w:pPr>
      <w:r w:rsidRPr="007D048A">
        <w:rPr>
          <w:rFonts w:ascii="Arial" w:hAnsi="Arial" w:cs="Arial"/>
          <w:b/>
          <w:color w:val="000000" w:themeColor="text1"/>
          <w:sz w:val="22"/>
          <w:lang w:val="es-CO"/>
        </w:rPr>
        <w:t>CONTRATO ESTATAL</w:t>
      </w:r>
      <w:r w:rsidR="007B0854" w:rsidRPr="007D048A">
        <w:rPr>
          <w:rFonts w:ascii="Arial" w:hAnsi="Arial" w:cs="Arial"/>
          <w:b/>
          <w:color w:val="000000" w:themeColor="text1"/>
          <w:sz w:val="22"/>
          <w:lang w:val="es-CO"/>
        </w:rPr>
        <w:t xml:space="preserve"> </w:t>
      </w:r>
      <w:r w:rsidR="002D5B0D" w:rsidRPr="007D048A">
        <w:rPr>
          <w:rFonts w:ascii="Arial" w:eastAsia="Calibri" w:hAnsi="Arial" w:cs="Arial"/>
          <w:b/>
          <w:color w:val="000000" w:themeColor="text1"/>
          <w:sz w:val="22"/>
        </w:rPr>
        <w:t>–</w:t>
      </w:r>
      <w:r w:rsidR="007B0854" w:rsidRPr="007D048A">
        <w:rPr>
          <w:rFonts w:ascii="Arial" w:hAnsi="Arial" w:cs="Arial"/>
          <w:b/>
          <w:color w:val="000000" w:themeColor="text1"/>
          <w:sz w:val="22"/>
          <w:lang w:val="es-CO"/>
        </w:rPr>
        <w:t xml:space="preserve"> </w:t>
      </w:r>
      <w:r w:rsidRPr="007D048A">
        <w:rPr>
          <w:rFonts w:ascii="Arial" w:hAnsi="Arial" w:cs="Arial"/>
          <w:b/>
          <w:color w:val="000000" w:themeColor="text1"/>
          <w:sz w:val="22"/>
          <w:lang w:val="es-CO"/>
        </w:rPr>
        <w:t>Perfeccionamiento</w:t>
      </w:r>
      <w:r w:rsidR="007B0854" w:rsidRPr="007D048A">
        <w:rPr>
          <w:rFonts w:ascii="Arial" w:hAnsi="Arial" w:cs="Arial"/>
          <w:b/>
          <w:color w:val="000000" w:themeColor="text1"/>
          <w:sz w:val="22"/>
          <w:lang w:val="es-CO"/>
        </w:rPr>
        <w:t xml:space="preserve"> </w:t>
      </w:r>
    </w:p>
    <w:p w14:paraId="22848024" w14:textId="77777777" w:rsidR="007B0854" w:rsidRPr="007D048A" w:rsidRDefault="007B0854" w:rsidP="007B0854">
      <w:pPr>
        <w:jc w:val="both"/>
        <w:rPr>
          <w:rFonts w:ascii="Arial" w:hAnsi="Arial" w:cs="Arial"/>
          <w:color w:val="000000" w:themeColor="text1"/>
          <w:sz w:val="20"/>
          <w:szCs w:val="20"/>
          <w:lang w:val="es-CO"/>
        </w:rPr>
      </w:pPr>
    </w:p>
    <w:p w14:paraId="5D32471C" w14:textId="77777777" w:rsidR="00C50B96" w:rsidRPr="007D048A" w:rsidRDefault="00C50B96" w:rsidP="00C50B96">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El texto original del artículo 41 de la Ley 80 de 1993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0EE3F935" w14:textId="77777777" w:rsidR="007B0854" w:rsidRPr="007D048A" w:rsidRDefault="007B0854" w:rsidP="00C000CF">
      <w:pPr>
        <w:jc w:val="both"/>
        <w:rPr>
          <w:rFonts w:ascii="Arial" w:hAnsi="Arial" w:cs="Arial"/>
          <w:color w:val="000000" w:themeColor="text1"/>
          <w:sz w:val="20"/>
          <w:szCs w:val="20"/>
          <w:lang w:val="es-CO"/>
        </w:rPr>
      </w:pPr>
    </w:p>
    <w:p w14:paraId="547A08B2" w14:textId="2B8076E8" w:rsidR="00C000CF" w:rsidRPr="007D048A" w:rsidRDefault="00C50B96" w:rsidP="1D0223F1">
      <w:pPr>
        <w:jc w:val="both"/>
        <w:rPr>
          <w:rFonts w:ascii="Arial" w:hAnsi="Arial" w:cs="Arial"/>
          <w:b/>
          <w:bCs/>
          <w:color w:val="000000" w:themeColor="text1"/>
          <w:sz w:val="22"/>
          <w:lang w:val="es-CO"/>
        </w:rPr>
      </w:pPr>
      <w:r w:rsidRPr="1D0223F1">
        <w:rPr>
          <w:rFonts w:ascii="Arial" w:hAnsi="Arial" w:cs="Arial"/>
          <w:b/>
          <w:bCs/>
          <w:color w:val="000000" w:themeColor="text1"/>
          <w:sz w:val="22"/>
          <w:lang w:val="es-CO"/>
        </w:rPr>
        <w:t>APORTES AL SISTEMA DE SEGURIDAD SOCIAL</w:t>
      </w:r>
      <w:r w:rsidR="00C000CF" w:rsidRPr="1D0223F1">
        <w:rPr>
          <w:rFonts w:ascii="Arial" w:hAnsi="Arial" w:cs="Arial"/>
          <w:b/>
          <w:bCs/>
          <w:color w:val="000000" w:themeColor="text1"/>
          <w:sz w:val="22"/>
          <w:lang w:val="es-CO"/>
        </w:rPr>
        <w:t xml:space="preserve"> </w:t>
      </w:r>
      <w:r w:rsidR="002D5B0D" w:rsidRPr="1D0223F1">
        <w:rPr>
          <w:rFonts w:ascii="Arial" w:eastAsia="Calibri" w:hAnsi="Arial" w:cs="Arial"/>
          <w:b/>
          <w:bCs/>
          <w:color w:val="000000" w:themeColor="text1"/>
          <w:sz w:val="22"/>
        </w:rPr>
        <w:t>–</w:t>
      </w:r>
      <w:r w:rsidR="00C000CF" w:rsidRPr="1D0223F1">
        <w:rPr>
          <w:rFonts w:ascii="Arial" w:hAnsi="Arial" w:cs="Arial"/>
          <w:b/>
          <w:bCs/>
          <w:color w:val="000000" w:themeColor="text1"/>
          <w:sz w:val="22"/>
          <w:lang w:val="es-CO"/>
        </w:rPr>
        <w:t xml:space="preserve"> </w:t>
      </w:r>
      <w:r w:rsidRPr="1D0223F1">
        <w:rPr>
          <w:rFonts w:ascii="Arial" w:hAnsi="Arial" w:cs="Arial"/>
          <w:b/>
          <w:bCs/>
          <w:color w:val="000000" w:themeColor="text1"/>
          <w:sz w:val="22"/>
          <w:lang w:val="es-CO"/>
        </w:rPr>
        <w:t xml:space="preserve">Obligación </w:t>
      </w:r>
      <w:r w:rsidR="002D5B0D" w:rsidRPr="1D0223F1">
        <w:rPr>
          <w:rFonts w:ascii="Arial" w:eastAsia="Calibri" w:hAnsi="Arial" w:cs="Arial"/>
          <w:b/>
          <w:bCs/>
          <w:color w:val="000000" w:themeColor="text1"/>
          <w:sz w:val="22"/>
        </w:rPr>
        <w:t>–</w:t>
      </w:r>
      <w:r w:rsidRPr="1D0223F1">
        <w:rPr>
          <w:rFonts w:ascii="Arial" w:hAnsi="Arial" w:cs="Arial"/>
          <w:b/>
          <w:bCs/>
          <w:color w:val="000000" w:themeColor="text1"/>
          <w:sz w:val="22"/>
          <w:lang w:val="es-CO"/>
        </w:rPr>
        <w:t xml:space="preserve"> Contratista</w:t>
      </w:r>
    </w:p>
    <w:p w14:paraId="3E427743" w14:textId="39DF3C6C" w:rsidR="007B0854" w:rsidRPr="007D048A" w:rsidRDefault="007B0854" w:rsidP="007B0854">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 </w:t>
      </w:r>
    </w:p>
    <w:p w14:paraId="6E11F9DD" w14:textId="7BE6112E" w:rsidR="00AF52D1" w:rsidRPr="007D048A" w:rsidRDefault="00AF52D1" w:rsidP="00AF52D1">
      <w:pPr>
        <w:spacing w:after="120"/>
        <w:jc w:val="both"/>
        <w:rPr>
          <w:rFonts w:ascii="Arial" w:hAnsi="Arial" w:cs="Arial"/>
          <w:color w:val="000000" w:themeColor="text1"/>
          <w:sz w:val="20"/>
          <w:szCs w:val="20"/>
          <w:lang w:val="es-CO"/>
        </w:rPr>
      </w:pPr>
      <w:r w:rsidRPr="276AA99E">
        <w:rPr>
          <w:rFonts w:ascii="Arial" w:hAnsi="Arial" w:cs="Arial"/>
          <w:color w:val="000000" w:themeColor="text1"/>
          <w:sz w:val="20"/>
          <w:szCs w:val="20"/>
          <w:lang w:val="es-CO"/>
        </w:rPr>
        <w:t xml:space="preserve">[…] </w:t>
      </w:r>
      <w:r w:rsidR="7372C8F9" w:rsidRPr="276AA99E">
        <w:rPr>
          <w:rFonts w:ascii="Arial" w:hAnsi="Arial" w:cs="Arial"/>
          <w:color w:val="000000" w:themeColor="text1"/>
          <w:sz w:val="20"/>
          <w:szCs w:val="20"/>
          <w:lang w:val="es-CO"/>
        </w:rPr>
        <w:t>l</w:t>
      </w:r>
      <w:r w:rsidR="00C50B96" w:rsidRPr="276AA99E">
        <w:rPr>
          <w:rFonts w:ascii="Arial" w:hAnsi="Arial" w:cs="Arial"/>
          <w:color w:val="000000" w:themeColor="text1"/>
          <w:sz w:val="20"/>
          <w:szCs w:val="20"/>
          <w:lang w:val="es-CO"/>
        </w:rPr>
        <w:t xml:space="preserve">a jurisprudencia reiteró la necesidad de que las entidades estatales, durante la ejecución de un contrato, verifiquen el cumplimiento de las obligaciones del sistema de seguridad social por parte de los oferentes. </w:t>
      </w:r>
    </w:p>
    <w:p w14:paraId="330FA40A" w14:textId="588B2B89" w:rsidR="00C000CF" w:rsidRPr="007D048A" w:rsidRDefault="00C50B96" w:rsidP="00C50B96">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Luego, el artículo 23 de la Ley 1150 de 2007 modificó el inciso segundo del artículo 41 de la Ley 80 de 1993, incluyendo la obligación, para los proponentes y contratistas, de estar a paz y salvo con los aportes parafiscales al Sistema de Seguridad Social integral. </w:t>
      </w:r>
    </w:p>
    <w:p w14:paraId="0D039EB7" w14:textId="77777777" w:rsidR="00C50B96" w:rsidRPr="007D048A" w:rsidRDefault="00C50B96" w:rsidP="00E11654">
      <w:pPr>
        <w:jc w:val="both"/>
        <w:rPr>
          <w:rFonts w:ascii="Arial" w:hAnsi="Arial" w:cs="Arial"/>
          <w:color w:val="000000" w:themeColor="text1"/>
          <w:sz w:val="20"/>
          <w:szCs w:val="20"/>
          <w:lang w:val="es-CO"/>
        </w:rPr>
      </w:pPr>
    </w:p>
    <w:p w14:paraId="530E34F5" w14:textId="16A11F98" w:rsidR="00E11654" w:rsidRPr="007D048A" w:rsidRDefault="00C50B96" w:rsidP="00E11654">
      <w:pPr>
        <w:jc w:val="both"/>
        <w:rPr>
          <w:rFonts w:ascii="Arial" w:hAnsi="Arial" w:cs="Arial"/>
          <w:b/>
          <w:color w:val="000000" w:themeColor="text1"/>
          <w:sz w:val="22"/>
          <w:lang w:val="es-CO"/>
        </w:rPr>
      </w:pPr>
      <w:r w:rsidRPr="007D048A">
        <w:rPr>
          <w:rFonts w:ascii="Arial" w:hAnsi="Arial" w:cs="Arial"/>
          <w:b/>
          <w:color w:val="000000" w:themeColor="text1"/>
          <w:sz w:val="22"/>
          <w:lang w:val="es-CO"/>
        </w:rPr>
        <w:t xml:space="preserve">APORTES AL SISTEMA DE SEGURIDAD SOCIAL </w:t>
      </w:r>
      <w:r w:rsidR="002D5B0D" w:rsidRPr="007D048A">
        <w:rPr>
          <w:rFonts w:ascii="Arial" w:eastAsia="Calibri" w:hAnsi="Arial" w:cs="Arial"/>
          <w:b/>
          <w:color w:val="000000" w:themeColor="text1"/>
          <w:sz w:val="22"/>
        </w:rPr>
        <w:t>–</w:t>
      </w:r>
      <w:r w:rsidRPr="007D048A">
        <w:rPr>
          <w:rFonts w:ascii="Arial" w:hAnsi="Arial" w:cs="Arial"/>
          <w:b/>
          <w:color w:val="000000" w:themeColor="text1"/>
          <w:sz w:val="22"/>
          <w:lang w:val="es-CO"/>
        </w:rPr>
        <w:t xml:space="preserve"> Obligación </w:t>
      </w:r>
      <w:r w:rsidR="002D5B0D" w:rsidRPr="007D048A">
        <w:rPr>
          <w:rFonts w:ascii="Arial" w:eastAsia="Calibri" w:hAnsi="Arial" w:cs="Arial"/>
          <w:b/>
          <w:color w:val="000000" w:themeColor="text1"/>
          <w:sz w:val="22"/>
        </w:rPr>
        <w:t>–</w:t>
      </w:r>
      <w:r w:rsidRPr="007D048A">
        <w:rPr>
          <w:rFonts w:ascii="Arial" w:hAnsi="Arial" w:cs="Arial"/>
          <w:b/>
          <w:color w:val="000000" w:themeColor="text1"/>
          <w:sz w:val="22"/>
          <w:lang w:val="es-CO"/>
        </w:rPr>
        <w:t xml:space="preserve"> Ejecución</w:t>
      </w:r>
      <w:r w:rsidR="00F86796" w:rsidRPr="007D048A">
        <w:rPr>
          <w:rFonts w:ascii="Arial" w:hAnsi="Arial" w:cs="Arial"/>
          <w:b/>
          <w:color w:val="000000" w:themeColor="text1"/>
          <w:sz w:val="22"/>
          <w:lang w:val="es-CO"/>
        </w:rPr>
        <w:t xml:space="preserve"> del contrato</w:t>
      </w:r>
    </w:p>
    <w:p w14:paraId="4D006503" w14:textId="20D384B2" w:rsidR="00C50B96" w:rsidRPr="007D048A" w:rsidRDefault="00C50B96" w:rsidP="00E11654">
      <w:pPr>
        <w:jc w:val="both"/>
        <w:rPr>
          <w:rFonts w:ascii="Arial" w:hAnsi="Arial" w:cs="Arial"/>
          <w:color w:val="000000" w:themeColor="text1"/>
          <w:sz w:val="20"/>
          <w:szCs w:val="20"/>
          <w:lang w:val="es-CO"/>
        </w:rPr>
      </w:pPr>
    </w:p>
    <w:p w14:paraId="3CCD47BD" w14:textId="77777777" w:rsidR="00C50B96" w:rsidRPr="007D048A" w:rsidRDefault="00C50B96" w:rsidP="00C50B96">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De la lectura integral del artículo 23 de la Ley 1150 de 2007 se concluye que, si bien los proponentes y los contratistas deben estar al día en el pago al Sistema de Seguridad Social, la verificación de este requisito, por parte de las entidades estatales, se realizará cuando realicen los pagos del contrato, es decir, durante la ejecución. </w:t>
      </w:r>
    </w:p>
    <w:p w14:paraId="6D965F27" w14:textId="73A2BEF5" w:rsidR="00C50B96" w:rsidRPr="007D048A" w:rsidRDefault="00C50B96" w:rsidP="00E11654">
      <w:pPr>
        <w:jc w:val="both"/>
        <w:rPr>
          <w:rFonts w:ascii="Arial" w:hAnsi="Arial" w:cs="Arial"/>
          <w:color w:val="000000" w:themeColor="text1"/>
          <w:sz w:val="20"/>
          <w:szCs w:val="20"/>
          <w:lang w:val="es-CO"/>
        </w:rPr>
      </w:pPr>
    </w:p>
    <w:p w14:paraId="4584C380" w14:textId="518EB9B4" w:rsidR="00C50B96" w:rsidRPr="007D048A" w:rsidRDefault="00C50B96" w:rsidP="1D0223F1">
      <w:pPr>
        <w:jc w:val="both"/>
        <w:rPr>
          <w:rFonts w:ascii="Arial" w:hAnsi="Arial" w:cs="Arial"/>
          <w:b/>
          <w:bCs/>
          <w:color w:val="000000" w:themeColor="text1"/>
          <w:sz w:val="22"/>
          <w:lang w:val="es-CO"/>
        </w:rPr>
      </w:pPr>
      <w:r w:rsidRPr="1D0223F1">
        <w:rPr>
          <w:rFonts w:ascii="Arial" w:hAnsi="Arial" w:cs="Arial"/>
          <w:b/>
          <w:bCs/>
          <w:color w:val="000000" w:themeColor="text1"/>
          <w:sz w:val="22"/>
          <w:lang w:val="es-CO"/>
        </w:rPr>
        <w:t xml:space="preserve">APORTES AL SISTEMA DE SEGURIDAD SOCIAL </w:t>
      </w:r>
      <w:r w:rsidR="002D5B0D" w:rsidRPr="1D0223F1">
        <w:rPr>
          <w:rFonts w:ascii="Arial" w:eastAsia="Calibri" w:hAnsi="Arial" w:cs="Arial"/>
          <w:b/>
          <w:bCs/>
          <w:color w:val="000000" w:themeColor="text1"/>
          <w:sz w:val="22"/>
        </w:rPr>
        <w:t>–</w:t>
      </w:r>
      <w:r w:rsidRPr="1D0223F1">
        <w:rPr>
          <w:rFonts w:ascii="Arial" w:hAnsi="Arial" w:cs="Arial"/>
          <w:b/>
          <w:bCs/>
          <w:color w:val="000000" w:themeColor="text1"/>
          <w:sz w:val="22"/>
          <w:lang w:val="es-CO"/>
        </w:rPr>
        <w:t xml:space="preserve"> Obligación </w:t>
      </w:r>
      <w:r w:rsidR="002D5B0D" w:rsidRPr="1D0223F1">
        <w:rPr>
          <w:rFonts w:ascii="Arial" w:eastAsia="Calibri" w:hAnsi="Arial" w:cs="Arial"/>
          <w:b/>
          <w:bCs/>
          <w:color w:val="000000" w:themeColor="text1"/>
          <w:sz w:val="22"/>
        </w:rPr>
        <w:t>–</w:t>
      </w:r>
      <w:r w:rsidRPr="1D0223F1">
        <w:rPr>
          <w:rFonts w:ascii="Arial" w:hAnsi="Arial" w:cs="Arial"/>
          <w:b/>
          <w:bCs/>
          <w:color w:val="000000" w:themeColor="text1"/>
          <w:sz w:val="22"/>
          <w:lang w:val="es-CO"/>
        </w:rPr>
        <w:t xml:space="preserve"> Persona jurídica</w:t>
      </w:r>
    </w:p>
    <w:p w14:paraId="21CF05C9" w14:textId="77777777" w:rsidR="00C50B96" w:rsidRPr="007D048A" w:rsidRDefault="00C50B96" w:rsidP="00E11654">
      <w:pPr>
        <w:jc w:val="both"/>
        <w:rPr>
          <w:rFonts w:ascii="Arial" w:hAnsi="Arial" w:cs="Arial"/>
          <w:color w:val="000000" w:themeColor="text1"/>
          <w:sz w:val="20"/>
          <w:szCs w:val="20"/>
          <w:lang w:val="es-CO"/>
        </w:rPr>
      </w:pPr>
    </w:p>
    <w:p w14:paraId="40026B4E" w14:textId="3B6EDAE2" w:rsidR="00C50B96" w:rsidRPr="007D048A" w:rsidRDefault="00C50B96" w:rsidP="00C50B96">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1F4FE333" w14:textId="5A869D59" w:rsidR="00C50B96" w:rsidRPr="007D048A" w:rsidRDefault="00C50B96" w:rsidP="00E11654">
      <w:pPr>
        <w:jc w:val="both"/>
        <w:rPr>
          <w:rFonts w:ascii="Arial" w:hAnsi="Arial" w:cs="Arial"/>
          <w:color w:val="000000" w:themeColor="text1"/>
          <w:sz w:val="20"/>
          <w:szCs w:val="20"/>
          <w:lang w:val="es-CO"/>
        </w:rPr>
      </w:pPr>
    </w:p>
    <w:p w14:paraId="794F40F6" w14:textId="6D3D9B37" w:rsidR="00C50B96" w:rsidRPr="007D048A" w:rsidRDefault="00867885" w:rsidP="00E11654">
      <w:pPr>
        <w:jc w:val="both"/>
        <w:rPr>
          <w:rFonts w:ascii="Arial" w:hAnsi="Arial" w:cs="Arial"/>
          <w:b/>
          <w:color w:val="000000" w:themeColor="text1"/>
          <w:sz w:val="22"/>
          <w:lang w:val="es-CO"/>
        </w:rPr>
      </w:pPr>
      <w:r w:rsidRPr="007D048A">
        <w:rPr>
          <w:rFonts w:ascii="Arial" w:hAnsi="Arial" w:cs="Arial"/>
          <w:b/>
          <w:color w:val="000000" w:themeColor="text1"/>
          <w:sz w:val="22"/>
          <w:lang w:val="es-CO"/>
        </w:rPr>
        <w:t xml:space="preserve">APORTES AL SISTEMA DE SEGURIDAD SOCIAL </w:t>
      </w:r>
      <w:r w:rsidR="002D5B0D" w:rsidRPr="007D048A">
        <w:rPr>
          <w:rFonts w:ascii="Arial" w:eastAsia="Calibri" w:hAnsi="Arial" w:cs="Arial"/>
          <w:b/>
          <w:color w:val="000000" w:themeColor="text1"/>
          <w:sz w:val="22"/>
        </w:rPr>
        <w:t>–</w:t>
      </w:r>
      <w:r w:rsidRPr="007D048A">
        <w:rPr>
          <w:rFonts w:ascii="Arial" w:hAnsi="Arial" w:cs="Arial"/>
          <w:b/>
          <w:color w:val="000000" w:themeColor="text1"/>
          <w:sz w:val="22"/>
          <w:lang w:val="es-CO"/>
        </w:rPr>
        <w:t xml:space="preserve"> Verificación </w:t>
      </w:r>
    </w:p>
    <w:p w14:paraId="33281846" w14:textId="24380741" w:rsidR="00867885" w:rsidRPr="007D048A" w:rsidRDefault="00867885" w:rsidP="00E11654">
      <w:pPr>
        <w:jc w:val="both"/>
        <w:rPr>
          <w:rFonts w:ascii="Arial" w:hAnsi="Arial" w:cs="Arial"/>
          <w:color w:val="000000" w:themeColor="text1"/>
          <w:sz w:val="20"/>
          <w:szCs w:val="20"/>
          <w:lang w:val="es-CO"/>
        </w:rPr>
      </w:pPr>
    </w:p>
    <w:p w14:paraId="7E23848B"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En este sentido, la verificación del aporte al pago al sistema de seguridad social cambia dependiendo si se trata de una persona natural o una jurídica: i) si es persona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14:paraId="147B0994" w14:textId="77777777" w:rsidR="00867885" w:rsidRPr="007D048A" w:rsidRDefault="00867885" w:rsidP="00E11654">
      <w:pPr>
        <w:jc w:val="both"/>
        <w:rPr>
          <w:rFonts w:ascii="Arial" w:hAnsi="Arial" w:cs="Arial"/>
          <w:color w:val="000000" w:themeColor="text1"/>
          <w:sz w:val="20"/>
          <w:szCs w:val="20"/>
          <w:lang w:val="es-CO"/>
        </w:rPr>
      </w:pPr>
    </w:p>
    <w:p w14:paraId="10A52F09" w14:textId="348326A0" w:rsidR="00867885" w:rsidRPr="007D048A" w:rsidRDefault="00867885" w:rsidP="00867885">
      <w:pPr>
        <w:jc w:val="both"/>
        <w:rPr>
          <w:rFonts w:ascii="Arial" w:hAnsi="Arial" w:cs="Arial"/>
          <w:b/>
          <w:color w:val="000000" w:themeColor="text1"/>
          <w:sz w:val="22"/>
          <w:lang w:val="es-CO"/>
        </w:rPr>
      </w:pPr>
      <w:r w:rsidRPr="007D048A">
        <w:rPr>
          <w:rFonts w:ascii="Arial" w:hAnsi="Arial" w:cs="Arial"/>
          <w:b/>
          <w:color w:val="000000" w:themeColor="text1"/>
          <w:sz w:val="22"/>
          <w:lang w:val="es-CO"/>
        </w:rPr>
        <w:t xml:space="preserve">APORTES AL SISTEMA DE PENSIONES </w:t>
      </w:r>
      <w:r w:rsidR="002D5B0D" w:rsidRPr="007D048A">
        <w:rPr>
          <w:rFonts w:ascii="Arial" w:eastAsia="Calibri" w:hAnsi="Arial" w:cs="Arial"/>
          <w:b/>
          <w:color w:val="000000" w:themeColor="text1"/>
          <w:sz w:val="22"/>
        </w:rPr>
        <w:t>–</w:t>
      </w:r>
      <w:r w:rsidRPr="007D048A">
        <w:rPr>
          <w:rFonts w:ascii="Arial" w:hAnsi="Arial" w:cs="Arial"/>
          <w:b/>
          <w:color w:val="000000" w:themeColor="text1"/>
          <w:sz w:val="22"/>
          <w:lang w:val="es-CO"/>
        </w:rPr>
        <w:t xml:space="preserve"> Pensionados </w:t>
      </w:r>
    </w:p>
    <w:p w14:paraId="62ACF133" w14:textId="65D0A70B" w:rsidR="00C50B96" w:rsidRPr="007D048A" w:rsidRDefault="00C50B96" w:rsidP="00E11654">
      <w:pPr>
        <w:jc w:val="both"/>
        <w:rPr>
          <w:rFonts w:ascii="Arial" w:hAnsi="Arial" w:cs="Arial"/>
          <w:color w:val="000000" w:themeColor="text1"/>
          <w:sz w:val="20"/>
          <w:szCs w:val="20"/>
          <w:lang w:val="es-CO"/>
        </w:rPr>
      </w:pPr>
    </w:p>
    <w:p w14:paraId="6F3CCB08" w14:textId="71F00A62" w:rsidR="00867885" w:rsidRPr="007D048A" w:rsidRDefault="00867885" w:rsidP="00CE5B83">
      <w:pPr>
        <w:spacing w:after="120"/>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La Ley 797 de 2003, que regula el Sistema General de Pensiones, en el artículo 3 establece que tienen la obligación de estar afiliados al Sistema General de Pensiones todas las personas naturales que presten directamente servicios al Estado o a las entidades bajo la modalidad de contratos de prestación de servicios. </w:t>
      </w:r>
    </w:p>
    <w:p w14:paraId="0FB37083" w14:textId="77777777" w:rsidR="00867885" w:rsidRPr="007D048A" w:rsidRDefault="00867885" w:rsidP="00867885">
      <w:pPr>
        <w:jc w:val="both"/>
        <w:rPr>
          <w:rFonts w:ascii="Arial" w:hAnsi="Arial" w:cs="Arial"/>
          <w:color w:val="000000" w:themeColor="text1"/>
          <w:sz w:val="20"/>
          <w:szCs w:val="20"/>
          <w:lang w:val="es-CO"/>
        </w:rPr>
      </w:pPr>
    </w:p>
    <w:p w14:paraId="0A45E6DF" w14:textId="5AFA168D"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Ahora bien, el artículo 4 señala que, en relación con la cotización al Sistema General de Pensiones, durante la vigencia del contrato de prestación de servicios se efectuarán cotizaciones obligatorias por parte de los empleadores y contratistas con base en el salario o ingresos por prestación de servicios que ellos devenguen, sin embargo, la obligación de cotizar cesa al momento en que el afiliado reúna los requisitos para acceder a la pensión mínima de vejez, o cuando el afiliado se pensione por invalidez o anticipadamente. En este sentido, una persona natural que se encuentre pensionada y celebre un contrato con una entidad estatal no está obligada a cotizar al Sistema de Pensiones, por expresa disposición legal.</w:t>
      </w:r>
    </w:p>
    <w:p w14:paraId="7369E1A5" w14:textId="3ED46DAB" w:rsidR="00C50B96" w:rsidRPr="007D048A" w:rsidRDefault="00C50B96" w:rsidP="00E11654">
      <w:pPr>
        <w:jc w:val="both"/>
        <w:rPr>
          <w:rFonts w:ascii="Arial" w:hAnsi="Arial" w:cs="Arial"/>
          <w:color w:val="000000" w:themeColor="text1"/>
          <w:sz w:val="20"/>
          <w:szCs w:val="20"/>
          <w:lang w:val="es-CO"/>
        </w:rPr>
      </w:pPr>
    </w:p>
    <w:p w14:paraId="2C57D7DD" w14:textId="1AF3A8CF" w:rsidR="00867885" w:rsidRPr="007D048A" w:rsidRDefault="00867885" w:rsidP="00867885">
      <w:pPr>
        <w:jc w:val="both"/>
        <w:rPr>
          <w:rFonts w:ascii="Arial" w:hAnsi="Arial" w:cs="Arial"/>
          <w:b/>
          <w:color w:val="000000" w:themeColor="text1"/>
          <w:sz w:val="22"/>
          <w:lang w:val="es-CO"/>
        </w:rPr>
      </w:pPr>
      <w:r w:rsidRPr="007D048A">
        <w:rPr>
          <w:rFonts w:ascii="Arial" w:hAnsi="Arial" w:cs="Arial"/>
          <w:b/>
          <w:color w:val="000000" w:themeColor="text1"/>
          <w:sz w:val="22"/>
          <w:lang w:val="es-CO"/>
        </w:rPr>
        <w:t xml:space="preserve">APORTES AL SISTEMA DE SALUD </w:t>
      </w:r>
      <w:r w:rsidR="002D5B0D" w:rsidRPr="007D048A">
        <w:rPr>
          <w:rFonts w:ascii="Arial" w:eastAsia="Calibri" w:hAnsi="Arial" w:cs="Arial"/>
          <w:b/>
          <w:color w:val="000000" w:themeColor="text1"/>
          <w:sz w:val="22"/>
        </w:rPr>
        <w:t>–</w:t>
      </w:r>
      <w:r w:rsidRPr="007D048A">
        <w:rPr>
          <w:rFonts w:ascii="Arial" w:hAnsi="Arial" w:cs="Arial"/>
          <w:b/>
          <w:color w:val="000000" w:themeColor="text1"/>
          <w:sz w:val="22"/>
          <w:lang w:val="es-CO"/>
        </w:rPr>
        <w:t xml:space="preserve"> Pensionados </w:t>
      </w:r>
    </w:p>
    <w:p w14:paraId="76800060" w14:textId="279B591D" w:rsidR="00867885" w:rsidRPr="007D048A" w:rsidRDefault="00867885" w:rsidP="00E11654">
      <w:pPr>
        <w:jc w:val="both"/>
        <w:rPr>
          <w:rFonts w:ascii="Arial" w:hAnsi="Arial" w:cs="Arial"/>
          <w:color w:val="000000" w:themeColor="text1"/>
          <w:sz w:val="20"/>
          <w:szCs w:val="20"/>
          <w:lang w:val="es-CO"/>
        </w:rPr>
      </w:pPr>
    </w:p>
    <w:p w14:paraId="1556CE14" w14:textId="77777777" w:rsidR="00CE5B83" w:rsidRPr="007D048A" w:rsidRDefault="00867885" w:rsidP="00CE5B83">
      <w:pPr>
        <w:spacing w:after="120" w:line="276" w:lineRule="auto"/>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Por su parte, el artículo 2.1.4.1 del Decreto 780 de 2016 indica que pertenecerán al régimen contributivo del sistema general de seguridad social en salud, como cotizantes, los trabajadores independientes que no tengan vínculo contractual y reglamentario con algún empleador y cuyos ingresos mensuales sean iguales o superiores a un salario mínimo mensual legal vigente. El artículo 16 del Decreto 1406 de 1999 define como trabajador independiente «a aquel que no se encuentre vinculado laboralmente a un empleador, mediante contrato de trabajo o a través de una regulación legal y reglamentaria». Para definir el alcance de trabajador independiente se debe verificar que no tenga vínculo laboral con el empleador, como sucede con el contratista de prestación de servicios.</w:t>
      </w:r>
    </w:p>
    <w:p w14:paraId="31D6E863" w14:textId="3E2C96D4" w:rsidR="00867885" w:rsidRPr="007D048A" w:rsidRDefault="00867885" w:rsidP="00CE5B83">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De esta forma, como todas las personas naturales pensionados que prestan servicios al Estado por medio de un contrato de prestación de servicios deben estar afiliados al sistema de seguridad social de salud y aportar al sistema en calidad de cotizantes, porque la normativa no los excluyó, como sí lo hizo con el Sistema de Pensiones. </w:t>
      </w:r>
    </w:p>
    <w:p w14:paraId="0DB6794B" w14:textId="77777777" w:rsidR="00867885" w:rsidRPr="007D048A" w:rsidRDefault="00867885" w:rsidP="00CE5B83">
      <w:pPr>
        <w:jc w:val="both"/>
        <w:rPr>
          <w:rFonts w:ascii="Arial" w:hAnsi="Arial" w:cs="Arial"/>
          <w:color w:val="000000" w:themeColor="text1"/>
          <w:sz w:val="20"/>
          <w:szCs w:val="20"/>
          <w:lang w:val="es-CO"/>
        </w:rPr>
      </w:pPr>
    </w:p>
    <w:p w14:paraId="44828EFC" w14:textId="77777777" w:rsidR="00966971" w:rsidRPr="00B33EFE" w:rsidRDefault="00966971" w:rsidP="00966971">
      <w:pPr>
        <w:autoSpaceDE w:val="0"/>
        <w:autoSpaceDN w:val="0"/>
        <w:adjustRightInd w:val="0"/>
        <w:rPr>
          <w:rFonts w:ascii="Arial" w:hAnsi="Arial" w:cs="Arial"/>
          <w:color w:val="000000" w:themeColor="text1"/>
          <w:sz w:val="20"/>
          <w:szCs w:val="20"/>
          <w:lang w:val="es-CO"/>
        </w:rPr>
      </w:pPr>
    </w:p>
    <w:p w14:paraId="5FB43A94" w14:textId="6EDF63FA" w:rsidR="00966971" w:rsidRPr="007D048A" w:rsidRDefault="00966971" w:rsidP="00966971">
      <w:pPr>
        <w:autoSpaceDE w:val="0"/>
        <w:autoSpaceDN w:val="0"/>
        <w:adjustRightInd w:val="0"/>
        <w:rPr>
          <w:rFonts w:ascii="Arial" w:hAnsi="Arial" w:cs="Arial"/>
          <w:color w:val="000000" w:themeColor="text1"/>
          <w:sz w:val="22"/>
          <w:lang w:val="es-CO"/>
        </w:rPr>
      </w:pPr>
      <w:r w:rsidRPr="007D048A">
        <w:rPr>
          <w:rFonts w:ascii="Arial" w:hAnsi="Arial" w:cs="Arial"/>
          <w:color w:val="000000" w:themeColor="text1"/>
          <w:sz w:val="22"/>
          <w:lang w:val="es-CO"/>
        </w:rPr>
        <w:t xml:space="preserve">Bogotá D.C., </w:t>
      </w:r>
      <w:r w:rsidRPr="007D048A">
        <w:rPr>
          <w:rFonts w:ascii="Arial" w:hAnsi="Arial" w:cs="Arial"/>
          <w:b/>
          <w:bCs/>
          <w:color w:val="000000" w:themeColor="text1"/>
          <w:sz w:val="22"/>
          <w:lang w:val="es-CO"/>
        </w:rPr>
        <w:t xml:space="preserve">05/02/2020 Hora 18:22:11s </w:t>
      </w:r>
    </w:p>
    <w:p w14:paraId="1C57553C" w14:textId="20382239" w:rsidR="0078122E" w:rsidRPr="007D048A" w:rsidRDefault="00966971" w:rsidP="00966971">
      <w:pPr>
        <w:jc w:val="right"/>
        <w:rPr>
          <w:rFonts w:ascii="Arial" w:hAnsi="Arial" w:cs="Arial"/>
          <w:b/>
          <w:bCs/>
          <w:color w:val="000000" w:themeColor="text1"/>
          <w:sz w:val="22"/>
          <w:lang w:val="es-CO"/>
        </w:rPr>
      </w:pPr>
      <w:r w:rsidRPr="007D048A">
        <w:rPr>
          <w:rFonts w:ascii="Arial" w:hAnsi="Arial" w:cs="Arial"/>
          <w:b/>
          <w:bCs/>
          <w:color w:val="000000" w:themeColor="text1"/>
          <w:sz w:val="22"/>
          <w:lang w:val="es-CO"/>
        </w:rPr>
        <w:t>N° Radicado: 2202013000000724</w:t>
      </w:r>
    </w:p>
    <w:p w14:paraId="2AA46634" w14:textId="77777777" w:rsidR="00966971" w:rsidRPr="007D048A" w:rsidRDefault="00966971" w:rsidP="00966971">
      <w:pPr>
        <w:jc w:val="right"/>
        <w:rPr>
          <w:rFonts w:ascii="Arial" w:eastAsia="Calibri" w:hAnsi="Arial" w:cs="Arial"/>
          <w:color w:val="000000" w:themeColor="text1"/>
          <w:sz w:val="22"/>
        </w:rPr>
      </w:pPr>
    </w:p>
    <w:p w14:paraId="6119A54E" w14:textId="13F395E3" w:rsidR="0078122E" w:rsidRPr="007D048A" w:rsidRDefault="0078122E" w:rsidP="0078122E">
      <w:pPr>
        <w:rPr>
          <w:rFonts w:ascii="Arial" w:eastAsia="Calibri" w:hAnsi="Arial" w:cs="Arial"/>
          <w:color w:val="000000" w:themeColor="text1"/>
          <w:sz w:val="20"/>
          <w:szCs w:val="20"/>
        </w:rPr>
      </w:pPr>
      <w:r w:rsidRPr="007D048A">
        <w:rPr>
          <w:rFonts w:ascii="Arial" w:eastAsia="Calibri" w:hAnsi="Arial" w:cs="Arial"/>
          <w:color w:val="000000" w:themeColor="text1"/>
          <w:sz w:val="20"/>
          <w:szCs w:val="20"/>
        </w:rPr>
        <w:t xml:space="preserve">Señor </w:t>
      </w:r>
    </w:p>
    <w:p w14:paraId="18295DF8" w14:textId="551D4636" w:rsidR="00515B32" w:rsidRPr="007D048A" w:rsidRDefault="00575013" w:rsidP="0078122E">
      <w:pPr>
        <w:rPr>
          <w:rFonts w:ascii="Arial" w:eastAsia="Calibri" w:hAnsi="Arial" w:cs="Arial"/>
          <w:b/>
          <w:color w:val="000000" w:themeColor="text1"/>
          <w:sz w:val="20"/>
          <w:szCs w:val="20"/>
        </w:rPr>
      </w:pPr>
      <w:r w:rsidRPr="007D048A">
        <w:rPr>
          <w:rFonts w:ascii="Arial" w:eastAsia="Calibri" w:hAnsi="Arial" w:cs="Arial"/>
          <w:b/>
          <w:color w:val="000000" w:themeColor="text1"/>
          <w:sz w:val="20"/>
          <w:szCs w:val="20"/>
        </w:rPr>
        <w:t>María Clara Potes</w:t>
      </w:r>
    </w:p>
    <w:p w14:paraId="5FB4F046" w14:textId="2C90E901" w:rsidR="0078122E" w:rsidRPr="007D048A" w:rsidRDefault="00575013" w:rsidP="0078122E">
      <w:pPr>
        <w:rPr>
          <w:rFonts w:ascii="Arial" w:eastAsia="Calibri" w:hAnsi="Arial" w:cs="Arial"/>
          <w:color w:val="000000" w:themeColor="text1"/>
          <w:sz w:val="20"/>
          <w:szCs w:val="20"/>
        </w:rPr>
      </w:pPr>
      <w:r w:rsidRPr="007D048A">
        <w:rPr>
          <w:rFonts w:ascii="Arial" w:eastAsia="Calibri" w:hAnsi="Arial" w:cs="Arial"/>
          <w:color w:val="000000" w:themeColor="text1"/>
          <w:sz w:val="20"/>
          <w:szCs w:val="20"/>
        </w:rPr>
        <w:t>Villmaría</w:t>
      </w:r>
    </w:p>
    <w:p w14:paraId="664E8E72" w14:textId="77777777" w:rsidR="007B0854" w:rsidRPr="007D048A" w:rsidRDefault="007B0854" w:rsidP="007B0854">
      <w:pPr>
        <w:jc w:val="center"/>
        <w:rPr>
          <w:rFonts w:ascii="Arial" w:eastAsia="Calibri" w:hAnsi="Arial" w:cs="Arial"/>
          <w:b/>
          <w:color w:val="000000" w:themeColor="text1"/>
          <w:sz w:val="22"/>
        </w:rPr>
      </w:pPr>
      <w:bookmarkStart w:id="1" w:name="_Hlk29890381"/>
    </w:p>
    <w:p w14:paraId="738CBD52" w14:textId="3C287CAB" w:rsidR="007B0854" w:rsidRPr="007D048A" w:rsidRDefault="007B0854" w:rsidP="005B6FB7">
      <w:pPr>
        <w:jc w:val="center"/>
        <w:rPr>
          <w:rFonts w:ascii="Arial" w:eastAsia="Calibri" w:hAnsi="Arial" w:cs="Arial"/>
          <w:b/>
          <w:color w:val="000000" w:themeColor="text1"/>
          <w:sz w:val="20"/>
          <w:szCs w:val="20"/>
        </w:rPr>
      </w:pPr>
      <w:r w:rsidRPr="007D048A">
        <w:rPr>
          <w:rFonts w:ascii="Arial" w:eastAsia="Calibri" w:hAnsi="Arial" w:cs="Arial"/>
          <w:b/>
          <w:color w:val="000000" w:themeColor="text1"/>
          <w:sz w:val="20"/>
          <w:szCs w:val="20"/>
        </w:rPr>
        <w:t>Concepto C ─ 0</w:t>
      </w:r>
      <w:r w:rsidR="00867885" w:rsidRPr="007D048A">
        <w:rPr>
          <w:rFonts w:ascii="Arial" w:eastAsia="Calibri" w:hAnsi="Arial" w:cs="Arial"/>
          <w:b/>
          <w:color w:val="000000" w:themeColor="text1"/>
          <w:sz w:val="20"/>
          <w:szCs w:val="20"/>
        </w:rPr>
        <w:t>42</w:t>
      </w:r>
      <w:r w:rsidRPr="007D048A">
        <w:rPr>
          <w:rFonts w:ascii="Arial" w:eastAsia="Calibri" w:hAnsi="Arial" w:cs="Arial"/>
          <w:b/>
          <w:color w:val="000000" w:themeColor="text1"/>
          <w:sz w:val="20"/>
          <w:szCs w:val="20"/>
        </w:rPr>
        <w:t xml:space="preserve"> de 2020</w:t>
      </w:r>
    </w:p>
    <w:p w14:paraId="7947F6BC" w14:textId="77777777" w:rsidR="007B0854" w:rsidRPr="007D048A" w:rsidRDefault="007B0854" w:rsidP="007B085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7D048A" w:rsidRPr="007D048A" w14:paraId="0292AC9D" w14:textId="77777777" w:rsidTr="00B608B9">
        <w:tc>
          <w:tcPr>
            <w:tcW w:w="3119" w:type="dxa"/>
            <w:hideMark/>
          </w:tcPr>
          <w:p w14:paraId="58D1858D" w14:textId="77777777" w:rsidR="007B0854" w:rsidRPr="007D048A" w:rsidRDefault="007B0854" w:rsidP="00C21AB6">
            <w:pPr>
              <w:rPr>
                <w:rFonts w:ascii="Arial" w:eastAsia="Calibri" w:hAnsi="Arial" w:cs="Arial"/>
                <w:color w:val="000000" w:themeColor="text1"/>
                <w:sz w:val="22"/>
              </w:rPr>
            </w:pPr>
            <w:r w:rsidRPr="007D048A">
              <w:rPr>
                <w:rFonts w:ascii="Arial" w:eastAsia="Calibri" w:hAnsi="Arial" w:cs="Arial"/>
                <w:b/>
                <w:color w:val="000000" w:themeColor="text1"/>
                <w:sz w:val="22"/>
              </w:rPr>
              <w:t>Temas:</w:t>
            </w:r>
            <w:r w:rsidRPr="007D048A">
              <w:rPr>
                <w:rFonts w:ascii="Arial" w:eastAsia="Calibri" w:hAnsi="Arial" w:cs="Arial"/>
                <w:color w:val="000000" w:themeColor="text1"/>
                <w:sz w:val="22"/>
              </w:rPr>
              <w:t xml:space="preserve">           </w:t>
            </w:r>
          </w:p>
          <w:p w14:paraId="78FD6AC7" w14:textId="77777777" w:rsidR="007B0854" w:rsidRPr="007D048A" w:rsidRDefault="007B0854" w:rsidP="00C21AB6">
            <w:pPr>
              <w:rPr>
                <w:rFonts w:ascii="Arial" w:eastAsia="Calibri" w:hAnsi="Arial" w:cs="Arial"/>
                <w:color w:val="000000" w:themeColor="text1"/>
                <w:sz w:val="22"/>
              </w:rPr>
            </w:pPr>
            <w:r w:rsidRPr="007D048A">
              <w:rPr>
                <w:rFonts w:ascii="Arial" w:eastAsia="Calibri" w:hAnsi="Arial" w:cs="Arial"/>
                <w:color w:val="000000" w:themeColor="text1"/>
                <w:sz w:val="22"/>
              </w:rPr>
              <w:t xml:space="preserve">                           </w:t>
            </w:r>
          </w:p>
        </w:tc>
        <w:tc>
          <w:tcPr>
            <w:tcW w:w="5807" w:type="dxa"/>
            <w:hideMark/>
          </w:tcPr>
          <w:p w14:paraId="7EBDA200"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CONTRATO ESTATAL ― Perfeccionamiento </w:t>
            </w:r>
          </w:p>
          <w:p w14:paraId="4BFCE345"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APORTES AL SISTEMA DE SEGURIDAD SOCIAL ― Obligación ― Contratistas</w:t>
            </w:r>
          </w:p>
          <w:p w14:paraId="3FA79EEA" w14:textId="5DD58E8C"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APORTES AL SISTEMA DE SEGURIDAD SOCIAL ― Obligación ― Ejecución</w:t>
            </w:r>
            <w:r w:rsidR="00F86796" w:rsidRPr="007D048A">
              <w:rPr>
                <w:rFonts w:ascii="Arial" w:hAnsi="Arial" w:cs="Arial"/>
                <w:color w:val="000000" w:themeColor="text1"/>
                <w:sz w:val="20"/>
                <w:szCs w:val="20"/>
                <w:lang w:val="es-CO"/>
              </w:rPr>
              <w:t xml:space="preserve"> del contrato</w:t>
            </w:r>
          </w:p>
          <w:p w14:paraId="1C88507A" w14:textId="77777777" w:rsidR="00867885" w:rsidRPr="007D048A" w:rsidRDefault="00867885" w:rsidP="00867885">
            <w:pPr>
              <w:rPr>
                <w:color w:val="000000" w:themeColor="text1"/>
              </w:rPr>
            </w:pPr>
            <w:r w:rsidRPr="007D048A">
              <w:rPr>
                <w:rFonts w:ascii="Arial" w:hAnsi="Arial" w:cs="Arial"/>
                <w:color w:val="000000" w:themeColor="text1"/>
                <w:sz w:val="20"/>
                <w:szCs w:val="20"/>
                <w:lang w:val="es-CO"/>
              </w:rPr>
              <w:t>APORTES AL SISTEMA DE SEGURIDAD SOCIAL ― Obligación ― Personas jurídicas</w:t>
            </w:r>
          </w:p>
          <w:p w14:paraId="34840727"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APORTES AL SISTEMA DE SEGURIDAD SOCIAL ― Verificación </w:t>
            </w:r>
          </w:p>
          <w:p w14:paraId="48132ACD"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APORTES AL SISTEMA DE PENSIONES ― Pensionados </w:t>
            </w:r>
          </w:p>
          <w:p w14:paraId="225DC6D4" w14:textId="77777777" w:rsidR="00867885" w:rsidRPr="007D048A" w:rsidRDefault="00867885" w:rsidP="00867885">
            <w:pPr>
              <w:jc w:val="both"/>
              <w:rPr>
                <w:rFonts w:ascii="Arial" w:hAnsi="Arial" w:cs="Arial"/>
                <w:color w:val="000000" w:themeColor="text1"/>
                <w:sz w:val="20"/>
                <w:szCs w:val="20"/>
                <w:lang w:val="es-CO"/>
              </w:rPr>
            </w:pPr>
            <w:r w:rsidRPr="007D048A">
              <w:rPr>
                <w:rFonts w:ascii="Arial" w:hAnsi="Arial" w:cs="Arial"/>
                <w:color w:val="000000" w:themeColor="text1"/>
                <w:sz w:val="20"/>
                <w:szCs w:val="20"/>
                <w:lang w:val="es-CO"/>
              </w:rPr>
              <w:t xml:space="preserve">APORTES AL SISTEMA DE SALUD ― Pensionados </w:t>
            </w:r>
          </w:p>
          <w:p w14:paraId="2CF65E76" w14:textId="279448E8" w:rsidR="007B0854" w:rsidRPr="007D048A" w:rsidRDefault="007B0854" w:rsidP="00C21AB6">
            <w:pPr>
              <w:jc w:val="both"/>
              <w:rPr>
                <w:rFonts w:ascii="Arial" w:eastAsia="Calibri" w:hAnsi="Arial" w:cs="Arial"/>
                <w:color w:val="000000" w:themeColor="text1"/>
                <w:sz w:val="22"/>
              </w:rPr>
            </w:pPr>
          </w:p>
        </w:tc>
      </w:tr>
      <w:tr w:rsidR="002D5B0D" w:rsidRPr="007D048A" w14:paraId="1A5E5E77" w14:textId="77777777" w:rsidTr="00B608B9">
        <w:tc>
          <w:tcPr>
            <w:tcW w:w="3119" w:type="dxa"/>
          </w:tcPr>
          <w:p w14:paraId="4FF4AB0C" w14:textId="77777777" w:rsidR="007B0854" w:rsidRPr="007D048A" w:rsidRDefault="007B0854" w:rsidP="00C21AB6">
            <w:pPr>
              <w:rPr>
                <w:rFonts w:ascii="Arial" w:eastAsia="Calibri" w:hAnsi="Arial" w:cs="Arial"/>
                <w:b/>
                <w:color w:val="000000" w:themeColor="text1"/>
                <w:sz w:val="22"/>
              </w:rPr>
            </w:pPr>
            <w:r w:rsidRPr="007D048A">
              <w:rPr>
                <w:rFonts w:ascii="Arial" w:eastAsia="Calibri" w:hAnsi="Arial" w:cs="Arial"/>
                <w:b/>
                <w:color w:val="000000" w:themeColor="text1"/>
                <w:sz w:val="22"/>
              </w:rPr>
              <w:t>Radicación:</w:t>
            </w:r>
            <w:r w:rsidRPr="007D048A">
              <w:rPr>
                <w:rFonts w:ascii="Arial" w:eastAsia="Calibri" w:hAnsi="Arial" w:cs="Arial"/>
                <w:color w:val="000000" w:themeColor="text1"/>
                <w:sz w:val="22"/>
              </w:rPr>
              <w:t xml:space="preserve">                              </w:t>
            </w:r>
          </w:p>
        </w:tc>
        <w:tc>
          <w:tcPr>
            <w:tcW w:w="5807" w:type="dxa"/>
          </w:tcPr>
          <w:p w14:paraId="7852C50C" w14:textId="3BD32C32" w:rsidR="006A50AF" w:rsidRPr="007D048A" w:rsidRDefault="007B0854" w:rsidP="00B608B9">
            <w:pPr>
              <w:jc w:val="both"/>
              <w:rPr>
                <w:rFonts w:ascii="Arial" w:eastAsia="Calibri" w:hAnsi="Arial" w:cs="Arial"/>
                <w:color w:val="000000" w:themeColor="text1"/>
                <w:sz w:val="22"/>
              </w:rPr>
            </w:pPr>
            <w:r w:rsidRPr="007D048A">
              <w:rPr>
                <w:rFonts w:ascii="Arial" w:eastAsia="Calibri" w:hAnsi="Arial" w:cs="Arial"/>
                <w:color w:val="000000" w:themeColor="text1"/>
                <w:sz w:val="22"/>
              </w:rPr>
              <w:t>Respuesta a consulta #</w:t>
            </w:r>
            <w:r w:rsidR="00CD5152" w:rsidRPr="007D048A">
              <w:rPr>
                <w:rFonts w:ascii="Arial" w:eastAsia="Calibri" w:hAnsi="Arial" w:cs="Arial"/>
                <w:color w:val="000000" w:themeColor="text1"/>
                <w:sz w:val="22"/>
              </w:rPr>
              <w:t>420201</w:t>
            </w:r>
            <w:r w:rsidR="00575013" w:rsidRPr="007D048A">
              <w:rPr>
                <w:rFonts w:ascii="Arial" w:eastAsia="Calibri" w:hAnsi="Arial" w:cs="Arial"/>
                <w:color w:val="000000" w:themeColor="text1"/>
                <w:sz w:val="22"/>
              </w:rPr>
              <w:t>2</w:t>
            </w:r>
            <w:r w:rsidR="00CD5152" w:rsidRPr="007D048A">
              <w:rPr>
                <w:rFonts w:ascii="Arial" w:eastAsia="Calibri" w:hAnsi="Arial" w:cs="Arial"/>
                <w:color w:val="000000" w:themeColor="text1"/>
                <w:sz w:val="22"/>
              </w:rPr>
              <w:t>000000</w:t>
            </w:r>
            <w:r w:rsidR="00575013" w:rsidRPr="007D048A">
              <w:rPr>
                <w:rFonts w:ascii="Arial" w:eastAsia="Calibri" w:hAnsi="Arial" w:cs="Arial"/>
                <w:color w:val="000000" w:themeColor="text1"/>
                <w:sz w:val="22"/>
              </w:rPr>
              <w:t>139</w:t>
            </w:r>
            <w:r w:rsidR="00CD5152" w:rsidRPr="007D048A">
              <w:rPr>
                <w:rFonts w:ascii="Arial" w:eastAsia="Calibri" w:hAnsi="Arial" w:cs="Arial"/>
                <w:color w:val="000000" w:themeColor="text1"/>
                <w:sz w:val="22"/>
              </w:rPr>
              <w:t xml:space="preserve"> </w:t>
            </w:r>
          </w:p>
        </w:tc>
      </w:tr>
    </w:tbl>
    <w:p w14:paraId="315AAD82" w14:textId="58159067" w:rsidR="007B0854" w:rsidRPr="007D048A" w:rsidRDefault="007B0854" w:rsidP="007B0854">
      <w:pPr>
        <w:jc w:val="both"/>
        <w:rPr>
          <w:rFonts w:ascii="Arial" w:eastAsia="Calibri" w:hAnsi="Arial" w:cs="Arial"/>
          <w:color w:val="000000" w:themeColor="text1"/>
          <w:sz w:val="22"/>
        </w:rPr>
      </w:pPr>
    </w:p>
    <w:p w14:paraId="7EBF297E" w14:textId="77777777" w:rsidR="007B0854" w:rsidRPr="007D048A" w:rsidRDefault="007B0854" w:rsidP="007B0854">
      <w:pPr>
        <w:rPr>
          <w:rFonts w:ascii="Arial" w:eastAsia="Calibri" w:hAnsi="Arial" w:cs="Arial"/>
          <w:color w:val="000000" w:themeColor="text1"/>
          <w:sz w:val="22"/>
        </w:rPr>
      </w:pPr>
    </w:p>
    <w:p w14:paraId="06A7BBBE" w14:textId="5322CA26" w:rsidR="007B0854" w:rsidRPr="007D048A" w:rsidRDefault="007B0854" w:rsidP="007B0854">
      <w:pPr>
        <w:rPr>
          <w:rFonts w:ascii="Arial" w:eastAsia="Calibri" w:hAnsi="Arial" w:cs="Arial"/>
          <w:color w:val="000000" w:themeColor="text1"/>
          <w:sz w:val="22"/>
        </w:rPr>
      </w:pPr>
      <w:r w:rsidRPr="007D048A">
        <w:rPr>
          <w:rFonts w:ascii="Arial" w:eastAsia="Calibri" w:hAnsi="Arial" w:cs="Arial"/>
          <w:color w:val="000000" w:themeColor="text1"/>
          <w:sz w:val="22"/>
        </w:rPr>
        <w:t>Estimad</w:t>
      </w:r>
      <w:r w:rsidR="00575013" w:rsidRPr="007D048A">
        <w:rPr>
          <w:rFonts w:ascii="Arial" w:eastAsia="Calibri" w:hAnsi="Arial" w:cs="Arial"/>
          <w:color w:val="000000" w:themeColor="text1"/>
          <w:sz w:val="22"/>
        </w:rPr>
        <w:t>a</w:t>
      </w:r>
      <w:r w:rsidR="00515B32" w:rsidRPr="007D048A">
        <w:rPr>
          <w:rFonts w:ascii="Arial" w:eastAsia="Calibri" w:hAnsi="Arial" w:cs="Arial"/>
          <w:color w:val="000000" w:themeColor="text1"/>
          <w:sz w:val="22"/>
        </w:rPr>
        <w:t xml:space="preserve"> </w:t>
      </w:r>
      <w:r w:rsidRPr="007D048A">
        <w:rPr>
          <w:rFonts w:ascii="Arial" w:eastAsia="Calibri" w:hAnsi="Arial" w:cs="Arial"/>
          <w:color w:val="000000" w:themeColor="text1"/>
          <w:sz w:val="22"/>
        </w:rPr>
        <w:t>señor</w:t>
      </w:r>
      <w:r w:rsidR="00575013" w:rsidRPr="007D048A">
        <w:rPr>
          <w:rFonts w:ascii="Arial" w:eastAsia="Calibri" w:hAnsi="Arial" w:cs="Arial"/>
          <w:color w:val="000000" w:themeColor="text1"/>
          <w:sz w:val="22"/>
        </w:rPr>
        <w:t>a</w:t>
      </w:r>
      <w:r w:rsidR="000172E5" w:rsidRPr="007D048A">
        <w:rPr>
          <w:rFonts w:ascii="Arial" w:eastAsia="Calibri" w:hAnsi="Arial" w:cs="Arial"/>
          <w:color w:val="000000" w:themeColor="text1"/>
          <w:sz w:val="22"/>
        </w:rPr>
        <w:t xml:space="preserve"> </w:t>
      </w:r>
      <w:r w:rsidR="00575013" w:rsidRPr="007D048A">
        <w:rPr>
          <w:rFonts w:ascii="Arial" w:eastAsia="Calibri" w:hAnsi="Arial" w:cs="Arial"/>
          <w:color w:val="000000" w:themeColor="text1"/>
          <w:sz w:val="22"/>
        </w:rPr>
        <w:t>Potes</w:t>
      </w:r>
      <w:r w:rsidR="000172E5" w:rsidRPr="007D048A">
        <w:rPr>
          <w:rFonts w:ascii="Arial" w:eastAsia="Calibri" w:hAnsi="Arial" w:cs="Arial"/>
          <w:color w:val="000000" w:themeColor="text1"/>
          <w:sz w:val="22"/>
        </w:rPr>
        <w:t>,</w:t>
      </w:r>
    </w:p>
    <w:p w14:paraId="6BDA09F7" w14:textId="77777777" w:rsidR="007B0854" w:rsidRPr="007D048A" w:rsidRDefault="007B0854" w:rsidP="007B0854">
      <w:pPr>
        <w:rPr>
          <w:rFonts w:ascii="Arial" w:eastAsia="Calibri" w:hAnsi="Arial" w:cs="Arial"/>
          <w:color w:val="000000" w:themeColor="text1"/>
          <w:sz w:val="22"/>
        </w:rPr>
      </w:pPr>
    </w:p>
    <w:p w14:paraId="26BD2D70" w14:textId="251912BD" w:rsidR="007B0854" w:rsidRPr="007D048A" w:rsidRDefault="007B0854" w:rsidP="007B0854">
      <w:pPr>
        <w:spacing w:line="276" w:lineRule="auto"/>
        <w:jc w:val="both"/>
        <w:rPr>
          <w:rFonts w:ascii="Arial" w:eastAsia="Calibri" w:hAnsi="Arial" w:cs="Arial"/>
          <w:color w:val="000000" w:themeColor="text1"/>
          <w:sz w:val="22"/>
        </w:rPr>
      </w:pPr>
      <w:r w:rsidRPr="007D048A">
        <w:rPr>
          <w:rFonts w:ascii="Arial" w:eastAsia="Calibri" w:hAnsi="Arial" w:cs="Arial"/>
          <w:color w:val="000000" w:themeColor="text1"/>
          <w:sz w:val="22"/>
        </w:rPr>
        <w:lastRenderedPageBreak/>
        <w:t>La Agencia Nacional de Contratación Pública ―Colombia Compra Eficiente― responde su consult</w:t>
      </w:r>
      <w:r w:rsidR="00575013" w:rsidRPr="007D048A">
        <w:rPr>
          <w:rFonts w:ascii="Arial" w:eastAsia="Calibri" w:hAnsi="Arial" w:cs="Arial"/>
          <w:color w:val="000000" w:themeColor="text1"/>
          <w:sz w:val="22"/>
        </w:rPr>
        <w:t>a</w:t>
      </w:r>
      <w:r w:rsidRPr="007D048A">
        <w:rPr>
          <w:rFonts w:ascii="Arial" w:eastAsia="Calibri" w:hAnsi="Arial" w:cs="Arial"/>
          <w:color w:val="000000" w:themeColor="text1"/>
          <w:sz w:val="22"/>
        </w:rPr>
        <w:t xml:space="preserve"> del </w:t>
      </w:r>
      <w:r w:rsidR="00575013" w:rsidRPr="007D048A">
        <w:rPr>
          <w:rFonts w:ascii="Arial" w:eastAsia="Calibri" w:hAnsi="Arial" w:cs="Arial"/>
          <w:color w:val="000000" w:themeColor="text1"/>
          <w:sz w:val="22"/>
        </w:rPr>
        <w:t>10 de enero</w:t>
      </w:r>
      <w:r w:rsidRPr="007D048A">
        <w:rPr>
          <w:rFonts w:ascii="Arial" w:eastAsia="Calibri" w:hAnsi="Arial" w:cs="Arial"/>
          <w:color w:val="000000" w:themeColor="text1"/>
          <w:sz w:val="22"/>
        </w:rPr>
        <w:t xml:space="preserve"> de 20</w:t>
      </w:r>
      <w:r w:rsidR="00575013" w:rsidRPr="007D048A">
        <w:rPr>
          <w:rFonts w:ascii="Arial" w:eastAsia="Calibri" w:hAnsi="Arial" w:cs="Arial"/>
          <w:color w:val="000000" w:themeColor="text1"/>
          <w:sz w:val="22"/>
        </w:rPr>
        <w:t>20</w:t>
      </w:r>
      <w:r w:rsidRPr="007D048A">
        <w:rPr>
          <w:rFonts w:ascii="Arial" w:eastAsia="Calibri" w:hAnsi="Arial" w:cs="Arial"/>
          <w:color w:val="000000" w:themeColor="text1"/>
          <w:sz w:val="22"/>
        </w:rPr>
        <w:t xml:space="preserve">, en ejercicio de la competencia otorgada por el numeral 8 del artículo 11 y el numeral 5 del artículo 3 del Decreto Ley 4170 de 2011. </w:t>
      </w:r>
    </w:p>
    <w:bookmarkEnd w:id="1"/>
    <w:p w14:paraId="4284D9F5" w14:textId="77777777" w:rsidR="007B0854" w:rsidRPr="007D048A" w:rsidRDefault="007B0854" w:rsidP="007B0854">
      <w:pPr>
        <w:spacing w:line="276" w:lineRule="auto"/>
        <w:jc w:val="both"/>
        <w:rPr>
          <w:rFonts w:ascii="Arial" w:eastAsia="Calibri" w:hAnsi="Arial" w:cs="Arial"/>
          <w:color w:val="000000" w:themeColor="text1"/>
          <w:sz w:val="22"/>
        </w:rPr>
      </w:pPr>
    </w:p>
    <w:p w14:paraId="7DAA75A6" w14:textId="740FDDEE" w:rsidR="007B0854" w:rsidRPr="007D048A" w:rsidRDefault="007B0854" w:rsidP="007B0854">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7D048A">
        <w:rPr>
          <w:rFonts w:ascii="Arial" w:eastAsia="Calibri" w:hAnsi="Arial" w:cs="Arial"/>
          <w:b/>
          <w:color w:val="000000" w:themeColor="text1"/>
          <w:sz w:val="22"/>
        </w:rPr>
        <w:t xml:space="preserve">Problema planteado </w:t>
      </w:r>
    </w:p>
    <w:p w14:paraId="0F7065DB" w14:textId="77777777" w:rsidR="007B0854" w:rsidRPr="007D048A" w:rsidRDefault="007B0854" w:rsidP="007B0854">
      <w:pPr>
        <w:tabs>
          <w:tab w:val="left" w:pos="426"/>
        </w:tabs>
        <w:spacing w:line="276" w:lineRule="auto"/>
        <w:jc w:val="both"/>
        <w:rPr>
          <w:rFonts w:ascii="Arial" w:eastAsia="Calibri" w:hAnsi="Arial" w:cs="Arial"/>
          <w:b/>
          <w:color w:val="000000" w:themeColor="text1"/>
          <w:sz w:val="22"/>
        </w:rPr>
      </w:pPr>
    </w:p>
    <w:p w14:paraId="11E272EF" w14:textId="6817DF42" w:rsidR="000172E5" w:rsidRPr="007D048A" w:rsidRDefault="007B0854" w:rsidP="007B0854">
      <w:pPr>
        <w:tabs>
          <w:tab w:val="left" w:pos="426"/>
        </w:tabs>
        <w:spacing w:line="276" w:lineRule="auto"/>
        <w:jc w:val="both"/>
        <w:rPr>
          <w:rFonts w:ascii="Arial" w:eastAsia="Calibri" w:hAnsi="Arial" w:cs="Arial"/>
          <w:color w:val="000000" w:themeColor="text1"/>
          <w:sz w:val="22"/>
        </w:rPr>
      </w:pPr>
      <w:r w:rsidRPr="007D048A">
        <w:rPr>
          <w:rFonts w:ascii="Arial" w:eastAsia="Calibri" w:hAnsi="Arial" w:cs="Arial"/>
          <w:color w:val="000000" w:themeColor="text1"/>
          <w:sz w:val="22"/>
        </w:rPr>
        <w:t xml:space="preserve">Usted realiza la siguiente </w:t>
      </w:r>
      <w:r w:rsidR="000172E5" w:rsidRPr="007D048A">
        <w:rPr>
          <w:rFonts w:ascii="Arial" w:eastAsia="Calibri" w:hAnsi="Arial" w:cs="Arial"/>
          <w:color w:val="000000" w:themeColor="text1"/>
          <w:sz w:val="22"/>
        </w:rPr>
        <w:t>consulta</w:t>
      </w:r>
      <w:r w:rsidRPr="007D048A">
        <w:rPr>
          <w:rFonts w:ascii="Arial" w:eastAsia="Calibri" w:hAnsi="Arial" w:cs="Arial"/>
          <w:color w:val="000000" w:themeColor="text1"/>
          <w:sz w:val="22"/>
        </w:rPr>
        <w:t xml:space="preserve">: </w:t>
      </w:r>
      <w:r w:rsidR="000172E5" w:rsidRPr="007D048A">
        <w:rPr>
          <w:rFonts w:ascii="Arial" w:eastAsia="Calibri" w:hAnsi="Arial" w:cs="Arial"/>
          <w:color w:val="000000" w:themeColor="text1"/>
          <w:sz w:val="22"/>
        </w:rPr>
        <w:t>«</w:t>
      </w:r>
      <w:r w:rsidR="00575013" w:rsidRPr="007D048A">
        <w:rPr>
          <w:rFonts w:ascii="Arial" w:eastAsia="Calibri" w:hAnsi="Arial" w:cs="Arial"/>
          <w:color w:val="000000" w:themeColor="text1"/>
          <w:sz w:val="22"/>
        </w:rPr>
        <w:t>¿Una persona que ya se encuentra pensionada, tiene la obligación de seguir pagando pensión para poder presentar licitaciones? Esta pregunta se hace porque las entidades están solicitando a las personas naturales las planillas de pago como independientes para poderlos calificar como hábiles en los procesos</w:t>
      </w:r>
      <w:r w:rsidR="000172E5" w:rsidRPr="007D048A">
        <w:rPr>
          <w:rFonts w:ascii="Arial" w:eastAsia="Calibri" w:hAnsi="Arial" w:cs="Arial"/>
          <w:color w:val="000000" w:themeColor="text1"/>
          <w:sz w:val="22"/>
        </w:rPr>
        <w:t xml:space="preserve">». </w:t>
      </w:r>
    </w:p>
    <w:p w14:paraId="7742C643" w14:textId="77777777" w:rsidR="000172E5" w:rsidRPr="007D048A" w:rsidRDefault="000172E5" w:rsidP="007B0854">
      <w:pPr>
        <w:tabs>
          <w:tab w:val="left" w:pos="426"/>
        </w:tabs>
        <w:spacing w:line="276" w:lineRule="auto"/>
        <w:jc w:val="both"/>
        <w:rPr>
          <w:rFonts w:ascii="Arial" w:eastAsia="Calibri" w:hAnsi="Arial" w:cs="Arial"/>
          <w:color w:val="000000" w:themeColor="text1"/>
          <w:sz w:val="22"/>
        </w:rPr>
      </w:pPr>
    </w:p>
    <w:p w14:paraId="134348CB" w14:textId="77777777" w:rsidR="007B0854" w:rsidRPr="007D048A" w:rsidRDefault="007B0854" w:rsidP="007B085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7D048A">
        <w:rPr>
          <w:rFonts w:ascii="Arial" w:eastAsia="Calibri" w:hAnsi="Arial" w:cs="Arial"/>
          <w:b/>
          <w:color w:val="000000" w:themeColor="text1"/>
          <w:sz w:val="22"/>
        </w:rPr>
        <w:t>Consideraciones</w:t>
      </w:r>
    </w:p>
    <w:p w14:paraId="174C5370" w14:textId="21A4FC61" w:rsidR="007B0854" w:rsidRPr="007D048A" w:rsidRDefault="007B0854" w:rsidP="007B0854">
      <w:pPr>
        <w:spacing w:line="276" w:lineRule="auto"/>
        <w:jc w:val="both"/>
        <w:rPr>
          <w:rFonts w:ascii="Arial" w:eastAsia="Calibri" w:hAnsi="Arial" w:cs="Arial"/>
          <w:b/>
          <w:color w:val="000000" w:themeColor="text1"/>
          <w:sz w:val="22"/>
        </w:rPr>
      </w:pPr>
    </w:p>
    <w:p w14:paraId="3E6C6CC3" w14:textId="77777777" w:rsidR="00C066FE" w:rsidRPr="007D048A" w:rsidRDefault="00C066FE" w:rsidP="00C066FE">
      <w:pPr>
        <w:spacing w:line="276" w:lineRule="auto"/>
        <w:jc w:val="both"/>
        <w:rPr>
          <w:rFonts w:ascii="Arial" w:eastAsia="Calibri" w:hAnsi="Arial" w:cs="Arial"/>
          <w:b/>
          <w:color w:val="000000" w:themeColor="text1"/>
          <w:sz w:val="22"/>
        </w:rPr>
      </w:pPr>
      <w:r w:rsidRPr="007D048A">
        <w:rPr>
          <w:rFonts w:ascii="Arial" w:eastAsia="Calibri" w:hAnsi="Arial" w:cs="Arial"/>
          <w:b/>
          <w:color w:val="000000" w:themeColor="text1"/>
          <w:sz w:val="22"/>
        </w:rPr>
        <w:t xml:space="preserve">2.1. Verificación por parte de las entidades estatales del pago al Sistema de Seguridad Social Integral </w:t>
      </w:r>
    </w:p>
    <w:p w14:paraId="6095539F" w14:textId="77777777" w:rsidR="00C066FE" w:rsidRPr="007D048A" w:rsidRDefault="00C066FE" w:rsidP="00C066FE">
      <w:pPr>
        <w:spacing w:line="276" w:lineRule="auto"/>
        <w:jc w:val="both"/>
        <w:rPr>
          <w:rFonts w:ascii="Arial" w:eastAsia="Calibri" w:hAnsi="Arial" w:cs="Arial"/>
          <w:b/>
          <w:color w:val="000000" w:themeColor="text1"/>
          <w:sz w:val="22"/>
        </w:rPr>
      </w:pPr>
    </w:p>
    <w:p w14:paraId="5BB5F259" w14:textId="77777777" w:rsidR="00C066FE" w:rsidRPr="007D048A" w:rsidRDefault="00C066FE" w:rsidP="00C066FE">
      <w:pPr>
        <w:spacing w:line="276" w:lineRule="auto"/>
        <w:jc w:val="both"/>
        <w:rPr>
          <w:rFonts w:ascii="Arial" w:hAnsi="Arial" w:cs="Arial"/>
          <w:color w:val="000000" w:themeColor="text1"/>
          <w:sz w:val="22"/>
        </w:rPr>
      </w:pPr>
      <w:r w:rsidRPr="007D048A">
        <w:rPr>
          <w:rFonts w:ascii="Arial" w:hAnsi="Arial" w:cs="Arial"/>
          <w:color w:val="000000" w:themeColor="text1"/>
          <w:sz w:val="22"/>
        </w:rPr>
        <w:t>Ley 80 de 1993, en el texto original del artículo 41,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6E1F1646" w14:textId="77777777" w:rsidR="00C066FE" w:rsidRPr="007D048A" w:rsidRDefault="00C066FE" w:rsidP="00C066FE">
      <w:pPr>
        <w:spacing w:line="276" w:lineRule="auto"/>
        <w:ind w:firstLine="708"/>
        <w:jc w:val="both"/>
        <w:rPr>
          <w:rFonts w:ascii="Arial" w:hAnsi="Arial" w:cs="Arial"/>
          <w:color w:val="000000" w:themeColor="text1"/>
          <w:sz w:val="22"/>
        </w:rPr>
      </w:pPr>
      <w:r w:rsidRPr="007D048A">
        <w:rPr>
          <w:rFonts w:ascii="Arial" w:hAnsi="Arial" w:cs="Arial"/>
          <w:color w:val="000000" w:themeColor="text1"/>
          <w:sz w:val="22"/>
        </w:rPr>
        <w:t>Posteriormente,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7D048A">
        <w:rPr>
          <w:rStyle w:val="Refdenotaalpie"/>
          <w:rFonts w:ascii="Arial" w:hAnsi="Arial" w:cs="Arial"/>
          <w:color w:val="000000" w:themeColor="text1"/>
          <w:sz w:val="22"/>
        </w:rPr>
        <w:footnoteReference w:id="2"/>
      </w:r>
      <w:r w:rsidRPr="007D048A">
        <w:rPr>
          <w:rFonts w:ascii="Arial" w:hAnsi="Arial" w:cs="Arial"/>
          <w:color w:val="000000" w:themeColor="text1"/>
          <w:sz w:val="22"/>
        </w:rPr>
        <w:t xml:space="preserve">. </w:t>
      </w:r>
    </w:p>
    <w:p w14:paraId="39A66262" w14:textId="77777777" w:rsidR="00C066FE" w:rsidRPr="007D048A" w:rsidRDefault="00C066FE" w:rsidP="00C066FE">
      <w:pPr>
        <w:spacing w:line="276" w:lineRule="auto"/>
        <w:ind w:firstLine="708"/>
        <w:jc w:val="both"/>
        <w:rPr>
          <w:rFonts w:ascii="Arial" w:hAnsi="Arial" w:cs="Arial"/>
          <w:color w:val="000000" w:themeColor="text1"/>
          <w:sz w:val="22"/>
        </w:rPr>
      </w:pPr>
      <w:r w:rsidRPr="007D048A">
        <w:rPr>
          <w:rFonts w:ascii="Arial" w:hAnsi="Arial" w:cs="Arial"/>
          <w:color w:val="000000" w:themeColor="text1"/>
          <w:sz w:val="22"/>
        </w:rPr>
        <w:lastRenderedPageBreak/>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2E7990B8" w14:textId="77777777" w:rsidR="0082676C" w:rsidRPr="007D048A" w:rsidRDefault="00C066FE" w:rsidP="00C066FE">
      <w:pPr>
        <w:spacing w:line="276" w:lineRule="auto"/>
        <w:ind w:firstLine="708"/>
        <w:jc w:val="both"/>
        <w:rPr>
          <w:rFonts w:ascii="Arial" w:hAnsi="Arial" w:cs="Arial"/>
          <w:color w:val="000000" w:themeColor="text1"/>
          <w:sz w:val="22"/>
        </w:rPr>
      </w:pPr>
      <w:r w:rsidRPr="007D048A">
        <w:rPr>
          <w:rFonts w:ascii="Arial" w:hAnsi="Arial" w:cs="Arial"/>
          <w:color w:val="000000" w:themeColor="text1"/>
          <w:sz w:val="22"/>
        </w:rPr>
        <w:t>Esta norma fue analizada por la Sección Tercera del Consejo de Estado, que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7D048A">
        <w:rPr>
          <w:rStyle w:val="Refdenotaalpie"/>
          <w:rFonts w:ascii="Arial" w:hAnsi="Arial" w:cs="Arial"/>
          <w:color w:val="000000" w:themeColor="text1"/>
          <w:sz w:val="21"/>
          <w:szCs w:val="21"/>
        </w:rPr>
        <w:footnoteReference w:id="3"/>
      </w:r>
      <w:r w:rsidRPr="007D048A">
        <w:rPr>
          <w:rFonts w:ascii="Arial" w:hAnsi="Arial" w:cs="Arial"/>
          <w:color w:val="000000" w:themeColor="text1"/>
          <w:sz w:val="21"/>
          <w:szCs w:val="21"/>
        </w:rPr>
        <w:t xml:space="preserve">. </w:t>
      </w:r>
      <w:r w:rsidRPr="007D048A">
        <w:rPr>
          <w:rFonts w:ascii="Arial" w:hAnsi="Arial" w:cs="Arial"/>
          <w:color w:val="000000" w:themeColor="text1"/>
          <w:sz w:val="22"/>
        </w:rPr>
        <w:t xml:space="preserve">Por lo tanto, la jurisprudencia reiteró la necesidad de que las entidades estatales, durante la ejecución de un contrato, verifiquen el cumplimiento de las obligaciones del sistema de seguridad social por parte de los oferentes. </w:t>
      </w:r>
    </w:p>
    <w:p w14:paraId="3F191342" w14:textId="08B1BAD0" w:rsidR="00C066FE" w:rsidRPr="007D048A" w:rsidRDefault="00C066FE" w:rsidP="00C066FE">
      <w:pPr>
        <w:spacing w:line="276" w:lineRule="auto"/>
        <w:ind w:firstLine="708"/>
        <w:jc w:val="both"/>
        <w:rPr>
          <w:rFonts w:ascii="Arial" w:hAnsi="Arial" w:cs="Arial"/>
          <w:color w:val="000000" w:themeColor="text1"/>
          <w:sz w:val="22"/>
        </w:rPr>
      </w:pPr>
      <w:r w:rsidRPr="007D048A">
        <w:rPr>
          <w:rFonts w:ascii="Arial" w:hAnsi="Arial" w:cs="Arial"/>
          <w:color w:val="000000" w:themeColor="text1"/>
          <w:sz w:val="22"/>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25587A7B" w14:textId="77777777" w:rsidR="0082676C" w:rsidRPr="007D048A" w:rsidRDefault="0082676C" w:rsidP="00C066FE">
      <w:pPr>
        <w:spacing w:line="276" w:lineRule="auto"/>
        <w:ind w:firstLine="708"/>
        <w:jc w:val="both"/>
        <w:rPr>
          <w:rFonts w:ascii="Arial" w:hAnsi="Arial" w:cs="Arial"/>
          <w:color w:val="000000" w:themeColor="text1"/>
          <w:sz w:val="22"/>
        </w:rPr>
      </w:pPr>
    </w:p>
    <w:p w14:paraId="0AA17538" w14:textId="77777777" w:rsidR="00C066FE" w:rsidRPr="007D048A" w:rsidRDefault="00C066FE" w:rsidP="00C066FE">
      <w:pPr>
        <w:spacing w:line="276" w:lineRule="auto"/>
        <w:jc w:val="both"/>
        <w:rPr>
          <w:rFonts w:ascii="Arial" w:hAnsi="Arial" w:cs="Arial"/>
          <w:color w:val="000000" w:themeColor="text1"/>
          <w:sz w:val="22"/>
        </w:rPr>
      </w:pPr>
      <w:r w:rsidRPr="007D048A">
        <w:rPr>
          <w:rFonts w:ascii="Arial" w:hAnsi="Arial" w:cs="Arial"/>
          <w:color w:val="000000" w:themeColor="text1"/>
          <w:sz w:val="22"/>
        </w:rPr>
        <w:tab/>
        <w:t>[…]</w:t>
      </w:r>
    </w:p>
    <w:p w14:paraId="6F1A8902" w14:textId="77777777" w:rsidR="00C066FE" w:rsidRPr="007D048A" w:rsidRDefault="00C066FE" w:rsidP="00C066FE">
      <w:pPr>
        <w:spacing w:line="276" w:lineRule="auto"/>
        <w:jc w:val="both"/>
        <w:rPr>
          <w:rFonts w:ascii="Arial" w:hAnsi="Arial" w:cs="Arial"/>
          <w:color w:val="000000" w:themeColor="text1"/>
          <w:sz w:val="22"/>
        </w:rPr>
      </w:pPr>
    </w:p>
    <w:p w14:paraId="6806FD3F" w14:textId="77777777" w:rsidR="00C066FE" w:rsidRPr="007D048A" w:rsidRDefault="00C066FE" w:rsidP="00C066FE">
      <w:pPr>
        <w:pStyle w:val="NormalWeb"/>
        <w:tabs>
          <w:tab w:val="left" w:pos="7938"/>
          <w:tab w:val="left" w:pos="8080"/>
        </w:tabs>
        <w:spacing w:before="0" w:beforeAutospacing="0" w:after="0" w:afterAutospacing="0"/>
        <w:ind w:left="709" w:right="425"/>
        <w:jc w:val="both"/>
        <w:rPr>
          <w:rFonts w:ascii="Arial" w:hAnsi="Arial" w:cs="Arial"/>
          <w:color w:val="000000" w:themeColor="text1"/>
          <w:sz w:val="21"/>
          <w:szCs w:val="21"/>
        </w:rPr>
      </w:pPr>
      <w:r w:rsidRPr="007D048A">
        <w:rPr>
          <w:rFonts w:ascii="Arial" w:hAnsi="Arial" w:cs="Arial"/>
          <w:color w:val="000000" w:themeColor="text1"/>
          <w:sz w:val="21"/>
          <w:szCs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F2E4CE6" w14:textId="77777777" w:rsidR="00C066FE" w:rsidRPr="007D048A" w:rsidRDefault="00C066FE" w:rsidP="00C066FE">
      <w:pPr>
        <w:pStyle w:val="NormalWeb"/>
        <w:spacing w:before="0" w:beforeAutospacing="0" w:after="0" w:afterAutospacing="0"/>
        <w:ind w:left="709" w:right="426"/>
        <w:jc w:val="both"/>
        <w:rPr>
          <w:rStyle w:val="baj"/>
          <w:rFonts w:ascii="Arial" w:hAnsi="Arial" w:cs="Arial"/>
          <w:bCs/>
          <w:color w:val="000000" w:themeColor="text1"/>
          <w:sz w:val="21"/>
          <w:szCs w:val="21"/>
        </w:rPr>
      </w:pPr>
    </w:p>
    <w:p w14:paraId="5E490CCA" w14:textId="77777777" w:rsidR="00C066FE" w:rsidRPr="007D048A" w:rsidRDefault="00C066FE" w:rsidP="00C066FE">
      <w:pPr>
        <w:pStyle w:val="NormalWeb"/>
        <w:spacing w:before="0" w:beforeAutospacing="0" w:after="0" w:afterAutospacing="0"/>
        <w:ind w:left="709" w:right="426"/>
        <w:jc w:val="both"/>
        <w:rPr>
          <w:rFonts w:ascii="Arial" w:hAnsi="Arial" w:cs="Arial"/>
          <w:color w:val="000000" w:themeColor="text1"/>
          <w:sz w:val="21"/>
          <w:szCs w:val="21"/>
        </w:rPr>
      </w:pPr>
      <w:r w:rsidRPr="007D048A">
        <w:rPr>
          <w:rStyle w:val="baj"/>
          <w:rFonts w:ascii="Arial" w:hAnsi="Arial" w:cs="Arial"/>
          <w:bCs/>
          <w:color w:val="000000" w:themeColor="text1"/>
          <w:sz w:val="21"/>
          <w:szCs w:val="21"/>
        </w:rPr>
        <w:t>Parágrafo 1.</w:t>
      </w:r>
      <w:r w:rsidRPr="007D048A">
        <w:rPr>
          <w:rFonts w:ascii="Arial" w:hAnsi="Arial" w:cs="Arial"/>
          <w:color w:val="000000" w:themeColor="text1"/>
          <w:sz w:val="21"/>
          <w:szCs w:val="21"/>
        </w:rPr>
        <w:t> El requisito establecido en la parte final del inciso segundo de este artículo deberá acreditarse para la realización de cada pago derivado del contrato estatal.</w:t>
      </w:r>
    </w:p>
    <w:p w14:paraId="337C7754" w14:textId="77777777" w:rsidR="00C066FE" w:rsidRPr="007D048A" w:rsidRDefault="00C066FE" w:rsidP="00C066FE">
      <w:pPr>
        <w:pStyle w:val="NormalWeb"/>
        <w:spacing w:before="0" w:beforeAutospacing="0" w:after="0" w:afterAutospacing="0"/>
        <w:ind w:left="709" w:right="426"/>
        <w:jc w:val="both"/>
        <w:rPr>
          <w:rFonts w:ascii="Arial" w:hAnsi="Arial" w:cs="Arial"/>
          <w:color w:val="000000" w:themeColor="text1"/>
          <w:sz w:val="21"/>
          <w:szCs w:val="21"/>
        </w:rPr>
      </w:pPr>
    </w:p>
    <w:p w14:paraId="48FA921B" w14:textId="77777777" w:rsidR="00C066FE" w:rsidRPr="007D048A" w:rsidRDefault="00C066FE" w:rsidP="00C066FE">
      <w:pPr>
        <w:pStyle w:val="NormalWeb"/>
        <w:spacing w:before="0" w:beforeAutospacing="0" w:after="0" w:afterAutospacing="0"/>
        <w:ind w:left="709" w:right="426"/>
        <w:jc w:val="both"/>
        <w:rPr>
          <w:rFonts w:ascii="Arial" w:hAnsi="Arial" w:cs="Arial"/>
          <w:color w:val="000000" w:themeColor="text1"/>
          <w:sz w:val="21"/>
          <w:szCs w:val="21"/>
        </w:rPr>
      </w:pPr>
      <w:r w:rsidRPr="007D048A">
        <w:rPr>
          <w:rFonts w:ascii="Arial" w:hAnsi="Arial" w:cs="Arial"/>
          <w:color w:val="000000" w:themeColor="text1"/>
          <w:sz w:val="21"/>
          <w:szCs w:val="21"/>
        </w:rPr>
        <w:lastRenderedPageBreak/>
        <w:t>El servidor público que sin justa causa no verifique el pago de los aportes a que se refiere el presente artículo, incurrirá en causal de mala conducta, que será sancionada con arreglo al régimen disciplinario vigente.</w:t>
      </w:r>
    </w:p>
    <w:p w14:paraId="4FC3DF50" w14:textId="77777777" w:rsidR="00C066FE" w:rsidRPr="007D048A" w:rsidRDefault="00C066FE" w:rsidP="00C066FE">
      <w:pPr>
        <w:pStyle w:val="NormalWeb"/>
        <w:spacing w:beforeAutospacing="0" w:afterAutospacing="0"/>
        <w:ind w:left="708" w:right="426"/>
        <w:jc w:val="both"/>
        <w:rPr>
          <w:rFonts w:ascii="Arial" w:hAnsi="Arial" w:cs="Arial"/>
          <w:color w:val="000000" w:themeColor="text1"/>
          <w:sz w:val="20"/>
          <w:szCs w:val="20"/>
        </w:rPr>
      </w:pPr>
    </w:p>
    <w:p w14:paraId="285AE12C"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 xml:space="preserve">De la lectura integral del artículo 23 de la Ley 1150 de 2007 se concluye que, si bien los proponentes y los contratistas deben estar al día en el pago al Sistema de Seguridad Social, la verificación de este requisito, por parte de las entidades estatales, se realizará cuando realicen los pagos del contrato, es decir, durante la ejecución. </w:t>
      </w:r>
    </w:p>
    <w:p w14:paraId="417D180C"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77104DA3"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En este sentido, la verificación del aporte al pago al sistema de seguridad social cambia dependiendo si se trata de una persona natural o una jurídica: i) si es persona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14:paraId="477F58C8"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402424F6" w14:textId="3B6D9EA4"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w:t>
      </w:r>
    </w:p>
    <w:p w14:paraId="5DDE98F2" w14:textId="2A07F973" w:rsidR="00575013" w:rsidRPr="007D048A" w:rsidRDefault="00575013" w:rsidP="005B1F24">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 xml:space="preserve">Ahora, usted pregunta si una persona pensionada que quiere </w:t>
      </w:r>
      <w:r w:rsidR="005B1F24" w:rsidRPr="007D048A">
        <w:rPr>
          <w:rFonts w:ascii="Arial" w:hAnsi="Arial" w:cs="Arial"/>
          <w:color w:val="000000" w:themeColor="text1"/>
          <w:sz w:val="22"/>
          <w:lang w:val="es-CO"/>
        </w:rPr>
        <w:t>participar en un proceso de selección</w:t>
      </w:r>
      <w:r w:rsidRPr="007D048A">
        <w:rPr>
          <w:rFonts w:ascii="Arial" w:hAnsi="Arial" w:cs="Arial"/>
          <w:color w:val="000000" w:themeColor="text1"/>
          <w:sz w:val="22"/>
          <w:lang w:val="es-CO"/>
        </w:rPr>
        <w:t xml:space="preserve"> debe acreditar el pago al sistema de seguridad social como beneficiario o cotizante al momento de presentar la oferta. De acuerdo con las normas señaladas, una persona natural que quiere celebrar un contrato, al momento de presentar la oferta no se requerirá presentar el comprobante de pago al Sistema de Seguridad Social, sino durante la ejecución del contrato. Sin embargo, surge el interrogante ¿una persona pensionada podrá presentar pagos como cotizante o beneficiario durante la ejecución del contrato?</w:t>
      </w:r>
    </w:p>
    <w:p w14:paraId="3912F5DD" w14:textId="77777777" w:rsidR="00575013" w:rsidRPr="007D048A" w:rsidRDefault="00575013" w:rsidP="005B1F24">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lastRenderedPageBreak/>
        <w:t>La Ley 797 de 2003, que regula el Sistema General de Pensiones, en el artículo 3 establece que tienen la obligación de estar afiliados al Sistema General de Pensiones todas las personas naturales que presten directamente servicios al Estado o a las entidades bajo la modalidad de contratos de prestación de servicios</w:t>
      </w:r>
      <w:r w:rsidRPr="007D048A">
        <w:rPr>
          <w:rStyle w:val="Refdenotaalpie"/>
          <w:rFonts w:ascii="Arial" w:hAnsi="Arial" w:cs="Arial"/>
          <w:color w:val="000000" w:themeColor="text1"/>
          <w:sz w:val="22"/>
          <w:lang w:val="es-CO"/>
        </w:rPr>
        <w:footnoteReference w:id="4"/>
      </w:r>
      <w:r w:rsidRPr="007D048A">
        <w:rPr>
          <w:rFonts w:ascii="Arial" w:hAnsi="Arial" w:cs="Arial"/>
          <w:color w:val="000000" w:themeColor="text1"/>
          <w:sz w:val="22"/>
          <w:lang w:val="es-CO"/>
        </w:rPr>
        <w:t xml:space="preserve">. </w:t>
      </w:r>
    </w:p>
    <w:p w14:paraId="64E84E5C" w14:textId="292002BA" w:rsidR="00575013" w:rsidRPr="007D048A" w:rsidRDefault="00575013" w:rsidP="005B1F24">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Ahora bien, el artículo 4 señala</w:t>
      </w:r>
      <w:r w:rsidR="005B1F24" w:rsidRPr="007D048A">
        <w:rPr>
          <w:rFonts w:ascii="Arial" w:hAnsi="Arial" w:cs="Arial"/>
          <w:color w:val="000000" w:themeColor="text1"/>
          <w:sz w:val="22"/>
          <w:lang w:val="es-CO"/>
        </w:rPr>
        <w:t xml:space="preserve"> que</w:t>
      </w:r>
      <w:r w:rsidRPr="007D048A">
        <w:rPr>
          <w:rFonts w:ascii="Arial" w:hAnsi="Arial" w:cs="Arial"/>
          <w:color w:val="000000" w:themeColor="text1"/>
          <w:sz w:val="22"/>
          <w:lang w:val="es-CO"/>
        </w:rPr>
        <w:t>, en relación con la cotización al Sistema General de Pensiones, durante la vigencia del contrato de prestación de servicios se efectuarán cotizaciones obligatorias por parte de los empleadores y contratistas con base en el salario o ingresos por prestación de servicios que ellos devenguen, sin embargo, la obligación de cotizar cesa al momento en que el afiliado reúna los requisitos para acceder a la pensión mínima de vejez, o cuando el afiliado se pensione por invalidez o anticipadamente</w:t>
      </w:r>
      <w:r w:rsidRPr="007D048A">
        <w:rPr>
          <w:rStyle w:val="Refdenotaalpie"/>
          <w:rFonts w:ascii="Arial" w:hAnsi="Arial" w:cs="Arial"/>
          <w:color w:val="000000" w:themeColor="text1"/>
          <w:sz w:val="22"/>
          <w:lang w:val="es-CO"/>
        </w:rPr>
        <w:footnoteReference w:id="5"/>
      </w:r>
      <w:r w:rsidRPr="007D048A">
        <w:rPr>
          <w:rFonts w:ascii="Arial" w:hAnsi="Arial" w:cs="Arial"/>
          <w:color w:val="000000" w:themeColor="text1"/>
          <w:sz w:val="22"/>
          <w:lang w:val="es-CO"/>
        </w:rPr>
        <w:t>. En este sentido, una persona natural que se encuentre pensionada y celebre un contrato con una entidad estatal no está obligada a cotizar al Sistema de Pensiones, por expresa disposición legal.</w:t>
      </w:r>
    </w:p>
    <w:p w14:paraId="57A91D39" w14:textId="04FCB38F" w:rsidR="00575013" w:rsidRPr="007D048A" w:rsidRDefault="00575013" w:rsidP="005B1F24">
      <w:pPr>
        <w:spacing w:line="276" w:lineRule="auto"/>
        <w:ind w:firstLine="708"/>
        <w:jc w:val="both"/>
        <w:rPr>
          <w:rFonts w:ascii="Arial" w:hAnsi="Arial" w:cs="Arial"/>
          <w:color w:val="000000" w:themeColor="text1"/>
          <w:sz w:val="22"/>
        </w:rPr>
      </w:pPr>
      <w:r w:rsidRPr="007D048A">
        <w:rPr>
          <w:rFonts w:ascii="Arial" w:hAnsi="Arial" w:cs="Arial"/>
          <w:color w:val="000000" w:themeColor="text1"/>
          <w:sz w:val="22"/>
          <w:lang w:val="es-CO"/>
        </w:rPr>
        <w:t xml:space="preserve">Por su parte, </w:t>
      </w:r>
      <w:r w:rsidRPr="007D048A">
        <w:rPr>
          <w:rFonts w:ascii="Arial" w:hAnsi="Arial" w:cs="Arial"/>
          <w:color w:val="000000" w:themeColor="text1"/>
          <w:sz w:val="22"/>
        </w:rPr>
        <w:t>el artículo 2.1.4.1 del Decreto 780 de 2016 indica que pertenecerán al régimen contributivo del sistema general de seguridad social en salud, como cotizantes, los trabajadores independ</w:t>
      </w:r>
      <w:r w:rsidR="005B1F24" w:rsidRPr="007D048A">
        <w:rPr>
          <w:rFonts w:ascii="Arial" w:hAnsi="Arial" w:cs="Arial"/>
          <w:color w:val="000000" w:themeColor="text1"/>
          <w:sz w:val="22"/>
        </w:rPr>
        <w:t>i</w:t>
      </w:r>
      <w:r w:rsidRPr="007D048A">
        <w:rPr>
          <w:rFonts w:ascii="Arial" w:hAnsi="Arial" w:cs="Arial"/>
          <w:color w:val="000000" w:themeColor="text1"/>
          <w:sz w:val="22"/>
        </w:rPr>
        <w:t>entes que no tengan vínculo contractual y reglamentario con algún empleador y cuyos ingresos mensuales sean iguales o superiores a un salario mínimo mensual legal vigente</w:t>
      </w:r>
      <w:r w:rsidRPr="007D048A">
        <w:rPr>
          <w:rFonts w:ascii="Arial" w:hAnsi="Arial" w:cs="Arial"/>
          <w:color w:val="000000" w:themeColor="text1"/>
          <w:sz w:val="22"/>
          <w:vertAlign w:val="superscript"/>
        </w:rPr>
        <w:footnoteReference w:id="6"/>
      </w:r>
      <w:r w:rsidRPr="007D048A">
        <w:rPr>
          <w:rFonts w:ascii="Arial" w:hAnsi="Arial" w:cs="Arial"/>
          <w:color w:val="000000" w:themeColor="text1"/>
          <w:sz w:val="22"/>
        </w:rPr>
        <w:t xml:space="preserve">. El </w:t>
      </w:r>
      <w:r w:rsidR="002D3467" w:rsidRPr="007D048A">
        <w:rPr>
          <w:rFonts w:ascii="Arial" w:hAnsi="Arial" w:cs="Arial"/>
          <w:color w:val="000000" w:themeColor="text1"/>
          <w:sz w:val="22"/>
        </w:rPr>
        <w:t xml:space="preserve">artículo 16 del </w:t>
      </w:r>
      <w:r w:rsidRPr="007D048A">
        <w:rPr>
          <w:rFonts w:ascii="Arial" w:hAnsi="Arial" w:cs="Arial"/>
          <w:color w:val="000000" w:themeColor="text1"/>
          <w:sz w:val="22"/>
        </w:rPr>
        <w:t xml:space="preserve">Decreto 1406 de 1999 define como trabajador independiente </w:t>
      </w:r>
      <w:r w:rsidR="005B1F24" w:rsidRPr="007D048A">
        <w:rPr>
          <w:rFonts w:ascii="Arial" w:hAnsi="Arial" w:cs="Arial"/>
          <w:color w:val="000000" w:themeColor="text1"/>
          <w:sz w:val="22"/>
        </w:rPr>
        <w:t>«</w:t>
      </w:r>
      <w:r w:rsidRPr="007D048A">
        <w:rPr>
          <w:rFonts w:ascii="Arial" w:hAnsi="Arial" w:cs="Arial"/>
          <w:color w:val="000000" w:themeColor="text1"/>
          <w:sz w:val="22"/>
        </w:rPr>
        <w:t>a aquel que no se encuentre vinculado laboralmente a un empleador, mediante contrato de trabajo o a través de una regulación legal y reglamentaria</w:t>
      </w:r>
      <w:r w:rsidR="005B1F24" w:rsidRPr="007D048A">
        <w:rPr>
          <w:rFonts w:ascii="Arial" w:hAnsi="Arial" w:cs="Arial"/>
          <w:color w:val="000000" w:themeColor="text1"/>
          <w:sz w:val="22"/>
        </w:rPr>
        <w:t>»</w:t>
      </w:r>
      <w:r w:rsidRPr="007D048A">
        <w:rPr>
          <w:rFonts w:ascii="Arial" w:hAnsi="Arial" w:cs="Arial"/>
          <w:color w:val="000000" w:themeColor="text1"/>
          <w:sz w:val="22"/>
        </w:rPr>
        <w:t xml:space="preserve">. Para definir </w:t>
      </w:r>
      <w:r w:rsidRPr="007D048A">
        <w:rPr>
          <w:rFonts w:ascii="Arial" w:hAnsi="Arial" w:cs="Arial"/>
          <w:color w:val="000000" w:themeColor="text1"/>
          <w:sz w:val="22"/>
        </w:rPr>
        <w:lastRenderedPageBreak/>
        <w:t xml:space="preserve">el alcance de trabajador independiente se debe verificar que no tenga vínculo laboral con el empleador, como sucede con el contratista de prestación de servicios.  </w:t>
      </w:r>
    </w:p>
    <w:p w14:paraId="731D60EE" w14:textId="776BBB10" w:rsidR="00575013" w:rsidRPr="007D048A" w:rsidRDefault="00575013" w:rsidP="002D3467">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De esta forma, como todas las personas naturales pensionados que prestan servicios al Estado por medio de un contrato de prestación de servicios deben estar afiliados al sistema de seguridad social de salud</w:t>
      </w:r>
      <w:r w:rsidR="002D3467" w:rsidRPr="007D048A">
        <w:rPr>
          <w:rFonts w:ascii="Arial" w:hAnsi="Arial" w:cs="Arial"/>
          <w:color w:val="000000" w:themeColor="text1"/>
          <w:sz w:val="22"/>
          <w:lang w:val="es-CO"/>
        </w:rPr>
        <w:t xml:space="preserve"> y </w:t>
      </w:r>
      <w:r w:rsidRPr="007D048A">
        <w:rPr>
          <w:rFonts w:ascii="Arial" w:hAnsi="Arial" w:cs="Arial"/>
          <w:color w:val="000000" w:themeColor="text1"/>
          <w:sz w:val="22"/>
          <w:lang w:val="es-CO"/>
        </w:rPr>
        <w:t xml:space="preserve">aportar al sistema en calidad de cotizantes, porque la normativa no los excluyó, como sí lo hizo con el Sistema de Pensiones. </w:t>
      </w:r>
    </w:p>
    <w:p w14:paraId="7AF44B92" w14:textId="09041C80" w:rsidR="00C066FE" w:rsidRPr="007D048A" w:rsidRDefault="00C066FE" w:rsidP="002D3467">
      <w:pPr>
        <w:spacing w:line="276" w:lineRule="auto"/>
        <w:ind w:firstLine="708"/>
        <w:jc w:val="both"/>
        <w:rPr>
          <w:rFonts w:ascii="Arial" w:hAnsi="Arial" w:cs="Arial"/>
          <w:color w:val="000000" w:themeColor="text1"/>
          <w:sz w:val="22"/>
          <w:lang w:val="es-CO"/>
        </w:rPr>
      </w:pPr>
    </w:p>
    <w:p w14:paraId="668505C2" w14:textId="77777777" w:rsidR="00C066FE" w:rsidRPr="007D048A" w:rsidRDefault="00C066FE" w:rsidP="00C066FE">
      <w:pPr>
        <w:spacing w:line="276" w:lineRule="auto"/>
        <w:jc w:val="both"/>
        <w:rPr>
          <w:rFonts w:ascii="Arial" w:hAnsi="Arial" w:cs="Arial"/>
          <w:b/>
          <w:bCs/>
          <w:color w:val="000000" w:themeColor="text1"/>
          <w:sz w:val="22"/>
          <w:lang w:val="es-CO"/>
        </w:rPr>
      </w:pPr>
      <w:r w:rsidRPr="007D048A">
        <w:rPr>
          <w:rFonts w:ascii="Arial" w:hAnsi="Arial" w:cs="Arial"/>
          <w:b/>
          <w:bCs/>
          <w:color w:val="000000" w:themeColor="text1"/>
          <w:sz w:val="22"/>
          <w:lang w:val="es-CO"/>
        </w:rPr>
        <w:t xml:space="preserve">2.2. Cambios que realizó la Ley 1955 de 2019 al Decreto 1273 de 2018. Cotización mes vencido y deber de verificación de las entidades estatales durante toda la vigencia del contrato </w:t>
      </w:r>
    </w:p>
    <w:p w14:paraId="183ACEB4" w14:textId="77777777" w:rsidR="00C066FE" w:rsidRPr="007D048A" w:rsidRDefault="00C066FE" w:rsidP="00C066FE">
      <w:pPr>
        <w:spacing w:line="276" w:lineRule="auto"/>
        <w:jc w:val="both"/>
        <w:rPr>
          <w:rFonts w:ascii="Arial" w:hAnsi="Arial" w:cs="Arial"/>
          <w:color w:val="000000" w:themeColor="text1"/>
          <w:sz w:val="22"/>
          <w:lang w:val="es-CO"/>
        </w:rPr>
      </w:pPr>
    </w:p>
    <w:p w14:paraId="23188019" w14:textId="77777777" w:rsidR="00C066FE" w:rsidRPr="007D048A" w:rsidRDefault="00C066FE" w:rsidP="00C066FE">
      <w:pPr>
        <w:spacing w:line="276" w:lineRule="auto"/>
        <w:jc w:val="both"/>
        <w:rPr>
          <w:rFonts w:ascii="Arial" w:hAnsi="Arial" w:cs="Arial"/>
          <w:color w:val="000000" w:themeColor="text1"/>
          <w:sz w:val="22"/>
          <w:lang w:val="es-CO"/>
        </w:rPr>
      </w:pPr>
      <w:r w:rsidRPr="007D048A">
        <w:rPr>
          <w:rFonts w:ascii="Arial" w:hAnsi="Arial" w:cs="Arial"/>
          <w:color w:val="000000" w:themeColor="text1"/>
          <w:sz w:val="22"/>
          <w:lang w:val="es-CO"/>
        </w:rPr>
        <w:t>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7D048A">
        <w:rPr>
          <w:rStyle w:val="Refdenotaalpie"/>
          <w:rFonts w:ascii="Arial" w:hAnsi="Arial" w:cs="Arial"/>
          <w:color w:val="000000" w:themeColor="text1"/>
          <w:sz w:val="22"/>
          <w:lang w:val="es-CO"/>
        </w:rPr>
        <w:footnoteReference w:id="7"/>
      </w:r>
      <w:r w:rsidRPr="007D048A">
        <w:rPr>
          <w:rFonts w:ascii="Arial" w:hAnsi="Arial" w:cs="Arial"/>
          <w:color w:val="000000" w:themeColor="text1"/>
          <w:sz w:val="22"/>
          <w:lang w:val="es-CO"/>
        </w:rPr>
        <w:t xml:space="preserve">. </w:t>
      </w:r>
    </w:p>
    <w:p w14:paraId="7DF6F51A" w14:textId="77777777" w:rsidR="00C066FE" w:rsidRPr="007D048A" w:rsidRDefault="00C066FE" w:rsidP="00C066FE">
      <w:pPr>
        <w:spacing w:line="276" w:lineRule="auto"/>
        <w:jc w:val="both"/>
        <w:rPr>
          <w:rFonts w:ascii="Arial" w:hAnsi="Arial" w:cs="Arial"/>
          <w:color w:val="000000" w:themeColor="text1"/>
          <w:sz w:val="22"/>
          <w:lang w:val="es-CO"/>
        </w:rPr>
      </w:pPr>
    </w:p>
    <w:p w14:paraId="0625E53A"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 </w:t>
      </w:r>
    </w:p>
    <w:p w14:paraId="76D7A26E"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7D048A">
        <w:rPr>
          <w:rStyle w:val="Refdenotaalpie"/>
          <w:rFonts w:ascii="Arial" w:hAnsi="Arial" w:cs="Arial"/>
          <w:color w:val="000000" w:themeColor="text1"/>
          <w:sz w:val="22"/>
          <w:lang w:val="es-CO"/>
        </w:rPr>
        <w:footnoteReference w:id="8"/>
      </w:r>
      <w:r w:rsidRPr="007D048A">
        <w:rPr>
          <w:rFonts w:ascii="Arial" w:hAnsi="Arial" w:cs="Arial"/>
          <w:color w:val="000000" w:themeColor="text1"/>
          <w:sz w:val="22"/>
          <w:lang w:val="es-CO"/>
        </w:rPr>
        <w:t>. Conforme a lo previsto, para pagar el mes de diciembre basta acreditar el pago de la seguridad social de noviembre.</w:t>
      </w:r>
    </w:p>
    <w:p w14:paraId="497F5749"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El pago mes vencido se reiteró en el artículo 3.2.7.6 del citado Decreto, previendo que dicho ajuste empezaría a regir a partir del 1 de octubre de 2018. Así lo sostuvo en los siguientes términos:</w:t>
      </w:r>
    </w:p>
    <w:p w14:paraId="35447924" w14:textId="77777777" w:rsidR="00C066FE" w:rsidRPr="007D048A" w:rsidRDefault="00C066FE" w:rsidP="00C066FE">
      <w:pPr>
        <w:spacing w:line="276" w:lineRule="auto"/>
        <w:jc w:val="both"/>
        <w:rPr>
          <w:rFonts w:ascii="Arial" w:hAnsi="Arial" w:cs="Arial"/>
          <w:color w:val="000000" w:themeColor="text1"/>
          <w:sz w:val="22"/>
          <w:lang w:val="es-CO"/>
        </w:rPr>
      </w:pPr>
    </w:p>
    <w:p w14:paraId="1EE829F4" w14:textId="77777777" w:rsidR="00C066FE" w:rsidRPr="007D048A" w:rsidRDefault="00C066FE" w:rsidP="00C066FE">
      <w:pPr>
        <w:tabs>
          <w:tab w:val="left" w:pos="8789"/>
        </w:tabs>
        <w:spacing w:line="276" w:lineRule="auto"/>
        <w:ind w:left="705" w:right="567"/>
        <w:jc w:val="both"/>
        <w:rPr>
          <w:rFonts w:ascii="Arial" w:eastAsia="Times New Roman" w:hAnsi="Arial" w:cs="Arial"/>
          <w:color w:val="000000" w:themeColor="text1"/>
          <w:sz w:val="21"/>
          <w:szCs w:val="21"/>
          <w:lang w:val="es-CO" w:eastAsia="es-CO"/>
        </w:rPr>
      </w:pPr>
      <w:r w:rsidRPr="007D048A">
        <w:rPr>
          <w:rFonts w:ascii="Arial" w:eastAsia="Times New Roman" w:hAnsi="Arial" w:cs="Arial"/>
          <w:color w:val="000000" w:themeColor="text1"/>
          <w:sz w:val="21"/>
          <w:szCs w:val="21"/>
          <w:lang w:val="es-CO" w:eastAsia="es-CO"/>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4B9E413E" w14:textId="77777777" w:rsidR="00C066FE" w:rsidRPr="007D048A" w:rsidRDefault="00C066FE" w:rsidP="00C066FE">
      <w:pPr>
        <w:pStyle w:val="Default"/>
        <w:spacing w:line="276" w:lineRule="auto"/>
        <w:ind w:firstLine="708"/>
        <w:jc w:val="both"/>
        <w:rPr>
          <w:color w:val="000000" w:themeColor="text1"/>
          <w:sz w:val="22"/>
          <w:szCs w:val="22"/>
          <w:lang w:val="es-CO"/>
        </w:rPr>
      </w:pPr>
    </w:p>
    <w:p w14:paraId="1139CBEE"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Lo anterior implica que el pago al Sistema de Seguridad Social Integral, como se observa en la norma transcrita, es mes vencido. </w:t>
      </w:r>
    </w:p>
    <w:p w14:paraId="71512C38"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521A5A7A"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lastRenderedPageBreak/>
        <w:t>Posteriormente, la Ley 1955 de 2019, en el artículo 336, dejó sin efectos el artículo 135 de la Ley 1735 de 2015 y reguló el tema en el artículo 244, señalando 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r w:rsidRPr="007D048A">
        <w:rPr>
          <w:rStyle w:val="Refdenotaalpie"/>
          <w:color w:val="000000" w:themeColor="text1"/>
          <w:sz w:val="22"/>
          <w:szCs w:val="22"/>
          <w:lang w:val="es-CO"/>
        </w:rPr>
        <w:footnoteReference w:id="9"/>
      </w:r>
      <w:r w:rsidRPr="007D048A">
        <w:rPr>
          <w:color w:val="000000" w:themeColor="text1"/>
          <w:sz w:val="22"/>
          <w:szCs w:val="22"/>
          <w:lang w:val="es-CO"/>
        </w:rPr>
        <w:t>.</w:t>
      </w:r>
    </w:p>
    <w:p w14:paraId="580DD728"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 08SE2019120300000025234 del 28 de junio de 2019, en los siguientes términos:</w:t>
      </w:r>
    </w:p>
    <w:p w14:paraId="2603F565" w14:textId="77777777" w:rsidR="00C066FE" w:rsidRPr="007D048A" w:rsidRDefault="00C066FE" w:rsidP="00C066FE">
      <w:pPr>
        <w:spacing w:line="276" w:lineRule="auto"/>
        <w:ind w:firstLine="708"/>
        <w:jc w:val="both"/>
        <w:rPr>
          <w:rFonts w:ascii="Arial" w:hAnsi="Arial" w:cs="Arial"/>
          <w:color w:val="000000" w:themeColor="text1"/>
          <w:sz w:val="22"/>
          <w:lang w:val="es-CO"/>
        </w:rPr>
      </w:pPr>
    </w:p>
    <w:p w14:paraId="00E9F1B2" w14:textId="77777777" w:rsidR="00C066FE" w:rsidRPr="007D048A" w:rsidRDefault="00C066FE" w:rsidP="00C066FE">
      <w:pPr>
        <w:pStyle w:val="Default"/>
        <w:ind w:left="708" w:right="426"/>
        <w:jc w:val="both"/>
        <w:rPr>
          <w:rFonts w:eastAsia="Times New Roman"/>
          <w:color w:val="000000" w:themeColor="text1"/>
          <w:sz w:val="21"/>
          <w:szCs w:val="21"/>
          <w:lang w:val="es-CO" w:eastAsia="es-CO"/>
        </w:rPr>
      </w:pPr>
      <w:r w:rsidRPr="007D048A">
        <w:rPr>
          <w:rFonts w:eastAsia="Times New Roman"/>
          <w:color w:val="000000" w:themeColor="text1"/>
          <w:sz w:val="21"/>
          <w:szCs w:val="21"/>
          <w:lang w:val="es-CO" w:eastAsia="es-CO"/>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29E9F083" w14:textId="77777777" w:rsidR="00C066FE" w:rsidRPr="007D048A" w:rsidRDefault="00C066FE" w:rsidP="00C066FE">
      <w:pPr>
        <w:pStyle w:val="Default"/>
        <w:ind w:left="708" w:right="426"/>
        <w:jc w:val="both"/>
        <w:rPr>
          <w:rFonts w:eastAsia="Times New Roman"/>
          <w:color w:val="000000" w:themeColor="text1"/>
          <w:sz w:val="21"/>
          <w:szCs w:val="21"/>
          <w:lang w:val="es-CO" w:eastAsia="es-CO"/>
        </w:rPr>
      </w:pPr>
    </w:p>
    <w:p w14:paraId="0EBCA9EF" w14:textId="77777777" w:rsidR="00C066FE" w:rsidRPr="007D048A" w:rsidRDefault="00C066FE" w:rsidP="00C066FE">
      <w:pPr>
        <w:pStyle w:val="Default"/>
        <w:ind w:left="708" w:right="426"/>
        <w:jc w:val="both"/>
        <w:rPr>
          <w:rFonts w:eastAsia="Times New Roman"/>
          <w:color w:val="000000" w:themeColor="text1"/>
          <w:sz w:val="21"/>
          <w:szCs w:val="21"/>
          <w:lang w:val="es-CO" w:eastAsia="es-CO"/>
        </w:rPr>
      </w:pPr>
      <w:r w:rsidRPr="007D048A">
        <w:rPr>
          <w:rFonts w:eastAsia="Times New Roman"/>
          <w:color w:val="000000" w:themeColor="text1"/>
          <w:sz w:val="21"/>
          <w:szCs w:val="21"/>
          <w:lang w:val="es-CO" w:eastAsia="es-CO"/>
        </w:rPr>
        <w:lastRenderedPageBreak/>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76CFFAB8" w14:textId="77777777" w:rsidR="00C066FE" w:rsidRPr="007D048A" w:rsidRDefault="00C066FE" w:rsidP="00C066FE">
      <w:pPr>
        <w:pStyle w:val="Default"/>
        <w:ind w:left="708" w:right="426"/>
        <w:jc w:val="both"/>
        <w:rPr>
          <w:rFonts w:eastAsia="Times New Roman"/>
          <w:color w:val="000000" w:themeColor="text1"/>
          <w:sz w:val="21"/>
          <w:szCs w:val="21"/>
          <w:lang w:val="es-CO" w:eastAsia="es-CO"/>
        </w:rPr>
      </w:pPr>
    </w:p>
    <w:p w14:paraId="23D25294" w14:textId="77777777" w:rsidR="00C066FE" w:rsidRPr="007D048A" w:rsidRDefault="00C066FE" w:rsidP="00C066FE">
      <w:pPr>
        <w:ind w:left="708" w:right="426"/>
        <w:jc w:val="both"/>
        <w:rPr>
          <w:rFonts w:ascii="Arial" w:eastAsia="Times New Roman" w:hAnsi="Arial" w:cs="Arial"/>
          <w:color w:val="000000" w:themeColor="text1"/>
          <w:sz w:val="21"/>
          <w:szCs w:val="21"/>
          <w:lang w:val="es-CO" w:eastAsia="es-CO"/>
        </w:rPr>
      </w:pPr>
      <w:r w:rsidRPr="007D048A">
        <w:rPr>
          <w:rFonts w:ascii="Arial" w:eastAsia="Times New Roman" w:hAnsi="Arial" w:cs="Arial"/>
          <w:color w:val="000000" w:themeColor="text1"/>
          <w:sz w:val="21"/>
          <w:szCs w:val="21"/>
          <w:lang w:val="es-CO" w:eastAsia="es-CO"/>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56B6BF05" w14:textId="77777777" w:rsidR="00C066FE" w:rsidRPr="007D048A" w:rsidRDefault="00C066FE" w:rsidP="00C066FE">
      <w:pPr>
        <w:spacing w:line="276" w:lineRule="auto"/>
        <w:ind w:firstLine="708"/>
        <w:jc w:val="both"/>
        <w:rPr>
          <w:rFonts w:ascii="Arial" w:hAnsi="Arial" w:cs="Arial"/>
          <w:color w:val="000000" w:themeColor="text1"/>
          <w:sz w:val="22"/>
          <w:lang w:val="es-CO"/>
        </w:rPr>
      </w:pPr>
    </w:p>
    <w:p w14:paraId="3BCB190E" w14:textId="77777777" w:rsidR="00C066FE" w:rsidRPr="007D048A" w:rsidRDefault="00C066FE" w:rsidP="0082676C">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40% del valor mensualizado de ingresos o del contrato, iii) la cotización se realizará mes vencido, y finalmente, iv) el pago lo efectuará directamente el trabajador independiente. </w:t>
      </w:r>
    </w:p>
    <w:p w14:paraId="798CF9AF" w14:textId="77777777" w:rsidR="00C066FE" w:rsidRPr="007D048A" w:rsidRDefault="00C066FE" w:rsidP="0082676C">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En este sentido, para que a los contratistas se les pague el mes de diciembre, bastará con que presenten el pago del sistema de seguridad social del mes de noviembre. Ahora, usted pregunta: ¿es posible que los supervisores soliciten el pago del mes de diciembre aun cuando la planilla no se encuentre vencida, para la firma del acta final? Para responder, previamente se explicará el alcance del deber de verificación a cargo de los supervidores y ordenadores del gasto. </w:t>
      </w:r>
    </w:p>
    <w:p w14:paraId="3053B958" w14:textId="77777777" w:rsidR="00C066FE" w:rsidRPr="007D048A" w:rsidRDefault="00C066FE" w:rsidP="0082676C">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esta aplique, las entidades estatales deben verificar que el contratista se encuentre al día en el pago de sus aportes al Sistema de Seguridad Social Integral, «durante toda su vigencia», o sea, durante toda la vigencia del contrato, pues así lo exige el mencionado artículo. Ahora, ¿qué se entiende por vigencia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14:paraId="16FA27BC" w14:textId="77777777" w:rsidR="00C066FE" w:rsidRPr="007D048A" w:rsidRDefault="00C066FE" w:rsidP="0082676C">
      <w:pPr>
        <w:pStyle w:val="Default"/>
        <w:spacing w:line="276" w:lineRule="auto"/>
        <w:ind w:firstLine="708"/>
        <w:jc w:val="both"/>
        <w:rPr>
          <w:color w:val="000000" w:themeColor="text1"/>
          <w:sz w:val="22"/>
          <w:szCs w:val="22"/>
        </w:rPr>
      </w:pPr>
      <w:r w:rsidRPr="007D048A">
        <w:rPr>
          <w:color w:val="000000" w:themeColor="text1"/>
          <w:sz w:val="22"/>
          <w:szCs w:val="22"/>
          <w:lang w:val="es-CO"/>
        </w:rPr>
        <w:t xml:space="preserve">La vigencia del contrato se define como el período en el que existen obligaciones derivadas de aquel. En tal sentido, plazo del contrato no es sinónimo de su vigencia, pues, si bien es cierto, mientras perdure el plazo –o sea, mientras no se haya vencido– el contrato </w:t>
      </w:r>
      <w:r w:rsidRPr="007D048A">
        <w:rPr>
          <w:color w:val="000000" w:themeColor="text1"/>
          <w:sz w:val="22"/>
          <w:szCs w:val="22"/>
          <w:lang w:val="es-CO"/>
        </w:rPr>
        <w:lastRenderedPageBreak/>
        <w:t>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7D048A">
        <w:rPr>
          <w:color w:val="000000" w:themeColor="text1"/>
          <w:vertAlign w:val="superscript"/>
          <w:lang w:val="es-CO"/>
        </w:rPr>
        <w:footnoteReference w:id="10"/>
      </w:r>
      <w:r w:rsidRPr="007D048A">
        <w:rPr>
          <w:color w:val="000000" w:themeColor="text1"/>
          <w:sz w:val="22"/>
          <w:szCs w:val="22"/>
          <w:lang w:val="es-CO"/>
        </w:rPr>
        <w:t>– o bien</w:t>
      </w:r>
      <w:r w:rsidRPr="007D048A">
        <w:rPr>
          <w:color w:val="000000" w:themeColor="text1"/>
          <w:sz w:val="22"/>
          <w:lang w:val="es-CO"/>
        </w:rPr>
        <w:t xml:space="preserve"> </w:t>
      </w:r>
      <w:r w:rsidRPr="007D048A">
        <w:rPr>
          <w:color w:val="000000" w:themeColor="text1"/>
          <w:sz w:val="22"/>
          <w:szCs w:val="22"/>
          <w:lang w:val="es-CO"/>
        </w:rPr>
        <w:t>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7D048A">
        <w:rPr>
          <w:rStyle w:val="Refdenotaalpie"/>
          <w:color w:val="000000" w:themeColor="text1"/>
          <w:sz w:val="22"/>
          <w:szCs w:val="22"/>
          <w:lang w:val="es-CO"/>
        </w:rPr>
        <w:footnoteReference w:id="11"/>
      </w:r>
      <w:r w:rsidRPr="007D048A">
        <w:rPr>
          <w:color w:val="000000" w:themeColor="text1"/>
          <w:sz w:val="22"/>
          <w:szCs w:val="22"/>
          <w:lang w:val="es-CO"/>
        </w:rPr>
        <w:t>.</w:t>
      </w:r>
      <w:r w:rsidRPr="007D048A">
        <w:rPr>
          <w:color w:val="000000" w:themeColor="text1"/>
          <w:sz w:val="22"/>
          <w:szCs w:val="22"/>
        </w:rPr>
        <w:t xml:space="preserve"> </w:t>
      </w:r>
    </w:p>
    <w:p w14:paraId="15D304B5"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14:paraId="5B684A13" w14:textId="77777777" w:rsidR="00C066FE" w:rsidRPr="007D048A" w:rsidRDefault="00C066FE" w:rsidP="00C066FE">
      <w:pPr>
        <w:spacing w:line="276" w:lineRule="auto"/>
        <w:ind w:firstLine="708"/>
        <w:jc w:val="both"/>
        <w:rPr>
          <w:rFonts w:ascii="Arial" w:hAnsi="Arial" w:cs="Arial"/>
          <w:color w:val="000000" w:themeColor="text1"/>
          <w:sz w:val="22"/>
          <w:lang w:val="es-CO"/>
        </w:rPr>
      </w:pPr>
    </w:p>
    <w:p w14:paraId="41C3C10B" w14:textId="77777777" w:rsidR="00C066FE" w:rsidRPr="007D048A" w:rsidRDefault="00C066FE" w:rsidP="00C066FE">
      <w:pPr>
        <w:pStyle w:val="Default"/>
        <w:ind w:left="708"/>
        <w:jc w:val="both"/>
        <w:rPr>
          <w:color w:val="000000" w:themeColor="text1"/>
          <w:sz w:val="21"/>
          <w:szCs w:val="21"/>
          <w:lang w:val="es-CO"/>
        </w:rPr>
      </w:pPr>
      <w:r w:rsidRPr="007D048A">
        <w:rPr>
          <w:color w:val="000000" w:themeColor="text1"/>
          <w:sz w:val="21"/>
          <w:szCs w:val="21"/>
          <w:lang w:val="es-CO"/>
        </w:rPr>
        <w:t xml:space="preserve">Toda obligación puede extinguirse por una convención en que las partes interesadas, siendo capaces de disponer libremente de lo suyo, consientan en darla por nula. </w:t>
      </w:r>
    </w:p>
    <w:p w14:paraId="0DD19F76" w14:textId="77777777" w:rsidR="00C066FE" w:rsidRPr="007D048A" w:rsidRDefault="00C066FE" w:rsidP="00C066FE">
      <w:pPr>
        <w:pStyle w:val="Default"/>
        <w:jc w:val="both"/>
        <w:rPr>
          <w:color w:val="000000" w:themeColor="text1"/>
          <w:sz w:val="21"/>
          <w:szCs w:val="21"/>
          <w:lang w:val="es-CO"/>
        </w:rPr>
      </w:pPr>
    </w:p>
    <w:p w14:paraId="3DDF2AE3"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Las obligaciones se extinguen además en todo o en parte: </w:t>
      </w:r>
    </w:p>
    <w:p w14:paraId="357D2912" w14:textId="77777777" w:rsidR="00C066FE" w:rsidRPr="007D048A" w:rsidRDefault="00C066FE" w:rsidP="00C066FE">
      <w:pPr>
        <w:pStyle w:val="Default"/>
        <w:ind w:firstLine="708"/>
        <w:jc w:val="both"/>
        <w:rPr>
          <w:color w:val="000000" w:themeColor="text1"/>
          <w:sz w:val="21"/>
          <w:szCs w:val="21"/>
          <w:lang w:val="es-CO"/>
        </w:rPr>
      </w:pPr>
    </w:p>
    <w:p w14:paraId="1D9D72E1"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1° Por la solución o pago efectivo; </w:t>
      </w:r>
    </w:p>
    <w:p w14:paraId="3C4CE553" w14:textId="77777777" w:rsidR="00C066FE" w:rsidRPr="007D048A" w:rsidRDefault="00C066FE" w:rsidP="00C066FE">
      <w:pPr>
        <w:pStyle w:val="Default"/>
        <w:ind w:firstLine="708"/>
        <w:jc w:val="both"/>
        <w:rPr>
          <w:color w:val="000000" w:themeColor="text1"/>
          <w:sz w:val="21"/>
          <w:szCs w:val="21"/>
          <w:lang w:val="es-CO"/>
        </w:rPr>
      </w:pPr>
    </w:p>
    <w:p w14:paraId="6D0674D8"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2° Por la novación; </w:t>
      </w:r>
    </w:p>
    <w:p w14:paraId="2BBD7E8D" w14:textId="77777777" w:rsidR="00C066FE" w:rsidRPr="007D048A" w:rsidRDefault="00C066FE" w:rsidP="00C066FE">
      <w:pPr>
        <w:pStyle w:val="Default"/>
        <w:ind w:firstLine="708"/>
        <w:jc w:val="both"/>
        <w:rPr>
          <w:color w:val="000000" w:themeColor="text1"/>
          <w:sz w:val="21"/>
          <w:szCs w:val="21"/>
          <w:lang w:val="es-CO"/>
        </w:rPr>
      </w:pPr>
    </w:p>
    <w:p w14:paraId="1FACB945"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3° Por la transacción; </w:t>
      </w:r>
    </w:p>
    <w:p w14:paraId="404C61EF" w14:textId="77777777" w:rsidR="00C066FE" w:rsidRPr="007D048A" w:rsidRDefault="00C066FE" w:rsidP="00C066FE">
      <w:pPr>
        <w:pStyle w:val="Default"/>
        <w:ind w:firstLine="708"/>
        <w:jc w:val="both"/>
        <w:rPr>
          <w:color w:val="000000" w:themeColor="text1"/>
          <w:sz w:val="21"/>
          <w:szCs w:val="21"/>
          <w:lang w:val="es-CO"/>
        </w:rPr>
      </w:pPr>
    </w:p>
    <w:p w14:paraId="4D55EDCF"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4° Por la remisión; </w:t>
      </w:r>
    </w:p>
    <w:p w14:paraId="7490EBD2" w14:textId="77777777" w:rsidR="00C066FE" w:rsidRPr="007D048A" w:rsidRDefault="00C066FE" w:rsidP="00C066FE">
      <w:pPr>
        <w:pStyle w:val="Default"/>
        <w:ind w:firstLine="708"/>
        <w:jc w:val="both"/>
        <w:rPr>
          <w:color w:val="000000" w:themeColor="text1"/>
          <w:sz w:val="21"/>
          <w:szCs w:val="21"/>
          <w:lang w:val="es-CO"/>
        </w:rPr>
      </w:pPr>
    </w:p>
    <w:p w14:paraId="76B3DE62"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5° Por la compensación; </w:t>
      </w:r>
    </w:p>
    <w:p w14:paraId="6D67429F" w14:textId="77777777" w:rsidR="00C066FE" w:rsidRPr="007D048A" w:rsidRDefault="00C066FE" w:rsidP="00C066FE">
      <w:pPr>
        <w:pStyle w:val="Default"/>
        <w:ind w:firstLine="708"/>
        <w:jc w:val="both"/>
        <w:rPr>
          <w:color w:val="000000" w:themeColor="text1"/>
          <w:sz w:val="21"/>
          <w:szCs w:val="21"/>
          <w:lang w:val="es-CO"/>
        </w:rPr>
      </w:pPr>
    </w:p>
    <w:p w14:paraId="2D73B2B1"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6° Por la confusión; </w:t>
      </w:r>
    </w:p>
    <w:p w14:paraId="4A9AFD8D" w14:textId="77777777" w:rsidR="00C066FE" w:rsidRPr="007D048A" w:rsidRDefault="00C066FE" w:rsidP="00C066FE">
      <w:pPr>
        <w:pStyle w:val="Default"/>
        <w:ind w:firstLine="708"/>
        <w:jc w:val="both"/>
        <w:rPr>
          <w:color w:val="000000" w:themeColor="text1"/>
          <w:sz w:val="21"/>
          <w:szCs w:val="21"/>
          <w:lang w:val="es-CO"/>
        </w:rPr>
      </w:pPr>
    </w:p>
    <w:p w14:paraId="36FDEE7A"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7° Por la pérdida de la cosa que se debe; </w:t>
      </w:r>
    </w:p>
    <w:p w14:paraId="46B29982" w14:textId="77777777" w:rsidR="00C066FE" w:rsidRPr="007D048A" w:rsidRDefault="00C066FE" w:rsidP="00C066FE">
      <w:pPr>
        <w:pStyle w:val="Default"/>
        <w:ind w:firstLine="708"/>
        <w:jc w:val="both"/>
        <w:rPr>
          <w:color w:val="000000" w:themeColor="text1"/>
          <w:sz w:val="21"/>
          <w:szCs w:val="21"/>
          <w:lang w:val="es-CO"/>
        </w:rPr>
      </w:pPr>
    </w:p>
    <w:p w14:paraId="4CB7EC3D"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8° Por la declaración de nulidad o por la rescisión; </w:t>
      </w:r>
    </w:p>
    <w:p w14:paraId="46EEBC19" w14:textId="77777777" w:rsidR="00C066FE" w:rsidRPr="007D048A" w:rsidRDefault="00C066FE" w:rsidP="00C066FE">
      <w:pPr>
        <w:pStyle w:val="Default"/>
        <w:ind w:firstLine="708"/>
        <w:jc w:val="both"/>
        <w:rPr>
          <w:color w:val="000000" w:themeColor="text1"/>
          <w:sz w:val="21"/>
          <w:szCs w:val="21"/>
          <w:lang w:val="es-CO"/>
        </w:rPr>
      </w:pPr>
    </w:p>
    <w:p w14:paraId="4FB2E00D" w14:textId="77777777" w:rsidR="00C066FE" w:rsidRPr="007D048A" w:rsidRDefault="00C066FE" w:rsidP="00C066FE">
      <w:pPr>
        <w:pStyle w:val="Default"/>
        <w:ind w:firstLine="708"/>
        <w:jc w:val="both"/>
        <w:rPr>
          <w:color w:val="000000" w:themeColor="text1"/>
          <w:sz w:val="21"/>
          <w:szCs w:val="21"/>
          <w:lang w:val="es-CO"/>
        </w:rPr>
      </w:pPr>
      <w:r w:rsidRPr="007D048A">
        <w:rPr>
          <w:color w:val="000000" w:themeColor="text1"/>
          <w:sz w:val="21"/>
          <w:szCs w:val="21"/>
          <w:lang w:val="es-CO"/>
        </w:rPr>
        <w:t xml:space="preserve">9° Por el evento de la condición resolutoria; </w:t>
      </w:r>
    </w:p>
    <w:p w14:paraId="1C4A2BD1" w14:textId="77777777" w:rsidR="00C066FE" w:rsidRPr="007D048A" w:rsidRDefault="00C066FE" w:rsidP="00C066FE">
      <w:pPr>
        <w:pStyle w:val="Default"/>
        <w:ind w:firstLine="708"/>
        <w:jc w:val="both"/>
        <w:rPr>
          <w:color w:val="000000" w:themeColor="text1"/>
          <w:sz w:val="21"/>
          <w:szCs w:val="21"/>
          <w:lang w:val="es-CO"/>
        </w:rPr>
      </w:pPr>
    </w:p>
    <w:p w14:paraId="647FA347" w14:textId="77777777" w:rsidR="00C066FE" w:rsidRPr="007D048A" w:rsidRDefault="00C066FE" w:rsidP="00C066FE">
      <w:pPr>
        <w:spacing w:line="276" w:lineRule="auto"/>
        <w:ind w:firstLine="708"/>
        <w:jc w:val="both"/>
        <w:rPr>
          <w:rFonts w:ascii="Arial" w:hAnsi="Arial" w:cs="Arial"/>
          <w:color w:val="000000" w:themeColor="text1"/>
          <w:sz w:val="21"/>
          <w:szCs w:val="21"/>
          <w:lang w:val="es-CO"/>
        </w:rPr>
      </w:pPr>
      <w:r w:rsidRPr="007D048A">
        <w:rPr>
          <w:rFonts w:ascii="Arial" w:hAnsi="Arial" w:cs="Arial"/>
          <w:color w:val="000000" w:themeColor="text1"/>
          <w:sz w:val="21"/>
          <w:szCs w:val="21"/>
          <w:lang w:val="es-CO"/>
        </w:rPr>
        <w:t>10° Por la prescripción.</w:t>
      </w:r>
    </w:p>
    <w:p w14:paraId="0FA7B708" w14:textId="77777777" w:rsidR="00C066FE" w:rsidRPr="007D048A" w:rsidRDefault="00C066FE" w:rsidP="00C066FE">
      <w:pPr>
        <w:spacing w:line="276" w:lineRule="auto"/>
        <w:ind w:firstLine="708"/>
        <w:jc w:val="both"/>
        <w:rPr>
          <w:rFonts w:ascii="Arial" w:hAnsi="Arial" w:cs="Arial"/>
          <w:color w:val="000000" w:themeColor="text1"/>
          <w:sz w:val="22"/>
          <w:lang w:val="es-CO"/>
        </w:rPr>
      </w:pPr>
    </w:p>
    <w:p w14:paraId="30257863"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Esto significa que si la totalidad de las obligaciones no se ha extinguido por alguno de los modos previstos en el citado artículo, el contrato permanece vigente. </w:t>
      </w:r>
    </w:p>
    <w:p w14:paraId="28883692"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 </w:t>
      </w:r>
    </w:p>
    <w:p w14:paraId="0CA25942"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4B46E0C3" w14:textId="77777777" w:rsidR="00C066FE" w:rsidRPr="007D048A" w:rsidRDefault="00C066FE" w:rsidP="00C066FE">
      <w:pPr>
        <w:spacing w:line="276" w:lineRule="auto"/>
        <w:ind w:firstLine="708"/>
        <w:jc w:val="both"/>
        <w:rPr>
          <w:rFonts w:ascii="Arial" w:hAnsi="Arial" w:cs="Arial"/>
          <w:color w:val="000000" w:themeColor="text1"/>
          <w:sz w:val="22"/>
          <w:lang w:val="es-CO"/>
        </w:rPr>
      </w:pPr>
    </w:p>
    <w:p w14:paraId="792983FC" w14:textId="77777777" w:rsidR="00C066FE" w:rsidRPr="007D048A" w:rsidRDefault="00C066FE" w:rsidP="00C066FE">
      <w:pPr>
        <w:ind w:left="708" w:right="567"/>
        <w:jc w:val="both"/>
        <w:rPr>
          <w:rFonts w:ascii="Arial" w:eastAsia="Times New Roman" w:hAnsi="Arial" w:cs="Arial"/>
          <w:color w:val="000000" w:themeColor="text1"/>
          <w:sz w:val="21"/>
          <w:szCs w:val="21"/>
          <w:lang w:val="es-CO" w:eastAsia="es-CO"/>
        </w:rPr>
      </w:pPr>
      <w:r w:rsidRPr="007D048A">
        <w:rPr>
          <w:rFonts w:ascii="Arial" w:eastAsia="Times New Roman" w:hAnsi="Arial" w:cs="Arial"/>
          <w:color w:val="000000" w:themeColor="text1"/>
          <w:sz w:val="21"/>
          <w:szCs w:val="21"/>
          <w:lang w:val="es-CO" w:eastAsia="es-CO"/>
        </w:rPr>
        <w:t>«Artículo 3.2.2.1. Plazos para la autoliquidación y el pago de los aportes al Sistema de Seguridad Social Integral y Aportes Parafiscales. Todos los aportantes a los Sistemas de Salud, Pensiones y Riesgos Laborales del Sistema 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48B95102" w14:textId="77777777" w:rsidR="00C066FE" w:rsidRPr="007D048A" w:rsidRDefault="00C066FE" w:rsidP="00C066FE">
      <w:pPr>
        <w:spacing w:line="276" w:lineRule="auto"/>
        <w:ind w:firstLine="708"/>
        <w:jc w:val="both"/>
        <w:rPr>
          <w:rFonts w:ascii="Arial" w:hAnsi="Arial" w:cs="Arial"/>
          <w:color w:val="000000" w:themeColor="text1"/>
          <w:sz w:val="22"/>
          <w:lang w:val="es-CO"/>
        </w:rPr>
      </w:pPr>
    </w:p>
    <w:tbl>
      <w:tblPr>
        <w:tblW w:w="0" w:type="auto"/>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5386"/>
      </w:tblGrid>
      <w:tr w:rsidR="007D048A" w:rsidRPr="007D048A" w14:paraId="1E77B0E2" w14:textId="77777777" w:rsidTr="005D11AF">
        <w:tc>
          <w:tcPr>
            <w:tcW w:w="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659A50"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b/>
                <w:bCs/>
                <w:color w:val="000000" w:themeColor="text1"/>
                <w:sz w:val="17"/>
                <w:szCs w:val="17"/>
                <w:lang w:val="es-ES" w:eastAsia="es-ES"/>
              </w:rPr>
              <w:t>Día hábil</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DDA7B5"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b/>
                <w:bCs/>
                <w:color w:val="000000" w:themeColor="text1"/>
                <w:sz w:val="17"/>
                <w:szCs w:val="17"/>
                <w:lang w:val="es-ES" w:eastAsia="es-ES"/>
              </w:rPr>
              <w:t>Dos últimos dígitos del NIT o documento de identificación</w:t>
            </w:r>
          </w:p>
        </w:tc>
      </w:tr>
      <w:tr w:rsidR="007D048A" w:rsidRPr="007D048A" w14:paraId="4D4593E6"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C997AE"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2°</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CCD64A"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00 al 07</w:t>
            </w:r>
          </w:p>
        </w:tc>
      </w:tr>
      <w:tr w:rsidR="007D048A" w:rsidRPr="007D048A" w14:paraId="5C84D0D6"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47AF2F"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3°</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847BC"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08 al 14</w:t>
            </w:r>
          </w:p>
        </w:tc>
      </w:tr>
      <w:tr w:rsidR="007D048A" w:rsidRPr="007D048A" w14:paraId="46E5B1E5"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4C895E"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4°</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EBD02"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15 al 21</w:t>
            </w:r>
          </w:p>
        </w:tc>
      </w:tr>
      <w:tr w:rsidR="007D048A" w:rsidRPr="007D048A" w14:paraId="094A8137"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6728F"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5°</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5C605"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22 al 28</w:t>
            </w:r>
          </w:p>
        </w:tc>
      </w:tr>
      <w:tr w:rsidR="007D048A" w:rsidRPr="007D048A" w14:paraId="52723071"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BD4D4"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6°</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08530"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29 al 35</w:t>
            </w:r>
          </w:p>
        </w:tc>
      </w:tr>
      <w:tr w:rsidR="007D048A" w:rsidRPr="007D048A" w14:paraId="23A23A5F"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94D20"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7°</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D07195"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36 al 42</w:t>
            </w:r>
          </w:p>
        </w:tc>
      </w:tr>
      <w:tr w:rsidR="007D048A" w:rsidRPr="007D048A" w14:paraId="24E09D42"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625CE"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8°</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51AC3"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43 al 49</w:t>
            </w:r>
          </w:p>
        </w:tc>
      </w:tr>
      <w:tr w:rsidR="007D048A" w:rsidRPr="007D048A" w14:paraId="21AEEF66"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FDAE8A"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9°</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DBB80"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50 al 56</w:t>
            </w:r>
          </w:p>
        </w:tc>
      </w:tr>
      <w:tr w:rsidR="007D048A" w:rsidRPr="007D048A" w14:paraId="42EFD2CE"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2E3FC"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10°</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9122C7"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57 al 63</w:t>
            </w:r>
          </w:p>
        </w:tc>
      </w:tr>
      <w:tr w:rsidR="007D048A" w:rsidRPr="007D048A" w14:paraId="7C7B4F5E"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77109E"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11°</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C52077"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64 al 69</w:t>
            </w:r>
          </w:p>
        </w:tc>
      </w:tr>
      <w:tr w:rsidR="007D048A" w:rsidRPr="007D048A" w14:paraId="2B68D781"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0B6B2"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lastRenderedPageBreak/>
              <w:t>12°</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D93B8"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70 al 75</w:t>
            </w:r>
          </w:p>
        </w:tc>
      </w:tr>
      <w:tr w:rsidR="007D048A" w:rsidRPr="007D048A" w14:paraId="6A0B105B"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204BA6"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13°</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30CB4"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76 al 81</w:t>
            </w:r>
          </w:p>
        </w:tc>
      </w:tr>
      <w:tr w:rsidR="007D048A" w:rsidRPr="007D048A" w14:paraId="081B2C37"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7F7163"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14°</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DC63F"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82 al 87</w:t>
            </w:r>
          </w:p>
        </w:tc>
      </w:tr>
      <w:tr w:rsidR="007D048A" w:rsidRPr="007D048A" w14:paraId="158C5560"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7BFED8"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15°</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C552C"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88 al 93</w:t>
            </w:r>
          </w:p>
        </w:tc>
      </w:tr>
      <w:tr w:rsidR="007D048A" w:rsidRPr="007D048A" w14:paraId="7AAB589D" w14:textId="77777777" w:rsidTr="005D11AF">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3F5ED"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23"/>
                <w:szCs w:val="23"/>
                <w:lang w:val="es-ES" w:eastAsia="es-ES"/>
              </w:rPr>
              <w:t>16°</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E6BD2" w14:textId="77777777" w:rsidR="00C066FE" w:rsidRPr="007D048A" w:rsidRDefault="00C066FE" w:rsidP="005D11AF">
            <w:pPr>
              <w:jc w:val="center"/>
              <w:rPr>
                <w:rFonts w:ascii="Arial" w:eastAsia="Times New Roman" w:hAnsi="Arial" w:cs="Arial"/>
                <w:color w:val="000000" w:themeColor="text1"/>
                <w:sz w:val="23"/>
                <w:szCs w:val="23"/>
                <w:lang w:val="es-ES" w:eastAsia="es-ES"/>
              </w:rPr>
            </w:pPr>
            <w:r w:rsidRPr="007D048A">
              <w:rPr>
                <w:rFonts w:ascii="Arial" w:eastAsia="Times New Roman" w:hAnsi="Arial" w:cs="Arial"/>
                <w:color w:val="000000" w:themeColor="text1"/>
                <w:sz w:val="17"/>
                <w:szCs w:val="17"/>
                <w:lang w:val="es-ES" w:eastAsia="es-ES"/>
              </w:rPr>
              <w:t>94 al 99</w:t>
            </w:r>
          </w:p>
        </w:tc>
      </w:tr>
    </w:tbl>
    <w:p w14:paraId="1A736C82" w14:textId="77777777" w:rsidR="00C066FE" w:rsidRPr="007D048A" w:rsidRDefault="00C066FE" w:rsidP="00C066FE">
      <w:pPr>
        <w:shd w:val="clear" w:color="auto" w:fill="FFFFFF"/>
        <w:jc w:val="both"/>
        <w:rPr>
          <w:rFonts w:ascii="Arial" w:eastAsia="Times New Roman" w:hAnsi="Arial" w:cs="Arial"/>
          <w:color w:val="000000" w:themeColor="text1"/>
          <w:sz w:val="36"/>
          <w:szCs w:val="36"/>
          <w:lang w:val="es-ES" w:eastAsia="es-ES"/>
        </w:rPr>
      </w:pPr>
      <w:r w:rsidRPr="007D048A">
        <w:rPr>
          <w:rFonts w:ascii="Arial" w:eastAsia="Times New Roman" w:hAnsi="Arial" w:cs="Arial"/>
          <w:color w:val="000000" w:themeColor="text1"/>
          <w:sz w:val="36"/>
          <w:szCs w:val="36"/>
          <w:lang w:val="es-ES" w:eastAsia="es-ES"/>
        </w:rPr>
        <w:t> </w:t>
      </w:r>
    </w:p>
    <w:p w14:paraId="5916793D" w14:textId="77777777" w:rsidR="00C066FE" w:rsidRPr="007D048A" w:rsidRDefault="00C066FE" w:rsidP="00C066FE">
      <w:pPr>
        <w:pStyle w:val="Default"/>
        <w:rPr>
          <w:color w:val="000000" w:themeColor="text1"/>
          <w:sz w:val="22"/>
          <w:szCs w:val="22"/>
          <w:lang w:val="es-CO"/>
        </w:rPr>
      </w:pPr>
      <w:r w:rsidRPr="007D048A">
        <w:rPr>
          <w:color w:val="000000" w:themeColor="text1"/>
          <w:sz w:val="22"/>
          <w:szCs w:val="22"/>
          <w:lang w:val="es-CO"/>
        </w:rPr>
        <w:t xml:space="preserve">Así lo reconoció el Ministerio de Salud recientemente: </w:t>
      </w:r>
    </w:p>
    <w:p w14:paraId="4E35F3F9" w14:textId="77777777" w:rsidR="00C066FE" w:rsidRPr="007D048A" w:rsidRDefault="00C066FE" w:rsidP="00C066FE">
      <w:pPr>
        <w:pStyle w:val="Default"/>
        <w:rPr>
          <w:color w:val="000000" w:themeColor="text1"/>
          <w:sz w:val="22"/>
          <w:szCs w:val="22"/>
        </w:rPr>
      </w:pPr>
    </w:p>
    <w:p w14:paraId="06DD76FF" w14:textId="77777777" w:rsidR="00C066FE" w:rsidRPr="007D048A" w:rsidRDefault="00C066FE" w:rsidP="00C066FE">
      <w:pPr>
        <w:pStyle w:val="Default"/>
        <w:tabs>
          <w:tab w:val="left" w:pos="8222"/>
        </w:tabs>
        <w:ind w:left="708" w:right="567"/>
        <w:jc w:val="both"/>
        <w:rPr>
          <w:rFonts w:eastAsia="Times New Roman"/>
          <w:color w:val="000000" w:themeColor="text1"/>
          <w:sz w:val="21"/>
          <w:szCs w:val="21"/>
          <w:lang w:val="es-CO" w:eastAsia="es-CO"/>
        </w:rPr>
      </w:pPr>
      <w:r w:rsidRPr="007D048A">
        <w:rPr>
          <w:rFonts w:eastAsia="Times New Roman"/>
          <w:color w:val="000000" w:themeColor="text1"/>
          <w:sz w:val="21"/>
          <w:szCs w:val="21"/>
          <w:lang w:val="es-CO" w:eastAsia="es-CO"/>
        </w:rPr>
        <w:t xml:space="preserve">[…], respecto del pago de la seguridad social, como requisito a cumplir por parte de los contratistas de prestación de servicios, le informo que, a la luz de la Ley 1955 de 2019, el artículo 244 establece que la cotización se realiza mes vencido, al disponer lo siguiente: </w:t>
      </w:r>
    </w:p>
    <w:p w14:paraId="792AB873" w14:textId="77777777" w:rsidR="00C066FE" w:rsidRPr="007D048A" w:rsidRDefault="00C066FE" w:rsidP="00C066FE">
      <w:pPr>
        <w:pStyle w:val="Default"/>
        <w:tabs>
          <w:tab w:val="left" w:pos="8222"/>
        </w:tabs>
        <w:ind w:left="708" w:right="567"/>
        <w:jc w:val="both"/>
        <w:rPr>
          <w:rFonts w:eastAsia="Times New Roman"/>
          <w:color w:val="000000" w:themeColor="text1"/>
          <w:sz w:val="21"/>
          <w:szCs w:val="21"/>
          <w:lang w:val="es-CO" w:eastAsia="es-CO"/>
        </w:rPr>
      </w:pPr>
    </w:p>
    <w:p w14:paraId="76F30D3C" w14:textId="77777777" w:rsidR="00C066FE" w:rsidRPr="007D048A" w:rsidRDefault="00C066FE" w:rsidP="00C066FE">
      <w:pPr>
        <w:pStyle w:val="Default"/>
        <w:tabs>
          <w:tab w:val="left" w:pos="8222"/>
        </w:tabs>
        <w:ind w:left="708" w:right="567"/>
        <w:jc w:val="both"/>
        <w:rPr>
          <w:i/>
          <w:iCs/>
          <w:color w:val="000000" w:themeColor="text1"/>
          <w:sz w:val="21"/>
          <w:szCs w:val="21"/>
        </w:rPr>
      </w:pPr>
      <w:r w:rsidRPr="007D048A">
        <w:rPr>
          <w:rFonts w:eastAsia="Times New Roman"/>
          <w:color w:val="000000" w:themeColor="text1"/>
          <w:sz w:val="21"/>
          <w:szCs w:val="21"/>
          <w:lang w:val="es-CO" w:eastAsia="es-CO"/>
        </w:rPr>
        <w:t>ARTÍCULO 244. INGRESO BASE DE COTIZACIÓN (IBC) DE LOS INDEPENDIENTES. Los trabajadores independientes con ingresos netos iguales o superiores a 1 salario mínimo legal mensual vigente que celebren contratos de prestación de servicios personales, cotizarán mes vencido al Sistema de Seguridad Social Integral, sobre una base mínima del 40% del valor mensualizado del contrato, sin incluir el valor del Impuesto al Valor Agregado (IVA). (...). (cursivas fuera de texto)</w:t>
      </w:r>
      <w:r w:rsidRPr="007D048A">
        <w:rPr>
          <w:i/>
          <w:iCs/>
          <w:color w:val="000000" w:themeColor="text1"/>
          <w:sz w:val="21"/>
          <w:szCs w:val="21"/>
        </w:rPr>
        <w:t xml:space="preserve"> </w:t>
      </w:r>
    </w:p>
    <w:p w14:paraId="654FA191" w14:textId="77777777" w:rsidR="00C066FE" w:rsidRPr="007D048A" w:rsidRDefault="00C066FE" w:rsidP="00C066FE">
      <w:pPr>
        <w:pStyle w:val="Default"/>
        <w:tabs>
          <w:tab w:val="left" w:pos="8222"/>
        </w:tabs>
        <w:ind w:left="708" w:right="567"/>
        <w:jc w:val="both"/>
        <w:rPr>
          <w:rFonts w:eastAsia="Times New Roman"/>
          <w:color w:val="000000" w:themeColor="text1"/>
          <w:sz w:val="21"/>
          <w:szCs w:val="21"/>
          <w:lang w:val="es-CO" w:eastAsia="es-CO"/>
        </w:rPr>
      </w:pPr>
    </w:p>
    <w:p w14:paraId="3AF631BC" w14:textId="77777777" w:rsidR="00C066FE" w:rsidRPr="007D048A" w:rsidRDefault="00C066FE" w:rsidP="00C066FE">
      <w:pPr>
        <w:pStyle w:val="Default"/>
        <w:ind w:left="708" w:right="567"/>
        <w:jc w:val="both"/>
        <w:rPr>
          <w:rFonts w:eastAsia="Times New Roman"/>
          <w:color w:val="000000" w:themeColor="text1"/>
          <w:sz w:val="21"/>
          <w:szCs w:val="21"/>
          <w:lang w:val="es-CO" w:eastAsia="es-CO"/>
        </w:rPr>
      </w:pPr>
      <w:r w:rsidRPr="007D048A">
        <w:rPr>
          <w:rFonts w:eastAsia="Times New Roman"/>
          <w:color w:val="000000" w:themeColor="text1"/>
          <w:sz w:val="21"/>
          <w:szCs w:val="21"/>
          <w:lang w:val="es-CO" w:eastAsia="es-CO"/>
        </w:rPr>
        <w:t>Es decir, se entiende por mes vencido, el aporte posterior que realiza un contratista independiente, al Sistema de Seguridad Social Integral, el cual debe ser sobre la base mínima del 40% del valor mensual del mismo. A manera de ejemplo, el pago de septiembre se paga en el mes de octubre, y así sucesivamente, cumpliendo en estricto orden con las fechas o plazos de pago, según los últimos dos dígitos del documento de identidad, conforme a lo establecido en el Decreto 1990 de 2016, por el cual se “Sustitúyase el Título 2 de la Parte 2 del Libro 3 del Decreto Único Reglamentario del Sector Salud y Protección Social, Decreto 780 de 2016, el cual quedará así: TÍTULO 2 PLAZOS PARA EL PAGO, Artículo 3.2.2.1.Plazos para la autoliquidación y el pago de los aportes al Sistema de Seguridad Social Integral y Aportes Parafiscales.(...)”</w:t>
      </w:r>
      <w:r w:rsidRPr="007D048A">
        <w:rPr>
          <w:rStyle w:val="Refdenotaalpie"/>
          <w:rFonts w:eastAsia="Times New Roman"/>
          <w:color w:val="000000" w:themeColor="text1"/>
          <w:sz w:val="21"/>
          <w:szCs w:val="21"/>
          <w:lang w:val="es-CO" w:eastAsia="es-CO"/>
        </w:rPr>
        <w:footnoteReference w:id="12"/>
      </w:r>
    </w:p>
    <w:p w14:paraId="11DECF05" w14:textId="77777777" w:rsidR="00C066FE" w:rsidRPr="007D048A" w:rsidRDefault="00C066FE" w:rsidP="00C066FE">
      <w:pPr>
        <w:pStyle w:val="Default"/>
        <w:rPr>
          <w:color w:val="000000" w:themeColor="text1"/>
          <w:sz w:val="22"/>
          <w:szCs w:val="22"/>
        </w:rPr>
      </w:pPr>
    </w:p>
    <w:p w14:paraId="2BB89E80" w14:textId="77777777" w:rsidR="00C066FE" w:rsidRPr="007D048A" w:rsidRDefault="00C066FE" w:rsidP="00C066FE">
      <w:pPr>
        <w:pStyle w:val="Default"/>
        <w:spacing w:line="276" w:lineRule="auto"/>
        <w:ind w:firstLine="708"/>
        <w:rPr>
          <w:color w:val="000000" w:themeColor="text1"/>
          <w:sz w:val="22"/>
          <w:szCs w:val="22"/>
          <w:lang w:val="es-CO"/>
        </w:rPr>
      </w:pPr>
      <w:r w:rsidRPr="007D048A">
        <w:rPr>
          <w:color w:val="000000" w:themeColor="text1"/>
          <w:sz w:val="22"/>
          <w:szCs w:val="22"/>
          <w:lang w:val="es-CO"/>
        </w:rPr>
        <w:t xml:space="preserve">De lo anterior, puede concluirse: </w:t>
      </w:r>
    </w:p>
    <w:p w14:paraId="64A56A5E" w14:textId="77777777" w:rsidR="00C066FE" w:rsidRPr="007D048A" w:rsidRDefault="00C066FE" w:rsidP="00C066FE">
      <w:pPr>
        <w:pStyle w:val="Default"/>
        <w:spacing w:line="276" w:lineRule="auto"/>
        <w:ind w:firstLine="708"/>
        <w:rPr>
          <w:color w:val="000000" w:themeColor="text1"/>
          <w:sz w:val="22"/>
          <w:szCs w:val="22"/>
          <w:lang w:val="es-CO"/>
        </w:rPr>
      </w:pPr>
    </w:p>
    <w:p w14:paraId="38EE7822"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i) Los contratistas de prestación de servicios –trabajadores independientes–, que devenguen una suma neta igual o superior a un salario mínimo legal mensual vigente, tienen la obligación de pagar sus aportes al Sistema de Seguridad Social Integral, mes vencido, sobre la base mínima del 40% del valor mensualizado del contrato, sin incluir el IVA. Así se deduce actualmente del artículo 244 de la Ley 1955 de 2019. </w:t>
      </w:r>
    </w:p>
    <w:p w14:paraId="2F837DFB"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t xml:space="preserve">ii) 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 Decreto. </w:t>
      </w:r>
    </w:p>
    <w:p w14:paraId="6284C08D"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lastRenderedPageBreak/>
        <w:t xml:space="preserve">iii) Como las entidades estatales tienen el deber de verificar, para «cada pago», que los contratistas hayan cumplido sus obligaciones con el Sistema de Seguridad Social 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artículo 3.2.2.1. del Decreto 1990 de 2016. </w:t>
      </w:r>
    </w:p>
    <w:p w14:paraId="19DBCE2C" w14:textId="53745EC8"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iv) 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111 de</w:t>
      </w:r>
      <w:r w:rsidR="0082676C" w:rsidRPr="007D048A">
        <w:rPr>
          <w:rFonts w:ascii="Arial" w:hAnsi="Arial" w:cs="Arial"/>
          <w:color w:val="000000" w:themeColor="text1"/>
          <w:sz w:val="22"/>
          <w:lang w:val="es-CO"/>
        </w:rPr>
        <w:t xml:space="preserve"> </w:t>
      </w:r>
      <w:r w:rsidRPr="007D048A">
        <w:rPr>
          <w:rFonts w:ascii="Arial" w:hAnsi="Arial" w:cs="Arial"/>
          <w:color w:val="000000" w:themeColor="text1"/>
          <w:sz w:val="22"/>
          <w:lang w:val="es-CO"/>
        </w:rPr>
        <w:t>1996</w:t>
      </w:r>
      <w:r w:rsidRPr="007D048A">
        <w:rPr>
          <w:rStyle w:val="Refdenotaalpie"/>
          <w:rFonts w:ascii="Arial" w:hAnsi="Arial" w:cs="Arial"/>
          <w:color w:val="000000" w:themeColor="text1"/>
          <w:sz w:val="22"/>
          <w:lang w:val="es-CO"/>
        </w:rPr>
        <w:footnoteReference w:id="13"/>
      </w:r>
      <w:r w:rsidRPr="007D048A">
        <w:rPr>
          <w:rFonts w:ascii="Arial" w:hAnsi="Arial" w:cs="Arial"/>
          <w:color w:val="000000" w:themeColor="text1"/>
          <w:sz w:val="22"/>
          <w:lang w:val="es-CO"/>
        </w:rPr>
        <w:t xml:space="preserve"> y el artículo 13 del Decreto 115 de 1996</w:t>
      </w:r>
      <w:r w:rsidRPr="007D048A">
        <w:rPr>
          <w:rStyle w:val="Refdenotaalpie"/>
          <w:rFonts w:ascii="Arial" w:hAnsi="Arial" w:cs="Arial"/>
          <w:color w:val="000000" w:themeColor="text1"/>
          <w:sz w:val="22"/>
          <w:lang w:val="es-CO"/>
        </w:rPr>
        <w:footnoteReference w:id="14"/>
      </w:r>
      <w:r w:rsidRPr="007D048A">
        <w:rPr>
          <w:rFonts w:ascii="Arial" w:hAnsi="Arial" w:cs="Arial"/>
          <w:color w:val="000000" w:themeColor="text1"/>
          <w:sz w:val="22"/>
          <w:lang w:val="es-CO"/>
        </w:rPr>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20812582" w14:textId="77777777" w:rsidR="00C066FE" w:rsidRPr="007D048A" w:rsidRDefault="00C066FE" w:rsidP="00C066FE">
      <w:pPr>
        <w:pStyle w:val="Default"/>
        <w:spacing w:line="276" w:lineRule="auto"/>
        <w:ind w:firstLine="708"/>
        <w:jc w:val="both"/>
        <w:rPr>
          <w:color w:val="000000" w:themeColor="text1"/>
          <w:sz w:val="22"/>
          <w:szCs w:val="22"/>
          <w:lang w:val="es-CO"/>
        </w:rPr>
      </w:pPr>
      <w:r w:rsidRPr="007D048A">
        <w:rPr>
          <w:color w:val="000000" w:themeColor="text1"/>
          <w:sz w:val="22"/>
          <w:szCs w:val="22"/>
          <w:lang w:val="es-CO"/>
        </w:rPr>
        <w:lastRenderedPageBreak/>
        <w:t xml:space="preserve">v) 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en caso negativo, requerirlo y reportarlo a las autoridades competentes para adelantar las investigaciones y procedimientos administrativos sancionatorios pertinentes, entre las que se encuentra la Unidad de Gestión Pensional y Parafiscales [UGPP]. </w:t>
      </w:r>
    </w:p>
    <w:p w14:paraId="1588B68F" w14:textId="77777777" w:rsidR="00C066FE" w:rsidRPr="007D048A" w:rsidRDefault="00C066FE" w:rsidP="00C066FE">
      <w:pPr>
        <w:spacing w:line="276" w:lineRule="auto"/>
        <w:ind w:firstLine="708"/>
        <w:jc w:val="both"/>
        <w:rPr>
          <w:rFonts w:ascii="Arial" w:hAnsi="Arial" w:cs="Arial"/>
          <w:color w:val="000000" w:themeColor="text1"/>
          <w:sz w:val="22"/>
          <w:lang w:val="es-CO"/>
        </w:rPr>
      </w:pPr>
      <w:r w:rsidRPr="007D048A">
        <w:rPr>
          <w:rFonts w:ascii="Arial" w:hAnsi="Arial" w:cs="Arial"/>
          <w:color w:val="000000" w:themeColor="text1"/>
          <w:sz w:val="22"/>
          <w:lang w:val="es-CO"/>
        </w:rPr>
        <w:t>vi)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 noviembre.</w:t>
      </w:r>
    </w:p>
    <w:p w14:paraId="7DC602BC" w14:textId="77777777" w:rsidR="00C066FE" w:rsidRPr="007D048A" w:rsidRDefault="00C066FE" w:rsidP="002D3467">
      <w:pPr>
        <w:spacing w:line="276" w:lineRule="auto"/>
        <w:ind w:firstLine="708"/>
        <w:jc w:val="both"/>
        <w:rPr>
          <w:rFonts w:ascii="Arial" w:hAnsi="Arial" w:cs="Arial"/>
          <w:color w:val="000000" w:themeColor="text1"/>
          <w:sz w:val="22"/>
          <w:lang w:val="es-CO"/>
        </w:rPr>
      </w:pPr>
    </w:p>
    <w:p w14:paraId="53494096" w14:textId="1F3931AE" w:rsidR="007B0854" w:rsidRPr="007D048A" w:rsidRDefault="007B0854" w:rsidP="00C066FE">
      <w:pPr>
        <w:pStyle w:val="Prrafodelista"/>
        <w:numPr>
          <w:ilvl w:val="0"/>
          <w:numId w:val="6"/>
        </w:numPr>
        <w:tabs>
          <w:tab w:val="left" w:pos="284"/>
        </w:tabs>
        <w:spacing w:line="276" w:lineRule="auto"/>
        <w:ind w:left="0" w:firstLine="4"/>
        <w:jc w:val="both"/>
        <w:rPr>
          <w:rFonts w:ascii="Arial" w:eastAsia="Calibri" w:hAnsi="Arial" w:cs="Arial"/>
          <w:color w:val="000000" w:themeColor="text1"/>
          <w:sz w:val="22"/>
        </w:rPr>
      </w:pPr>
      <w:r w:rsidRPr="007D048A">
        <w:rPr>
          <w:rFonts w:ascii="Arial" w:eastAsia="Calibri" w:hAnsi="Arial" w:cs="Arial"/>
          <w:b/>
          <w:color w:val="000000" w:themeColor="text1"/>
          <w:sz w:val="22"/>
        </w:rPr>
        <w:t>Respuesta</w:t>
      </w:r>
    </w:p>
    <w:p w14:paraId="3C3FAEDB" w14:textId="77777777" w:rsidR="007B0854" w:rsidRPr="007D048A" w:rsidRDefault="007B0854" w:rsidP="007B0854">
      <w:pPr>
        <w:spacing w:line="276" w:lineRule="auto"/>
        <w:ind w:left="709" w:right="709"/>
        <w:jc w:val="both"/>
        <w:rPr>
          <w:rFonts w:ascii="Arial" w:eastAsia="Calibri" w:hAnsi="Arial" w:cs="Arial"/>
          <w:i/>
          <w:color w:val="000000" w:themeColor="text1"/>
          <w:sz w:val="22"/>
        </w:rPr>
      </w:pPr>
    </w:p>
    <w:p w14:paraId="577A8E77" w14:textId="33E0402C" w:rsidR="00BB4763" w:rsidRPr="007D048A" w:rsidRDefault="002D3467" w:rsidP="00AA64DC">
      <w:pPr>
        <w:tabs>
          <w:tab w:val="left" w:pos="426"/>
        </w:tabs>
        <w:spacing w:line="276" w:lineRule="auto"/>
        <w:ind w:left="708" w:right="426"/>
        <w:jc w:val="both"/>
        <w:rPr>
          <w:rFonts w:ascii="Arial" w:eastAsia="Calibri" w:hAnsi="Arial" w:cs="Arial"/>
          <w:color w:val="000000" w:themeColor="text1"/>
          <w:sz w:val="22"/>
        </w:rPr>
      </w:pPr>
      <w:r w:rsidRPr="007D048A">
        <w:rPr>
          <w:rFonts w:ascii="Arial" w:eastAsia="Calibri" w:hAnsi="Arial" w:cs="Arial"/>
          <w:color w:val="000000" w:themeColor="text1"/>
          <w:sz w:val="22"/>
        </w:rPr>
        <w:t>«¿Una persona que ya se encuentra pensionada, tiene la obligación de seguir pagando pensión para poder presentar licitaciones?».</w:t>
      </w:r>
    </w:p>
    <w:p w14:paraId="3D0AACF4" w14:textId="77777777" w:rsidR="002D3467" w:rsidRPr="007D048A" w:rsidRDefault="002D3467" w:rsidP="002D3467">
      <w:pPr>
        <w:tabs>
          <w:tab w:val="left" w:pos="426"/>
        </w:tabs>
        <w:spacing w:line="276" w:lineRule="auto"/>
        <w:ind w:left="708" w:right="709"/>
        <w:jc w:val="both"/>
        <w:rPr>
          <w:rFonts w:ascii="Arial" w:eastAsia="Calibri" w:hAnsi="Arial" w:cs="Arial"/>
          <w:color w:val="000000" w:themeColor="text1"/>
          <w:sz w:val="22"/>
        </w:rPr>
      </w:pPr>
    </w:p>
    <w:p w14:paraId="19BABF8A" w14:textId="48763B79" w:rsidR="00BB4763" w:rsidRPr="007D048A" w:rsidRDefault="00C066FE" w:rsidP="00F666A1">
      <w:pPr>
        <w:tabs>
          <w:tab w:val="left" w:pos="426"/>
        </w:tabs>
        <w:spacing w:line="276" w:lineRule="auto"/>
        <w:jc w:val="both"/>
        <w:rPr>
          <w:rFonts w:ascii="Arial" w:eastAsia="Calibri" w:hAnsi="Arial" w:cs="Arial"/>
          <w:color w:val="000000" w:themeColor="text1"/>
          <w:sz w:val="22"/>
        </w:rPr>
      </w:pPr>
      <w:r w:rsidRPr="007D048A">
        <w:rPr>
          <w:rFonts w:ascii="Arial" w:eastAsia="Calibri" w:hAnsi="Arial" w:cs="Arial"/>
          <w:color w:val="000000" w:themeColor="text1"/>
          <w:sz w:val="22"/>
        </w:rPr>
        <w:t>La</w:t>
      </w:r>
      <w:r w:rsidR="00AA64DC" w:rsidRPr="007D048A">
        <w:rPr>
          <w:rFonts w:ascii="Arial" w:hAnsi="Arial" w:cs="Arial"/>
          <w:color w:val="000000" w:themeColor="text1"/>
          <w:sz w:val="22"/>
          <w:lang w:val="es-CO"/>
        </w:rPr>
        <w:t xml:space="preserve"> obligación de cotizar al sistema </w:t>
      </w:r>
      <w:r w:rsidR="00F86796" w:rsidRPr="007D048A">
        <w:rPr>
          <w:rFonts w:ascii="Arial" w:hAnsi="Arial" w:cs="Arial"/>
          <w:color w:val="000000" w:themeColor="text1"/>
          <w:sz w:val="22"/>
          <w:lang w:val="es-CO"/>
        </w:rPr>
        <w:t>de</w:t>
      </w:r>
      <w:r w:rsidR="00AA64DC" w:rsidRPr="007D048A">
        <w:rPr>
          <w:rFonts w:ascii="Arial" w:hAnsi="Arial" w:cs="Arial"/>
          <w:color w:val="000000" w:themeColor="text1"/>
          <w:sz w:val="22"/>
          <w:lang w:val="es-CO"/>
        </w:rPr>
        <w:t xml:space="preserve"> pensiones cesa para las personas que accedan a la pensión mínima de vejez, o cuando el afiliado se pensione por invalidez o anticipadamente. No obstante, frente al sistema de salud, la persona natural pensionada debe acreditar el </w:t>
      </w:r>
      <w:r w:rsidR="00AA64DC" w:rsidRPr="007D048A">
        <w:rPr>
          <w:rFonts w:ascii="Arial" w:hAnsi="Arial" w:cs="Arial"/>
          <w:color w:val="000000" w:themeColor="text1"/>
          <w:sz w:val="22"/>
          <w:lang w:val="es-CO"/>
        </w:rPr>
        <w:lastRenderedPageBreak/>
        <w:t>pago en calidad de cotizante, porque los trabajadores independientes tienen el deber de afiliarse al sistema en el régimen contributivo.</w:t>
      </w:r>
    </w:p>
    <w:p w14:paraId="1B6AAD51" w14:textId="77777777" w:rsidR="007C211F" w:rsidRPr="007D048A" w:rsidRDefault="007C211F" w:rsidP="007B0854">
      <w:pPr>
        <w:spacing w:line="276" w:lineRule="auto"/>
        <w:ind w:left="709" w:right="709"/>
        <w:jc w:val="both"/>
        <w:rPr>
          <w:rFonts w:ascii="Arial" w:eastAsia="Calibri" w:hAnsi="Arial" w:cs="Arial"/>
          <w:color w:val="000000" w:themeColor="text1"/>
          <w:sz w:val="22"/>
        </w:rPr>
      </w:pPr>
    </w:p>
    <w:p w14:paraId="03EA695F" w14:textId="77777777" w:rsidR="007B0854" w:rsidRPr="007D048A" w:rsidRDefault="007B0854" w:rsidP="007B0854">
      <w:pPr>
        <w:spacing w:line="276" w:lineRule="auto"/>
        <w:ind w:firstLine="708"/>
        <w:jc w:val="both"/>
        <w:rPr>
          <w:rFonts w:ascii="Arial" w:eastAsia="Calibri" w:hAnsi="Arial" w:cs="Arial"/>
          <w:color w:val="000000" w:themeColor="text1"/>
          <w:sz w:val="22"/>
        </w:rPr>
      </w:pPr>
      <w:r w:rsidRPr="007D048A">
        <w:rPr>
          <w:rFonts w:ascii="Arial" w:eastAsia="Calibri" w:hAnsi="Arial" w:cs="Arial"/>
          <w:color w:val="000000" w:themeColor="text1"/>
          <w:sz w:val="22"/>
        </w:rPr>
        <w:t>Este concepto tiene el alcance previsto en el artículo 28 del Código de Procedimiento Administrativo y de lo Contencioso Administrativo.</w:t>
      </w:r>
    </w:p>
    <w:p w14:paraId="52D9179C" w14:textId="77777777" w:rsidR="007B0854" w:rsidRPr="007D048A" w:rsidRDefault="007B0854" w:rsidP="007B0854">
      <w:pPr>
        <w:spacing w:line="276" w:lineRule="auto"/>
        <w:jc w:val="both"/>
        <w:rPr>
          <w:rFonts w:ascii="Arial" w:eastAsia="Calibri" w:hAnsi="Arial" w:cs="Arial"/>
          <w:color w:val="000000" w:themeColor="text1"/>
          <w:sz w:val="22"/>
        </w:rPr>
      </w:pPr>
    </w:p>
    <w:p w14:paraId="54284AB1" w14:textId="7BC2C58D" w:rsidR="007B0854" w:rsidRPr="007D048A" w:rsidRDefault="007B0854" w:rsidP="00867885">
      <w:pPr>
        <w:jc w:val="both"/>
        <w:rPr>
          <w:rFonts w:ascii="Arial" w:eastAsia="Times New Roman" w:hAnsi="Arial" w:cs="Arial"/>
          <w:color w:val="000000" w:themeColor="text1"/>
          <w:sz w:val="22"/>
          <w:lang w:eastAsia="es-CO"/>
        </w:rPr>
      </w:pPr>
      <w:r w:rsidRPr="007D048A">
        <w:rPr>
          <w:noProof/>
          <w:color w:val="000000" w:themeColor="text1"/>
          <w:lang w:val="en-US"/>
        </w:rPr>
        <mc:AlternateContent>
          <mc:Choice Requires="wps">
            <w:drawing>
              <wp:anchor distT="0" distB="0" distL="114300" distR="114300" simplePos="0" relativeHeight="251658240" behindDoc="0" locked="0" layoutInCell="1" allowOverlap="1" wp14:anchorId="69DD9D77" wp14:editId="75EEDA8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CF1E26">
              <v:line id="Conector recto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F1AA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Pr="007D048A">
        <w:rPr>
          <w:rFonts w:ascii="Arial" w:eastAsia="Times New Roman" w:hAnsi="Arial" w:cs="Arial"/>
          <w:color w:val="000000" w:themeColor="text1"/>
          <w:sz w:val="22"/>
          <w:lang w:eastAsia="es-CO"/>
        </w:rPr>
        <w:t>Atentamente,</w:t>
      </w:r>
    </w:p>
    <w:p w14:paraId="591DAE2A" w14:textId="738301D2" w:rsidR="007B0854" w:rsidRPr="007D048A" w:rsidRDefault="00E53C06" w:rsidP="00E53C06">
      <w:pPr>
        <w:jc w:val="center"/>
        <w:rPr>
          <w:rFonts w:ascii="Arial" w:eastAsia="Times New Roman" w:hAnsi="Arial" w:cs="Arial"/>
          <w:color w:val="000000" w:themeColor="text1"/>
          <w:sz w:val="18"/>
          <w:szCs w:val="20"/>
          <w:lang w:eastAsia="es-CO"/>
        </w:rPr>
      </w:pPr>
      <w:r>
        <w:rPr>
          <w:noProof/>
          <w:lang w:val="en-US"/>
        </w:rPr>
        <w:drawing>
          <wp:inline distT="0" distB="0" distL="0" distR="0" wp14:anchorId="03E9B8B9" wp14:editId="34E321D0">
            <wp:extent cx="2773045" cy="988695"/>
            <wp:effectExtent l="0" t="0" r="0" b="0"/>
            <wp:docPr id="48667953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ED4503E" w14:textId="77777777" w:rsidR="00F86796" w:rsidRPr="007D048A" w:rsidRDefault="00F86796" w:rsidP="0078122E">
      <w:pPr>
        <w:rPr>
          <w:rFonts w:ascii="Arial" w:eastAsia="Times New Roman" w:hAnsi="Arial" w:cs="Arial"/>
          <w:color w:val="000000" w:themeColor="text1"/>
          <w:sz w:val="18"/>
          <w:szCs w:val="20"/>
          <w:lang w:eastAsia="es-CO"/>
        </w:rPr>
      </w:pPr>
    </w:p>
    <w:p w14:paraId="7591B3A3" w14:textId="43D1B332" w:rsidR="007B0854" w:rsidRPr="007D048A" w:rsidRDefault="007B0854" w:rsidP="0078122E">
      <w:pPr>
        <w:rPr>
          <w:rFonts w:ascii="Arial" w:eastAsia="Times New Roman" w:hAnsi="Arial" w:cs="Arial"/>
          <w:color w:val="000000" w:themeColor="text1"/>
          <w:sz w:val="18"/>
          <w:szCs w:val="20"/>
          <w:lang w:eastAsia="es-CO"/>
        </w:rPr>
      </w:pPr>
      <w:r w:rsidRPr="007D048A">
        <w:rPr>
          <w:rFonts w:ascii="Arial" w:eastAsia="Times New Roman" w:hAnsi="Arial" w:cs="Arial"/>
          <w:color w:val="000000" w:themeColor="text1"/>
          <w:sz w:val="18"/>
          <w:szCs w:val="20"/>
          <w:lang w:eastAsia="es-CO"/>
        </w:rPr>
        <w:t xml:space="preserve">Proyectó: </w:t>
      </w:r>
      <w:r w:rsidR="007C211F" w:rsidRPr="007D048A">
        <w:rPr>
          <w:rFonts w:ascii="Arial" w:eastAsia="Times New Roman" w:hAnsi="Arial" w:cs="Arial"/>
          <w:color w:val="000000" w:themeColor="text1"/>
          <w:sz w:val="18"/>
          <w:szCs w:val="20"/>
          <w:lang w:eastAsia="es-CO"/>
        </w:rPr>
        <w:t>Leider Gómez Caballero</w:t>
      </w:r>
    </w:p>
    <w:p w14:paraId="1577D03D" w14:textId="77777777" w:rsidR="007B0854" w:rsidRPr="007D048A" w:rsidRDefault="007B0854" w:rsidP="0078122E">
      <w:pPr>
        <w:rPr>
          <w:rFonts w:ascii="Arial" w:eastAsia="Calibri" w:hAnsi="Arial" w:cs="Arial"/>
          <w:color w:val="000000" w:themeColor="text1"/>
          <w:sz w:val="20"/>
          <w:szCs w:val="20"/>
        </w:rPr>
      </w:pPr>
    </w:p>
    <w:sectPr w:rsidR="007B0854" w:rsidRPr="007D048A" w:rsidSect="00F84899">
      <w:headerReference w:type="default" r:id="rId12"/>
      <w:footerReference w:type="default" r:id="rId13"/>
      <w:pgSz w:w="12240" w:h="15840"/>
      <w:pgMar w:top="1779"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5F34" w14:textId="77777777" w:rsidR="00E31685" w:rsidRDefault="00E31685">
      <w:r>
        <w:separator/>
      </w:r>
    </w:p>
  </w:endnote>
  <w:endnote w:type="continuationSeparator" w:id="0">
    <w:p w14:paraId="08324607" w14:textId="77777777" w:rsidR="00E31685" w:rsidRDefault="00E31685">
      <w:r>
        <w:continuationSeparator/>
      </w:r>
    </w:p>
  </w:endnote>
  <w:endnote w:type="continuationNotice" w:id="1">
    <w:p w14:paraId="42206571" w14:textId="77777777" w:rsidR="00E31685" w:rsidRDefault="00E31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11DA" w14:textId="77777777" w:rsidR="005D4944" w:rsidRDefault="005D4944" w:rsidP="007B0854">
    <w:pPr>
      <w:pStyle w:val="Sinespaciado"/>
      <w:jc w:val="center"/>
      <w:rPr>
        <w:rFonts w:ascii="Arial" w:hAnsi="Arial" w:cs="Arial"/>
        <w:sz w:val="18"/>
        <w:szCs w:val="18"/>
      </w:rPr>
    </w:pPr>
  </w:p>
  <w:p w14:paraId="312C4A14" w14:textId="1469AD2B" w:rsidR="007B0854" w:rsidRDefault="007B0854" w:rsidP="007B0854">
    <w:pPr>
      <w:pStyle w:val="Sinespaciado"/>
      <w:jc w:val="center"/>
      <w:rPr>
        <w:noProof/>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435DDB">
      <w:rPr>
        <w:rFonts w:ascii="Arial" w:hAnsi="Arial" w:cs="Arial"/>
        <w:noProof/>
        <w:sz w:val="18"/>
        <w:szCs w:val="18"/>
      </w:rPr>
      <w:t>1</w:t>
    </w:r>
    <w:r w:rsidRPr="00D04413">
      <w:rPr>
        <w:rFonts w:ascii="Arial" w:hAnsi="Arial" w:cs="Arial"/>
        <w:sz w:val="18"/>
        <w:szCs w:val="18"/>
      </w:rPr>
      <w:fldChar w:fldCharType="end"/>
    </w:r>
  </w:p>
  <w:p w14:paraId="48FC6A04" w14:textId="1EE18C69" w:rsidR="009047C5" w:rsidRPr="007B0854" w:rsidRDefault="1D0223F1" w:rsidP="007B0854">
    <w:pPr>
      <w:pStyle w:val="Piedepgina"/>
      <w:jc w:val="center"/>
      <w:rPr>
        <w:lang w:val="es-ES"/>
      </w:rPr>
    </w:pPr>
    <w:r>
      <w:rPr>
        <w:noProof/>
        <w:lang w:val="en-US"/>
      </w:rPr>
      <w:drawing>
        <wp:inline distT="0" distB="0" distL="0" distR="0" wp14:anchorId="608B196D" wp14:editId="4F0B4F2B">
          <wp:extent cx="4241994" cy="595165"/>
          <wp:effectExtent l="0" t="0" r="6350" b="0"/>
          <wp:docPr id="1696478234"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9A72B" w14:textId="77777777" w:rsidR="00E31685" w:rsidRDefault="00E31685">
      <w:r>
        <w:separator/>
      </w:r>
    </w:p>
  </w:footnote>
  <w:footnote w:type="continuationSeparator" w:id="0">
    <w:p w14:paraId="11EF8B9B" w14:textId="77777777" w:rsidR="00E31685" w:rsidRDefault="00E31685">
      <w:r>
        <w:continuationSeparator/>
      </w:r>
    </w:p>
  </w:footnote>
  <w:footnote w:type="continuationNotice" w:id="1">
    <w:p w14:paraId="6F2AAE6D" w14:textId="77777777" w:rsidR="00E31685" w:rsidRDefault="00E31685"/>
  </w:footnote>
  <w:footnote w:id="2">
    <w:p w14:paraId="22418DA8" w14:textId="77777777" w:rsidR="00C066FE" w:rsidRPr="007D048A" w:rsidRDefault="00C066FE" w:rsidP="00C066FE">
      <w:pPr>
        <w:pStyle w:val="NormalWeb"/>
        <w:spacing w:before="0" w:beforeAutospacing="0" w:after="0" w:afterAutospacing="0"/>
        <w:ind w:firstLine="708"/>
        <w:jc w:val="both"/>
        <w:rPr>
          <w:rFonts w:ascii="Arial" w:hAnsi="Arial" w:cs="Arial"/>
          <w:color w:val="000000" w:themeColor="text1"/>
          <w:sz w:val="19"/>
          <w:szCs w:val="19"/>
          <w:lang w:eastAsia="en-US"/>
        </w:rPr>
      </w:pPr>
      <w:r w:rsidRPr="007D048A">
        <w:rPr>
          <w:rStyle w:val="Refdenotaalpie"/>
          <w:rFonts w:asciiTheme="minorHAnsi" w:hAnsiTheme="minorHAnsi"/>
          <w:color w:val="000000" w:themeColor="text1"/>
          <w:sz w:val="19"/>
          <w:szCs w:val="19"/>
        </w:rPr>
        <w:footnoteRef/>
      </w:r>
      <w:r w:rsidRPr="007D048A">
        <w:rPr>
          <w:color w:val="000000" w:themeColor="text1"/>
          <w:sz w:val="19"/>
          <w:szCs w:val="19"/>
        </w:rPr>
        <w:t xml:space="preserve"> </w:t>
      </w:r>
      <w:r w:rsidRPr="007D048A">
        <w:rPr>
          <w:rFonts w:ascii="Arial" w:hAnsi="Arial" w:cs="Arial"/>
          <w:color w:val="000000" w:themeColor="text1"/>
          <w:sz w:val="19"/>
          <w:szCs w:val="19"/>
        </w:rPr>
        <w:t xml:space="preserve">Ley 789 de 2002: «Artículo 50. Control a la evasión de los recursos parafiscales. </w:t>
      </w:r>
      <w:r w:rsidRPr="007D048A">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195F2C1A" w14:textId="77777777" w:rsidR="00C066FE" w:rsidRPr="007D048A" w:rsidRDefault="00C066FE" w:rsidP="00CA20C3">
      <w:pPr>
        <w:pStyle w:val="NormalWeb"/>
        <w:spacing w:before="0" w:beforeAutospacing="0" w:after="0" w:afterAutospacing="0"/>
        <w:ind w:firstLine="708"/>
        <w:jc w:val="both"/>
        <w:rPr>
          <w:rFonts w:ascii="Arial" w:hAnsi="Arial" w:cs="Arial"/>
          <w:color w:val="000000" w:themeColor="text1"/>
          <w:sz w:val="19"/>
          <w:szCs w:val="19"/>
        </w:rPr>
      </w:pPr>
      <w:r w:rsidRPr="007D048A">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BB79F7D" w14:textId="77777777" w:rsidR="00C066FE" w:rsidRPr="007D048A" w:rsidRDefault="00C066FE" w:rsidP="00CA20C3">
      <w:pPr>
        <w:ind w:firstLine="708"/>
        <w:jc w:val="both"/>
        <w:rPr>
          <w:rFonts w:ascii="Arial" w:eastAsia="Times New Roman" w:hAnsi="Arial" w:cs="Arial"/>
          <w:color w:val="000000" w:themeColor="text1"/>
          <w:sz w:val="19"/>
          <w:szCs w:val="19"/>
          <w:lang w:val="es-CO"/>
        </w:rPr>
      </w:pPr>
      <w:r w:rsidRPr="007D048A">
        <w:rPr>
          <w:rFonts w:ascii="Arial" w:eastAsia="Times New Roman" w:hAnsi="Arial" w:cs="Arial"/>
          <w:color w:val="000000" w:themeColor="text1"/>
          <w:sz w:val="19"/>
          <w:szCs w:val="19"/>
          <w:lang w:val="es-CO"/>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6CCBC382" w14:textId="77777777" w:rsidR="00C066FE" w:rsidRPr="007D048A" w:rsidRDefault="00C066FE" w:rsidP="00CA20C3">
      <w:pPr>
        <w:ind w:firstLine="708"/>
        <w:jc w:val="both"/>
        <w:rPr>
          <w:rFonts w:ascii="Arial" w:eastAsia="Times New Roman" w:hAnsi="Arial" w:cs="Arial"/>
          <w:color w:val="000000" w:themeColor="text1"/>
          <w:sz w:val="19"/>
          <w:szCs w:val="19"/>
          <w:lang w:val="es-CO"/>
        </w:rPr>
      </w:pPr>
      <w:r w:rsidRPr="007D048A">
        <w:rPr>
          <w:rFonts w:ascii="Arial" w:eastAsia="Times New Roman" w:hAnsi="Arial" w:cs="Arial"/>
          <w:color w:val="000000" w:themeColor="text1"/>
          <w:sz w:val="19"/>
          <w:szCs w:val="19"/>
          <w:lang w:val="es-CO"/>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60184624" w14:textId="77777777" w:rsidR="00C066FE" w:rsidRPr="007D048A" w:rsidRDefault="00C066FE" w:rsidP="00C066FE">
      <w:pPr>
        <w:jc w:val="both"/>
        <w:rPr>
          <w:rFonts w:ascii="Arial" w:eastAsia="Times New Roman" w:hAnsi="Arial" w:cs="Arial"/>
          <w:color w:val="000000" w:themeColor="text1"/>
          <w:sz w:val="19"/>
          <w:szCs w:val="19"/>
          <w:lang w:val="es-CO"/>
        </w:rPr>
      </w:pPr>
    </w:p>
  </w:footnote>
  <w:footnote w:id="3">
    <w:p w14:paraId="1E47ACEB" w14:textId="77777777" w:rsidR="00C066FE" w:rsidRPr="007D048A" w:rsidRDefault="00C066FE" w:rsidP="00C066FE">
      <w:pPr>
        <w:pStyle w:val="Textoindependiente21"/>
        <w:spacing w:line="240" w:lineRule="auto"/>
        <w:ind w:left="0" w:firstLine="708"/>
        <w:rPr>
          <w:rFonts w:ascii="Arial" w:hAnsi="Arial" w:cs="Arial"/>
          <w:color w:val="000000" w:themeColor="text1"/>
          <w:sz w:val="19"/>
          <w:szCs w:val="19"/>
          <w:lang w:val="es-ES_tradnl"/>
        </w:rPr>
      </w:pPr>
      <w:r w:rsidRPr="007D048A">
        <w:rPr>
          <w:rStyle w:val="Refdenotaalpie"/>
          <w:rFonts w:asciiTheme="minorHAnsi" w:hAnsiTheme="minorHAnsi"/>
          <w:color w:val="000000" w:themeColor="text1"/>
          <w:sz w:val="19"/>
          <w:szCs w:val="19"/>
        </w:rPr>
        <w:footnoteRef/>
      </w:r>
      <w:r w:rsidRPr="007D048A">
        <w:rPr>
          <w:rFonts w:asciiTheme="minorHAnsi" w:hAnsiTheme="minorHAnsi"/>
          <w:color w:val="000000" w:themeColor="text1"/>
          <w:sz w:val="19"/>
          <w:szCs w:val="19"/>
        </w:rPr>
        <w:t xml:space="preserve"> </w:t>
      </w:r>
      <w:r w:rsidRPr="007D048A">
        <w:rPr>
          <w:rFonts w:ascii="Arial" w:hAnsi="Arial" w:cs="Arial"/>
          <w:color w:val="000000" w:themeColor="text1"/>
          <w:sz w:val="19"/>
          <w:szCs w:val="19"/>
        </w:rPr>
        <w:t>Consejo de Estado, Sección Tercera, sentencia del 8 de junio de 2011, Rad. 20001-23-31-000-2005-00409-01(AP), C.P. Enrique Gil Botero.</w:t>
      </w:r>
      <w:r w:rsidRPr="007D048A">
        <w:rPr>
          <w:color w:val="000000" w:themeColor="text1"/>
          <w:sz w:val="19"/>
          <w:szCs w:val="19"/>
        </w:rPr>
        <w:t xml:space="preserve"> </w:t>
      </w:r>
    </w:p>
    <w:p w14:paraId="3EC1850B" w14:textId="77777777" w:rsidR="00C066FE" w:rsidRPr="007D048A" w:rsidRDefault="00C066FE" w:rsidP="00C066FE">
      <w:pPr>
        <w:pStyle w:val="Textonotapie"/>
        <w:ind w:firstLine="708"/>
        <w:rPr>
          <w:rFonts w:ascii="Arial" w:hAnsi="Arial" w:cs="Arial"/>
          <w:color w:val="000000" w:themeColor="text1"/>
          <w:sz w:val="19"/>
          <w:szCs w:val="19"/>
          <w:lang w:val="es-ES_tradnl"/>
        </w:rPr>
      </w:pPr>
    </w:p>
  </w:footnote>
  <w:footnote w:id="4">
    <w:p w14:paraId="1A6D779F" w14:textId="09779184" w:rsidR="00575013" w:rsidRPr="007D048A" w:rsidRDefault="00575013" w:rsidP="00F86796">
      <w:pPr>
        <w:pStyle w:val="Textonotapie"/>
        <w:ind w:firstLine="708"/>
        <w:jc w:val="both"/>
        <w:rPr>
          <w:rFonts w:ascii="Arial" w:hAnsi="Arial" w:cs="Arial"/>
          <w:color w:val="000000" w:themeColor="text1"/>
          <w:sz w:val="19"/>
          <w:szCs w:val="19"/>
          <w:lang w:val="es-CO"/>
        </w:rPr>
      </w:pPr>
      <w:r w:rsidRPr="007D048A">
        <w:rPr>
          <w:rStyle w:val="Refdenotaalpie"/>
          <w:color w:val="000000" w:themeColor="text1"/>
          <w:sz w:val="19"/>
          <w:szCs w:val="19"/>
        </w:rPr>
        <w:footnoteRef/>
      </w:r>
      <w:r w:rsidRPr="007D048A">
        <w:rPr>
          <w:color w:val="000000" w:themeColor="text1"/>
          <w:sz w:val="19"/>
          <w:szCs w:val="19"/>
        </w:rPr>
        <w:t xml:space="preserve"> </w:t>
      </w:r>
      <w:r w:rsidRPr="007D048A">
        <w:rPr>
          <w:rFonts w:ascii="Arial" w:hAnsi="Arial" w:cs="Arial"/>
          <w:color w:val="000000" w:themeColor="text1"/>
          <w:sz w:val="19"/>
          <w:szCs w:val="19"/>
        </w:rPr>
        <w:t xml:space="preserve">Ley 797 de 2003: </w:t>
      </w:r>
      <w:r w:rsidR="005B1F24" w:rsidRPr="007D048A">
        <w:rPr>
          <w:rFonts w:ascii="Arial" w:hAnsi="Arial" w:cs="Arial"/>
          <w:color w:val="000000" w:themeColor="text1"/>
          <w:sz w:val="19"/>
          <w:szCs w:val="19"/>
        </w:rPr>
        <w:t>«</w:t>
      </w:r>
      <w:r w:rsidRPr="007D048A">
        <w:rPr>
          <w:rFonts w:ascii="Arial" w:hAnsi="Arial" w:cs="Arial"/>
          <w:bCs/>
          <w:color w:val="000000" w:themeColor="text1"/>
          <w:sz w:val="19"/>
          <w:szCs w:val="19"/>
          <w:lang w:val="es-CO"/>
        </w:rPr>
        <w:t>Artículo 3o</w:t>
      </w:r>
      <w:bookmarkStart w:id="2" w:name="3"/>
      <w:bookmarkEnd w:id="2"/>
      <w:r w:rsidRPr="007D048A">
        <w:rPr>
          <w:rFonts w:ascii="Arial" w:hAnsi="Arial" w:cs="Arial"/>
          <w:color w:val="000000" w:themeColor="text1"/>
          <w:sz w:val="19"/>
          <w:szCs w:val="19"/>
          <w:lang w:val="es-CO"/>
        </w:rPr>
        <w:t> El artículo </w:t>
      </w:r>
      <w:hyperlink r:id="rId1" w:anchor="15" w:history="1">
        <w:r w:rsidRPr="007D048A">
          <w:rPr>
            <w:rStyle w:val="Hipervnculo"/>
            <w:rFonts w:ascii="Arial" w:hAnsi="Arial" w:cs="Arial"/>
            <w:color w:val="000000" w:themeColor="text1"/>
            <w:sz w:val="19"/>
            <w:szCs w:val="19"/>
            <w:u w:val="none"/>
            <w:lang w:val="es-CO"/>
          </w:rPr>
          <w:t>15</w:t>
        </w:r>
      </w:hyperlink>
      <w:r w:rsidRPr="007D048A">
        <w:rPr>
          <w:rFonts w:ascii="Arial" w:hAnsi="Arial" w:cs="Arial"/>
          <w:color w:val="000000" w:themeColor="text1"/>
          <w:sz w:val="19"/>
          <w:szCs w:val="19"/>
          <w:lang w:val="es-CO"/>
        </w:rPr>
        <w:t> de la Ley 100 de 1993, quedará así:</w:t>
      </w:r>
    </w:p>
    <w:p w14:paraId="7492C934" w14:textId="77777777" w:rsidR="00575013" w:rsidRPr="007D048A" w:rsidRDefault="00575013" w:rsidP="00F86796">
      <w:pPr>
        <w:pStyle w:val="Textonotapie"/>
        <w:jc w:val="both"/>
        <w:rPr>
          <w:rFonts w:ascii="Arial" w:hAnsi="Arial" w:cs="Arial"/>
          <w:color w:val="000000" w:themeColor="text1"/>
          <w:sz w:val="19"/>
          <w:szCs w:val="19"/>
          <w:lang w:val="es-CO"/>
        </w:rPr>
      </w:pPr>
    </w:p>
    <w:p w14:paraId="3E3DC3CE" w14:textId="6F384F83" w:rsidR="00575013" w:rsidRPr="007D048A" w:rsidRDefault="002D3467" w:rsidP="0082676C">
      <w:pPr>
        <w:pStyle w:val="Textonotapie"/>
        <w:ind w:firstLine="708"/>
        <w:jc w:val="both"/>
        <w:rPr>
          <w:rFonts w:ascii="Arial" w:hAnsi="Arial" w:cs="Arial"/>
          <w:color w:val="000000" w:themeColor="text1"/>
          <w:sz w:val="19"/>
          <w:szCs w:val="19"/>
          <w:lang w:val="es-CO"/>
        </w:rPr>
      </w:pPr>
      <w:r w:rsidRPr="007D048A">
        <w:rPr>
          <w:rFonts w:ascii="Arial" w:hAnsi="Arial" w:cs="Arial"/>
          <w:color w:val="000000" w:themeColor="text1"/>
          <w:sz w:val="19"/>
          <w:szCs w:val="19"/>
          <w:lang w:val="es-CO"/>
        </w:rPr>
        <w:t>»Artículo</w:t>
      </w:r>
      <w:r w:rsidR="00575013" w:rsidRPr="007D048A">
        <w:rPr>
          <w:rFonts w:ascii="Arial" w:hAnsi="Arial" w:cs="Arial"/>
          <w:color w:val="000000" w:themeColor="text1"/>
          <w:sz w:val="19"/>
          <w:szCs w:val="19"/>
          <w:lang w:val="es-CO"/>
        </w:rPr>
        <w:t xml:space="preserve"> 15. Afiliados. Serán afiliados al Sistema General de Pensiones:</w:t>
      </w:r>
    </w:p>
    <w:p w14:paraId="6BCDB184" w14:textId="0A082966" w:rsidR="00575013" w:rsidRPr="007D048A" w:rsidRDefault="005B1F24" w:rsidP="0082676C">
      <w:pPr>
        <w:pStyle w:val="Textonotapie"/>
        <w:ind w:firstLine="708"/>
        <w:jc w:val="both"/>
        <w:rPr>
          <w:rFonts w:ascii="Arial" w:hAnsi="Arial" w:cs="Arial"/>
          <w:color w:val="000000" w:themeColor="text1"/>
          <w:sz w:val="19"/>
          <w:szCs w:val="19"/>
          <w:lang w:val="es-CO"/>
        </w:rPr>
      </w:pPr>
      <w:r w:rsidRPr="007D048A">
        <w:rPr>
          <w:rFonts w:ascii="Arial" w:hAnsi="Arial" w:cs="Arial"/>
          <w:color w:val="000000" w:themeColor="text1"/>
          <w:sz w:val="19"/>
          <w:szCs w:val="19"/>
          <w:lang w:val="es-CO"/>
        </w:rPr>
        <w:t>»</w:t>
      </w:r>
      <w:r w:rsidR="00575013" w:rsidRPr="007D048A">
        <w:rPr>
          <w:rFonts w:ascii="Arial" w:hAnsi="Arial" w:cs="Arial"/>
          <w:color w:val="000000" w:themeColor="text1"/>
          <w:sz w:val="19"/>
          <w:szCs w:val="19"/>
          <w:lang w:val="es-CO"/>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r w:rsidR="002D3467" w:rsidRPr="007D048A">
        <w:rPr>
          <w:rFonts w:ascii="Arial" w:hAnsi="Arial" w:cs="Arial"/>
          <w:color w:val="000000" w:themeColor="text1"/>
          <w:sz w:val="19"/>
          <w:szCs w:val="19"/>
          <w:lang w:val="es-CO"/>
        </w:rPr>
        <w:t>»</w:t>
      </w:r>
      <w:r w:rsidR="00575013" w:rsidRPr="007D048A">
        <w:rPr>
          <w:rFonts w:ascii="Arial" w:hAnsi="Arial" w:cs="Arial"/>
          <w:color w:val="000000" w:themeColor="text1"/>
          <w:sz w:val="19"/>
          <w:szCs w:val="19"/>
          <w:lang w:val="es-CO"/>
        </w:rPr>
        <w:t>.</w:t>
      </w:r>
    </w:p>
    <w:p w14:paraId="4D2014B5" w14:textId="77777777" w:rsidR="00575013" w:rsidRPr="007D048A" w:rsidRDefault="00575013" w:rsidP="00F86796">
      <w:pPr>
        <w:pStyle w:val="Textonotapie"/>
        <w:rPr>
          <w:color w:val="000000" w:themeColor="text1"/>
          <w:sz w:val="19"/>
          <w:szCs w:val="19"/>
          <w:lang w:val="es-CO"/>
        </w:rPr>
      </w:pPr>
    </w:p>
  </w:footnote>
  <w:footnote w:id="5">
    <w:p w14:paraId="62C7320D" w14:textId="102681B2" w:rsidR="00575013" w:rsidRPr="007D048A" w:rsidRDefault="00575013" w:rsidP="00F86796">
      <w:pPr>
        <w:pStyle w:val="Textonotapie"/>
        <w:ind w:firstLine="708"/>
        <w:jc w:val="both"/>
        <w:rPr>
          <w:rFonts w:ascii="Arial" w:hAnsi="Arial" w:cs="Arial"/>
          <w:color w:val="000000" w:themeColor="text1"/>
          <w:sz w:val="19"/>
          <w:szCs w:val="19"/>
        </w:rPr>
      </w:pPr>
      <w:r w:rsidRPr="007D048A">
        <w:rPr>
          <w:rStyle w:val="Refdenotaalpie"/>
          <w:color w:val="000000" w:themeColor="text1"/>
          <w:sz w:val="19"/>
          <w:szCs w:val="19"/>
        </w:rPr>
        <w:footnoteRef/>
      </w:r>
      <w:r w:rsidRPr="007D048A">
        <w:rPr>
          <w:color w:val="000000" w:themeColor="text1"/>
          <w:sz w:val="19"/>
          <w:szCs w:val="19"/>
        </w:rPr>
        <w:t xml:space="preserve"> </w:t>
      </w:r>
      <w:bookmarkStart w:id="3" w:name="4"/>
      <w:r w:rsidRPr="007D048A">
        <w:rPr>
          <w:rFonts w:ascii="Arial" w:hAnsi="Arial" w:cs="Arial"/>
          <w:color w:val="000000" w:themeColor="text1"/>
          <w:sz w:val="19"/>
          <w:szCs w:val="19"/>
        </w:rPr>
        <w:t xml:space="preserve">Ley 797 de 2003: </w:t>
      </w:r>
      <w:r w:rsidR="002D3467" w:rsidRPr="007D048A">
        <w:rPr>
          <w:rFonts w:ascii="Arial" w:hAnsi="Arial" w:cs="Arial"/>
          <w:color w:val="000000" w:themeColor="text1"/>
          <w:sz w:val="19"/>
          <w:szCs w:val="19"/>
        </w:rPr>
        <w:t>«</w:t>
      </w:r>
      <w:r w:rsidRPr="007D048A">
        <w:rPr>
          <w:rFonts w:ascii="Arial" w:hAnsi="Arial" w:cs="Arial"/>
          <w:color w:val="000000" w:themeColor="text1"/>
          <w:sz w:val="19"/>
          <w:szCs w:val="19"/>
        </w:rPr>
        <w:t>Artículo 4.</w:t>
      </w:r>
      <w:bookmarkEnd w:id="3"/>
      <w:r w:rsidRPr="007D048A">
        <w:rPr>
          <w:rFonts w:ascii="Arial" w:hAnsi="Arial" w:cs="Arial"/>
          <w:color w:val="000000" w:themeColor="text1"/>
          <w:sz w:val="19"/>
          <w:szCs w:val="19"/>
        </w:rPr>
        <w:t> El artículo </w:t>
      </w:r>
      <w:hyperlink r:id="rId2" w:anchor="17" w:history="1">
        <w:r w:rsidRPr="007D048A">
          <w:rPr>
            <w:rStyle w:val="Hipervnculo"/>
            <w:rFonts w:ascii="Arial" w:hAnsi="Arial" w:cs="Arial"/>
            <w:color w:val="000000" w:themeColor="text1"/>
            <w:sz w:val="19"/>
            <w:szCs w:val="19"/>
          </w:rPr>
          <w:t>17</w:t>
        </w:r>
      </w:hyperlink>
      <w:r w:rsidRPr="007D048A">
        <w:rPr>
          <w:rFonts w:ascii="Arial" w:hAnsi="Arial" w:cs="Arial"/>
          <w:color w:val="000000" w:themeColor="text1"/>
          <w:sz w:val="19"/>
          <w:szCs w:val="19"/>
        </w:rPr>
        <w:t> de la Ley 100 de 1993 quedará así:</w:t>
      </w:r>
    </w:p>
    <w:p w14:paraId="0ED815CF" w14:textId="77777777" w:rsidR="00575013" w:rsidRPr="007D048A" w:rsidRDefault="00575013" w:rsidP="00F86796">
      <w:pPr>
        <w:pStyle w:val="Textonotapie"/>
        <w:jc w:val="both"/>
        <w:rPr>
          <w:rFonts w:ascii="Arial" w:hAnsi="Arial" w:cs="Arial"/>
          <w:color w:val="000000" w:themeColor="text1"/>
          <w:sz w:val="19"/>
          <w:szCs w:val="19"/>
        </w:rPr>
      </w:pPr>
    </w:p>
    <w:p w14:paraId="12C96E0F" w14:textId="296EF2E4" w:rsidR="00575013" w:rsidRPr="007D048A" w:rsidRDefault="002D3467" w:rsidP="0082676C">
      <w:pPr>
        <w:pStyle w:val="Textonotapie"/>
        <w:ind w:firstLine="708"/>
        <w:jc w:val="both"/>
        <w:rPr>
          <w:rFonts w:ascii="Arial" w:hAnsi="Arial" w:cs="Arial"/>
          <w:color w:val="000000" w:themeColor="text1"/>
          <w:sz w:val="19"/>
          <w:szCs w:val="19"/>
        </w:rPr>
      </w:pPr>
      <w:r w:rsidRPr="007D048A">
        <w:rPr>
          <w:rFonts w:ascii="Arial" w:hAnsi="Arial" w:cs="Arial"/>
          <w:color w:val="000000" w:themeColor="text1"/>
          <w:sz w:val="19"/>
          <w:szCs w:val="19"/>
        </w:rPr>
        <w:t>»</w:t>
      </w:r>
      <w:r w:rsidR="00575013" w:rsidRPr="007D048A">
        <w:rPr>
          <w:rFonts w:ascii="Arial" w:hAnsi="Arial" w:cs="Arial"/>
          <w:color w:val="000000" w:themeColor="text1"/>
          <w:sz w:val="19"/>
          <w:szCs w:val="19"/>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14:paraId="548FF058" w14:textId="181BBEC8" w:rsidR="00575013" w:rsidRPr="007D048A" w:rsidRDefault="002D3467" w:rsidP="0082676C">
      <w:pPr>
        <w:pStyle w:val="NormalWeb"/>
        <w:spacing w:before="0" w:beforeAutospacing="0" w:after="0" w:afterAutospacing="0"/>
        <w:ind w:firstLine="708"/>
        <w:jc w:val="both"/>
        <w:rPr>
          <w:rFonts w:ascii="Arial" w:eastAsiaTheme="minorHAnsi" w:hAnsi="Arial" w:cs="Arial"/>
          <w:color w:val="000000" w:themeColor="text1"/>
          <w:sz w:val="19"/>
          <w:szCs w:val="19"/>
          <w:lang w:eastAsia="en-US"/>
        </w:rPr>
      </w:pPr>
      <w:r w:rsidRPr="007D048A">
        <w:rPr>
          <w:rFonts w:ascii="Arial" w:eastAsiaTheme="minorHAnsi" w:hAnsi="Arial" w:cs="Arial"/>
          <w:color w:val="000000" w:themeColor="text1"/>
          <w:sz w:val="19"/>
          <w:szCs w:val="19"/>
          <w:lang w:eastAsia="en-US"/>
        </w:rPr>
        <w:t>»</w:t>
      </w:r>
      <w:r w:rsidR="00575013" w:rsidRPr="007D048A">
        <w:rPr>
          <w:rFonts w:ascii="Arial" w:eastAsiaTheme="minorHAnsi" w:hAnsi="Arial" w:cs="Arial"/>
          <w:color w:val="000000" w:themeColor="text1"/>
          <w:sz w:val="19"/>
          <w:szCs w:val="19"/>
          <w:lang w:eastAsia="en-US"/>
        </w:rPr>
        <w:t>La obligación de cotizar cesa al momento en que el afiliado reúna los requisitos para acceder a la pensión mínima de vejez, o cuando el afiliado se pensione por invalidez o anticipadamente</w:t>
      </w:r>
      <w:r w:rsidRPr="007D048A">
        <w:rPr>
          <w:rFonts w:ascii="Arial" w:eastAsiaTheme="minorHAnsi" w:hAnsi="Arial" w:cs="Arial"/>
          <w:color w:val="000000" w:themeColor="text1"/>
          <w:sz w:val="19"/>
          <w:szCs w:val="19"/>
          <w:lang w:eastAsia="en-US"/>
        </w:rPr>
        <w:t>»</w:t>
      </w:r>
      <w:r w:rsidR="00575013" w:rsidRPr="007D048A">
        <w:rPr>
          <w:rFonts w:ascii="Arial" w:eastAsiaTheme="minorHAnsi" w:hAnsi="Arial" w:cs="Arial"/>
          <w:color w:val="000000" w:themeColor="text1"/>
          <w:sz w:val="19"/>
          <w:szCs w:val="19"/>
          <w:lang w:eastAsia="en-US"/>
        </w:rPr>
        <w:t>.</w:t>
      </w:r>
    </w:p>
  </w:footnote>
  <w:footnote w:id="6">
    <w:p w14:paraId="310430F8" w14:textId="2B704F97" w:rsidR="00575013" w:rsidRPr="007D048A" w:rsidRDefault="00575013" w:rsidP="00F86796">
      <w:pPr>
        <w:pStyle w:val="Textonotapie"/>
        <w:ind w:firstLine="708"/>
        <w:jc w:val="both"/>
        <w:rPr>
          <w:color w:val="000000" w:themeColor="text1"/>
          <w:sz w:val="19"/>
          <w:szCs w:val="19"/>
          <w:lang w:val="es-CO"/>
        </w:rPr>
      </w:pPr>
      <w:r w:rsidRPr="007D048A">
        <w:rPr>
          <w:rStyle w:val="Refdenotaalpie"/>
          <w:color w:val="000000" w:themeColor="text1"/>
          <w:sz w:val="19"/>
          <w:szCs w:val="19"/>
        </w:rPr>
        <w:footnoteRef/>
      </w:r>
      <w:r w:rsidRPr="007D048A">
        <w:rPr>
          <w:color w:val="000000" w:themeColor="text1"/>
          <w:sz w:val="19"/>
          <w:szCs w:val="19"/>
        </w:rPr>
        <w:t xml:space="preserve"> </w:t>
      </w:r>
      <w:r w:rsidRPr="007D048A">
        <w:rPr>
          <w:rFonts w:ascii="Arial" w:hAnsi="Arial" w:cs="Arial"/>
          <w:color w:val="000000" w:themeColor="text1"/>
          <w:sz w:val="19"/>
          <w:szCs w:val="19"/>
          <w:lang w:val="es-CO"/>
        </w:rPr>
        <w:t xml:space="preserve">Decreto 780 de 2016: </w:t>
      </w:r>
      <w:r w:rsidR="002D3467" w:rsidRPr="007D048A">
        <w:rPr>
          <w:rFonts w:ascii="Arial" w:hAnsi="Arial" w:cs="Arial"/>
          <w:color w:val="000000" w:themeColor="text1"/>
          <w:sz w:val="19"/>
          <w:szCs w:val="19"/>
          <w:lang w:val="es-CO"/>
        </w:rPr>
        <w:t>«</w:t>
      </w:r>
      <w:r w:rsidRPr="007D048A">
        <w:rPr>
          <w:rFonts w:ascii="Arial" w:hAnsi="Arial" w:cs="Arial"/>
          <w:color w:val="000000" w:themeColor="text1"/>
          <w:sz w:val="19"/>
          <w:szCs w:val="19"/>
          <w:lang w:val="es-CO"/>
        </w:rPr>
        <w:t>Artículo 2.1.4.1 Afiliados al régimen contributivo. “Pertenecerán al Régimen Contributivo del Sistema General de Seguridad Social en Salud:</w:t>
      </w:r>
      <w:r w:rsidRPr="007D048A">
        <w:rPr>
          <w:color w:val="000000" w:themeColor="text1"/>
          <w:sz w:val="19"/>
          <w:szCs w:val="19"/>
          <w:lang w:val="es-CO"/>
        </w:rPr>
        <w:t> </w:t>
      </w:r>
    </w:p>
    <w:p w14:paraId="08D75B23" w14:textId="6A34561A" w:rsidR="00575013" w:rsidRPr="007D048A" w:rsidRDefault="002D3467" w:rsidP="00F86796">
      <w:pPr>
        <w:pStyle w:val="Textonotapie"/>
        <w:jc w:val="both"/>
        <w:rPr>
          <w:color w:val="000000" w:themeColor="text1"/>
          <w:sz w:val="19"/>
          <w:szCs w:val="19"/>
          <w:lang w:val="es-CO"/>
        </w:rPr>
      </w:pPr>
      <w:r w:rsidRPr="007D048A">
        <w:rPr>
          <w:color w:val="000000" w:themeColor="text1"/>
          <w:sz w:val="19"/>
          <w:szCs w:val="19"/>
          <w:lang w:val="es-CO"/>
        </w:rPr>
        <w:t>[</w:t>
      </w:r>
      <w:r w:rsidR="00575013" w:rsidRPr="007D048A">
        <w:rPr>
          <w:color w:val="000000" w:themeColor="text1"/>
          <w:sz w:val="19"/>
          <w:szCs w:val="19"/>
          <w:lang w:val="es-CO"/>
        </w:rPr>
        <w:t>…</w:t>
      </w:r>
      <w:r w:rsidRPr="007D048A">
        <w:rPr>
          <w:color w:val="000000" w:themeColor="text1"/>
          <w:sz w:val="19"/>
          <w:szCs w:val="19"/>
          <w:lang w:val="es-CO"/>
        </w:rPr>
        <w:t>]</w:t>
      </w:r>
    </w:p>
    <w:p w14:paraId="48CFF44D" w14:textId="3B55E7CC" w:rsidR="00575013" w:rsidRPr="007D048A" w:rsidRDefault="002D3467" w:rsidP="0082676C">
      <w:pPr>
        <w:pStyle w:val="Textonotapie"/>
        <w:ind w:firstLine="708"/>
        <w:jc w:val="both"/>
        <w:rPr>
          <w:rFonts w:ascii="Arial" w:hAnsi="Arial" w:cs="Arial"/>
          <w:color w:val="000000" w:themeColor="text1"/>
          <w:sz w:val="19"/>
          <w:szCs w:val="19"/>
          <w:lang w:val="es-CO"/>
        </w:rPr>
      </w:pPr>
      <w:r w:rsidRPr="007D048A">
        <w:rPr>
          <w:rFonts w:ascii="Arial" w:hAnsi="Arial" w:cs="Arial"/>
          <w:color w:val="000000" w:themeColor="text1"/>
          <w:sz w:val="19"/>
          <w:szCs w:val="19"/>
        </w:rPr>
        <w:t>«</w:t>
      </w:r>
      <w:r w:rsidR="00575013" w:rsidRPr="007D048A">
        <w:rPr>
          <w:rFonts w:ascii="Arial" w:hAnsi="Arial" w:cs="Arial"/>
          <w:color w:val="000000" w:themeColor="text1"/>
          <w:sz w:val="19"/>
          <w:szCs w:val="19"/>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 vigente</w:t>
      </w:r>
      <w:r w:rsidRPr="007D048A">
        <w:rPr>
          <w:rFonts w:ascii="Arial" w:hAnsi="Arial" w:cs="Arial"/>
          <w:color w:val="000000" w:themeColor="text1"/>
          <w:sz w:val="19"/>
          <w:szCs w:val="19"/>
        </w:rPr>
        <w:t>»</w:t>
      </w:r>
      <w:r w:rsidR="00575013" w:rsidRPr="007D048A">
        <w:rPr>
          <w:rFonts w:ascii="Arial" w:hAnsi="Arial" w:cs="Arial"/>
          <w:color w:val="000000" w:themeColor="text1"/>
          <w:sz w:val="19"/>
          <w:szCs w:val="19"/>
        </w:rPr>
        <w:t>.</w:t>
      </w:r>
    </w:p>
    <w:p w14:paraId="6CDC1CB7" w14:textId="77777777" w:rsidR="00575013" w:rsidRPr="007D048A" w:rsidRDefault="00575013" w:rsidP="00F86796">
      <w:pPr>
        <w:pStyle w:val="Textonotapie"/>
        <w:ind w:firstLine="708"/>
        <w:jc w:val="both"/>
        <w:rPr>
          <w:color w:val="000000" w:themeColor="text1"/>
          <w:sz w:val="19"/>
          <w:szCs w:val="19"/>
          <w:lang w:val="es-CO"/>
        </w:rPr>
      </w:pPr>
    </w:p>
  </w:footnote>
  <w:footnote w:id="7">
    <w:p w14:paraId="38D0469E"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9"/>
          <w:szCs w:val="19"/>
          <w:lang w:val="es-CO"/>
        </w:rPr>
        <w:t xml:space="preserve">Ley 1753 de 2015: «Artículo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 </w:t>
      </w:r>
    </w:p>
    <w:p w14:paraId="2931FDDB"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 </w:t>
      </w:r>
    </w:p>
    <w:p w14:paraId="7DE487F5"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 </w:t>
      </w:r>
    </w:p>
    <w:p w14:paraId="4340B432" w14:textId="77777777" w:rsidR="00C066FE" w:rsidRPr="007D048A" w:rsidRDefault="00C066FE" w:rsidP="00C066FE">
      <w:pPr>
        <w:pStyle w:val="Textonotapie"/>
        <w:ind w:firstLine="708"/>
        <w:jc w:val="both"/>
        <w:rPr>
          <w:rFonts w:ascii="Arial" w:eastAsia="Times New Roman" w:hAnsi="Arial" w:cs="Arial"/>
          <w:color w:val="000000" w:themeColor="text1"/>
          <w:sz w:val="19"/>
          <w:szCs w:val="19"/>
          <w:lang w:val="es-CO"/>
        </w:rPr>
      </w:pPr>
      <w:r w:rsidRPr="007D048A">
        <w:rPr>
          <w:rFonts w:ascii="Arial" w:eastAsia="Times New Roman" w:hAnsi="Arial" w:cs="Arial"/>
          <w:color w:val="000000" w:themeColor="text1"/>
          <w:sz w:val="19"/>
          <w:szCs w:val="19"/>
          <w:lang w:val="es-CO"/>
        </w:rPr>
        <w:t xml:space="preserve">»Cuando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  </w:t>
      </w:r>
    </w:p>
    <w:p w14:paraId="244DB51D" w14:textId="77777777" w:rsidR="00C066FE" w:rsidRPr="007D048A" w:rsidRDefault="00C066FE" w:rsidP="00C066FE">
      <w:pPr>
        <w:pStyle w:val="Textonotapie"/>
        <w:ind w:firstLine="708"/>
        <w:rPr>
          <w:color w:val="000000" w:themeColor="text1"/>
          <w:lang w:val="es-ES"/>
        </w:rPr>
      </w:pPr>
    </w:p>
  </w:footnote>
  <w:footnote w:id="8">
    <w:p w14:paraId="5429CFEF"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9"/>
          <w:szCs w:val="19"/>
          <w:lang w:val="es-CO"/>
        </w:rPr>
        <w:t xml:space="preserve">Decreto 1273 de 2018: «Artículo 2.2.1.1.1.7 Pago de cotizaciones de los trabajadores independientes al Sistema de Seguridad Social Integral. 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 </w:t>
      </w:r>
    </w:p>
    <w:p w14:paraId="631AD8B7" w14:textId="77777777" w:rsidR="00C066FE" w:rsidRPr="007D048A" w:rsidRDefault="00C066FE" w:rsidP="00C066FE">
      <w:pPr>
        <w:pStyle w:val="Textonotapie"/>
        <w:ind w:firstLine="708"/>
        <w:jc w:val="both"/>
        <w:rPr>
          <w:color w:val="000000" w:themeColor="text1"/>
          <w:lang w:val="es-ES"/>
        </w:rPr>
      </w:pPr>
      <w:r w:rsidRPr="007D048A">
        <w:rPr>
          <w:rFonts w:ascii="Arial" w:eastAsia="Times New Roman" w:hAnsi="Arial" w:cs="Arial"/>
          <w:color w:val="000000" w:themeColor="text1"/>
          <w:sz w:val="19"/>
          <w:szCs w:val="19"/>
          <w:lang w:val="es-CO"/>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r w:rsidRPr="007D048A">
        <w:rPr>
          <w:color w:val="000000" w:themeColor="text1"/>
          <w:sz w:val="19"/>
          <w:szCs w:val="19"/>
        </w:rPr>
        <w:t xml:space="preserve"> </w:t>
      </w:r>
      <w:r w:rsidRPr="007D048A">
        <w:rPr>
          <w:color w:val="000000" w:themeColor="text1"/>
        </w:rPr>
        <w:t xml:space="preserve"> </w:t>
      </w:r>
    </w:p>
  </w:footnote>
  <w:footnote w:id="9">
    <w:p w14:paraId="17F8DCF8"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9"/>
          <w:szCs w:val="19"/>
          <w:lang w:val="es-CO"/>
        </w:rPr>
        <w:t xml:space="preserve">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 </w:t>
      </w:r>
    </w:p>
    <w:p w14:paraId="4141CC91"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 </w:t>
      </w:r>
    </w:p>
    <w:p w14:paraId="1451B28A"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»El Gobierno nacional reglamentará el mecanismo para realizar la mensualización de que trata el presente artículo. </w:t>
      </w:r>
    </w:p>
    <w:p w14:paraId="1D3B2623"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 </w:t>
      </w:r>
    </w:p>
    <w:p w14:paraId="0132C391" w14:textId="77777777" w:rsidR="00C066FE" w:rsidRPr="007D048A" w:rsidRDefault="00C066FE" w:rsidP="00C066FE">
      <w:pPr>
        <w:pStyle w:val="Textonotapie"/>
        <w:ind w:firstLine="708"/>
        <w:jc w:val="both"/>
        <w:rPr>
          <w:rFonts w:ascii="Arial" w:eastAsia="Times New Roman" w:hAnsi="Arial" w:cs="Arial"/>
          <w:color w:val="000000" w:themeColor="text1"/>
          <w:sz w:val="19"/>
          <w:szCs w:val="19"/>
          <w:lang w:val="es-CO"/>
        </w:rPr>
      </w:pPr>
      <w:r w:rsidRPr="007D048A">
        <w:rPr>
          <w:rFonts w:ascii="Arial" w:eastAsia="Times New Roman" w:hAnsi="Arial" w:cs="Arial"/>
          <w:color w:val="000000" w:themeColor="text1"/>
          <w:sz w:val="19"/>
          <w:szCs w:val="19"/>
          <w:lang w:val="es-CO"/>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  </w:t>
      </w:r>
    </w:p>
    <w:p w14:paraId="138543A8" w14:textId="77777777" w:rsidR="00C066FE" w:rsidRPr="007D048A" w:rsidRDefault="00C066FE" w:rsidP="00C066FE">
      <w:pPr>
        <w:pStyle w:val="Textonotapie"/>
        <w:ind w:firstLine="708"/>
        <w:rPr>
          <w:color w:val="000000" w:themeColor="text1"/>
          <w:lang w:val="es-ES"/>
        </w:rPr>
      </w:pPr>
      <w:r w:rsidRPr="007D048A">
        <w:rPr>
          <w:color w:val="000000" w:themeColor="text1"/>
        </w:rPr>
        <w:t xml:space="preserve"> </w:t>
      </w:r>
    </w:p>
  </w:footnote>
  <w:footnote w:id="10">
    <w:p w14:paraId="7A813D6D" w14:textId="77777777" w:rsidR="00C066FE" w:rsidRPr="007D048A" w:rsidRDefault="00C066FE" w:rsidP="00C066FE">
      <w:pPr>
        <w:pStyle w:val="Default"/>
        <w:ind w:firstLine="708"/>
        <w:jc w:val="both"/>
        <w:rPr>
          <w:rFonts w:eastAsia="Times New Roman"/>
          <w:color w:val="000000" w:themeColor="text1"/>
          <w:sz w:val="18"/>
          <w:szCs w:val="18"/>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8"/>
          <w:szCs w:val="18"/>
          <w:lang w:val="es-CO"/>
        </w:rPr>
        <w:t xml:space="preserve">En efecto, el artículo 1608 del Código Civil prevé lo siguiente: «El deudor está en mora: </w:t>
      </w:r>
    </w:p>
    <w:p w14:paraId="4B1E692F" w14:textId="77777777" w:rsidR="00C066FE" w:rsidRPr="007D048A" w:rsidRDefault="00C066FE" w:rsidP="00C066FE">
      <w:pPr>
        <w:pStyle w:val="Default"/>
        <w:jc w:val="both"/>
        <w:rPr>
          <w:rFonts w:eastAsia="Times New Roman"/>
          <w:color w:val="000000" w:themeColor="text1"/>
          <w:sz w:val="18"/>
          <w:szCs w:val="18"/>
          <w:lang w:val="es-CO"/>
        </w:rPr>
      </w:pPr>
      <w:r w:rsidRPr="007D048A">
        <w:rPr>
          <w:rFonts w:eastAsia="Times New Roman"/>
          <w:color w:val="000000" w:themeColor="text1"/>
          <w:sz w:val="18"/>
          <w:szCs w:val="18"/>
          <w:lang w:val="es-CO"/>
        </w:rPr>
        <w:t xml:space="preserve">1° Cuando no ha cumplido la obligación dentro del término estipulado; salvo que la ley, en casos especiales, exija que se requiera al deudor para constituirlo en mora. </w:t>
      </w:r>
    </w:p>
    <w:p w14:paraId="68B60591" w14:textId="77777777" w:rsidR="00C066FE" w:rsidRPr="007D048A" w:rsidRDefault="00C066FE" w:rsidP="00C066FE">
      <w:pPr>
        <w:pStyle w:val="Default"/>
        <w:jc w:val="both"/>
        <w:rPr>
          <w:rFonts w:eastAsia="Times New Roman"/>
          <w:color w:val="000000" w:themeColor="text1"/>
          <w:sz w:val="18"/>
          <w:szCs w:val="18"/>
          <w:lang w:val="es-CO"/>
        </w:rPr>
      </w:pPr>
      <w:r w:rsidRPr="007D048A">
        <w:rPr>
          <w:rFonts w:eastAsia="Times New Roman"/>
          <w:color w:val="000000" w:themeColor="text1"/>
          <w:sz w:val="18"/>
          <w:szCs w:val="18"/>
          <w:lang w:val="es-CO"/>
        </w:rPr>
        <w:t xml:space="preserve">2° Cuando la cosa no ha podido ser dada o ejecutada sino dentro de cierto tiempo y el deudor lo ha dejado pasar sin darla o ejecutarla. </w:t>
      </w:r>
    </w:p>
    <w:p w14:paraId="2A006F2F" w14:textId="77777777" w:rsidR="00C066FE" w:rsidRPr="007D048A" w:rsidRDefault="00C066FE" w:rsidP="00C066FE">
      <w:pPr>
        <w:pStyle w:val="Textonotapie"/>
        <w:ind w:firstLine="708"/>
        <w:jc w:val="both"/>
        <w:rPr>
          <w:rFonts w:ascii="Arial" w:eastAsia="Times New Roman" w:hAnsi="Arial" w:cs="Arial"/>
          <w:color w:val="000000" w:themeColor="text1"/>
          <w:sz w:val="18"/>
          <w:szCs w:val="18"/>
          <w:lang w:val="es-CO"/>
        </w:rPr>
      </w:pPr>
      <w:r w:rsidRPr="007D048A">
        <w:rPr>
          <w:rFonts w:ascii="Arial" w:eastAsia="Times New Roman" w:hAnsi="Arial" w:cs="Arial"/>
          <w:color w:val="000000" w:themeColor="text1"/>
          <w:sz w:val="18"/>
          <w:szCs w:val="18"/>
          <w:lang w:val="es-CO"/>
        </w:rPr>
        <w:t xml:space="preserve">3° En los demás casos, cuando el deudor ha sido judicialmente reconvenido por el acreedor» (cursivas fuera de texto).  </w:t>
      </w:r>
    </w:p>
    <w:p w14:paraId="6DB619F1" w14:textId="77777777" w:rsidR="00C066FE" w:rsidRPr="007D048A" w:rsidRDefault="00C066FE" w:rsidP="00C066FE">
      <w:pPr>
        <w:pStyle w:val="Textonotapie"/>
        <w:rPr>
          <w:color w:val="000000" w:themeColor="text1"/>
          <w:lang w:val="es-ES"/>
        </w:rPr>
      </w:pPr>
    </w:p>
  </w:footnote>
  <w:footnote w:id="11">
    <w:p w14:paraId="7E0E1168" w14:textId="77777777" w:rsidR="00C066FE" w:rsidRPr="007D048A" w:rsidRDefault="00C066FE" w:rsidP="00C066FE">
      <w:pPr>
        <w:pStyle w:val="Textonotapie"/>
        <w:ind w:firstLine="708"/>
        <w:jc w:val="both"/>
        <w:rPr>
          <w:color w:val="000000" w:themeColor="text1"/>
          <w:lang w:val="es-ES"/>
        </w:rPr>
      </w:pPr>
      <w:r w:rsidRPr="007D048A">
        <w:rPr>
          <w:rStyle w:val="Refdenotaalpie"/>
          <w:color w:val="000000" w:themeColor="text1"/>
        </w:rPr>
        <w:footnoteRef/>
      </w:r>
      <w:r w:rsidRPr="007D048A">
        <w:rPr>
          <w:color w:val="000000" w:themeColor="text1"/>
        </w:rPr>
        <w:t xml:space="preserve"> </w:t>
      </w:r>
      <w:r w:rsidRPr="007D048A">
        <w:rPr>
          <w:rFonts w:ascii="Arial" w:eastAsia="Times New Roman" w:hAnsi="Arial" w:cs="Arial"/>
          <w:color w:val="000000" w:themeColor="text1"/>
          <w:sz w:val="18"/>
          <w:szCs w:val="18"/>
          <w:lang w:val="es-CO"/>
        </w:rPr>
        <w:t>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w:t>
      </w:r>
      <w:r w:rsidRPr="007D048A">
        <w:rPr>
          <w:color w:val="000000" w:themeColor="text1"/>
        </w:rPr>
        <w:t xml:space="preserve">  </w:t>
      </w:r>
    </w:p>
  </w:footnote>
  <w:footnote w:id="12">
    <w:p w14:paraId="7CBEC17B" w14:textId="77777777" w:rsidR="00C066FE" w:rsidRPr="007D048A" w:rsidRDefault="00C066FE" w:rsidP="00C066FE">
      <w:pPr>
        <w:pStyle w:val="Textonotapie"/>
        <w:ind w:firstLine="708"/>
        <w:jc w:val="both"/>
        <w:rPr>
          <w:color w:val="000000" w:themeColor="text1"/>
          <w:lang w:val="es-ES"/>
        </w:rPr>
      </w:pPr>
      <w:r w:rsidRPr="007D048A">
        <w:rPr>
          <w:rStyle w:val="Refdenotaalpie"/>
          <w:color w:val="000000" w:themeColor="text1"/>
        </w:rPr>
        <w:footnoteRef/>
      </w:r>
      <w:r w:rsidRPr="007D048A">
        <w:rPr>
          <w:color w:val="000000" w:themeColor="text1"/>
        </w:rPr>
        <w:t xml:space="preserve"> </w:t>
      </w:r>
      <w:r w:rsidRPr="007D048A">
        <w:rPr>
          <w:rFonts w:ascii="Arial" w:eastAsia="Times New Roman" w:hAnsi="Arial" w:cs="Arial"/>
          <w:color w:val="000000" w:themeColor="text1"/>
          <w:sz w:val="18"/>
          <w:szCs w:val="18"/>
          <w:lang w:val="es-CO"/>
        </w:rPr>
        <w:t>Ministerio de Salud. Concepto del 28 de octubre de 2019. Radicado 201911601443771.</w:t>
      </w:r>
      <w:r w:rsidRPr="007D048A">
        <w:rPr>
          <w:color w:val="000000" w:themeColor="text1"/>
          <w:sz w:val="19"/>
          <w:szCs w:val="19"/>
        </w:rPr>
        <w:t xml:space="preserve"> </w:t>
      </w:r>
      <w:r w:rsidRPr="007D048A">
        <w:rPr>
          <w:color w:val="000000" w:themeColor="text1"/>
        </w:rPr>
        <w:t xml:space="preserve"> </w:t>
      </w:r>
    </w:p>
  </w:footnote>
  <w:footnote w:id="13">
    <w:p w14:paraId="3D1191E1"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9"/>
          <w:szCs w:val="19"/>
          <w:lang w:val="es-CO"/>
        </w:rPr>
        <w:t xml:space="preserve">Esta norma establece: «Las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 </w:t>
      </w:r>
    </w:p>
    <w:p w14:paraId="66164ADD"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 </w:t>
      </w:r>
    </w:p>
    <w:p w14:paraId="0042F03B"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Fonts w:eastAsia="Times New Roman"/>
          <w:color w:val="000000" w:themeColor="text1"/>
          <w:sz w:val="19"/>
          <w:szCs w:val="19"/>
          <w:lang w:val="es-CO"/>
        </w:rPr>
        <w:t xml:space="preserve">»Igualmente, cada órgano constituirá al 31 de diciembre del año cuentas por pagar con las obligaciones correspondientes a los anticipas pactados en los contratos y a la entrega de bienes y servicios. </w:t>
      </w:r>
    </w:p>
    <w:p w14:paraId="2306C926" w14:textId="77777777" w:rsidR="00C066FE" w:rsidRPr="007D048A" w:rsidRDefault="00C066FE" w:rsidP="00C066FE">
      <w:pPr>
        <w:pStyle w:val="Textonotapie"/>
        <w:ind w:firstLine="708"/>
        <w:jc w:val="both"/>
        <w:rPr>
          <w:rFonts w:ascii="Arial" w:eastAsia="Times New Roman" w:hAnsi="Arial" w:cs="Arial"/>
          <w:color w:val="000000" w:themeColor="text1"/>
          <w:sz w:val="19"/>
          <w:szCs w:val="19"/>
          <w:lang w:val="es-CO"/>
        </w:rPr>
      </w:pPr>
      <w:r w:rsidRPr="007D048A">
        <w:rPr>
          <w:rFonts w:ascii="Arial" w:eastAsia="Times New Roman" w:hAnsi="Arial" w:cs="Arial"/>
          <w:color w:val="000000" w:themeColor="text1"/>
          <w:sz w:val="19"/>
          <w:szCs w:val="19"/>
          <w:lang w:val="es-CO"/>
        </w:rPr>
        <w:t xml:space="preserve">»El Gobierno Nacional establecerá los requisitos y plazos que se deben observar para el cumplimiento del presente artículo (Ley 38/89, artículo 72, Ley 179/94, artículo 38, Ley 225/95, artículo 8o. )».  </w:t>
      </w:r>
    </w:p>
    <w:p w14:paraId="565F75BF" w14:textId="77777777" w:rsidR="00C066FE" w:rsidRPr="007D048A" w:rsidRDefault="00C066FE" w:rsidP="00C066FE">
      <w:pPr>
        <w:pStyle w:val="Textonotapie"/>
        <w:ind w:firstLine="708"/>
        <w:rPr>
          <w:color w:val="000000" w:themeColor="text1"/>
          <w:lang w:val="es-ES"/>
        </w:rPr>
      </w:pPr>
    </w:p>
  </w:footnote>
  <w:footnote w:id="14">
    <w:p w14:paraId="2734F86E" w14:textId="77777777" w:rsidR="00C066FE" w:rsidRPr="007D048A" w:rsidRDefault="00C066FE" w:rsidP="00C066FE">
      <w:pPr>
        <w:pStyle w:val="Default"/>
        <w:ind w:firstLine="708"/>
        <w:jc w:val="both"/>
        <w:rPr>
          <w:rFonts w:eastAsia="Times New Roman"/>
          <w:color w:val="000000" w:themeColor="text1"/>
          <w:sz w:val="19"/>
          <w:szCs w:val="19"/>
          <w:lang w:val="es-CO"/>
        </w:rPr>
      </w:pPr>
      <w:r w:rsidRPr="007D048A">
        <w:rPr>
          <w:rStyle w:val="Refdenotaalpie"/>
          <w:color w:val="000000" w:themeColor="text1"/>
        </w:rPr>
        <w:footnoteRef/>
      </w:r>
      <w:r w:rsidRPr="007D048A">
        <w:rPr>
          <w:color w:val="000000" w:themeColor="text1"/>
        </w:rPr>
        <w:t xml:space="preserve"> </w:t>
      </w:r>
      <w:r w:rsidRPr="007D048A">
        <w:rPr>
          <w:rFonts w:eastAsia="Times New Roman"/>
          <w:color w:val="000000" w:themeColor="text1"/>
          <w:sz w:val="19"/>
          <w:szCs w:val="19"/>
          <w:lang w:val="es-CO"/>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362B57D9" w14:textId="77777777" w:rsidR="00C066FE" w:rsidRPr="007D048A" w:rsidRDefault="00C066FE" w:rsidP="00C066FE">
      <w:pPr>
        <w:pStyle w:val="Default"/>
        <w:ind w:firstLine="708"/>
        <w:jc w:val="both"/>
        <w:rPr>
          <w:color w:val="000000" w:themeColor="text1"/>
        </w:rPr>
      </w:pPr>
      <w:r w:rsidRPr="007D048A">
        <w:rPr>
          <w:rFonts w:eastAsia="Times New Roman"/>
          <w:color w:val="000000" w:themeColor="text1"/>
          <w:sz w:val="19"/>
          <w:szCs w:val="19"/>
          <w:lang w:val="es-CO"/>
        </w:rPr>
        <w:t>»La causación del gasto debe contar con la apropiación presupuestal correspondiente, así su pago se efectúe en la siguiente vigencia fiscal. El pago deberá incluirse en el presupuesto del año siguiente como una cuenta por pagar».</w:t>
      </w:r>
      <w:r w:rsidRPr="007D048A">
        <w:rPr>
          <w:color w:val="000000" w:themeColor="text1"/>
          <w:sz w:val="19"/>
          <w:szCs w:val="19"/>
        </w:rPr>
        <w:t xml:space="preserve"> </w:t>
      </w:r>
      <w:r w:rsidRPr="007D048A">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7F00826D">
          <wp:simplePos x="0" y="0"/>
          <wp:positionH relativeFrom="column">
            <wp:posOffset>4374183</wp:posOffset>
          </wp:positionH>
          <wp:positionV relativeFrom="paragraph">
            <wp:posOffset>319875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642047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1B3077"/>
    <w:multiLevelType w:val="hybridMultilevel"/>
    <w:tmpl w:val="E6D057C6"/>
    <w:lvl w:ilvl="0" w:tplc="C5FAB4A0">
      <w:start w:val="2"/>
      <w:numFmt w:val="decimal"/>
      <w:lvlText w:val="%1."/>
      <w:lvlJc w:val="left"/>
      <w:pPr>
        <w:ind w:left="6601" w:hanging="360"/>
      </w:pPr>
      <w:rPr>
        <w:rFonts w:hint="default"/>
        <w:b/>
      </w:rPr>
    </w:lvl>
    <w:lvl w:ilvl="1" w:tplc="0C0A0019" w:tentative="1">
      <w:start w:val="1"/>
      <w:numFmt w:val="lowerLetter"/>
      <w:lvlText w:val="%2."/>
      <w:lvlJc w:val="left"/>
      <w:pPr>
        <w:ind w:left="7321" w:hanging="360"/>
      </w:pPr>
    </w:lvl>
    <w:lvl w:ilvl="2" w:tplc="0C0A001B" w:tentative="1">
      <w:start w:val="1"/>
      <w:numFmt w:val="lowerRoman"/>
      <w:lvlText w:val="%3."/>
      <w:lvlJc w:val="right"/>
      <w:pPr>
        <w:ind w:left="8041" w:hanging="180"/>
      </w:pPr>
    </w:lvl>
    <w:lvl w:ilvl="3" w:tplc="0C0A000F" w:tentative="1">
      <w:start w:val="1"/>
      <w:numFmt w:val="decimal"/>
      <w:lvlText w:val="%4."/>
      <w:lvlJc w:val="left"/>
      <w:pPr>
        <w:ind w:left="8761" w:hanging="360"/>
      </w:pPr>
    </w:lvl>
    <w:lvl w:ilvl="4" w:tplc="0C0A0019" w:tentative="1">
      <w:start w:val="1"/>
      <w:numFmt w:val="lowerLetter"/>
      <w:lvlText w:val="%5."/>
      <w:lvlJc w:val="left"/>
      <w:pPr>
        <w:ind w:left="9481" w:hanging="360"/>
      </w:pPr>
    </w:lvl>
    <w:lvl w:ilvl="5" w:tplc="0C0A001B" w:tentative="1">
      <w:start w:val="1"/>
      <w:numFmt w:val="lowerRoman"/>
      <w:lvlText w:val="%6."/>
      <w:lvlJc w:val="right"/>
      <w:pPr>
        <w:ind w:left="10201" w:hanging="180"/>
      </w:pPr>
    </w:lvl>
    <w:lvl w:ilvl="6" w:tplc="0C0A000F" w:tentative="1">
      <w:start w:val="1"/>
      <w:numFmt w:val="decimal"/>
      <w:lvlText w:val="%7."/>
      <w:lvlJc w:val="left"/>
      <w:pPr>
        <w:ind w:left="10921" w:hanging="360"/>
      </w:pPr>
    </w:lvl>
    <w:lvl w:ilvl="7" w:tplc="0C0A0019" w:tentative="1">
      <w:start w:val="1"/>
      <w:numFmt w:val="lowerLetter"/>
      <w:lvlText w:val="%8."/>
      <w:lvlJc w:val="left"/>
      <w:pPr>
        <w:ind w:left="11641" w:hanging="360"/>
      </w:pPr>
    </w:lvl>
    <w:lvl w:ilvl="8" w:tplc="0C0A001B" w:tentative="1">
      <w:start w:val="1"/>
      <w:numFmt w:val="lowerRoman"/>
      <w:lvlText w:val="%9."/>
      <w:lvlJc w:val="right"/>
      <w:pPr>
        <w:ind w:left="12361"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72E5"/>
    <w:rsid w:val="000313D7"/>
    <w:rsid w:val="00032DBA"/>
    <w:rsid w:val="00064F68"/>
    <w:rsid w:val="000942EB"/>
    <w:rsid w:val="00094BD7"/>
    <w:rsid w:val="000B103F"/>
    <w:rsid w:val="000D712A"/>
    <w:rsid w:val="000F14E8"/>
    <w:rsid w:val="000F35A7"/>
    <w:rsid w:val="00103915"/>
    <w:rsid w:val="00122B23"/>
    <w:rsid w:val="00137FFA"/>
    <w:rsid w:val="00161D76"/>
    <w:rsid w:val="001845B1"/>
    <w:rsid w:val="001C317A"/>
    <w:rsid w:val="001C46E2"/>
    <w:rsid w:val="001C5CEA"/>
    <w:rsid w:val="00234B84"/>
    <w:rsid w:val="002371D6"/>
    <w:rsid w:val="00275469"/>
    <w:rsid w:val="00280D67"/>
    <w:rsid w:val="002A4781"/>
    <w:rsid w:val="002B11AA"/>
    <w:rsid w:val="002D3467"/>
    <w:rsid w:val="002D5B0D"/>
    <w:rsid w:val="002E1C22"/>
    <w:rsid w:val="002F4860"/>
    <w:rsid w:val="002F61EF"/>
    <w:rsid w:val="00302566"/>
    <w:rsid w:val="003033BA"/>
    <w:rsid w:val="0034680A"/>
    <w:rsid w:val="00386456"/>
    <w:rsid w:val="00387027"/>
    <w:rsid w:val="003A0EAE"/>
    <w:rsid w:val="003A581E"/>
    <w:rsid w:val="0042177C"/>
    <w:rsid w:val="00435DDB"/>
    <w:rsid w:val="0044012D"/>
    <w:rsid w:val="004422D6"/>
    <w:rsid w:val="004E1FD6"/>
    <w:rsid w:val="0051074C"/>
    <w:rsid w:val="00513AF2"/>
    <w:rsid w:val="00515B32"/>
    <w:rsid w:val="00521C97"/>
    <w:rsid w:val="0052563B"/>
    <w:rsid w:val="00537D9B"/>
    <w:rsid w:val="0054413A"/>
    <w:rsid w:val="005564CA"/>
    <w:rsid w:val="00575013"/>
    <w:rsid w:val="00576A86"/>
    <w:rsid w:val="005B1F24"/>
    <w:rsid w:val="005B6FB7"/>
    <w:rsid w:val="005D4944"/>
    <w:rsid w:val="005F6A3A"/>
    <w:rsid w:val="00603C96"/>
    <w:rsid w:val="00620199"/>
    <w:rsid w:val="00655371"/>
    <w:rsid w:val="00685C1F"/>
    <w:rsid w:val="00697665"/>
    <w:rsid w:val="006A50AF"/>
    <w:rsid w:val="006A70D8"/>
    <w:rsid w:val="006A7165"/>
    <w:rsid w:val="006A7FD0"/>
    <w:rsid w:val="006D12E4"/>
    <w:rsid w:val="006D7687"/>
    <w:rsid w:val="006E0572"/>
    <w:rsid w:val="00705631"/>
    <w:rsid w:val="00742DD2"/>
    <w:rsid w:val="0075647A"/>
    <w:rsid w:val="007618CF"/>
    <w:rsid w:val="007634AD"/>
    <w:rsid w:val="0078122E"/>
    <w:rsid w:val="0078183D"/>
    <w:rsid w:val="00794A8A"/>
    <w:rsid w:val="00794CAB"/>
    <w:rsid w:val="007B0854"/>
    <w:rsid w:val="007C211F"/>
    <w:rsid w:val="007D048A"/>
    <w:rsid w:val="007E0224"/>
    <w:rsid w:val="007F4F2B"/>
    <w:rsid w:val="007F55AC"/>
    <w:rsid w:val="007F72CB"/>
    <w:rsid w:val="0082676C"/>
    <w:rsid w:val="0083119B"/>
    <w:rsid w:val="00836EAB"/>
    <w:rsid w:val="00842892"/>
    <w:rsid w:val="0085092D"/>
    <w:rsid w:val="00867885"/>
    <w:rsid w:val="008E1C15"/>
    <w:rsid w:val="009047C5"/>
    <w:rsid w:val="00934893"/>
    <w:rsid w:val="0095385A"/>
    <w:rsid w:val="00966971"/>
    <w:rsid w:val="00973297"/>
    <w:rsid w:val="00983902"/>
    <w:rsid w:val="009B58EC"/>
    <w:rsid w:val="00A14613"/>
    <w:rsid w:val="00A243BB"/>
    <w:rsid w:val="00A24560"/>
    <w:rsid w:val="00A34538"/>
    <w:rsid w:val="00A667C2"/>
    <w:rsid w:val="00A92566"/>
    <w:rsid w:val="00AA442B"/>
    <w:rsid w:val="00AA64DC"/>
    <w:rsid w:val="00AF52D1"/>
    <w:rsid w:val="00B22E22"/>
    <w:rsid w:val="00B33EFE"/>
    <w:rsid w:val="00B4758A"/>
    <w:rsid w:val="00B525CB"/>
    <w:rsid w:val="00B54CA9"/>
    <w:rsid w:val="00B608B9"/>
    <w:rsid w:val="00B63CB2"/>
    <w:rsid w:val="00BB1292"/>
    <w:rsid w:val="00BB4763"/>
    <w:rsid w:val="00BB6989"/>
    <w:rsid w:val="00BB73CC"/>
    <w:rsid w:val="00BC2CC4"/>
    <w:rsid w:val="00BD78FE"/>
    <w:rsid w:val="00C000CF"/>
    <w:rsid w:val="00C066FE"/>
    <w:rsid w:val="00C21279"/>
    <w:rsid w:val="00C50B96"/>
    <w:rsid w:val="00C543AF"/>
    <w:rsid w:val="00C74055"/>
    <w:rsid w:val="00C769C7"/>
    <w:rsid w:val="00C76B3E"/>
    <w:rsid w:val="00C82F25"/>
    <w:rsid w:val="00CA20C3"/>
    <w:rsid w:val="00CC00CD"/>
    <w:rsid w:val="00CD5152"/>
    <w:rsid w:val="00CE3895"/>
    <w:rsid w:val="00CE5B83"/>
    <w:rsid w:val="00D115D8"/>
    <w:rsid w:val="00D13219"/>
    <w:rsid w:val="00D16E39"/>
    <w:rsid w:val="00D446FA"/>
    <w:rsid w:val="00D63A2D"/>
    <w:rsid w:val="00D70D2A"/>
    <w:rsid w:val="00D714BE"/>
    <w:rsid w:val="00D72E9D"/>
    <w:rsid w:val="00D74066"/>
    <w:rsid w:val="00D82CE5"/>
    <w:rsid w:val="00D91494"/>
    <w:rsid w:val="00DA5AB1"/>
    <w:rsid w:val="00DC51E1"/>
    <w:rsid w:val="00DC62E5"/>
    <w:rsid w:val="00DC7E89"/>
    <w:rsid w:val="00DD735D"/>
    <w:rsid w:val="00DE3119"/>
    <w:rsid w:val="00DF236B"/>
    <w:rsid w:val="00E11654"/>
    <w:rsid w:val="00E13AB8"/>
    <w:rsid w:val="00E2328E"/>
    <w:rsid w:val="00E31685"/>
    <w:rsid w:val="00E33B62"/>
    <w:rsid w:val="00E44AA4"/>
    <w:rsid w:val="00E455F9"/>
    <w:rsid w:val="00E50738"/>
    <w:rsid w:val="00E53C06"/>
    <w:rsid w:val="00EC23BE"/>
    <w:rsid w:val="00ED2D1C"/>
    <w:rsid w:val="00F14B46"/>
    <w:rsid w:val="00F31A69"/>
    <w:rsid w:val="00F666A1"/>
    <w:rsid w:val="00F84899"/>
    <w:rsid w:val="00F859F0"/>
    <w:rsid w:val="00F86796"/>
    <w:rsid w:val="00FA3C28"/>
    <w:rsid w:val="00FC38A3"/>
    <w:rsid w:val="00FE141E"/>
    <w:rsid w:val="12BB99E1"/>
    <w:rsid w:val="13E5F936"/>
    <w:rsid w:val="1D0223F1"/>
    <w:rsid w:val="276AA99E"/>
    <w:rsid w:val="6ABC37EF"/>
    <w:rsid w:val="7372C8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B0854"/>
    <w:rPr>
      <w:vertAlign w:val="superscript"/>
    </w:rPr>
  </w:style>
  <w:style w:type="character" w:styleId="Textoennegrita">
    <w:name w:val="Strong"/>
    <w:basedOn w:val="Fuentedeprrafopredeter"/>
    <w:uiPriority w:val="22"/>
    <w:qFormat/>
    <w:rsid w:val="00E2328E"/>
    <w:rPr>
      <w:b/>
      <w:bCs/>
    </w:rPr>
  </w:style>
  <w:style w:type="paragraph" w:customStyle="1" w:styleId="pa22">
    <w:name w:val="pa22"/>
    <w:basedOn w:val="Normal"/>
    <w:rsid w:val="00603C96"/>
    <w:pPr>
      <w:spacing w:before="100" w:beforeAutospacing="1" w:after="100" w:afterAutospacing="1"/>
    </w:pPr>
    <w:rPr>
      <w:rFonts w:ascii="Times New Roman" w:eastAsia="Times New Roman" w:hAnsi="Times New Roman" w:cs="Times New Roman"/>
      <w:szCs w:val="24"/>
      <w:lang w:val="es-ES" w:eastAsia="es-ES"/>
    </w:rPr>
  </w:style>
  <w:style w:type="character" w:customStyle="1" w:styleId="a0">
    <w:name w:val="a0"/>
    <w:basedOn w:val="Fuentedeprrafopredeter"/>
    <w:rsid w:val="00603C96"/>
  </w:style>
  <w:style w:type="paragraph" w:customStyle="1" w:styleId="Textoindependiente21">
    <w:name w:val="Texto independiente 21"/>
    <w:basedOn w:val="Normal"/>
    <w:uiPriority w:val="99"/>
    <w:rsid w:val="00575013"/>
    <w:pPr>
      <w:overflowPunct w:val="0"/>
      <w:autoSpaceDE w:val="0"/>
      <w:autoSpaceDN w:val="0"/>
      <w:adjustRightInd w:val="0"/>
      <w:spacing w:line="360" w:lineRule="auto"/>
      <w:ind w:left="360" w:hanging="360"/>
      <w:jc w:val="both"/>
    </w:pPr>
    <w:rPr>
      <w:rFonts w:ascii="Century Gothic" w:eastAsia="Times New Roman" w:hAnsi="Century Gothic" w:cs="Times New Roman"/>
      <w:sz w:val="22"/>
      <w:szCs w:val="20"/>
      <w:lang w:val="es-ES" w:eastAsia="es-ES"/>
    </w:rPr>
  </w:style>
  <w:style w:type="character" w:customStyle="1" w:styleId="baj">
    <w:name w:val="b_aj"/>
    <w:basedOn w:val="Fuentedeprrafopredeter"/>
    <w:rsid w:val="00575013"/>
  </w:style>
  <w:style w:type="paragraph" w:customStyle="1" w:styleId="Default">
    <w:name w:val="Default"/>
    <w:rsid w:val="00C066FE"/>
    <w:pPr>
      <w:autoSpaceDE w:val="0"/>
      <w:autoSpaceDN w:val="0"/>
      <w:adjustRightInd w:val="0"/>
      <w:spacing w:after="0" w:line="240" w:lineRule="auto"/>
    </w:pPr>
    <w:rPr>
      <w:rFonts w:ascii="Arial" w:hAnsi="Arial" w:cs="Arial"/>
      <w:color w:val="000000"/>
      <w:sz w:val="24"/>
      <w:szCs w:val="24"/>
      <w:lang w:val="es-ES"/>
    </w:rPr>
  </w:style>
  <w:style w:type="character" w:customStyle="1" w:styleId="normaltextrun">
    <w:name w:val="normaltextrun"/>
    <w:basedOn w:val="Fuentedeprrafopredeter"/>
    <w:rsid w:val="007D048A"/>
  </w:style>
  <w:style w:type="character" w:customStyle="1" w:styleId="eop">
    <w:name w:val="eop"/>
    <w:basedOn w:val="Fuentedeprrafopredeter"/>
    <w:rsid w:val="007D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11242951">
      <w:bodyDiv w:val="1"/>
      <w:marLeft w:val="0"/>
      <w:marRight w:val="0"/>
      <w:marTop w:val="0"/>
      <w:marBottom w:val="0"/>
      <w:divBdr>
        <w:top w:val="none" w:sz="0" w:space="0" w:color="auto"/>
        <w:left w:val="none" w:sz="0" w:space="0" w:color="auto"/>
        <w:bottom w:val="none" w:sz="0" w:space="0" w:color="auto"/>
        <w:right w:val="none" w:sz="0" w:space="0" w:color="auto"/>
      </w:divBdr>
    </w:div>
    <w:div w:id="14109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100_1993.html" TargetMode="External"/><Relationship Id="rId1" Type="http://schemas.openxmlformats.org/officeDocument/2006/relationships/hyperlink" Target="http://www.secretariasenado.gov.co/senado/basedoc/ley_010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33DE15C-124E-4246-AA00-1E9DC1D3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44749-9F28-4BAC-983C-10175C36A46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65E2384-1260-4BA2-9F24-67DC5A8B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5495</Words>
  <Characters>31326</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2020-01-22T21:59:00Z</cp:lastPrinted>
  <dcterms:created xsi:type="dcterms:W3CDTF">2020-08-06T17:14:00Z</dcterms:created>
  <dcterms:modified xsi:type="dcterms:W3CDTF">2020-08-06T17:14:00Z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