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71FF4" w14:textId="0AF98474" w:rsidR="00750476" w:rsidRPr="00626850" w:rsidRDefault="00790DC2" w:rsidP="00790DC2">
      <w:pPr>
        <w:jc w:val="center"/>
        <w:rPr>
          <w:b/>
          <w:color w:val="000000" w:themeColor="text1"/>
          <w:sz w:val="16"/>
          <w:szCs w:val="16"/>
        </w:rPr>
      </w:pPr>
      <w:r w:rsidRPr="00626850">
        <w:rPr>
          <w:b/>
          <w:color w:val="000000" w:themeColor="text1"/>
          <w:sz w:val="16"/>
          <w:szCs w:val="16"/>
        </w:rPr>
        <w:t xml:space="preserve"> </w:t>
      </w:r>
      <w:r w:rsidR="00085E97">
        <w:rPr>
          <w:b/>
          <w:color w:val="000000" w:themeColor="text1"/>
          <w:sz w:val="16"/>
          <w:szCs w:val="16"/>
        </w:rPr>
        <w:t xml:space="preserve">   </w:t>
      </w:r>
      <w:r w:rsidRPr="00626850">
        <w:rPr>
          <w:b/>
          <w:color w:val="000000" w:themeColor="text1"/>
          <w:sz w:val="16"/>
          <w:szCs w:val="16"/>
        </w:rPr>
        <w:tab/>
      </w:r>
      <w:r w:rsidR="00085E97">
        <w:rPr>
          <w:b/>
          <w:color w:val="000000" w:themeColor="text1"/>
          <w:sz w:val="16"/>
          <w:szCs w:val="16"/>
        </w:rPr>
        <w:t xml:space="preserve">             </w:t>
      </w:r>
      <w:r w:rsidRPr="00626850">
        <w:rPr>
          <w:b/>
          <w:color w:val="000000" w:themeColor="text1"/>
          <w:sz w:val="16"/>
          <w:szCs w:val="16"/>
        </w:rPr>
        <w:tab/>
      </w:r>
      <w:r w:rsidRPr="00626850">
        <w:rPr>
          <w:b/>
          <w:color w:val="000000" w:themeColor="text1"/>
          <w:sz w:val="16"/>
          <w:szCs w:val="16"/>
        </w:rPr>
        <w:tab/>
      </w:r>
      <w:r w:rsidRPr="00626850">
        <w:rPr>
          <w:b/>
          <w:color w:val="000000" w:themeColor="text1"/>
          <w:sz w:val="16"/>
          <w:szCs w:val="16"/>
        </w:rPr>
        <w:tab/>
      </w:r>
      <w:r w:rsidRPr="00626850">
        <w:rPr>
          <w:b/>
          <w:color w:val="000000" w:themeColor="text1"/>
          <w:sz w:val="16"/>
          <w:szCs w:val="16"/>
        </w:rPr>
        <w:tab/>
      </w:r>
      <w:r w:rsidRPr="00626850">
        <w:rPr>
          <w:b/>
          <w:color w:val="000000" w:themeColor="text1"/>
          <w:sz w:val="16"/>
          <w:szCs w:val="16"/>
        </w:rPr>
        <w:tab/>
      </w:r>
      <w:r w:rsidR="00085E97">
        <w:rPr>
          <w:b/>
          <w:color w:val="000000" w:themeColor="text1"/>
          <w:sz w:val="16"/>
          <w:szCs w:val="16"/>
        </w:rPr>
        <w:t xml:space="preserve">                                                                  </w:t>
      </w:r>
      <w:r w:rsidR="00750476" w:rsidRPr="00626850">
        <w:rPr>
          <w:b/>
          <w:color w:val="000000" w:themeColor="text1"/>
          <w:sz w:val="16"/>
          <w:szCs w:val="16"/>
        </w:rPr>
        <w:t>CCE-DES-FM-17</w:t>
      </w:r>
    </w:p>
    <w:p w14:paraId="67621E99" w14:textId="68775419" w:rsidR="003C5C4A" w:rsidRPr="00626850" w:rsidRDefault="003C5C4A" w:rsidP="19CE8228">
      <w:pPr>
        <w:pStyle w:val="Textoindependiente"/>
        <w:ind w:left="300" w:right="454"/>
        <w:jc w:val="both"/>
        <w:rPr>
          <w:b/>
          <w:bCs/>
          <w:color w:val="000000" w:themeColor="text1"/>
          <w:lang w:val="es-MX"/>
        </w:rPr>
      </w:pPr>
      <w:r w:rsidRPr="19CE8228">
        <w:rPr>
          <w:b/>
          <w:bCs/>
          <w:color w:val="000000" w:themeColor="text1"/>
          <w:lang w:val="es-MX"/>
        </w:rPr>
        <w:t xml:space="preserve">PUBLICIDAD – </w:t>
      </w:r>
      <w:proofErr w:type="spellStart"/>
      <w:r w:rsidR="38C97053" w:rsidRPr="19CE8228">
        <w:rPr>
          <w:b/>
          <w:bCs/>
          <w:color w:val="000000" w:themeColor="text1"/>
          <w:lang w:val="es-MX"/>
        </w:rPr>
        <w:t>Secop</w:t>
      </w:r>
      <w:proofErr w:type="spellEnd"/>
      <w:r w:rsidR="38C97053" w:rsidRPr="19CE8228">
        <w:rPr>
          <w:b/>
          <w:bCs/>
          <w:color w:val="000000" w:themeColor="text1"/>
          <w:lang w:val="es-MX"/>
        </w:rPr>
        <w:t xml:space="preserve"> – </w:t>
      </w:r>
      <w:r w:rsidRPr="19CE8228">
        <w:rPr>
          <w:b/>
          <w:bCs/>
          <w:color w:val="000000" w:themeColor="text1"/>
          <w:lang w:val="es-MX"/>
        </w:rPr>
        <w:t xml:space="preserve">Regulación </w:t>
      </w:r>
    </w:p>
    <w:p w14:paraId="3A3CB5AA" w14:textId="77777777" w:rsidR="003C5C4A" w:rsidRPr="00626850" w:rsidRDefault="003C5C4A" w:rsidP="00C21498">
      <w:pPr>
        <w:jc w:val="both"/>
        <w:rPr>
          <w:b/>
          <w:color w:val="000000" w:themeColor="text1"/>
          <w:lang w:val="es-MX"/>
        </w:rPr>
      </w:pPr>
    </w:p>
    <w:p w14:paraId="4ECA74C6" w14:textId="073246BF" w:rsidR="007E44D6" w:rsidRPr="00626850" w:rsidRDefault="003C5C4A" w:rsidP="007E44D6">
      <w:pPr>
        <w:pStyle w:val="Textoindependiente"/>
        <w:spacing w:after="120"/>
        <w:ind w:left="300" w:right="454"/>
        <w:jc w:val="both"/>
        <w:rPr>
          <w:color w:val="000000" w:themeColor="text1"/>
          <w:sz w:val="20"/>
          <w:szCs w:val="20"/>
        </w:rPr>
      </w:pPr>
      <w:r w:rsidRPr="00626850">
        <w:rPr>
          <w:color w:val="000000" w:themeColor="text1"/>
          <w:sz w:val="20"/>
          <w:szCs w:val="20"/>
        </w:rPr>
        <w:t>El principio de publicidad impone a las autoridades administrativas el deber de dar a conocer sus actos, contratos y decisiones, para que se divulguen y eventualmente se controlen las actuaciones.</w:t>
      </w:r>
    </w:p>
    <w:p w14:paraId="4BA77503" w14:textId="5B3545C2" w:rsidR="003C5C4A" w:rsidRPr="00626850" w:rsidRDefault="003C5C4A" w:rsidP="007E44D6">
      <w:pPr>
        <w:pStyle w:val="Textoindependiente"/>
        <w:spacing w:after="120"/>
        <w:ind w:left="301" w:right="454"/>
        <w:jc w:val="both"/>
        <w:rPr>
          <w:color w:val="000000" w:themeColor="text1"/>
          <w:sz w:val="20"/>
          <w:szCs w:val="20"/>
        </w:rPr>
      </w:pPr>
      <w:r w:rsidRPr="00626850">
        <w:rPr>
          <w:color w:val="000000" w:themeColor="text1"/>
          <w:sz w:val="20"/>
          <w:szCs w:val="20"/>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p>
    <w:p w14:paraId="7240E275" w14:textId="77777777" w:rsidR="003C5C4A" w:rsidRPr="00626850" w:rsidRDefault="003C5C4A" w:rsidP="00C21498">
      <w:pPr>
        <w:pStyle w:val="Textoindependiente"/>
        <w:ind w:left="300" w:right="454"/>
        <w:jc w:val="both"/>
        <w:rPr>
          <w:color w:val="000000" w:themeColor="text1"/>
          <w:sz w:val="20"/>
          <w:szCs w:val="20"/>
        </w:rPr>
      </w:pPr>
      <w:r w:rsidRPr="00626850">
        <w:rPr>
          <w:color w:val="000000" w:themeColor="text1"/>
          <w:sz w:val="20"/>
          <w:szCs w:val="20"/>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w:t>
      </w:r>
    </w:p>
    <w:p w14:paraId="3E3C91B3" w14:textId="77777777" w:rsidR="003C5C4A" w:rsidRPr="00626850" w:rsidRDefault="003C5C4A" w:rsidP="00C21498">
      <w:pPr>
        <w:pStyle w:val="Textoindependiente"/>
        <w:ind w:left="300" w:right="454"/>
        <w:jc w:val="both"/>
        <w:rPr>
          <w:color w:val="000000" w:themeColor="text1"/>
          <w:sz w:val="20"/>
          <w:szCs w:val="20"/>
        </w:rPr>
      </w:pPr>
    </w:p>
    <w:p w14:paraId="34AE48C9" w14:textId="5D85B343" w:rsidR="003C5C4A" w:rsidRPr="00626850" w:rsidRDefault="003C5C4A" w:rsidP="19CE8228">
      <w:pPr>
        <w:pStyle w:val="Textoindependiente"/>
        <w:ind w:left="300" w:right="454"/>
        <w:jc w:val="both"/>
        <w:rPr>
          <w:b/>
          <w:bCs/>
          <w:color w:val="000000" w:themeColor="text1"/>
          <w:lang w:val="es-MX"/>
        </w:rPr>
      </w:pPr>
      <w:r w:rsidRPr="19CE8228">
        <w:rPr>
          <w:b/>
          <w:bCs/>
          <w:color w:val="000000" w:themeColor="text1"/>
          <w:lang w:val="es-MX"/>
        </w:rPr>
        <w:t>PUBLICIDAD –</w:t>
      </w:r>
      <w:r w:rsidR="4B89CE26" w:rsidRPr="19CE8228">
        <w:rPr>
          <w:b/>
          <w:bCs/>
          <w:color w:val="000000" w:themeColor="text1"/>
          <w:lang w:val="es-MX"/>
        </w:rPr>
        <w:t xml:space="preserve"> </w:t>
      </w:r>
      <w:proofErr w:type="spellStart"/>
      <w:r w:rsidR="4B89CE26" w:rsidRPr="19CE8228">
        <w:rPr>
          <w:b/>
          <w:bCs/>
          <w:color w:val="000000" w:themeColor="text1"/>
          <w:lang w:val="es-MX"/>
        </w:rPr>
        <w:t>Secop</w:t>
      </w:r>
      <w:proofErr w:type="spellEnd"/>
      <w:r w:rsidR="4B89CE26" w:rsidRPr="19CE8228">
        <w:rPr>
          <w:b/>
          <w:bCs/>
          <w:color w:val="000000" w:themeColor="text1"/>
          <w:lang w:val="es-MX"/>
        </w:rPr>
        <w:t xml:space="preserve"> – Deber de publicidad –</w:t>
      </w:r>
      <w:r w:rsidRPr="19CE8228">
        <w:rPr>
          <w:b/>
          <w:bCs/>
          <w:color w:val="000000" w:themeColor="text1"/>
          <w:lang w:val="es-MX"/>
        </w:rPr>
        <w:t xml:space="preserve"> Entidades de régimen especial </w:t>
      </w:r>
    </w:p>
    <w:p w14:paraId="1D2B08CF" w14:textId="77777777" w:rsidR="003C5C4A" w:rsidRPr="00626850" w:rsidRDefault="003C5C4A" w:rsidP="00C21498">
      <w:pPr>
        <w:jc w:val="both"/>
        <w:rPr>
          <w:b/>
          <w:color w:val="000000" w:themeColor="text1"/>
        </w:rPr>
      </w:pPr>
    </w:p>
    <w:p w14:paraId="722F80EF" w14:textId="742A78C4" w:rsidR="00F20B9C" w:rsidRDefault="003C5C4A" w:rsidP="0018608E">
      <w:pPr>
        <w:pStyle w:val="Textoindependiente"/>
        <w:spacing w:after="120"/>
        <w:ind w:left="301" w:right="454"/>
        <w:jc w:val="both"/>
        <w:rPr>
          <w:color w:val="000000" w:themeColor="text1"/>
          <w:sz w:val="20"/>
          <w:szCs w:val="20"/>
        </w:rPr>
      </w:pPr>
      <w:r w:rsidRPr="00626850">
        <w:rPr>
          <w:color w:val="000000" w:themeColor="text1"/>
          <w:sz w:val="20"/>
          <w:szCs w:val="20"/>
        </w:rPr>
        <w:t>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14:paraId="1C67E5BA" w14:textId="6874C71C" w:rsidR="0018608E" w:rsidRPr="00626850" w:rsidRDefault="0018608E" w:rsidP="0018608E">
      <w:pPr>
        <w:pStyle w:val="Textoindependiente"/>
        <w:spacing w:after="120"/>
        <w:ind w:left="301" w:right="454"/>
        <w:jc w:val="both"/>
        <w:rPr>
          <w:color w:val="000000" w:themeColor="text1"/>
          <w:sz w:val="20"/>
          <w:szCs w:val="20"/>
        </w:rPr>
      </w:pPr>
      <w:r>
        <w:rPr>
          <w:color w:val="000000" w:themeColor="text1"/>
          <w:sz w:val="20"/>
          <w:szCs w:val="20"/>
        </w:rPr>
        <w:t>[…]</w:t>
      </w:r>
    </w:p>
    <w:p w14:paraId="2A42D87C" w14:textId="529097F7" w:rsidR="00F20B9C" w:rsidRDefault="003C5C4A" w:rsidP="0018608E">
      <w:pPr>
        <w:pStyle w:val="Textoindependiente"/>
        <w:spacing w:after="120"/>
        <w:ind w:left="300" w:right="454"/>
        <w:jc w:val="both"/>
        <w:rPr>
          <w:color w:val="000000" w:themeColor="text1"/>
          <w:sz w:val="20"/>
          <w:szCs w:val="20"/>
        </w:rPr>
      </w:pPr>
      <w:r w:rsidRPr="00626850">
        <w:rPr>
          <w:color w:val="000000" w:themeColor="text1"/>
          <w:sz w:val="20"/>
          <w:szCs w:val="20"/>
        </w:rPr>
        <w:t>El debate sobre la obligatoriedad o no de publicar en el SECOP, para las entidades con régimen especial de contratación, ya fue definido, al menos de manera preliminar, por el Consejo de Estad</w:t>
      </w:r>
      <w:r w:rsidR="0018608E">
        <w:rPr>
          <w:color w:val="000000" w:themeColor="text1"/>
          <w:sz w:val="20"/>
          <w:szCs w:val="20"/>
        </w:rPr>
        <w:t>o.</w:t>
      </w:r>
    </w:p>
    <w:p w14:paraId="18D17EBC" w14:textId="650306B1" w:rsidR="0018608E" w:rsidRDefault="0018608E" w:rsidP="0018608E">
      <w:pPr>
        <w:pStyle w:val="Textoindependiente"/>
        <w:spacing w:after="120"/>
        <w:ind w:left="300" w:right="454"/>
        <w:jc w:val="both"/>
        <w:rPr>
          <w:color w:val="000000" w:themeColor="text1"/>
          <w:sz w:val="20"/>
          <w:szCs w:val="20"/>
        </w:rPr>
      </w:pPr>
      <w:r>
        <w:rPr>
          <w:color w:val="000000" w:themeColor="text1"/>
          <w:sz w:val="20"/>
          <w:szCs w:val="20"/>
        </w:rPr>
        <w:t>[…]</w:t>
      </w:r>
    </w:p>
    <w:p w14:paraId="5C542ECF" w14:textId="32C9D2AC" w:rsidR="003C5C4A" w:rsidRPr="00626850" w:rsidRDefault="0018608E" w:rsidP="0018608E">
      <w:pPr>
        <w:pStyle w:val="Textoindependiente"/>
        <w:spacing w:after="120"/>
        <w:ind w:left="300" w:right="454"/>
        <w:jc w:val="both"/>
        <w:rPr>
          <w:color w:val="000000" w:themeColor="text1"/>
          <w:sz w:val="20"/>
          <w:szCs w:val="20"/>
        </w:rPr>
      </w:pPr>
      <w:r w:rsidRPr="19CE8228">
        <w:rPr>
          <w:color w:val="000000" w:themeColor="text1"/>
          <w:sz w:val="20"/>
          <w:szCs w:val="20"/>
        </w:rPr>
        <w:t xml:space="preserve">[…] </w:t>
      </w:r>
      <w:r w:rsidR="003C5C4A" w:rsidRPr="19CE8228">
        <w:rPr>
          <w:color w:val="000000" w:themeColor="text1"/>
          <w:sz w:val="20"/>
          <w:szCs w:val="20"/>
        </w:rPr>
        <w:t>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6144B9A8" w14:textId="062B2AAD" w:rsidR="003C5C4A" w:rsidRDefault="7747A588" w:rsidP="19CE8228">
      <w:pPr>
        <w:pStyle w:val="Textoindependiente"/>
        <w:spacing w:after="120"/>
        <w:ind w:left="301" w:right="454"/>
        <w:jc w:val="both"/>
        <w:rPr>
          <w:b/>
          <w:bCs/>
          <w:color w:val="000000" w:themeColor="text1"/>
        </w:rPr>
      </w:pPr>
      <w:r w:rsidRPr="19CE8228">
        <w:rPr>
          <w:b/>
          <w:bCs/>
          <w:color w:val="000000" w:themeColor="text1"/>
        </w:rPr>
        <w:t xml:space="preserve">PUBLICIDAD </w:t>
      </w:r>
      <w:proofErr w:type="gramStart"/>
      <w:r w:rsidRPr="19CE8228">
        <w:rPr>
          <w:b/>
          <w:bCs/>
          <w:color w:val="000000" w:themeColor="text1"/>
          <w:lang w:val="es-MX"/>
        </w:rPr>
        <w:t>–</w:t>
      </w:r>
      <w:r w:rsidRPr="19CE8228">
        <w:rPr>
          <w:b/>
          <w:bCs/>
          <w:color w:val="000000" w:themeColor="text1"/>
        </w:rPr>
        <w:t xml:space="preserve">  </w:t>
      </w:r>
      <w:proofErr w:type="spellStart"/>
      <w:r w:rsidRPr="19CE8228">
        <w:rPr>
          <w:b/>
          <w:bCs/>
          <w:color w:val="000000" w:themeColor="text1"/>
        </w:rPr>
        <w:t>Secop</w:t>
      </w:r>
      <w:proofErr w:type="spellEnd"/>
      <w:proofErr w:type="gramEnd"/>
      <w:r w:rsidRPr="19CE8228">
        <w:rPr>
          <w:b/>
          <w:bCs/>
          <w:color w:val="000000" w:themeColor="text1"/>
        </w:rPr>
        <w:t xml:space="preserve"> </w:t>
      </w:r>
      <w:r w:rsidRPr="19CE8228">
        <w:rPr>
          <w:b/>
          <w:bCs/>
          <w:color w:val="000000" w:themeColor="text1"/>
          <w:lang w:val="es-MX"/>
        </w:rPr>
        <w:t>–</w:t>
      </w:r>
      <w:r w:rsidRPr="19CE8228">
        <w:rPr>
          <w:b/>
          <w:bCs/>
          <w:color w:val="000000" w:themeColor="text1"/>
        </w:rPr>
        <w:t xml:space="preserve"> Documentos publicables</w:t>
      </w:r>
    </w:p>
    <w:p w14:paraId="18F5EF24" w14:textId="314DCE5D" w:rsidR="003C5C4A" w:rsidRDefault="003C5C4A" w:rsidP="00C21498">
      <w:pPr>
        <w:pStyle w:val="Textoindependiente"/>
        <w:spacing w:after="120"/>
        <w:ind w:left="301" w:right="454"/>
        <w:jc w:val="both"/>
        <w:rPr>
          <w:color w:val="000000" w:themeColor="text1"/>
          <w:sz w:val="20"/>
          <w:szCs w:val="20"/>
        </w:rPr>
      </w:pPr>
      <w:r w:rsidRPr="19CE8228">
        <w:rPr>
          <w:color w:val="000000" w:themeColor="text1"/>
          <w:sz w:val="20"/>
          <w:szCs w:val="20"/>
        </w:rPr>
        <w:t>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7FE2F3E1" w14:textId="5098DB9E" w:rsidR="008412EA" w:rsidRPr="00626850" w:rsidRDefault="008412EA" w:rsidP="00C21498">
      <w:pPr>
        <w:pStyle w:val="Textoindependiente"/>
        <w:spacing w:after="120"/>
        <w:ind w:left="301" w:right="454"/>
        <w:jc w:val="both"/>
        <w:rPr>
          <w:color w:val="000000" w:themeColor="text1"/>
          <w:sz w:val="20"/>
          <w:szCs w:val="20"/>
        </w:rPr>
      </w:pPr>
      <w:r>
        <w:rPr>
          <w:color w:val="000000" w:themeColor="text1"/>
          <w:sz w:val="20"/>
          <w:szCs w:val="20"/>
        </w:rPr>
        <w:t>[…]</w:t>
      </w:r>
    </w:p>
    <w:p w14:paraId="4FC4DC78" w14:textId="332AEF53" w:rsidR="009F55D7" w:rsidRPr="00626850" w:rsidRDefault="008412EA" w:rsidP="00C21498">
      <w:pPr>
        <w:pStyle w:val="Textoindependiente"/>
        <w:spacing w:after="120"/>
        <w:ind w:left="301" w:right="454"/>
        <w:jc w:val="both"/>
        <w:rPr>
          <w:color w:val="000000" w:themeColor="text1"/>
          <w:sz w:val="20"/>
          <w:szCs w:val="20"/>
        </w:rPr>
      </w:pPr>
      <w:r>
        <w:rPr>
          <w:color w:val="000000" w:themeColor="text1"/>
          <w:sz w:val="20"/>
          <w:szCs w:val="20"/>
        </w:rPr>
        <w:t>[…] e</w:t>
      </w:r>
      <w:r w:rsidR="003C5C4A" w:rsidRPr="00626850">
        <w:rPr>
          <w:color w:val="000000" w:themeColor="text1"/>
          <w:sz w:val="20"/>
          <w:szCs w:val="20"/>
        </w:rPr>
        <w:t xml:space="preserve">l Decreto 103 de 2015 señala que los documentos que deberán publicar las entidades estatales son: i) las autorizaciones, requerimientos, aprobaciones o informes del supervisor o del interventor, que prueben la ejecución del contrato, </w:t>
      </w:r>
      <w:proofErr w:type="spellStart"/>
      <w:r w:rsidR="003C5C4A" w:rsidRPr="00626850">
        <w:rPr>
          <w:color w:val="000000" w:themeColor="text1"/>
          <w:sz w:val="20"/>
          <w:szCs w:val="20"/>
        </w:rPr>
        <w:t>ii</w:t>
      </w:r>
      <w:proofErr w:type="spellEnd"/>
      <w:r w:rsidR="003C5C4A" w:rsidRPr="00626850">
        <w:rPr>
          <w:color w:val="000000" w:themeColor="text1"/>
          <w:sz w:val="20"/>
          <w:szCs w:val="20"/>
        </w:rPr>
        <w:t xml:space="preserve">) en relación con los procedimientos, lineamientos y políticas en materia de adquisición se deberán publicar los documentos previstos en el manual de contratación de la entidad y, finalmente, </w:t>
      </w:r>
      <w:proofErr w:type="spellStart"/>
      <w:r w:rsidR="003C5C4A" w:rsidRPr="00626850">
        <w:rPr>
          <w:color w:val="000000" w:themeColor="text1"/>
          <w:sz w:val="20"/>
          <w:szCs w:val="20"/>
        </w:rPr>
        <w:t>iii</w:t>
      </w:r>
      <w:proofErr w:type="spellEnd"/>
      <w:r w:rsidR="003C5C4A" w:rsidRPr="00626850">
        <w:rPr>
          <w:color w:val="000000" w:themeColor="text1"/>
          <w:sz w:val="20"/>
          <w:szCs w:val="20"/>
        </w:rPr>
        <w:t>) el plan anual de adquisiciones.</w:t>
      </w:r>
    </w:p>
    <w:p w14:paraId="62C1FE19" w14:textId="4CB1007B" w:rsidR="003C5C4A" w:rsidRPr="00626850" w:rsidRDefault="003C5C4A" w:rsidP="008412EA">
      <w:pPr>
        <w:pStyle w:val="Textoindependiente"/>
        <w:ind w:left="301" w:right="454"/>
        <w:jc w:val="both"/>
        <w:rPr>
          <w:color w:val="000000" w:themeColor="text1"/>
          <w:sz w:val="20"/>
          <w:szCs w:val="20"/>
        </w:rPr>
      </w:pPr>
      <w:r w:rsidRPr="00626850">
        <w:rPr>
          <w:color w:val="000000" w:themeColor="text1"/>
          <w:sz w:val="20"/>
          <w:szCs w:val="20"/>
        </w:rPr>
        <w:t>Fr</w:t>
      </w:r>
      <w:r w:rsidR="009F55D7" w:rsidRPr="00626850">
        <w:rPr>
          <w:color w:val="000000" w:themeColor="text1"/>
          <w:sz w:val="20"/>
          <w:szCs w:val="20"/>
        </w:rPr>
        <w:t>e</w:t>
      </w:r>
      <w:r w:rsidRPr="00626850">
        <w:rPr>
          <w:color w:val="000000" w:themeColor="text1"/>
          <w:sz w:val="20"/>
          <w:szCs w:val="20"/>
        </w:rPr>
        <w:t xml:space="preserv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w:t>
      </w:r>
      <w:r w:rsidRPr="00626850">
        <w:rPr>
          <w:color w:val="000000" w:themeColor="text1"/>
          <w:sz w:val="20"/>
          <w:szCs w:val="20"/>
        </w:rPr>
        <w:lastRenderedPageBreak/>
        <w:t>para la contratación de sus bienes y servicios.</w:t>
      </w:r>
    </w:p>
    <w:p w14:paraId="19FEE494" w14:textId="6293BADC" w:rsidR="00FB75EB" w:rsidRPr="008412EA" w:rsidRDefault="00FB75EB" w:rsidP="008412EA">
      <w:pPr>
        <w:pStyle w:val="Textoindependiente"/>
        <w:rPr>
          <w:rFonts w:ascii="Times New Roman"/>
          <w:color w:val="000000" w:themeColor="text1"/>
          <w:sz w:val="20"/>
          <w:szCs w:val="20"/>
        </w:rPr>
      </w:pPr>
    </w:p>
    <w:p w14:paraId="5874737F" w14:textId="77777777" w:rsidR="00FB75EB" w:rsidRPr="008412EA" w:rsidRDefault="00FB75EB" w:rsidP="008412EA">
      <w:pPr>
        <w:pStyle w:val="Textoindependiente"/>
        <w:rPr>
          <w:rFonts w:ascii="Times New Roman"/>
          <w:color w:val="000000" w:themeColor="text1"/>
          <w:sz w:val="20"/>
          <w:szCs w:val="20"/>
        </w:rPr>
      </w:pPr>
    </w:p>
    <w:p w14:paraId="08382E0B" w14:textId="6C6B7CE8" w:rsidR="00626850" w:rsidRPr="00626850" w:rsidRDefault="003954EE" w:rsidP="008412EA">
      <w:pPr>
        <w:pStyle w:val="Ttulo1"/>
        <w:spacing w:line="388" w:lineRule="auto"/>
        <w:ind w:right="5171"/>
        <w:jc w:val="right"/>
        <w:rPr>
          <w:color w:val="000000" w:themeColor="text1"/>
        </w:rPr>
      </w:pPr>
      <w:r w:rsidRPr="00626850">
        <w:rPr>
          <w:b w:val="0"/>
          <w:color w:val="000000" w:themeColor="text1"/>
        </w:rPr>
        <w:t xml:space="preserve">Bogotá D.C., </w:t>
      </w:r>
      <w:r w:rsidRPr="00626850">
        <w:rPr>
          <w:color w:val="000000" w:themeColor="text1"/>
        </w:rPr>
        <w:t xml:space="preserve">19/02/2020 Hora 10:38:50s </w:t>
      </w:r>
      <w:r w:rsidR="00382771" w:rsidRPr="00626850">
        <w:rPr>
          <w:color w:val="000000" w:themeColor="text1"/>
        </w:rPr>
        <w:t xml:space="preserve"> </w:t>
      </w:r>
      <w:r w:rsidR="00626850">
        <w:rPr>
          <w:color w:val="000000" w:themeColor="text1"/>
        </w:rPr>
        <w:t xml:space="preserve">  </w:t>
      </w:r>
    </w:p>
    <w:p w14:paraId="27CC498C" w14:textId="77777777" w:rsidR="00C21498" w:rsidRPr="00626850" w:rsidRDefault="00C21498" w:rsidP="00C21498">
      <w:pPr>
        <w:pStyle w:val="Ttulo1"/>
        <w:spacing w:before="93" w:line="389" w:lineRule="auto"/>
        <w:ind w:left="301" w:right="454"/>
        <w:jc w:val="right"/>
        <w:rPr>
          <w:color w:val="000000" w:themeColor="text1"/>
        </w:rPr>
      </w:pPr>
      <w:proofErr w:type="spellStart"/>
      <w:r w:rsidRPr="00626850">
        <w:rPr>
          <w:color w:val="000000" w:themeColor="text1"/>
        </w:rPr>
        <w:t>N°</w:t>
      </w:r>
      <w:proofErr w:type="spellEnd"/>
      <w:r w:rsidRPr="00626850">
        <w:rPr>
          <w:color w:val="000000" w:themeColor="text1"/>
        </w:rPr>
        <w:t xml:space="preserve"> Radicado: 2202013000001076</w:t>
      </w:r>
    </w:p>
    <w:p w14:paraId="23CB6EFB" w14:textId="77777777" w:rsidR="0096047A" w:rsidRPr="00626850" w:rsidRDefault="003954EE" w:rsidP="00EE6C2A">
      <w:pPr>
        <w:pStyle w:val="Textoindependiente"/>
        <w:ind w:left="301"/>
        <w:rPr>
          <w:color w:val="000000" w:themeColor="text1"/>
        </w:rPr>
      </w:pPr>
      <w:r w:rsidRPr="00626850">
        <w:rPr>
          <w:color w:val="000000" w:themeColor="text1"/>
        </w:rPr>
        <w:t>Señor</w:t>
      </w:r>
    </w:p>
    <w:p w14:paraId="4E6D47C8" w14:textId="77777777" w:rsidR="0096047A" w:rsidRPr="00626850" w:rsidRDefault="003954EE" w:rsidP="00EE6C2A">
      <w:pPr>
        <w:pStyle w:val="Ttulo1"/>
        <w:ind w:left="301"/>
        <w:rPr>
          <w:color w:val="000000" w:themeColor="text1"/>
        </w:rPr>
      </w:pPr>
      <w:r w:rsidRPr="00626850">
        <w:rPr>
          <w:color w:val="000000" w:themeColor="text1"/>
        </w:rPr>
        <w:t>Carlos Yezid Rozo Álvarez</w:t>
      </w:r>
    </w:p>
    <w:p w14:paraId="5167B120" w14:textId="77777777" w:rsidR="0096047A" w:rsidRPr="00626850" w:rsidRDefault="003954EE" w:rsidP="00EE6C2A">
      <w:pPr>
        <w:spacing w:line="355" w:lineRule="auto"/>
        <w:ind w:left="301" w:right="3548"/>
        <w:rPr>
          <w:b/>
          <w:color w:val="000000" w:themeColor="text1"/>
        </w:rPr>
      </w:pPr>
      <w:r w:rsidRPr="00626850">
        <w:rPr>
          <w:b/>
          <w:color w:val="000000" w:themeColor="text1"/>
        </w:rPr>
        <w:t>Universidad Distrital Francisco José de</w:t>
      </w:r>
      <w:r w:rsidRPr="00626850">
        <w:rPr>
          <w:b/>
          <w:color w:val="000000" w:themeColor="text1"/>
          <w:spacing w:val="-23"/>
        </w:rPr>
        <w:t xml:space="preserve"> </w:t>
      </w:r>
      <w:r w:rsidRPr="00626850">
        <w:rPr>
          <w:b/>
          <w:color w:val="000000" w:themeColor="text1"/>
        </w:rPr>
        <w:t>Caldas IDEXUD</w:t>
      </w:r>
    </w:p>
    <w:p w14:paraId="120300EE" w14:textId="77777777" w:rsidR="0096047A" w:rsidRPr="00626850" w:rsidRDefault="003954EE" w:rsidP="00EE6C2A">
      <w:pPr>
        <w:spacing w:line="252" w:lineRule="exact"/>
        <w:ind w:left="301"/>
        <w:rPr>
          <w:b/>
          <w:color w:val="000000" w:themeColor="text1"/>
        </w:rPr>
      </w:pPr>
      <w:r w:rsidRPr="00626850">
        <w:rPr>
          <w:b/>
          <w:color w:val="000000" w:themeColor="text1"/>
        </w:rPr>
        <w:t>Director</w:t>
      </w:r>
    </w:p>
    <w:p w14:paraId="184757F2" w14:textId="77777777" w:rsidR="0096047A" w:rsidRPr="00626850" w:rsidRDefault="003954EE" w:rsidP="00EE6C2A">
      <w:pPr>
        <w:pStyle w:val="Textoindependiente"/>
        <w:ind w:left="301"/>
        <w:rPr>
          <w:color w:val="000000" w:themeColor="text1"/>
        </w:rPr>
      </w:pPr>
      <w:r w:rsidRPr="00626850">
        <w:rPr>
          <w:color w:val="000000" w:themeColor="text1"/>
        </w:rPr>
        <w:t>Ciudad</w:t>
      </w:r>
    </w:p>
    <w:p w14:paraId="04059C36" w14:textId="77777777" w:rsidR="0096047A" w:rsidRPr="00626850" w:rsidRDefault="0096047A">
      <w:pPr>
        <w:pStyle w:val="Textoindependiente"/>
        <w:rPr>
          <w:color w:val="000000" w:themeColor="text1"/>
          <w:sz w:val="24"/>
        </w:rPr>
      </w:pPr>
    </w:p>
    <w:p w14:paraId="35EC8111" w14:textId="77777777" w:rsidR="0096047A" w:rsidRPr="00626850" w:rsidRDefault="003954EE">
      <w:pPr>
        <w:pStyle w:val="Ttulo1"/>
        <w:spacing w:before="1"/>
        <w:ind w:left="3301" w:right="3450"/>
        <w:jc w:val="center"/>
        <w:rPr>
          <w:color w:val="000000" w:themeColor="text1"/>
        </w:rPr>
      </w:pPr>
      <w:r w:rsidRPr="00626850">
        <w:rPr>
          <w:color w:val="000000" w:themeColor="text1"/>
        </w:rPr>
        <w:t>Concepto C ─ 076 de 2020</w:t>
      </w:r>
    </w:p>
    <w:p w14:paraId="699543AD" w14:textId="77777777" w:rsidR="0096047A" w:rsidRPr="00626850" w:rsidRDefault="0096047A">
      <w:pPr>
        <w:pStyle w:val="Textoindependiente"/>
        <w:rPr>
          <w:b/>
          <w:color w:val="000000" w:themeColor="text1"/>
          <w:sz w:val="20"/>
        </w:rPr>
      </w:pPr>
    </w:p>
    <w:p w14:paraId="1E522854" w14:textId="77777777" w:rsidR="0096047A" w:rsidRPr="00626850" w:rsidRDefault="0096047A">
      <w:pPr>
        <w:pStyle w:val="Textoindependiente"/>
        <w:rPr>
          <w:b/>
          <w:color w:val="000000" w:themeColor="text1"/>
          <w:sz w:val="14"/>
        </w:rPr>
      </w:pPr>
    </w:p>
    <w:tbl>
      <w:tblPr>
        <w:tblStyle w:val="NormalTable0"/>
        <w:tblW w:w="0" w:type="auto"/>
        <w:tblInd w:w="108" w:type="dxa"/>
        <w:tblLayout w:type="fixed"/>
        <w:tblLook w:val="01E0" w:firstRow="1" w:lastRow="1" w:firstColumn="1" w:lastColumn="1" w:noHBand="0" w:noVBand="0"/>
      </w:tblPr>
      <w:tblGrid>
        <w:gridCol w:w="2169"/>
        <w:gridCol w:w="7163"/>
      </w:tblGrid>
      <w:tr w:rsidR="00626850" w:rsidRPr="00626850" w14:paraId="215DCCD5" w14:textId="77777777">
        <w:trPr>
          <w:trHeight w:val="622"/>
        </w:trPr>
        <w:tc>
          <w:tcPr>
            <w:tcW w:w="2169" w:type="dxa"/>
          </w:tcPr>
          <w:p w14:paraId="50E1E83F" w14:textId="77777777" w:rsidR="0096047A" w:rsidRPr="00626850" w:rsidRDefault="003954EE">
            <w:pPr>
              <w:pStyle w:val="TableParagraph"/>
              <w:spacing w:line="246" w:lineRule="exact"/>
              <w:ind w:left="200"/>
              <w:rPr>
                <w:color w:val="000000" w:themeColor="text1"/>
              </w:rPr>
            </w:pPr>
            <w:r w:rsidRPr="00626850">
              <w:rPr>
                <w:b/>
                <w:color w:val="000000" w:themeColor="text1"/>
              </w:rPr>
              <w:t>Temas</w:t>
            </w:r>
            <w:r w:rsidRPr="00626850">
              <w:rPr>
                <w:color w:val="000000" w:themeColor="text1"/>
              </w:rPr>
              <w:t>:</w:t>
            </w:r>
          </w:p>
        </w:tc>
        <w:tc>
          <w:tcPr>
            <w:tcW w:w="7163" w:type="dxa"/>
          </w:tcPr>
          <w:p w14:paraId="0597888A" w14:textId="77777777" w:rsidR="0096047A" w:rsidRPr="00626850" w:rsidRDefault="003954EE">
            <w:pPr>
              <w:pStyle w:val="TableParagraph"/>
              <w:ind w:left="721" w:right="205"/>
              <w:rPr>
                <w:color w:val="000000" w:themeColor="text1"/>
              </w:rPr>
            </w:pPr>
            <w:r w:rsidRPr="00626850">
              <w:rPr>
                <w:color w:val="000000" w:themeColor="text1"/>
              </w:rPr>
              <w:t>PUBLICIDAD SECOP – Entidades de régimen especial – Documentos</w:t>
            </w:r>
          </w:p>
        </w:tc>
      </w:tr>
      <w:tr w:rsidR="0096047A" w:rsidRPr="00626850" w14:paraId="4BE9845E" w14:textId="77777777">
        <w:trPr>
          <w:trHeight w:val="621"/>
        </w:trPr>
        <w:tc>
          <w:tcPr>
            <w:tcW w:w="2169" w:type="dxa"/>
          </w:tcPr>
          <w:p w14:paraId="2687D1C9" w14:textId="77777777" w:rsidR="0096047A" w:rsidRPr="00626850" w:rsidRDefault="003954EE">
            <w:pPr>
              <w:pStyle w:val="TableParagraph"/>
              <w:spacing w:before="116"/>
              <w:ind w:left="200"/>
              <w:rPr>
                <w:b/>
                <w:color w:val="000000" w:themeColor="text1"/>
              </w:rPr>
            </w:pPr>
            <w:r w:rsidRPr="00626850">
              <w:rPr>
                <w:b/>
                <w:color w:val="000000" w:themeColor="text1"/>
              </w:rPr>
              <w:t>Radicación:</w:t>
            </w:r>
          </w:p>
        </w:tc>
        <w:tc>
          <w:tcPr>
            <w:tcW w:w="7163" w:type="dxa"/>
          </w:tcPr>
          <w:p w14:paraId="4387CDA8" w14:textId="77777777" w:rsidR="0096047A" w:rsidRPr="00626850" w:rsidRDefault="003954EE">
            <w:pPr>
              <w:pStyle w:val="TableParagraph"/>
              <w:tabs>
                <w:tab w:val="left" w:pos="2025"/>
                <w:tab w:val="left" w:pos="2397"/>
                <w:tab w:val="left" w:pos="2822"/>
                <w:tab w:val="left" w:pos="3892"/>
                <w:tab w:val="left" w:pos="4267"/>
                <w:tab w:val="left" w:pos="6473"/>
                <w:tab w:val="left" w:pos="6833"/>
              </w:tabs>
              <w:spacing w:before="121" w:line="252" w:lineRule="exact"/>
              <w:ind w:left="721" w:right="205"/>
              <w:rPr>
                <w:color w:val="000000" w:themeColor="text1"/>
              </w:rPr>
            </w:pPr>
            <w:r w:rsidRPr="00626850">
              <w:rPr>
                <w:color w:val="000000" w:themeColor="text1"/>
              </w:rPr>
              <w:t>Respuesta</w:t>
            </w:r>
            <w:r w:rsidRPr="00626850">
              <w:rPr>
                <w:color w:val="000000" w:themeColor="text1"/>
              </w:rPr>
              <w:tab/>
              <w:t>a</w:t>
            </w:r>
            <w:r w:rsidRPr="00626850">
              <w:rPr>
                <w:color w:val="000000" w:themeColor="text1"/>
              </w:rPr>
              <w:tab/>
              <w:t>la</w:t>
            </w:r>
            <w:r w:rsidRPr="00626850">
              <w:rPr>
                <w:color w:val="000000" w:themeColor="text1"/>
              </w:rPr>
              <w:tab/>
              <w:t>consulta</w:t>
            </w:r>
            <w:r w:rsidRPr="00626850">
              <w:rPr>
                <w:color w:val="000000" w:themeColor="text1"/>
              </w:rPr>
              <w:tab/>
              <w:t>#</w:t>
            </w:r>
            <w:r w:rsidRPr="00626850">
              <w:rPr>
                <w:color w:val="000000" w:themeColor="text1"/>
              </w:rPr>
              <w:tab/>
              <w:t>4202012000000538</w:t>
            </w:r>
            <w:r w:rsidRPr="00626850">
              <w:rPr>
                <w:color w:val="000000" w:themeColor="text1"/>
              </w:rPr>
              <w:tab/>
              <w:t>y</w:t>
            </w:r>
            <w:r w:rsidRPr="00626850">
              <w:rPr>
                <w:color w:val="000000" w:themeColor="text1"/>
              </w:rPr>
              <w:tab/>
            </w:r>
            <w:r w:rsidRPr="00626850">
              <w:rPr>
                <w:color w:val="000000" w:themeColor="text1"/>
                <w:spacing w:val="-18"/>
              </w:rPr>
              <w:t xml:space="preserve"># </w:t>
            </w:r>
            <w:r w:rsidRPr="00626850">
              <w:rPr>
                <w:color w:val="000000" w:themeColor="text1"/>
              </w:rPr>
              <w:t>4202012000000523</w:t>
            </w:r>
          </w:p>
        </w:tc>
      </w:tr>
    </w:tbl>
    <w:p w14:paraId="5887D7EC" w14:textId="77777777" w:rsidR="0096047A" w:rsidRPr="00626850" w:rsidRDefault="0096047A">
      <w:pPr>
        <w:pStyle w:val="Textoindependiente"/>
        <w:spacing w:before="8"/>
        <w:rPr>
          <w:b/>
          <w:color w:val="000000" w:themeColor="text1"/>
          <w:sz w:val="12"/>
        </w:rPr>
      </w:pPr>
    </w:p>
    <w:p w14:paraId="6E736767" w14:textId="77777777" w:rsidR="0096047A" w:rsidRPr="00626850" w:rsidRDefault="003954EE">
      <w:pPr>
        <w:pStyle w:val="Textoindependiente"/>
        <w:spacing w:before="93"/>
        <w:ind w:left="300"/>
        <w:jc w:val="both"/>
        <w:rPr>
          <w:color w:val="000000" w:themeColor="text1"/>
        </w:rPr>
      </w:pPr>
      <w:r w:rsidRPr="00626850">
        <w:rPr>
          <w:color w:val="000000" w:themeColor="text1"/>
        </w:rPr>
        <w:t>Estimado señor Rozo,</w:t>
      </w:r>
    </w:p>
    <w:p w14:paraId="5C52BF1F" w14:textId="77777777" w:rsidR="0096047A" w:rsidRPr="00626850" w:rsidRDefault="0096047A">
      <w:pPr>
        <w:pStyle w:val="Textoindependiente"/>
        <w:rPr>
          <w:color w:val="000000" w:themeColor="text1"/>
          <w:sz w:val="24"/>
        </w:rPr>
      </w:pPr>
    </w:p>
    <w:p w14:paraId="1EF8C8D8" w14:textId="77777777" w:rsidR="0096047A" w:rsidRPr="00626850" w:rsidRDefault="003954EE">
      <w:pPr>
        <w:pStyle w:val="Textoindependiente"/>
        <w:spacing w:line="276" w:lineRule="auto"/>
        <w:ind w:left="300" w:right="454"/>
        <w:jc w:val="both"/>
        <w:rPr>
          <w:color w:val="000000" w:themeColor="text1"/>
        </w:rPr>
      </w:pPr>
      <w:r w:rsidRPr="00626850">
        <w:rPr>
          <w:color w:val="000000" w:themeColor="text1"/>
        </w:rPr>
        <w:t>La Agencia Nacional de Contratación Pública ─Colombia Compra Eficiente responde su consulta del 14 de enero del 2020, en ejercicio de la competencia otorgada por el numeral 8 del artículo 11 y el numeral 5 del artículo 3 del Decreto Ley 4170 de</w:t>
      </w:r>
      <w:r w:rsidRPr="00626850">
        <w:rPr>
          <w:color w:val="000000" w:themeColor="text1"/>
          <w:spacing w:val="-35"/>
        </w:rPr>
        <w:t xml:space="preserve"> </w:t>
      </w:r>
      <w:r w:rsidRPr="00626850">
        <w:rPr>
          <w:color w:val="000000" w:themeColor="text1"/>
        </w:rPr>
        <w:t>2011.</w:t>
      </w:r>
    </w:p>
    <w:p w14:paraId="493DBE71" w14:textId="77777777" w:rsidR="0096047A" w:rsidRPr="00626850" w:rsidRDefault="0096047A">
      <w:pPr>
        <w:pStyle w:val="Textoindependiente"/>
        <w:spacing w:before="10"/>
        <w:rPr>
          <w:color w:val="000000" w:themeColor="text1"/>
          <w:sz w:val="35"/>
        </w:rPr>
      </w:pPr>
    </w:p>
    <w:p w14:paraId="60BFC2D3" w14:textId="77777777" w:rsidR="0096047A" w:rsidRPr="00626850" w:rsidRDefault="003954EE">
      <w:pPr>
        <w:pStyle w:val="Ttulo1"/>
        <w:numPr>
          <w:ilvl w:val="0"/>
          <w:numId w:val="1"/>
        </w:numPr>
        <w:tabs>
          <w:tab w:val="left" w:pos="586"/>
        </w:tabs>
        <w:ind w:hanging="286"/>
        <w:rPr>
          <w:color w:val="000000" w:themeColor="text1"/>
        </w:rPr>
      </w:pPr>
      <w:r w:rsidRPr="00626850">
        <w:rPr>
          <w:color w:val="000000" w:themeColor="text1"/>
        </w:rPr>
        <w:t>Problemas</w:t>
      </w:r>
      <w:r w:rsidRPr="00626850">
        <w:rPr>
          <w:color w:val="000000" w:themeColor="text1"/>
          <w:spacing w:val="-3"/>
        </w:rPr>
        <w:t xml:space="preserve"> </w:t>
      </w:r>
      <w:r w:rsidRPr="00626850">
        <w:rPr>
          <w:color w:val="000000" w:themeColor="text1"/>
        </w:rPr>
        <w:t>planteados</w:t>
      </w:r>
    </w:p>
    <w:p w14:paraId="5DFFB97E" w14:textId="77777777" w:rsidR="0096047A" w:rsidRPr="00626850" w:rsidRDefault="0096047A">
      <w:pPr>
        <w:pStyle w:val="Textoindependiente"/>
        <w:spacing w:before="4"/>
        <w:rPr>
          <w:b/>
          <w:color w:val="000000" w:themeColor="text1"/>
          <w:sz w:val="25"/>
        </w:rPr>
      </w:pPr>
    </w:p>
    <w:p w14:paraId="367BF569" w14:textId="77777777" w:rsidR="0096047A" w:rsidRPr="00626850" w:rsidRDefault="003954EE">
      <w:pPr>
        <w:pStyle w:val="Textoindependiente"/>
        <w:spacing w:line="276" w:lineRule="auto"/>
        <w:ind w:left="300" w:right="448"/>
        <w:jc w:val="both"/>
        <w:rPr>
          <w:color w:val="000000" w:themeColor="text1"/>
        </w:rPr>
      </w:pPr>
      <w:r w:rsidRPr="00626850">
        <w:rPr>
          <w:color w:val="000000" w:themeColor="text1"/>
        </w:rPr>
        <w:t>Usted, en calidad de director del Instituto de Extensión de la Universidad Distrital Francisco José de Caldas —IDEXUD—, solicita concepto sobre la obligación de la Universidad de publicar su actividad contractual en el SECOP. Señala que el IDEXUD no recibe recursos directos de la universidad y que es un proveedor de servicios, por lo que, antes que hacer erogaciones recibe dinero de parte de terceros por la prestación de servicios:</w:t>
      </w:r>
    </w:p>
    <w:p w14:paraId="48D3BD46" w14:textId="77777777" w:rsidR="0096047A" w:rsidRPr="00626850" w:rsidRDefault="003954EE">
      <w:pPr>
        <w:pStyle w:val="Textoindependiente"/>
        <w:spacing w:before="93"/>
        <w:ind w:left="1005" w:right="1014"/>
        <w:jc w:val="both"/>
        <w:rPr>
          <w:color w:val="000000" w:themeColor="text1"/>
        </w:rPr>
      </w:pPr>
      <w:r w:rsidRPr="00626850">
        <w:rPr>
          <w:color w:val="000000" w:themeColor="text1"/>
        </w:rPr>
        <w:t>«Dicho de otro modo, por la naturaleza del IDEXUD y sus relaciones contractuales, no implica la generación de gasto público de parte del instituto sino una administración con específica destinación para un objeto contractual, y el hacer un reporte de tales contratos, tanto de los que son con las entidades, como las de los contratistas que hacen parte de la ejecución del servicio, implica mal reportar hasta al nombre de la universidad. En conclusión, se solicita de manera respetuosa conceptuar al respecto del deber de transparencia que propende el SECOP II, si por el régimen especial universitario y la actividad de extensión resulte por el factor presupuestal del tercero, el deber del registro en la</w:t>
      </w:r>
      <w:r w:rsidRPr="00626850">
        <w:rPr>
          <w:color w:val="000000" w:themeColor="text1"/>
          <w:spacing w:val="-13"/>
        </w:rPr>
        <w:t xml:space="preserve"> </w:t>
      </w:r>
      <w:r w:rsidRPr="00626850">
        <w:rPr>
          <w:color w:val="000000" w:themeColor="text1"/>
        </w:rPr>
        <w:t>plataforma».</w:t>
      </w:r>
    </w:p>
    <w:p w14:paraId="7E110D61" w14:textId="77777777" w:rsidR="0096047A" w:rsidRPr="00626850" w:rsidRDefault="0096047A">
      <w:pPr>
        <w:pStyle w:val="Textoindependiente"/>
        <w:rPr>
          <w:color w:val="000000" w:themeColor="text1"/>
          <w:sz w:val="24"/>
        </w:rPr>
      </w:pPr>
    </w:p>
    <w:p w14:paraId="6F3B321B" w14:textId="77777777" w:rsidR="0096047A" w:rsidRPr="00626850" w:rsidRDefault="0096047A">
      <w:pPr>
        <w:pStyle w:val="Textoindependiente"/>
        <w:spacing w:before="10"/>
        <w:rPr>
          <w:color w:val="000000" w:themeColor="text1"/>
          <w:sz w:val="18"/>
        </w:rPr>
      </w:pPr>
    </w:p>
    <w:p w14:paraId="4CFE16FD" w14:textId="77777777" w:rsidR="0096047A" w:rsidRPr="00626850" w:rsidRDefault="003954EE">
      <w:pPr>
        <w:pStyle w:val="Textoindependiente"/>
        <w:spacing w:line="276" w:lineRule="auto"/>
        <w:ind w:left="300" w:right="454" w:firstLine="704"/>
        <w:jc w:val="both"/>
        <w:rPr>
          <w:color w:val="000000" w:themeColor="text1"/>
        </w:rPr>
      </w:pPr>
      <w:r w:rsidRPr="00626850">
        <w:rPr>
          <w:color w:val="000000" w:themeColor="text1"/>
        </w:rPr>
        <w:t>A partir de lo planteado en su consulta, la Subdirección de Gestión Contractual abordará el estudio de la publicidad en el SECOP y la obligación de las entidades de dar publicidad a su actividad contractual.</w:t>
      </w:r>
    </w:p>
    <w:p w14:paraId="4AC4D861" w14:textId="77777777" w:rsidR="0096047A" w:rsidRPr="00626850" w:rsidRDefault="0096047A">
      <w:pPr>
        <w:pStyle w:val="Textoindependiente"/>
        <w:rPr>
          <w:color w:val="000000" w:themeColor="text1"/>
          <w:sz w:val="24"/>
        </w:rPr>
      </w:pPr>
    </w:p>
    <w:p w14:paraId="34FCF2D8" w14:textId="77777777" w:rsidR="0096047A" w:rsidRPr="00626850" w:rsidRDefault="003954EE">
      <w:pPr>
        <w:pStyle w:val="Ttulo1"/>
        <w:numPr>
          <w:ilvl w:val="0"/>
          <w:numId w:val="1"/>
        </w:numPr>
        <w:tabs>
          <w:tab w:val="left" w:pos="586"/>
        </w:tabs>
        <w:ind w:hanging="286"/>
        <w:rPr>
          <w:color w:val="000000" w:themeColor="text1"/>
        </w:rPr>
      </w:pPr>
      <w:r w:rsidRPr="00626850">
        <w:rPr>
          <w:color w:val="000000" w:themeColor="text1"/>
        </w:rPr>
        <w:t>Consideraciones</w:t>
      </w:r>
    </w:p>
    <w:p w14:paraId="18FFF807" w14:textId="77777777" w:rsidR="0096047A" w:rsidRPr="00626850" w:rsidRDefault="0096047A">
      <w:pPr>
        <w:pStyle w:val="Textoindependiente"/>
        <w:spacing w:before="3"/>
        <w:rPr>
          <w:b/>
          <w:color w:val="000000" w:themeColor="text1"/>
          <w:sz w:val="25"/>
        </w:rPr>
      </w:pPr>
    </w:p>
    <w:p w14:paraId="1EE2AF5E" w14:textId="2D2375B0" w:rsidR="0096047A" w:rsidRPr="00626850" w:rsidRDefault="003954EE" w:rsidP="00A5432D">
      <w:pPr>
        <w:pStyle w:val="Textoindependiente"/>
        <w:spacing w:before="1" w:line="276" w:lineRule="auto"/>
        <w:ind w:left="300" w:right="450"/>
        <w:jc w:val="both"/>
        <w:rPr>
          <w:color w:val="000000" w:themeColor="text1"/>
        </w:rPr>
      </w:pPr>
      <w:r w:rsidRPr="00626850">
        <w:rPr>
          <w:color w:val="000000" w:themeColor="text1"/>
        </w:rPr>
        <w:t>La Agencia Nacional de Contratación Pública estudió por primera vez este tema en la consulta No. 4201913000005397 del 9 de agosto de 2019 y reiteró la posición en las siguientes consultas: 4201912000006611 del 25 de septiembre de 2019,</w:t>
      </w:r>
      <w:r w:rsidR="00A5432D" w:rsidRPr="00626850">
        <w:rPr>
          <w:color w:val="000000" w:themeColor="text1"/>
        </w:rPr>
        <w:t xml:space="preserve"> </w:t>
      </w:r>
      <w:r w:rsidRPr="00626850">
        <w:rPr>
          <w:color w:val="000000" w:themeColor="text1"/>
        </w:rPr>
        <w:t>4201913000006847 del 4 de octubre de 2019, 4201912000007762 del 18 de noviembre de 2019, y finalmente en la consulta 4201912000007828 del 13 de noviembre de 2019. Todos los criterios en torno al tema planteado fueron recogidos y unificados en el concepto 4201912000008073 y 420201200000029, bajo el número interno CU-003 de 2020. La tesis acogida en estas consultas es la que a continuación se expone.</w:t>
      </w:r>
    </w:p>
    <w:p w14:paraId="1B8DA4A9" w14:textId="77777777" w:rsidR="0096047A" w:rsidRPr="00626850" w:rsidRDefault="0096047A">
      <w:pPr>
        <w:pStyle w:val="Textoindependiente"/>
        <w:spacing w:before="1"/>
        <w:rPr>
          <w:color w:val="000000" w:themeColor="text1"/>
        </w:rPr>
      </w:pPr>
    </w:p>
    <w:p w14:paraId="23F29E78" w14:textId="77777777" w:rsidR="0096047A" w:rsidRPr="00626850" w:rsidRDefault="003954EE">
      <w:pPr>
        <w:pStyle w:val="Ttulo1"/>
        <w:numPr>
          <w:ilvl w:val="1"/>
          <w:numId w:val="1"/>
        </w:numPr>
        <w:tabs>
          <w:tab w:val="left" w:pos="743"/>
        </w:tabs>
        <w:spacing w:before="1"/>
        <w:rPr>
          <w:color w:val="000000" w:themeColor="text1"/>
        </w:rPr>
      </w:pPr>
      <w:r w:rsidRPr="00626850">
        <w:rPr>
          <w:color w:val="000000" w:themeColor="text1"/>
        </w:rPr>
        <w:t>Publicidad</w:t>
      </w:r>
      <w:r w:rsidRPr="00626850">
        <w:rPr>
          <w:color w:val="000000" w:themeColor="text1"/>
          <w:spacing w:val="13"/>
        </w:rPr>
        <w:t xml:space="preserve"> </w:t>
      </w:r>
      <w:r w:rsidRPr="00626850">
        <w:rPr>
          <w:color w:val="000000" w:themeColor="text1"/>
        </w:rPr>
        <w:t>de</w:t>
      </w:r>
      <w:r w:rsidRPr="00626850">
        <w:rPr>
          <w:color w:val="000000" w:themeColor="text1"/>
          <w:spacing w:val="13"/>
        </w:rPr>
        <w:t xml:space="preserve"> </w:t>
      </w:r>
      <w:r w:rsidRPr="00626850">
        <w:rPr>
          <w:color w:val="000000" w:themeColor="text1"/>
        </w:rPr>
        <w:t>los</w:t>
      </w:r>
      <w:r w:rsidRPr="00626850">
        <w:rPr>
          <w:color w:val="000000" w:themeColor="text1"/>
          <w:spacing w:val="14"/>
        </w:rPr>
        <w:t xml:space="preserve"> </w:t>
      </w:r>
      <w:r w:rsidRPr="00626850">
        <w:rPr>
          <w:color w:val="000000" w:themeColor="text1"/>
        </w:rPr>
        <w:t>contratos</w:t>
      </w:r>
      <w:r w:rsidRPr="00626850">
        <w:rPr>
          <w:color w:val="000000" w:themeColor="text1"/>
          <w:spacing w:val="13"/>
        </w:rPr>
        <w:t xml:space="preserve"> </w:t>
      </w:r>
      <w:r w:rsidRPr="00626850">
        <w:rPr>
          <w:color w:val="000000" w:themeColor="text1"/>
        </w:rPr>
        <w:t>en</w:t>
      </w:r>
      <w:r w:rsidRPr="00626850">
        <w:rPr>
          <w:color w:val="000000" w:themeColor="text1"/>
          <w:spacing w:val="14"/>
        </w:rPr>
        <w:t xml:space="preserve"> </w:t>
      </w:r>
      <w:r w:rsidRPr="00626850">
        <w:rPr>
          <w:color w:val="000000" w:themeColor="text1"/>
        </w:rPr>
        <w:t>el</w:t>
      </w:r>
      <w:r w:rsidRPr="00626850">
        <w:rPr>
          <w:color w:val="000000" w:themeColor="text1"/>
          <w:spacing w:val="12"/>
        </w:rPr>
        <w:t xml:space="preserve"> </w:t>
      </w:r>
      <w:r w:rsidRPr="00626850">
        <w:rPr>
          <w:color w:val="000000" w:themeColor="text1"/>
        </w:rPr>
        <w:t>Sistema</w:t>
      </w:r>
      <w:r w:rsidRPr="00626850">
        <w:rPr>
          <w:color w:val="000000" w:themeColor="text1"/>
          <w:spacing w:val="16"/>
        </w:rPr>
        <w:t xml:space="preserve"> </w:t>
      </w:r>
      <w:r w:rsidRPr="00626850">
        <w:rPr>
          <w:color w:val="000000" w:themeColor="text1"/>
        </w:rPr>
        <w:t>Electrónico</w:t>
      </w:r>
      <w:r w:rsidRPr="00626850">
        <w:rPr>
          <w:color w:val="000000" w:themeColor="text1"/>
          <w:spacing w:val="13"/>
        </w:rPr>
        <w:t xml:space="preserve"> </w:t>
      </w:r>
      <w:r w:rsidRPr="00626850">
        <w:rPr>
          <w:color w:val="000000" w:themeColor="text1"/>
        </w:rPr>
        <w:t>de</w:t>
      </w:r>
      <w:r w:rsidRPr="00626850">
        <w:rPr>
          <w:color w:val="000000" w:themeColor="text1"/>
          <w:spacing w:val="14"/>
        </w:rPr>
        <w:t xml:space="preserve"> </w:t>
      </w:r>
      <w:r w:rsidRPr="00626850">
        <w:rPr>
          <w:color w:val="000000" w:themeColor="text1"/>
        </w:rPr>
        <w:t>Contratación</w:t>
      </w:r>
      <w:r w:rsidRPr="00626850">
        <w:rPr>
          <w:color w:val="000000" w:themeColor="text1"/>
          <w:spacing w:val="14"/>
        </w:rPr>
        <w:t xml:space="preserve"> </w:t>
      </w:r>
      <w:r w:rsidRPr="00626850">
        <w:rPr>
          <w:color w:val="000000" w:themeColor="text1"/>
        </w:rPr>
        <w:t>Pública</w:t>
      </w:r>
    </w:p>
    <w:p w14:paraId="2DB6287A" w14:textId="77777777" w:rsidR="0096047A" w:rsidRPr="00626850" w:rsidRDefault="003954EE">
      <w:pPr>
        <w:spacing w:before="37"/>
        <w:ind w:left="300"/>
        <w:rPr>
          <w:b/>
          <w:color w:val="000000" w:themeColor="text1"/>
        </w:rPr>
      </w:pPr>
      <w:r w:rsidRPr="00626850">
        <w:rPr>
          <w:b/>
          <w:color w:val="000000" w:themeColor="text1"/>
        </w:rPr>
        <w:t>–SECOP–</w:t>
      </w:r>
    </w:p>
    <w:p w14:paraId="4B0483B0" w14:textId="77777777" w:rsidR="0096047A" w:rsidRPr="00626850" w:rsidRDefault="0096047A">
      <w:pPr>
        <w:pStyle w:val="Textoindependiente"/>
        <w:spacing w:before="6"/>
        <w:rPr>
          <w:b/>
          <w:color w:val="000000" w:themeColor="text1"/>
          <w:sz w:val="25"/>
        </w:rPr>
      </w:pPr>
    </w:p>
    <w:p w14:paraId="0A185F71" w14:textId="039C6426" w:rsidR="0096047A" w:rsidRPr="00626850" w:rsidRDefault="003954EE" w:rsidP="000F4578">
      <w:pPr>
        <w:pStyle w:val="Textoindependiente"/>
        <w:spacing w:line="276" w:lineRule="auto"/>
        <w:ind w:left="300" w:right="448"/>
        <w:jc w:val="both"/>
        <w:rPr>
          <w:color w:val="000000" w:themeColor="text1"/>
          <w:sz w:val="9"/>
        </w:rPr>
      </w:pPr>
      <w:r w:rsidRPr="00626850">
        <w:rPr>
          <w:color w:val="000000" w:themeColor="text1"/>
        </w:rPr>
        <w:t>Para la Corte Constitucional, el principio de publicidad es la garantía que tienen las personas de conocer las actuaciones judiciales y administrativas y con base en ese conocimiento tener la posibilidad de exigir que se surtan conforme a la ley:</w:t>
      </w:r>
    </w:p>
    <w:p w14:paraId="64121F02" w14:textId="77777777" w:rsidR="0096047A" w:rsidRPr="00626850" w:rsidRDefault="003954EE">
      <w:pPr>
        <w:spacing w:before="93"/>
        <w:ind w:left="1010" w:right="1158"/>
        <w:jc w:val="both"/>
        <w:rPr>
          <w:color w:val="000000" w:themeColor="text1"/>
          <w:sz w:val="21"/>
        </w:rPr>
      </w:pPr>
      <w:r w:rsidRPr="00626850">
        <w:rPr>
          <w:color w:val="000000" w:themeColor="text1"/>
          <w:sz w:val="21"/>
        </w:rPr>
        <w:t>El principio de publicidad se encuentra consagrado en el artículo 209 de la Constitución Política, que señala que la función administrativa está al servicio de los intereses generales y se desarrolla con fundamento entre otros, en el</w:t>
      </w:r>
    </w:p>
    <w:p w14:paraId="263C68F8" w14:textId="77777777" w:rsidR="0096047A" w:rsidRPr="00626850" w:rsidRDefault="003954EE">
      <w:pPr>
        <w:spacing w:line="240" w:lineRule="exact"/>
        <w:ind w:left="1010"/>
        <w:jc w:val="both"/>
        <w:rPr>
          <w:color w:val="000000" w:themeColor="text1"/>
          <w:sz w:val="21"/>
        </w:rPr>
      </w:pPr>
      <w:r w:rsidRPr="00626850">
        <w:rPr>
          <w:color w:val="000000" w:themeColor="text1"/>
          <w:sz w:val="21"/>
        </w:rPr>
        <w:t>«principio de publicidad», el cual se evidencia en dos dimensiones.</w:t>
      </w:r>
    </w:p>
    <w:p w14:paraId="1B2F2D99" w14:textId="77777777" w:rsidR="0096047A" w:rsidRPr="00626850" w:rsidRDefault="0096047A">
      <w:pPr>
        <w:pStyle w:val="Textoindependiente"/>
        <w:spacing w:before="1"/>
        <w:rPr>
          <w:color w:val="000000" w:themeColor="text1"/>
          <w:sz w:val="20"/>
        </w:rPr>
      </w:pPr>
    </w:p>
    <w:p w14:paraId="7BF511E2" w14:textId="0995B82E" w:rsidR="0096047A" w:rsidRPr="00626850" w:rsidRDefault="003954EE">
      <w:pPr>
        <w:ind w:left="1010" w:right="1158"/>
        <w:jc w:val="both"/>
        <w:rPr>
          <w:color w:val="000000" w:themeColor="text1"/>
          <w:sz w:val="21"/>
        </w:rPr>
      </w:pPr>
      <w:r w:rsidRPr="00626850">
        <w:rPr>
          <w:color w:val="000000" w:themeColor="text1"/>
          <w:sz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626850">
        <w:rPr>
          <w:color w:val="000000" w:themeColor="text1"/>
          <w:sz w:val="21"/>
        </w:rPr>
        <w:t>autoridades públicas</w:t>
      </w:r>
      <w:proofErr w:type="gramEnd"/>
      <w:r w:rsidRPr="00626850">
        <w:rPr>
          <w:color w:val="000000" w:themeColor="text1"/>
          <w:sz w:val="21"/>
        </w:rPr>
        <w:t xml:space="preserve"> y, a través de ese conocimiento, a exigir que ellas se surtan conforme a la</w:t>
      </w:r>
      <w:r w:rsidRPr="00626850">
        <w:rPr>
          <w:color w:val="000000" w:themeColor="text1"/>
          <w:spacing w:val="-9"/>
          <w:sz w:val="21"/>
        </w:rPr>
        <w:t xml:space="preserve"> </w:t>
      </w:r>
      <w:r w:rsidRPr="00626850">
        <w:rPr>
          <w:color w:val="000000" w:themeColor="text1"/>
          <w:sz w:val="21"/>
        </w:rPr>
        <w:t>ley</w:t>
      </w:r>
      <w:r w:rsidR="00A5432D" w:rsidRPr="00626850">
        <w:rPr>
          <w:rStyle w:val="Refdenotaalpie"/>
          <w:color w:val="000000" w:themeColor="text1"/>
          <w:sz w:val="21"/>
        </w:rPr>
        <w:footnoteReference w:id="1"/>
      </w:r>
      <w:r w:rsidRPr="00626850">
        <w:rPr>
          <w:color w:val="000000" w:themeColor="text1"/>
          <w:sz w:val="21"/>
        </w:rPr>
        <w:t>.</w:t>
      </w:r>
    </w:p>
    <w:p w14:paraId="03BBFA00" w14:textId="77777777" w:rsidR="0096047A" w:rsidRPr="00626850" w:rsidRDefault="0096047A">
      <w:pPr>
        <w:pStyle w:val="Textoindependiente"/>
        <w:rPr>
          <w:color w:val="000000" w:themeColor="text1"/>
          <w:sz w:val="24"/>
        </w:rPr>
      </w:pPr>
    </w:p>
    <w:p w14:paraId="0C7A7660" w14:textId="77777777" w:rsidR="0096047A" w:rsidRPr="00626850" w:rsidRDefault="003954EE">
      <w:pPr>
        <w:pStyle w:val="Textoindependiente"/>
        <w:spacing w:before="1" w:line="276" w:lineRule="auto"/>
        <w:ind w:left="300" w:right="450" w:firstLine="709"/>
        <w:jc w:val="both"/>
        <w:rPr>
          <w:color w:val="000000" w:themeColor="text1"/>
        </w:rPr>
      </w:pPr>
      <w:r w:rsidRPr="00626850">
        <w:rPr>
          <w:color w:val="000000" w:themeColor="text1"/>
        </w:rPr>
        <w:t>El principio de publicidad impone a las autoridades administrativas el deber de dar a conocer sus actos, contratos y decisiones, para que se divulguen y eventualmente se controlen las actuaciones.</w:t>
      </w:r>
    </w:p>
    <w:p w14:paraId="511C0549" w14:textId="24B32A7D" w:rsidR="0096047A" w:rsidRPr="00626850" w:rsidRDefault="003954EE">
      <w:pPr>
        <w:pStyle w:val="Textoindependiente"/>
        <w:spacing w:before="122" w:line="273" w:lineRule="auto"/>
        <w:ind w:left="300" w:right="445" w:firstLine="709"/>
        <w:jc w:val="both"/>
        <w:rPr>
          <w:color w:val="000000" w:themeColor="text1"/>
        </w:rPr>
      </w:pPr>
      <w:r w:rsidRPr="00626850">
        <w:rPr>
          <w:color w:val="000000" w:themeColor="text1"/>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00A5432D" w:rsidRPr="00626850">
        <w:rPr>
          <w:rStyle w:val="Refdenotaalpie"/>
          <w:color w:val="000000" w:themeColor="text1"/>
        </w:rPr>
        <w:footnoteReference w:id="2"/>
      </w:r>
      <w:r w:rsidRPr="00626850">
        <w:rPr>
          <w:color w:val="000000" w:themeColor="text1"/>
        </w:rPr>
        <w:t>.</w:t>
      </w:r>
    </w:p>
    <w:p w14:paraId="1D574C8A" w14:textId="7788E9A6" w:rsidR="0096047A" w:rsidRPr="00626850" w:rsidRDefault="003954EE" w:rsidP="00A67C62">
      <w:pPr>
        <w:pStyle w:val="Textoindependiente"/>
        <w:spacing w:before="124" w:line="276" w:lineRule="auto"/>
        <w:ind w:left="300" w:right="443" w:firstLine="709"/>
        <w:jc w:val="both"/>
        <w:rPr>
          <w:color w:val="000000" w:themeColor="text1"/>
        </w:rPr>
      </w:pPr>
      <w:r w:rsidRPr="00626850">
        <w:rPr>
          <w:color w:val="000000" w:themeColor="text1"/>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w:t>
      </w:r>
      <w:r w:rsidR="000F4578" w:rsidRPr="00626850">
        <w:rPr>
          <w:color w:val="000000" w:themeColor="text1"/>
        </w:rPr>
        <w:t xml:space="preserve"> </w:t>
      </w:r>
      <w:r w:rsidRPr="00626850">
        <w:rPr>
          <w:color w:val="000000" w:themeColor="text1"/>
        </w:rPr>
        <w:t>sino por disposición constitucional o legal»</w:t>
      </w:r>
      <w:r w:rsidR="00CD5D98" w:rsidRPr="00626850">
        <w:rPr>
          <w:rStyle w:val="Refdenotaalpie"/>
          <w:color w:val="000000" w:themeColor="text1"/>
        </w:rPr>
        <w:footnoteReference w:id="3"/>
      </w:r>
      <w:r w:rsidRPr="00626850">
        <w:rPr>
          <w:color w:val="000000" w:themeColor="text1"/>
        </w:rPr>
        <w:t>. El principio de transparencia en la información alude al deber de los sujetos de proporcionar y facilitar el acceso a la misma en los términos más amplios posibles, y a través de los medios y procedimientos que establezca la ley.</w:t>
      </w:r>
    </w:p>
    <w:p w14:paraId="392007CD" w14:textId="2F54C1C1" w:rsidR="0096047A" w:rsidRPr="00626850" w:rsidRDefault="003954EE">
      <w:pPr>
        <w:pStyle w:val="Textoindependiente"/>
        <w:spacing w:before="119" w:line="273" w:lineRule="auto"/>
        <w:ind w:left="300" w:right="447" w:firstLine="709"/>
        <w:jc w:val="both"/>
        <w:rPr>
          <w:color w:val="000000" w:themeColor="text1"/>
        </w:rPr>
      </w:pPr>
      <w:r w:rsidRPr="00626850">
        <w:rPr>
          <w:color w:val="000000" w:themeColor="text1"/>
        </w:rPr>
        <w:t>La ley citada establece, en el literal e) del artículo 9, que los sujetos obligados, que son todas las entidades públicas</w:t>
      </w:r>
      <w:r w:rsidR="00CD5D98" w:rsidRPr="00626850">
        <w:rPr>
          <w:rStyle w:val="Refdenotaalpie"/>
          <w:color w:val="000000" w:themeColor="text1"/>
        </w:rPr>
        <w:footnoteReference w:id="4"/>
      </w:r>
      <w:r w:rsidRPr="00626850">
        <w:rPr>
          <w:color w:val="000000" w:themeColor="text1"/>
        </w:rPr>
        <w:t>, deben publicar la información relativa a su contratación. Esta obligación fue desarrollada por el Decreto Único Reglamentario 1081 de 2015</w:t>
      </w:r>
      <w:r w:rsidR="00CD5D98" w:rsidRPr="00626850">
        <w:rPr>
          <w:rStyle w:val="Refdenotaalpie"/>
          <w:color w:val="000000" w:themeColor="text1"/>
        </w:rPr>
        <w:footnoteReference w:id="5"/>
      </w:r>
      <w:r w:rsidRPr="00626850">
        <w:rPr>
          <w:color w:val="000000" w:themeColor="text1"/>
        </w:rPr>
        <w:t>, el cual dispuso que la publicación de la información contractual de los sujetos obligados, que contratan con cargo a recursos públicos, debe hacerse en el Sistema Electrónico de Contratación Pública ─</w:t>
      </w:r>
      <w:r w:rsidRPr="00626850">
        <w:rPr>
          <w:color w:val="000000" w:themeColor="text1"/>
          <w:spacing w:val="-6"/>
        </w:rPr>
        <w:t xml:space="preserve"> </w:t>
      </w:r>
      <w:r w:rsidRPr="00626850">
        <w:rPr>
          <w:color w:val="000000" w:themeColor="text1"/>
        </w:rPr>
        <w:t>SECOP.</w:t>
      </w:r>
    </w:p>
    <w:p w14:paraId="1CD809C2" w14:textId="77777777" w:rsidR="0096047A" w:rsidRPr="00626850" w:rsidRDefault="003954EE">
      <w:pPr>
        <w:pStyle w:val="Textoindependiente"/>
        <w:spacing w:before="125" w:line="276" w:lineRule="auto"/>
        <w:ind w:left="300" w:right="450" w:firstLine="709"/>
        <w:jc w:val="both"/>
        <w:rPr>
          <w:color w:val="000000" w:themeColor="text1"/>
        </w:rPr>
      </w:pPr>
      <w:r w:rsidRPr="00626850">
        <w:rPr>
          <w:color w:val="000000" w:themeColor="text1"/>
        </w:rPr>
        <w:lastRenderedPageBreak/>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14:paraId="26FB197E" w14:textId="1A126350" w:rsidR="0096047A" w:rsidRPr="00626850" w:rsidRDefault="003954EE">
      <w:pPr>
        <w:pStyle w:val="Textoindependiente"/>
        <w:spacing w:before="121" w:line="273" w:lineRule="auto"/>
        <w:ind w:left="300" w:right="453" w:firstLine="709"/>
        <w:jc w:val="both"/>
        <w:rPr>
          <w:color w:val="000000" w:themeColor="text1"/>
        </w:rPr>
      </w:pPr>
      <w:r w:rsidRPr="00626850">
        <w:rPr>
          <w:color w:val="000000" w:themeColor="text1"/>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00CD5D98" w:rsidRPr="00626850">
        <w:rPr>
          <w:rStyle w:val="Refdenotaalpie"/>
          <w:color w:val="000000" w:themeColor="text1"/>
        </w:rPr>
        <w:footnoteReference w:id="6"/>
      </w:r>
      <w:r w:rsidRPr="00626850">
        <w:rPr>
          <w:color w:val="000000" w:themeColor="text1"/>
        </w:rPr>
        <w:t>.</w:t>
      </w:r>
    </w:p>
    <w:p w14:paraId="4397668D" w14:textId="02361F26" w:rsidR="0096047A" w:rsidRPr="00626850" w:rsidRDefault="003954EE" w:rsidP="00CD5D98">
      <w:pPr>
        <w:pStyle w:val="Textoindependiente"/>
        <w:spacing w:before="127" w:line="276" w:lineRule="auto"/>
        <w:ind w:left="300" w:right="447" w:firstLine="709"/>
        <w:jc w:val="both"/>
        <w:rPr>
          <w:color w:val="000000" w:themeColor="text1"/>
        </w:rPr>
      </w:pPr>
      <w:r w:rsidRPr="00626850">
        <w:rPr>
          <w:color w:val="000000" w:themeColor="text1"/>
        </w:rPr>
        <w:t>Para el año 2013, la Agencia Nacional de Contratación Pública ─ Colombia Compra Eficiente, mediante la mediante la Circular Externa No 1 del 21 de junio de 2013, recopilada en la Circular Externa Única, recordó a todas las entidades del Estado el deber</w:t>
      </w:r>
      <w:r w:rsidR="00CD5D98" w:rsidRPr="00626850">
        <w:rPr>
          <w:color w:val="000000" w:themeColor="text1"/>
        </w:rPr>
        <w:t xml:space="preserve"> </w:t>
      </w:r>
      <w:r w:rsidRPr="00626850">
        <w:rPr>
          <w:color w:val="000000" w:themeColor="text1"/>
        </w:rPr>
        <w:t>de publicar oportunamente su actividad contractual en el SECOP, sin distinción de su régimen jurídico, naturaleza jurídica o la pertenencia a una u otra rama del poder público</w:t>
      </w:r>
      <w:r w:rsidR="003E7405" w:rsidRPr="00626850">
        <w:rPr>
          <w:rStyle w:val="Refdenotaalpie"/>
          <w:color w:val="000000" w:themeColor="text1"/>
        </w:rPr>
        <w:footnoteReference w:id="7"/>
      </w:r>
      <w:r w:rsidRPr="00626850">
        <w:rPr>
          <w:color w:val="000000" w:themeColor="text1"/>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2245FF06" w14:textId="77777777" w:rsidR="0096047A" w:rsidRPr="00626850" w:rsidRDefault="003954EE">
      <w:pPr>
        <w:pStyle w:val="Textoindependiente"/>
        <w:spacing w:before="113" w:line="276" w:lineRule="auto"/>
        <w:ind w:left="300" w:right="452" w:firstLine="709"/>
        <w:jc w:val="both"/>
        <w:rPr>
          <w:color w:val="000000" w:themeColor="text1"/>
        </w:rPr>
      </w:pPr>
      <w:r w:rsidRPr="00626850">
        <w:rPr>
          <w:color w:val="000000" w:themeColor="text1"/>
        </w:rPr>
        <w:t>El debate sobre la obligatoriedad o no de publicar en el SECOP, para las entidades con régimen especial de contratación, ya fue definido, al menos de manera preliminar, por el Consejo de Estado. La Sección Tercera expresó que la obligación prevista en la Circular Externa No. 1 se ajusta a la normativa</w:t>
      </w:r>
      <w:r w:rsidRPr="00626850">
        <w:rPr>
          <w:color w:val="000000" w:themeColor="text1"/>
          <w:spacing w:val="-13"/>
        </w:rPr>
        <w:t xml:space="preserve"> </w:t>
      </w:r>
      <w:r w:rsidRPr="00626850">
        <w:rPr>
          <w:color w:val="000000" w:themeColor="text1"/>
        </w:rPr>
        <w:t>superior:</w:t>
      </w:r>
    </w:p>
    <w:p w14:paraId="72554DD0" w14:textId="77777777" w:rsidR="0096047A" w:rsidRPr="00626850" w:rsidRDefault="0096047A">
      <w:pPr>
        <w:pStyle w:val="Textoindependiente"/>
        <w:rPr>
          <w:color w:val="000000" w:themeColor="text1"/>
          <w:sz w:val="24"/>
        </w:rPr>
      </w:pPr>
    </w:p>
    <w:p w14:paraId="4D970D16" w14:textId="77777777" w:rsidR="0096047A" w:rsidRPr="00626850" w:rsidRDefault="0096047A">
      <w:pPr>
        <w:pStyle w:val="Textoindependiente"/>
        <w:spacing w:before="3"/>
        <w:rPr>
          <w:color w:val="000000" w:themeColor="text1"/>
        </w:rPr>
      </w:pPr>
    </w:p>
    <w:p w14:paraId="36DDEDD1" w14:textId="77777777" w:rsidR="0096047A" w:rsidRPr="00626850" w:rsidRDefault="003954EE">
      <w:pPr>
        <w:ind w:left="1010" w:right="1156"/>
        <w:jc w:val="both"/>
        <w:rPr>
          <w:color w:val="000000" w:themeColor="text1"/>
          <w:sz w:val="21"/>
        </w:rPr>
      </w:pPr>
      <w:r w:rsidRPr="00626850">
        <w:rPr>
          <w:color w:val="000000" w:themeColor="text1"/>
          <w:sz w:val="21"/>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7AF9492F" w14:textId="77777777" w:rsidR="0096047A" w:rsidRPr="00626850" w:rsidRDefault="0096047A">
      <w:pPr>
        <w:pStyle w:val="Textoindependiente"/>
        <w:rPr>
          <w:color w:val="000000" w:themeColor="text1"/>
        </w:rPr>
      </w:pPr>
    </w:p>
    <w:p w14:paraId="48797D3F" w14:textId="77777777" w:rsidR="0096047A" w:rsidRPr="00626850" w:rsidRDefault="0096047A">
      <w:pPr>
        <w:pStyle w:val="Textoindependiente"/>
        <w:spacing w:before="11"/>
        <w:rPr>
          <w:color w:val="000000" w:themeColor="text1"/>
          <w:sz w:val="19"/>
        </w:rPr>
      </w:pPr>
    </w:p>
    <w:p w14:paraId="77C6A663" w14:textId="77777777" w:rsidR="0096047A" w:rsidRPr="00626850" w:rsidRDefault="003954EE">
      <w:pPr>
        <w:ind w:left="1010" w:right="1156"/>
        <w:jc w:val="both"/>
        <w:rPr>
          <w:color w:val="000000" w:themeColor="text1"/>
          <w:sz w:val="21"/>
        </w:rPr>
      </w:pPr>
      <w:r w:rsidRPr="00626850">
        <w:rPr>
          <w:color w:val="000000" w:themeColor="text1"/>
          <w:sz w:val="21"/>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626850">
        <w:rPr>
          <w:color w:val="000000" w:themeColor="text1"/>
          <w:sz w:val="21"/>
        </w:rPr>
        <w:t>en razón de</w:t>
      </w:r>
      <w:proofErr w:type="gramEnd"/>
      <w:r w:rsidRPr="00626850">
        <w:rPr>
          <w:color w:val="000000" w:themeColor="text1"/>
          <w:sz w:val="21"/>
        </w:rPr>
        <w:t xml:space="preserve"> qué están obligados? En razón al manejo de tales recursos </w:t>
      </w:r>
      <w:r w:rsidRPr="00626850">
        <w:rPr>
          <w:color w:val="000000" w:themeColor="text1"/>
          <w:sz w:val="21"/>
        </w:rPr>
        <w:lastRenderedPageBreak/>
        <w:t>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w:t>
      </w:r>
      <w:r w:rsidRPr="00626850">
        <w:rPr>
          <w:color w:val="000000" w:themeColor="text1"/>
          <w:spacing w:val="-9"/>
          <w:sz w:val="21"/>
        </w:rPr>
        <w:t xml:space="preserve"> </w:t>
      </w:r>
      <w:r w:rsidRPr="00626850">
        <w:rPr>
          <w:color w:val="000000" w:themeColor="text1"/>
          <w:sz w:val="21"/>
        </w:rPr>
        <w:t>SECOP.</w:t>
      </w:r>
    </w:p>
    <w:p w14:paraId="1AEA0F44" w14:textId="77777777" w:rsidR="0096047A" w:rsidRPr="00626850" w:rsidRDefault="003954EE">
      <w:pPr>
        <w:spacing w:before="119"/>
        <w:ind w:left="1010"/>
        <w:rPr>
          <w:color w:val="000000" w:themeColor="text1"/>
          <w:sz w:val="21"/>
        </w:rPr>
      </w:pPr>
      <w:r w:rsidRPr="00626850">
        <w:rPr>
          <w:color w:val="000000" w:themeColor="text1"/>
          <w:sz w:val="21"/>
        </w:rPr>
        <w:t>[…]</w:t>
      </w:r>
    </w:p>
    <w:p w14:paraId="20585B61" w14:textId="53F22A8D" w:rsidR="0096047A" w:rsidRPr="00626850" w:rsidRDefault="003954EE">
      <w:pPr>
        <w:spacing w:before="121"/>
        <w:ind w:left="1010" w:right="1157"/>
        <w:jc w:val="both"/>
        <w:rPr>
          <w:color w:val="000000" w:themeColor="text1"/>
          <w:sz w:val="14"/>
        </w:rPr>
      </w:pPr>
      <w:r w:rsidRPr="00626850">
        <w:rPr>
          <w:color w:val="000000" w:themeColor="text1"/>
          <w:sz w:val="21"/>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003E7405" w:rsidRPr="00626850">
        <w:rPr>
          <w:rStyle w:val="Refdenotaalpie"/>
          <w:color w:val="000000" w:themeColor="text1"/>
          <w:sz w:val="21"/>
        </w:rPr>
        <w:footnoteReference w:id="8"/>
      </w:r>
      <w:r w:rsidRPr="00626850">
        <w:rPr>
          <w:color w:val="000000" w:themeColor="text1"/>
          <w:position w:val="7"/>
          <w:sz w:val="14"/>
        </w:rPr>
        <w:t>.</w:t>
      </w:r>
    </w:p>
    <w:p w14:paraId="634D1685" w14:textId="77777777" w:rsidR="003E7405" w:rsidRPr="00626850" w:rsidRDefault="003E7405">
      <w:pPr>
        <w:pStyle w:val="Textoindependiente"/>
        <w:spacing w:before="93" w:line="276" w:lineRule="auto"/>
        <w:ind w:left="300" w:right="452" w:firstLine="707"/>
        <w:jc w:val="both"/>
        <w:rPr>
          <w:color w:val="000000" w:themeColor="text1"/>
        </w:rPr>
      </w:pPr>
    </w:p>
    <w:p w14:paraId="4CDEF003" w14:textId="74B87428" w:rsidR="0096047A" w:rsidRPr="00626850" w:rsidRDefault="003954EE">
      <w:pPr>
        <w:pStyle w:val="Textoindependiente"/>
        <w:spacing w:before="93" w:line="276" w:lineRule="auto"/>
        <w:ind w:left="300" w:right="452" w:firstLine="707"/>
        <w:jc w:val="both"/>
        <w:rPr>
          <w:color w:val="000000" w:themeColor="text1"/>
        </w:rPr>
      </w:pPr>
      <w:r w:rsidRPr="00626850">
        <w:rPr>
          <w:color w:val="000000" w:themeColor="text1"/>
        </w:rPr>
        <w:t>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w:t>
      </w:r>
    </w:p>
    <w:p w14:paraId="1FAA90CA" w14:textId="77777777" w:rsidR="0096047A" w:rsidRPr="00626850" w:rsidRDefault="003954EE">
      <w:pPr>
        <w:spacing w:before="120"/>
        <w:ind w:left="1008" w:right="1160"/>
        <w:jc w:val="both"/>
        <w:rPr>
          <w:color w:val="000000" w:themeColor="text1"/>
          <w:sz w:val="21"/>
        </w:rPr>
      </w:pPr>
      <w:r w:rsidRPr="00626850">
        <w:rPr>
          <w:color w:val="000000" w:themeColor="text1"/>
          <w:sz w:val="21"/>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w:t>
      </w:r>
      <w:r w:rsidRPr="00626850">
        <w:rPr>
          <w:color w:val="000000" w:themeColor="text1"/>
          <w:spacing w:val="-15"/>
          <w:sz w:val="21"/>
        </w:rPr>
        <w:t xml:space="preserve"> </w:t>
      </w:r>
      <w:r w:rsidRPr="00626850">
        <w:rPr>
          <w:color w:val="000000" w:themeColor="text1"/>
          <w:sz w:val="21"/>
        </w:rPr>
        <w:t>índole.</w:t>
      </w:r>
    </w:p>
    <w:p w14:paraId="6D8145DC" w14:textId="77777777" w:rsidR="0096047A" w:rsidRPr="00626850" w:rsidRDefault="0096047A">
      <w:pPr>
        <w:pStyle w:val="Textoindependiente"/>
        <w:rPr>
          <w:color w:val="000000" w:themeColor="text1"/>
        </w:rPr>
      </w:pPr>
    </w:p>
    <w:p w14:paraId="1361F6C5" w14:textId="77777777" w:rsidR="0096047A" w:rsidRPr="00626850" w:rsidRDefault="0096047A">
      <w:pPr>
        <w:pStyle w:val="Textoindependiente"/>
        <w:rPr>
          <w:color w:val="000000" w:themeColor="text1"/>
          <w:sz w:val="23"/>
        </w:rPr>
      </w:pPr>
    </w:p>
    <w:p w14:paraId="3044A222" w14:textId="77777777" w:rsidR="0096047A" w:rsidRPr="00626850" w:rsidRDefault="003954EE">
      <w:pPr>
        <w:pStyle w:val="Textoindependiente"/>
        <w:spacing w:line="276" w:lineRule="auto"/>
        <w:ind w:left="300" w:right="442" w:firstLine="707"/>
        <w:jc w:val="both"/>
        <w:rPr>
          <w:color w:val="000000" w:themeColor="text1"/>
        </w:rPr>
      </w:pPr>
      <w:r w:rsidRPr="00626850">
        <w:rPr>
          <w:color w:val="000000" w:themeColor="text1"/>
        </w:rPr>
        <w:t>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540CBF87" w14:textId="77777777" w:rsidR="0096047A" w:rsidRPr="00626850" w:rsidRDefault="003954EE">
      <w:pPr>
        <w:pStyle w:val="Textoindependiente"/>
        <w:spacing w:before="122" w:line="276" w:lineRule="auto"/>
        <w:ind w:left="300" w:right="448" w:firstLine="707"/>
        <w:jc w:val="both"/>
        <w:rPr>
          <w:color w:val="000000" w:themeColor="text1"/>
        </w:rPr>
      </w:pPr>
      <w:r w:rsidRPr="00626850">
        <w:rPr>
          <w:color w:val="000000" w:themeColor="text1"/>
        </w:rPr>
        <w:t xml:space="preserve">Dentro de las razones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w:t>
      </w:r>
      <w:r w:rsidRPr="00626850">
        <w:rPr>
          <w:color w:val="000000" w:themeColor="text1"/>
        </w:rPr>
        <w:lastRenderedPageBreak/>
        <w:t>debe publicar su proceso de contratación en el SECOP.</w:t>
      </w:r>
    </w:p>
    <w:p w14:paraId="47B424D3" w14:textId="77777777" w:rsidR="0096047A" w:rsidRPr="00626850" w:rsidRDefault="0096047A">
      <w:pPr>
        <w:pStyle w:val="Textoindependiente"/>
        <w:spacing w:before="1"/>
        <w:rPr>
          <w:color w:val="000000" w:themeColor="text1"/>
        </w:rPr>
      </w:pPr>
    </w:p>
    <w:p w14:paraId="64F58E4A" w14:textId="77777777" w:rsidR="0096047A" w:rsidRPr="00626850" w:rsidRDefault="003954EE">
      <w:pPr>
        <w:pStyle w:val="Ttulo1"/>
        <w:spacing w:line="276" w:lineRule="auto"/>
        <w:ind w:right="486"/>
        <w:rPr>
          <w:color w:val="000000" w:themeColor="text1"/>
        </w:rPr>
      </w:pPr>
      <w:r w:rsidRPr="00626850">
        <w:rPr>
          <w:color w:val="000000" w:themeColor="text1"/>
        </w:rPr>
        <w:t xml:space="preserve">2.1 Precedentes de Colombia Compra Eficiente sobre los </w:t>
      </w:r>
      <w:proofErr w:type="gramStart"/>
      <w:r w:rsidRPr="00626850">
        <w:rPr>
          <w:color w:val="000000" w:themeColor="text1"/>
        </w:rPr>
        <w:t>documentos  que</w:t>
      </w:r>
      <w:proofErr w:type="gramEnd"/>
      <w:r w:rsidRPr="00626850">
        <w:rPr>
          <w:color w:val="000000" w:themeColor="text1"/>
        </w:rPr>
        <w:t xml:space="preserve"> publican en el SECOP las entidades de régimen</w:t>
      </w:r>
      <w:r w:rsidRPr="00626850">
        <w:rPr>
          <w:color w:val="000000" w:themeColor="text1"/>
          <w:spacing w:val="-9"/>
        </w:rPr>
        <w:t xml:space="preserve"> </w:t>
      </w:r>
      <w:r w:rsidRPr="00626850">
        <w:rPr>
          <w:color w:val="000000" w:themeColor="text1"/>
        </w:rPr>
        <w:t>especial</w:t>
      </w:r>
    </w:p>
    <w:p w14:paraId="3B608C58" w14:textId="77777777" w:rsidR="0096047A" w:rsidRPr="00626850" w:rsidRDefault="0096047A">
      <w:pPr>
        <w:pStyle w:val="Textoindependiente"/>
        <w:spacing w:before="3"/>
        <w:rPr>
          <w:b/>
          <w:color w:val="000000" w:themeColor="text1"/>
          <w:sz w:val="25"/>
        </w:rPr>
      </w:pPr>
    </w:p>
    <w:p w14:paraId="4C620727" w14:textId="77777777" w:rsidR="003E7405" w:rsidRPr="00626850" w:rsidRDefault="003954EE" w:rsidP="003E7405">
      <w:pPr>
        <w:pStyle w:val="Textoindependiente"/>
        <w:spacing w:before="1" w:line="276" w:lineRule="auto"/>
        <w:ind w:left="300" w:right="447"/>
        <w:jc w:val="both"/>
        <w:rPr>
          <w:color w:val="000000" w:themeColor="text1"/>
        </w:rPr>
      </w:pPr>
      <w:r w:rsidRPr="00626850">
        <w:rPr>
          <w:color w:val="000000" w:themeColor="text1"/>
        </w:rPr>
        <w:t xml:space="preserve">Determinada la obligación que tienen las entidades sujetas a un régimen especial de publicar su actividad contractual en el SECOP, a </w:t>
      </w:r>
      <w:proofErr w:type="gramStart"/>
      <w:r w:rsidRPr="00626850">
        <w:rPr>
          <w:color w:val="000000" w:themeColor="text1"/>
        </w:rPr>
        <w:t>continuación</w:t>
      </w:r>
      <w:proofErr w:type="gramEnd"/>
      <w:r w:rsidRPr="00626850">
        <w:rPr>
          <w:color w:val="000000" w:themeColor="text1"/>
        </w:rPr>
        <w:t xml:space="preserve"> se identificarán los documentos que deben publicar, no sin antes explicar la posición que la Agencia Nacional de Contratación Pública ─ Colombia Compra Eficiente ha adoptado desde el 2016 hasta el</w:t>
      </w:r>
      <w:r w:rsidRPr="00626850">
        <w:rPr>
          <w:color w:val="000000" w:themeColor="text1"/>
          <w:spacing w:val="-3"/>
        </w:rPr>
        <w:t xml:space="preserve"> </w:t>
      </w:r>
      <w:r w:rsidRPr="00626850">
        <w:rPr>
          <w:color w:val="000000" w:themeColor="text1"/>
        </w:rPr>
        <w:t>2019.</w:t>
      </w:r>
      <w:r w:rsidR="003E7405" w:rsidRPr="00626850">
        <w:rPr>
          <w:color w:val="000000" w:themeColor="text1"/>
        </w:rPr>
        <w:t xml:space="preserve"> </w:t>
      </w:r>
    </w:p>
    <w:p w14:paraId="720A2923" w14:textId="64D9D71F" w:rsidR="0096047A" w:rsidRPr="00626850" w:rsidRDefault="003954EE" w:rsidP="003E7405">
      <w:pPr>
        <w:pStyle w:val="Textoindependiente"/>
        <w:spacing w:before="1" w:line="276" w:lineRule="auto"/>
        <w:ind w:left="300" w:right="447" w:firstLine="420"/>
        <w:jc w:val="both"/>
        <w:rPr>
          <w:color w:val="000000" w:themeColor="text1"/>
        </w:rPr>
      </w:pPr>
      <w:r w:rsidRPr="00626850">
        <w:rPr>
          <w:color w:val="000000" w:themeColor="text1"/>
        </w:rPr>
        <w:t xml:space="preserve">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w:t>
      </w:r>
      <w:proofErr w:type="spellStart"/>
      <w:r w:rsidRPr="00626850">
        <w:rPr>
          <w:color w:val="000000" w:themeColor="text1"/>
        </w:rPr>
        <w:t>asi</w:t>
      </w:r>
      <w:proofErr w:type="spellEnd"/>
      <w:r w:rsidRPr="00626850">
        <w:rPr>
          <w:color w:val="000000" w:themeColor="text1"/>
        </w:rPr>
        <w:t xml:space="preserve"> como lo relativo a la ejecución del contrato. Lo anterior se fundamentó en el literal c) del artículo 3 de la Ley 1150 de</w:t>
      </w:r>
      <w:r w:rsidRPr="00626850">
        <w:rPr>
          <w:color w:val="000000" w:themeColor="text1"/>
          <w:spacing w:val="-37"/>
        </w:rPr>
        <w:t xml:space="preserve"> </w:t>
      </w:r>
      <w:r w:rsidRPr="00626850">
        <w:rPr>
          <w:color w:val="000000" w:themeColor="text1"/>
        </w:rPr>
        <w:t>2007</w:t>
      </w:r>
      <w:r w:rsidR="003E7405" w:rsidRPr="00626850">
        <w:rPr>
          <w:rStyle w:val="Refdenotaalpie"/>
          <w:color w:val="000000" w:themeColor="text1"/>
        </w:rPr>
        <w:footnoteReference w:id="9"/>
      </w:r>
      <w:r w:rsidRPr="00626850">
        <w:rPr>
          <w:color w:val="000000" w:themeColor="text1"/>
        </w:rPr>
        <w:t>.</w:t>
      </w:r>
    </w:p>
    <w:p w14:paraId="0AD90FC4" w14:textId="77777777" w:rsidR="0096047A" w:rsidRPr="00626850" w:rsidRDefault="003954EE">
      <w:pPr>
        <w:pStyle w:val="Textoindependiente"/>
        <w:spacing w:before="10"/>
        <w:ind w:left="1010"/>
        <w:jc w:val="both"/>
        <w:rPr>
          <w:color w:val="000000" w:themeColor="text1"/>
        </w:rPr>
      </w:pPr>
      <w:r w:rsidRPr="00626850">
        <w:rPr>
          <w:color w:val="000000" w:themeColor="text1"/>
        </w:rPr>
        <w:t>En</w:t>
      </w:r>
      <w:r w:rsidRPr="00626850">
        <w:rPr>
          <w:color w:val="000000" w:themeColor="text1"/>
          <w:spacing w:val="11"/>
        </w:rPr>
        <w:t xml:space="preserve"> </w:t>
      </w:r>
      <w:r w:rsidRPr="00626850">
        <w:rPr>
          <w:color w:val="000000" w:themeColor="text1"/>
        </w:rPr>
        <w:t>este</w:t>
      </w:r>
      <w:r w:rsidRPr="00626850">
        <w:rPr>
          <w:color w:val="000000" w:themeColor="text1"/>
          <w:spacing w:val="12"/>
        </w:rPr>
        <w:t xml:space="preserve"> </w:t>
      </w:r>
      <w:r w:rsidRPr="00626850">
        <w:rPr>
          <w:color w:val="000000" w:themeColor="text1"/>
        </w:rPr>
        <w:t>sentido,</w:t>
      </w:r>
      <w:r w:rsidRPr="00626850">
        <w:rPr>
          <w:color w:val="000000" w:themeColor="text1"/>
          <w:spacing w:val="11"/>
        </w:rPr>
        <w:t xml:space="preserve"> </w:t>
      </w:r>
      <w:r w:rsidRPr="00626850">
        <w:rPr>
          <w:color w:val="000000" w:themeColor="text1"/>
        </w:rPr>
        <w:t>la</w:t>
      </w:r>
      <w:r w:rsidRPr="00626850">
        <w:rPr>
          <w:color w:val="000000" w:themeColor="text1"/>
          <w:spacing w:val="12"/>
        </w:rPr>
        <w:t xml:space="preserve"> </w:t>
      </w:r>
      <w:r w:rsidRPr="00626850">
        <w:rPr>
          <w:color w:val="000000" w:themeColor="text1"/>
        </w:rPr>
        <w:t>Agencia</w:t>
      </w:r>
      <w:r w:rsidRPr="00626850">
        <w:rPr>
          <w:color w:val="000000" w:themeColor="text1"/>
          <w:spacing w:val="12"/>
        </w:rPr>
        <w:t xml:space="preserve"> </w:t>
      </w:r>
      <w:r w:rsidRPr="00626850">
        <w:rPr>
          <w:color w:val="000000" w:themeColor="text1"/>
        </w:rPr>
        <w:t>Nacional</w:t>
      </w:r>
      <w:r w:rsidRPr="00626850">
        <w:rPr>
          <w:color w:val="000000" w:themeColor="text1"/>
          <w:spacing w:val="13"/>
        </w:rPr>
        <w:t xml:space="preserve"> </w:t>
      </w:r>
      <w:r w:rsidRPr="00626850">
        <w:rPr>
          <w:color w:val="000000" w:themeColor="text1"/>
        </w:rPr>
        <w:t>de</w:t>
      </w:r>
      <w:r w:rsidRPr="00626850">
        <w:rPr>
          <w:color w:val="000000" w:themeColor="text1"/>
          <w:spacing w:val="11"/>
        </w:rPr>
        <w:t xml:space="preserve"> </w:t>
      </w:r>
      <w:r w:rsidRPr="00626850">
        <w:rPr>
          <w:color w:val="000000" w:themeColor="text1"/>
        </w:rPr>
        <w:t>Contratación</w:t>
      </w:r>
      <w:r w:rsidRPr="00626850">
        <w:rPr>
          <w:color w:val="000000" w:themeColor="text1"/>
          <w:spacing w:val="12"/>
        </w:rPr>
        <w:t xml:space="preserve"> </w:t>
      </w:r>
      <w:r w:rsidRPr="00626850">
        <w:rPr>
          <w:color w:val="000000" w:themeColor="text1"/>
        </w:rPr>
        <w:t>Pública,</w:t>
      </w:r>
      <w:r w:rsidRPr="00626850">
        <w:rPr>
          <w:color w:val="000000" w:themeColor="text1"/>
          <w:spacing w:val="11"/>
        </w:rPr>
        <w:t xml:space="preserve"> </w:t>
      </w:r>
      <w:r w:rsidRPr="00626850">
        <w:rPr>
          <w:color w:val="000000" w:themeColor="text1"/>
        </w:rPr>
        <w:t>en</w:t>
      </w:r>
      <w:r w:rsidRPr="00626850">
        <w:rPr>
          <w:color w:val="000000" w:themeColor="text1"/>
          <w:spacing w:val="12"/>
        </w:rPr>
        <w:t xml:space="preserve"> </w:t>
      </w:r>
      <w:r w:rsidRPr="00626850">
        <w:rPr>
          <w:color w:val="000000" w:themeColor="text1"/>
        </w:rPr>
        <w:t>virtud</w:t>
      </w:r>
      <w:r w:rsidRPr="00626850">
        <w:rPr>
          <w:color w:val="000000" w:themeColor="text1"/>
          <w:spacing w:val="12"/>
        </w:rPr>
        <w:t xml:space="preserve"> </w:t>
      </w:r>
      <w:r w:rsidRPr="00626850">
        <w:rPr>
          <w:color w:val="000000" w:themeColor="text1"/>
        </w:rPr>
        <w:t>del</w:t>
      </w:r>
      <w:r w:rsidRPr="00626850">
        <w:rPr>
          <w:color w:val="000000" w:themeColor="text1"/>
          <w:spacing w:val="13"/>
        </w:rPr>
        <w:t xml:space="preserve"> </w:t>
      </w:r>
      <w:r w:rsidRPr="00626850">
        <w:rPr>
          <w:color w:val="000000" w:themeColor="text1"/>
        </w:rPr>
        <w:t>literal</w:t>
      </w:r>
    </w:p>
    <w:p w14:paraId="443E82FB" w14:textId="77777777" w:rsidR="0096047A" w:rsidRPr="00626850" w:rsidRDefault="003954EE">
      <w:pPr>
        <w:pStyle w:val="Textoindependiente"/>
        <w:spacing w:before="37" w:line="276" w:lineRule="auto"/>
        <w:ind w:left="300" w:right="446"/>
        <w:jc w:val="both"/>
        <w:rPr>
          <w:color w:val="000000" w:themeColor="text1"/>
        </w:rPr>
      </w:pPr>
      <w:r w:rsidRPr="00626850">
        <w:rPr>
          <w:color w:val="000000" w:themeColor="text1"/>
        </w:rPr>
        <w:t>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documentos del proceso que se debían publicar.</w:t>
      </w:r>
    </w:p>
    <w:p w14:paraId="2D33BA8A" w14:textId="518CD252" w:rsidR="0096047A" w:rsidRPr="00626850" w:rsidRDefault="003954EE">
      <w:pPr>
        <w:pStyle w:val="Textoindependiente"/>
        <w:spacing w:line="276" w:lineRule="auto"/>
        <w:ind w:left="300" w:right="444" w:firstLine="709"/>
        <w:jc w:val="both"/>
        <w:rPr>
          <w:color w:val="000000" w:themeColor="text1"/>
        </w:rPr>
      </w:pPr>
      <w:r w:rsidRPr="00626850">
        <w:rPr>
          <w:color w:val="000000" w:themeColor="text1"/>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w:t>
      </w:r>
      <w:r w:rsidRPr="00626850">
        <w:rPr>
          <w:color w:val="000000" w:themeColor="text1"/>
          <w:spacing w:val="-3"/>
        </w:rPr>
        <w:t xml:space="preserve"> </w:t>
      </w:r>
      <w:r w:rsidRPr="00626850">
        <w:rPr>
          <w:color w:val="000000" w:themeColor="text1"/>
        </w:rPr>
        <w:t>2015</w:t>
      </w:r>
      <w:r w:rsidR="003E7405" w:rsidRPr="00626850">
        <w:rPr>
          <w:rStyle w:val="Refdenotaalpie"/>
          <w:color w:val="000000" w:themeColor="text1"/>
        </w:rPr>
        <w:footnoteReference w:id="10"/>
      </w:r>
      <w:r w:rsidRPr="00626850">
        <w:rPr>
          <w:color w:val="000000" w:themeColor="text1"/>
        </w:rPr>
        <w:t>.</w:t>
      </w:r>
    </w:p>
    <w:p w14:paraId="5B124780" w14:textId="77777777" w:rsidR="0096047A" w:rsidRPr="00626850" w:rsidRDefault="003954EE">
      <w:pPr>
        <w:pStyle w:val="Textoindependiente"/>
        <w:spacing w:before="93" w:line="276" w:lineRule="auto"/>
        <w:ind w:left="300" w:right="452" w:firstLine="709"/>
        <w:jc w:val="both"/>
        <w:rPr>
          <w:color w:val="000000" w:themeColor="text1"/>
        </w:rPr>
      </w:pPr>
      <w:r w:rsidRPr="00626850">
        <w:rPr>
          <w:color w:val="000000" w:themeColor="text1"/>
        </w:rPr>
        <w:lastRenderedPageBreak/>
        <w:t>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w:t>
      </w:r>
    </w:p>
    <w:p w14:paraId="674DE64B" w14:textId="77777777" w:rsidR="0096047A" w:rsidRPr="00626850" w:rsidRDefault="003954EE">
      <w:pPr>
        <w:pStyle w:val="Textoindependiente"/>
        <w:spacing w:line="276" w:lineRule="auto"/>
        <w:ind w:left="300" w:right="443" w:firstLine="709"/>
        <w:jc w:val="both"/>
        <w:rPr>
          <w:color w:val="000000" w:themeColor="text1"/>
        </w:rPr>
      </w:pPr>
      <w:r w:rsidRPr="00626850">
        <w:rPr>
          <w:color w:val="000000" w:themeColor="text1"/>
        </w:rPr>
        <w:t>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w:t>
      </w:r>
    </w:p>
    <w:p w14:paraId="0C2A257C" w14:textId="6EEEC266" w:rsidR="0096047A" w:rsidRPr="00626850" w:rsidRDefault="003954EE" w:rsidP="00561ABB">
      <w:pPr>
        <w:pStyle w:val="Textoindependiente"/>
        <w:spacing w:line="273" w:lineRule="auto"/>
        <w:ind w:left="300" w:right="444" w:firstLine="709"/>
        <w:jc w:val="both"/>
        <w:rPr>
          <w:color w:val="000000" w:themeColor="text1"/>
          <w:sz w:val="9"/>
        </w:rPr>
      </w:pPr>
      <w:r w:rsidRPr="00626850">
        <w:rPr>
          <w:color w:val="000000" w:themeColor="text1"/>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003E7405" w:rsidRPr="00626850">
        <w:rPr>
          <w:rStyle w:val="Refdenotaalpie"/>
          <w:color w:val="000000" w:themeColor="text1"/>
        </w:rPr>
        <w:footnoteReference w:id="11"/>
      </w:r>
      <w:r w:rsidRPr="00626850">
        <w:rPr>
          <w:color w:val="000000" w:themeColor="text1"/>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003E7405" w:rsidRPr="00626850">
        <w:rPr>
          <w:rStyle w:val="Refdenotaalpie"/>
          <w:color w:val="000000" w:themeColor="text1"/>
        </w:rPr>
        <w:footnoteReference w:id="12"/>
      </w:r>
      <w:r w:rsidRPr="00626850">
        <w:rPr>
          <w:color w:val="000000" w:themeColor="text1"/>
        </w:rPr>
        <w:t>. Finalmente, el artículo 10 establece la obligación que tienen las entidades de publicar en el SECOP el Plan Anual de</w:t>
      </w:r>
      <w:r w:rsidRPr="00626850">
        <w:rPr>
          <w:color w:val="000000" w:themeColor="text1"/>
          <w:spacing w:val="-6"/>
        </w:rPr>
        <w:t xml:space="preserve"> </w:t>
      </w:r>
      <w:r w:rsidRPr="00626850">
        <w:rPr>
          <w:color w:val="000000" w:themeColor="text1"/>
        </w:rPr>
        <w:t>Adquisiciones</w:t>
      </w:r>
      <w:r w:rsidR="003E7405" w:rsidRPr="00626850">
        <w:rPr>
          <w:rStyle w:val="Refdenotaalpie"/>
          <w:color w:val="000000" w:themeColor="text1"/>
        </w:rPr>
        <w:footnoteReference w:id="13"/>
      </w:r>
      <w:r w:rsidRPr="00626850">
        <w:rPr>
          <w:color w:val="000000" w:themeColor="text1"/>
        </w:rPr>
        <w:t>.</w:t>
      </w:r>
      <w:r w:rsidR="00561ABB" w:rsidRPr="00626850">
        <w:rPr>
          <w:color w:val="000000" w:themeColor="text1"/>
        </w:rPr>
        <w:t xml:space="preserve"> </w:t>
      </w:r>
    </w:p>
    <w:p w14:paraId="47ECAFEE" w14:textId="77777777" w:rsidR="00806CE9" w:rsidRPr="00626850" w:rsidRDefault="00806CE9" w:rsidP="00806CE9">
      <w:pPr>
        <w:pStyle w:val="Textoindependiente"/>
        <w:spacing w:line="276" w:lineRule="auto"/>
        <w:ind w:left="300" w:right="442" w:firstLine="707"/>
        <w:jc w:val="both"/>
        <w:rPr>
          <w:color w:val="000000" w:themeColor="text1"/>
        </w:rPr>
      </w:pPr>
      <w:r w:rsidRPr="00626850">
        <w:rPr>
          <w:color w:val="000000" w:themeColor="text1"/>
        </w:rPr>
        <w:lastRenderedPageBreak/>
        <w:t>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5E262BE7" w14:textId="77777777" w:rsidR="0096047A" w:rsidRPr="00626850" w:rsidRDefault="003954EE">
      <w:pPr>
        <w:pStyle w:val="Textoindependiente"/>
        <w:spacing w:line="276" w:lineRule="auto"/>
        <w:ind w:left="300" w:right="451" w:firstLine="709"/>
        <w:jc w:val="both"/>
        <w:rPr>
          <w:color w:val="000000" w:themeColor="text1"/>
        </w:rPr>
      </w:pPr>
      <w:r w:rsidRPr="00626850">
        <w:rPr>
          <w:color w:val="000000" w:themeColor="text1"/>
        </w:rPr>
        <w:t>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o para proveerlos a terceros.</w:t>
      </w:r>
    </w:p>
    <w:p w14:paraId="796F3314" w14:textId="77777777" w:rsidR="0096047A" w:rsidRPr="00626850" w:rsidRDefault="003954EE">
      <w:pPr>
        <w:pStyle w:val="Textoindependiente"/>
        <w:spacing w:line="276" w:lineRule="auto"/>
        <w:ind w:left="300" w:right="446" w:firstLine="709"/>
        <w:jc w:val="both"/>
        <w:rPr>
          <w:color w:val="000000" w:themeColor="text1"/>
        </w:rPr>
      </w:pPr>
      <w:r w:rsidRPr="00626850">
        <w:rPr>
          <w:color w:val="000000" w:themeColor="text1"/>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w:t>
      </w:r>
      <w:r w:rsidRPr="00626850">
        <w:rPr>
          <w:color w:val="000000" w:themeColor="text1"/>
          <w:spacing w:val="3"/>
        </w:rPr>
        <w:t xml:space="preserve">de </w:t>
      </w:r>
      <w:r w:rsidRPr="00626850">
        <w:rPr>
          <w:color w:val="000000" w:themeColor="text1"/>
        </w:rPr>
        <w:t>adjudicación,</w:t>
      </w:r>
      <w:r w:rsidRPr="00626850">
        <w:rPr>
          <w:color w:val="000000" w:themeColor="text1"/>
          <w:spacing w:val="-5"/>
        </w:rPr>
        <w:t xml:space="preserve"> </w:t>
      </w:r>
      <w:r w:rsidRPr="00626850">
        <w:rPr>
          <w:color w:val="000000" w:themeColor="text1"/>
        </w:rPr>
        <w:t>por</w:t>
      </w:r>
      <w:r w:rsidRPr="00626850">
        <w:rPr>
          <w:color w:val="000000" w:themeColor="text1"/>
          <w:spacing w:val="-4"/>
        </w:rPr>
        <w:t xml:space="preserve"> </w:t>
      </w:r>
      <w:r w:rsidRPr="00626850">
        <w:rPr>
          <w:color w:val="000000" w:themeColor="text1"/>
        </w:rPr>
        <w:t>expresa</w:t>
      </w:r>
      <w:r w:rsidRPr="00626850">
        <w:rPr>
          <w:color w:val="000000" w:themeColor="text1"/>
          <w:spacing w:val="-1"/>
        </w:rPr>
        <w:t xml:space="preserve"> </w:t>
      </w:r>
      <w:r w:rsidRPr="00626850">
        <w:rPr>
          <w:color w:val="000000" w:themeColor="text1"/>
        </w:rPr>
        <w:t>disposición</w:t>
      </w:r>
      <w:r w:rsidRPr="00626850">
        <w:rPr>
          <w:color w:val="000000" w:themeColor="text1"/>
          <w:spacing w:val="-3"/>
        </w:rPr>
        <w:t xml:space="preserve"> </w:t>
      </w:r>
      <w:r w:rsidRPr="00626850">
        <w:rPr>
          <w:color w:val="000000" w:themeColor="text1"/>
        </w:rPr>
        <w:t>del</w:t>
      </w:r>
      <w:r w:rsidRPr="00626850">
        <w:rPr>
          <w:color w:val="000000" w:themeColor="text1"/>
          <w:spacing w:val="-2"/>
        </w:rPr>
        <w:t xml:space="preserve"> </w:t>
      </w:r>
      <w:r w:rsidRPr="00626850">
        <w:rPr>
          <w:color w:val="000000" w:themeColor="text1"/>
        </w:rPr>
        <w:t>literal</w:t>
      </w:r>
      <w:r w:rsidRPr="00626850">
        <w:rPr>
          <w:color w:val="000000" w:themeColor="text1"/>
          <w:spacing w:val="-4"/>
        </w:rPr>
        <w:t xml:space="preserve"> </w:t>
      </w:r>
      <w:r w:rsidRPr="00626850">
        <w:rPr>
          <w:color w:val="000000" w:themeColor="text1"/>
        </w:rPr>
        <w:t>g)</w:t>
      </w:r>
      <w:r w:rsidRPr="00626850">
        <w:rPr>
          <w:color w:val="000000" w:themeColor="text1"/>
          <w:spacing w:val="-4"/>
        </w:rPr>
        <w:t xml:space="preserve"> </w:t>
      </w:r>
      <w:r w:rsidRPr="00626850">
        <w:rPr>
          <w:color w:val="000000" w:themeColor="text1"/>
        </w:rPr>
        <w:t>del</w:t>
      </w:r>
      <w:r w:rsidRPr="00626850">
        <w:rPr>
          <w:color w:val="000000" w:themeColor="text1"/>
          <w:spacing w:val="-2"/>
        </w:rPr>
        <w:t xml:space="preserve"> </w:t>
      </w:r>
      <w:r w:rsidRPr="00626850">
        <w:rPr>
          <w:color w:val="000000" w:themeColor="text1"/>
        </w:rPr>
        <w:t>artículo</w:t>
      </w:r>
      <w:r w:rsidRPr="00626850">
        <w:rPr>
          <w:color w:val="000000" w:themeColor="text1"/>
          <w:spacing w:val="-3"/>
        </w:rPr>
        <w:t xml:space="preserve"> </w:t>
      </w:r>
      <w:r w:rsidRPr="00626850">
        <w:rPr>
          <w:color w:val="000000" w:themeColor="text1"/>
        </w:rPr>
        <w:t>11</w:t>
      </w:r>
      <w:r w:rsidRPr="00626850">
        <w:rPr>
          <w:color w:val="000000" w:themeColor="text1"/>
          <w:spacing w:val="-3"/>
        </w:rPr>
        <w:t xml:space="preserve"> </w:t>
      </w:r>
      <w:r w:rsidRPr="00626850">
        <w:rPr>
          <w:color w:val="000000" w:themeColor="text1"/>
        </w:rPr>
        <w:t>de</w:t>
      </w:r>
      <w:r w:rsidRPr="00626850">
        <w:rPr>
          <w:color w:val="000000" w:themeColor="text1"/>
          <w:spacing w:val="-1"/>
        </w:rPr>
        <w:t xml:space="preserve"> </w:t>
      </w:r>
      <w:r w:rsidRPr="00626850">
        <w:rPr>
          <w:color w:val="000000" w:themeColor="text1"/>
        </w:rPr>
        <w:t>la</w:t>
      </w:r>
      <w:r w:rsidRPr="00626850">
        <w:rPr>
          <w:color w:val="000000" w:themeColor="text1"/>
          <w:spacing w:val="-4"/>
        </w:rPr>
        <w:t xml:space="preserve"> </w:t>
      </w:r>
      <w:r w:rsidRPr="00626850">
        <w:rPr>
          <w:color w:val="000000" w:themeColor="text1"/>
        </w:rPr>
        <w:t>Ley</w:t>
      </w:r>
      <w:r w:rsidRPr="00626850">
        <w:rPr>
          <w:color w:val="000000" w:themeColor="text1"/>
          <w:spacing w:val="-3"/>
        </w:rPr>
        <w:t xml:space="preserve"> </w:t>
      </w:r>
      <w:r w:rsidRPr="00626850">
        <w:rPr>
          <w:color w:val="000000" w:themeColor="text1"/>
        </w:rPr>
        <w:t>1712</w:t>
      </w:r>
      <w:r w:rsidRPr="00626850">
        <w:rPr>
          <w:color w:val="000000" w:themeColor="text1"/>
          <w:spacing w:val="-3"/>
        </w:rPr>
        <w:t xml:space="preserve"> </w:t>
      </w:r>
      <w:r w:rsidRPr="00626850">
        <w:rPr>
          <w:color w:val="000000" w:themeColor="text1"/>
        </w:rPr>
        <w:t>de</w:t>
      </w:r>
      <w:r w:rsidRPr="00626850">
        <w:rPr>
          <w:color w:val="000000" w:themeColor="text1"/>
          <w:spacing w:val="-3"/>
        </w:rPr>
        <w:t xml:space="preserve"> </w:t>
      </w:r>
      <w:r w:rsidRPr="00626850">
        <w:rPr>
          <w:color w:val="000000" w:themeColor="text1"/>
        </w:rPr>
        <w:t>2014.</w:t>
      </w:r>
    </w:p>
    <w:p w14:paraId="3A077144" w14:textId="77777777" w:rsidR="0096047A" w:rsidRPr="00626850" w:rsidRDefault="003954EE">
      <w:pPr>
        <w:pStyle w:val="Textoindependiente"/>
        <w:spacing w:before="119" w:line="276" w:lineRule="auto"/>
        <w:ind w:left="300" w:right="445" w:firstLine="709"/>
        <w:jc w:val="both"/>
        <w:rPr>
          <w:color w:val="000000" w:themeColor="text1"/>
        </w:rPr>
      </w:pPr>
      <w:r w:rsidRPr="00626850">
        <w:rPr>
          <w:color w:val="000000" w:themeColor="text1"/>
        </w:rPr>
        <w:t>Por lo tanto, en estos casos aplica la Ley 1712 de 2014 y el Decreto 103 de 2015, no el Decreto 1082 de 2015, porque esta última norma rige a las entidades sometidas al Estatuto General de Contratación Pública, y por lo tanto no aplica a las entidades que se rigen por el derecho privado. Por su parte, la Ley 1712 de 2014 y el Decreto reglamentario 103 de 2015 rigen a cualquier entidad pública, incluyendo las pertenecientes a todas las ramas del poder público, en todos los niveles de la estructura estatal, central o descentralizada por servicios o territorialmente, en los órdenes nacional, departamental, municipal y</w:t>
      </w:r>
      <w:r w:rsidRPr="00626850">
        <w:rPr>
          <w:color w:val="000000" w:themeColor="text1"/>
          <w:spacing w:val="-9"/>
        </w:rPr>
        <w:t xml:space="preserve"> </w:t>
      </w:r>
      <w:r w:rsidRPr="00626850">
        <w:rPr>
          <w:color w:val="000000" w:themeColor="text1"/>
        </w:rPr>
        <w:t>distrital.</w:t>
      </w:r>
    </w:p>
    <w:p w14:paraId="4A90FFDD" w14:textId="77777777" w:rsidR="0096047A" w:rsidRPr="00626850" w:rsidRDefault="003954EE">
      <w:pPr>
        <w:pStyle w:val="Textoindependiente"/>
        <w:spacing w:before="120" w:line="276" w:lineRule="auto"/>
        <w:ind w:left="300" w:right="447" w:firstLine="709"/>
        <w:jc w:val="both"/>
        <w:rPr>
          <w:color w:val="000000" w:themeColor="text1"/>
        </w:rPr>
      </w:pPr>
      <w:r w:rsidRPr="00626850">
        <w:rPr>
          <w:color w:val="000000" w:themeColor="text1"/>
        </w:rPr>
        <w:t xml:space="preserve">Identificados los documentos que deben publicar las entidades de régimen especial y su fundamento normativo, a </w:t>
      </w:r>
      <w:proofErr w:type="gramStart"/>
      <w:r w:rsidRPr="00626850">
        <w:rPr>
          <w:color w:val="000000" w:themeColor="text1"/>
        </w:rPr>
        <w:t>continuación</w:t>
      </w:r>
      <w:proofErr w:type="gramEnd"/>
      <w:r w:rsidRPr="00626850">
        <w:rPr>
          <w:color w:val="000000" w:themeColor="text1"/>
        </w:rPr>
        <w:t xml:space="preserve"> se explicará cuándo se deben publicar, no sin antes explicar la posición que Colombia Compra Eficiente ha tenido en relación con este asunto.</w:t>
      </w:r>
    </w:p>
    <w:p w14:paraId="2261ECD3" w14:textId="41184706" w:rsidR="0096047A" w:rsidRPr="00626850" w:rsidRDefault="003954EE" w:rsidP="003E7405">
      <w:pPr>
        <w:pStyle w:val="Textoindependiente"/>
        <w:spacing w:before="2" w:line="273" w:lineRule="auto"/>
        <w:ind w:left="300" w:right="450" w:firstLine="709"/>
        <w:jc w:val="both"/>
        <w:rPr>
          <w:color w:val="000000" w:themeColor="text1"/>
        </w:rPr>
      </w:pPr>
      <w:r w:rsidRPr="00626850">
        <w:rPr>
          <w:color w:val="000000" w:themeColor="text1"/>
        </w:rPr>
        <w:t>En el año 2017, en la consulta con radicado No. 4201713000005390, se prevé que el plazo para publicar por parte de las entidades de régimen especial es el que se fije en</w:t>
      </w:r>
      <w:r w:rsidRPr="00626850">
        <w:rPr>
          <w:color w:val="000000" w:themeColor="text1"/>
          <w:spacing w:val="51"/>
        </w:rPr>
        <w:t xml:space="preserve"> </w:t>
      </w:r>
      <w:r w:rsidRPr="00626850">
        <w:rPr>
          <w:color w:val="000000" w:themeColor="text1"/>
        </w:rPr>
        <w:t>el</w:t>
      </w:r>
      <w:r w:rsidRPr="00626850">
        <w:rPr>
          <w:color w:val="000000" w:themeColor="text1"/>
          <w:spacing w:val="53"/>
        </w:rPr>
        <w:t xml:space="preserve"> </w:t>
      </w:r>
      <w:r w:rsidRPr="00626850">
        <w:rPr>
          <w:color w:val="000000" w:themeColor="text1"/>
        </w:rPr>
        <w:t>manual</w:t>
      </w:r>
      <w:r w:rsidRPr="00626850">
        <w:rPr>
          <w:color w:val="000000" w:themeColor="text1"/>
          <w:spacing w:val="53"/>
        </w:rPr>
        <w:t xml:space="preserve"> </w:t>
      </w:r>
      <w:r w:rsidRPr="00626850">
        <w:rPr>
          <w:color w:val="000000" w:themeColor="text1"/>
        </w:rPr>
        <w:t>de</w:t>
      </w:r>
      <w:r w:rsidRPr="00626850">
        <w:rPr>
          <w:color w:val="000000" w:themeColor="text1"/>
          <w:spacing w:val="52"/>
        </w:rPr>
        <w:t xml:space="preserve"> </w:t>
      </w:r>
      <w:r w:rsidRPr="00626850">
        <w:rPr>
          <w:color w:val="000000" w:themeColor="text1"/>
        </w:rPr>
        <w:t>contratación</w:t>
      </w:r>
      <w:r w:rsidRPr="00626850">
        <w:rPr>
          <w:color w:val="000000" w:themeColor="text1"/>
          <w:spacing w:val="52"/>
        </w:rPr>
        <w:t xml:space="preserve"> </w:t>
      </w:r>
      <w:r w:rsidRPr="00626850">
        <w:rPr>
          <w:color w:val="000000" w:themeColor="text1"/>
        </w:rPr>
        <w:t>de</w:t>
      </w:r>
      <w:r w:rsidRPr="00626850">
        <w:rPr>
          <w:color w:val="000000" w:themeColor="text1"/>
          <w:spacing w:val="52"/>
        </w:rPr>
        <w:t xml:space="preserve"> </w:t>
      </w:r>
      <w:r w:rsidRPr="00626850">
        <w:rPr>
          <w:color w:val="000000" w:themeColor="text1"/>
        </w:rPr>
        <w:t>la</w:t>
      </w:r>
      <w:r w:rsidRPr="00626850">
        <w:rPr>
          <w:color w:val="000000" w:themeColor="text1"/>
          <w:spacing w:val="51"/>
        </w:rPr>
        <w:t xml:space="preserve"> </w:t>
      </w:r>
      <w:r w:rsidRPr="00626850">
        <w:rPr>
          <w:color w:val="000000" w:themeColor="text1"/>
        </w:rPr>
        <w:t>entidad</w:t>
      </w:r>
      <w:r w:rsidR="003E7405" w:rsidRPr="00626850">
        <w:rPr>
          <w:rStyle w:val="Refdenotaalpie"/>
          <w:color w:val="000000" w:themeColor="text1"/>
        </w:rPr>
        <w:footnoteReference w:id="14"/>
      </w:r>
      <w:r w:rsidRPr="00626850">
        <w:rPr>
          <w:color w:val="000000" w:themeColor="text1"/>
        </w:rPr>
        <w:t>.</w:t>
      </w:r>
      <w:r w:rsidRPr="00626850">
        <w:rPr>
          <w:color w:val="000000" w:themeColor="text1"/>
          <w:spacing w:val="51"/>
        </w:rPr>
        <w:t xml:space="preserve"> </w:t>
      </w:r>
      <w:r w:rsidRPr="00626850">
        <w:rPr>
          <w:color w:val="000000" w:themeColor="text1"/>
        </w:rPr>
        <w:t>Por</w:t>
      </w:r>
      <w:r w:rsidRPr="00626850">
        <w:rPr>
          <w:color w:val="000000" w:themeColor="text1"/>
          <w:spacing w:val="54"/>
        </w:rPr>
        <w:t xml:space="preserve"> </w:t>
      </w:r>
      <w:r w:rsidRPr="00626850">
        <w:rPr>
          <w:color w:val="000000" w:themeColor="text1"/>
        </w:rPr>
        <w:t>su</w:t>
      </w:r>
      <w:r w:rsidRPr="00626850">
        <w:rPr>
          <w:color w:val="000000" w:themeColor="text1"/>
          <w:spacing w:val="52"/>
        </w:rPr>
        <w:t xml:space="preserve"> </w:t>
      </w:r>
      <w:r w:rsidRPr="00626850">
        <w:rPr>
          <w:color w:val="000000" w:themeColor="text1"/>
        </w:rPr>
        <w:t>parte,</w:t>
      </w:r>
      <w:r w:rsidRPr="00626850">
        <w:rPr>
          <w:color w:val="000000" w:themeColor="text1"/>
          <w:spacing w:val="51"/>
        </w:rPr>
        <w:t xml:space="preserve"> </w:t>
      </w:r>
      <w:r w:rsidRPr="00626850">
        <w:rPr>
          <w:color w:val="000000" w:themeColor="text1"/>
        </w:rPr>
        <w:t>en</w:t>
      </w:r>
      <w:r w:rsidRPr="00626850">
        <w:rPr>
          <w:color w:val="000000" w:themeColor="text1"/>
          <w:spacing w:val="55"/>
        </w:rPr>
        <w:t xml:space="preserve"> </w:t>
      </w:r>
      <w:r w:rsidRPr="00626850">
        <w:rPr>
          <w:color w:val="000000" w:themeColor="text1"/>
        </w:rPr>
        <w:t>el</w:t>
      </w:r>
      <w:r w:rsidRPr="00626850">
        <w:rPr>
          <w:color w:val="000000" w:themeColor="text1"/>
          <w:spacing w:val="52"/>
        </w:rPr>
        <w:t xml:space="preserve"> </w:t>
      </w:r>
      <w:r w:rsidRPr="00626850">
        <w:rPr>
          <w:color w:val="000000" w:themeColor="text1"/>
        </w:rPr>
        <w:t>año</w:t>
      </w:r>
      <w:r w:rsidRPr="00626850">
        <w:rPr>
          <w:color w:val="000000" w:themeColor="text1"/>
          <w:spacing w:val="52"/>
        </w:rPr>
        <w:t xml:space="preserve"> </w:t>
      </w:r>
      <w:r w:rsidRPr="00626850">
        <w:rPr>
          <w:color w:val="000000" w:themeColor="text1"/>
        </w:rPr>
        <w:t>2018,</w:t>
      </w:r>
      <w:r w:rsidRPr="00626850">
        <w:rPr>
          <w:color w:val="000000" w:themeColor="text1"/>
          <w:spacing w:val="51"/>
        </w:rPr>
        <w:t xml:space="preserve"> </w:t>
      </w:r>
      <w:r w:rsidRPr="00626850">
        <w:rPr>
          <w:color w:val="000000" w:themeColor="text1"/>
        </w:rPr>
        <w:t>con</w:t>
      </w:r>
      <w:r w:rsidRPr="00626850">
        <w:rPr>
          <w:color w:val="000000" w:themeColor="text1"/>
          <w:spacing w:val="52"/>
        </w:rPr>
        <w:t xml:space="preserve"> </w:t>
      </w:r>
      <w:r w:rsidRPr="00626850">
        <w:rPr>
          <w:color w:val="000000" w:themeColor="text1"/>
        </w:rPr>
        <w:t>la</w:t>
      </w:r>
      <w:r w:rsidR="003E7405" w:rsidRPr="00626850">
        <w:rPr>
          <w:color w:val="000000" w:themeColor="text1"/>
        </w:rPr>
        <w:t xml:space="preserve"> </w:t>
      </w:r>
      <w:r w:rsidRPr="00626850">
        <w:rPr>
          <w:color w:val="000000" w:themeColor="text1"/>
        </w:rPr>
        <w:lastRenderedPageBreak/>
        <w:t>expedición de la Circular Externa Única, se cambió la postura y se indica: «las entidades que aun utilizan el SECOP I están obligadas a publicar los documentos del proceso dentro de los tres (3) días siguientes a su expedición</w:t>
      </w:r>
      <w:r w:rsidR="0028578B" w:rsidRPr="00626850">
        <w:rPr>
          <w:rStyle w:val="Refdenotaalpie"/>
          <w:color w:val="000000" w:themeColor="text1"/>
        </w:rPr>
        <w:footnoteReference w:id="15"/>
      </w:r>
      <w:r w:rsidRPr="00626850">
        <w:rPr>
          <w:color w:val="000000" w:themeColor="text1"/>
          <w:position w:val="8"/>
          <w:sz w:val="14"/>
        </w:rPr>
        <w:t xml:space="preserve"> </w:t>
      </w:r>
      <w:r w:rsidRPr="00626850">
        <w:rPr>
          <w:color w:val="000000" w:themeColor="text1"/>
        </w:rPr>
        <w:t>[…]». De lo regulado en la Circular Externa Única se infiere que se otorga un tratamiento igualitario a las entidades, independientemente de su régimen de contratación, por lo tanto, aplica el artículo 2.2.1.1.1.7.1. del Decreto 1082 de</w:t>
      </w:r>
      <w:r w:rsidRPr="00626850">
        <w:rPr>
          <w:color w:val="000000" w:themeColor="text1"/>
          <w:spacing w:val="-4"/>
        </w:rPr>
        <w:t xml:space="preserve"> </w:t>
      </w:r>
      <w:r w:rsidRPr="00626850">
        <w:rPr>
          <w:color w:val="000000" w:themeColor="text1"/>
        </w:rPr>
        <w:t>2015.</w:t>
      </w:r>
    </w:p>
    <w:p w14:paraId="21C71CE4" w14:textId="77777777" w:rsidR="0096047A" w:rsidRPr="00626850" w:rsidRDefault="003954EE">
      <w:pPr>
        <w:pStyle w:val="Textoindependiente"/>
        <w:spacing w:before="10" w:line="276" w:lineRule="auto"/>
        <w:ind w:left="300" w:right="445" w:firstLine="709"/>
        <w:jc w:val="both"/>
        <w:rPr>
          <w:color w:val="000000" w:themeColor="text1"/>
        </w:rPr>
      </w:pPr>
      <w:r w:rsidRPr="00626850">
        <w:rPr>
          <w:color w:val="000000" w:themeColor="text1"/>
        </w:rPr>
        <w:t>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w:t>
      </w:r>
    </w:p>
    <w:p w14:paraId="5696E037" w14:textId="260C60A6" w:rsidR="0096047A" w:rsidRPr="00626850" w:rsidRDefault="003954EE" w:rsidP="00F95FDF">
      <w:pPr>
        <w:pStyle w:val="Textoindependiente"/>
        <w:spacing w:line="276" w:lineRule="auto"/>
        <w:ind w:left="300" w:right="446" w:firstLine="709"/>
        <w:jc w:val="both"/>
        <w:rPr>
          <w:color w:val="000000" w:themeColor="text1"/>
          <w:sz w:val="9"/>
        </w:rPr>
      </w:pPr>
      <w:r w:rsidRPr="00626850">
        <w:rPr>
          <w:color w:val="000000" w:themeColor="text1"/>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0028578B" w:rsidRPr="00626850">
        <w:rPr>
          <w:rStyle w:val="Refdenotaalpie"/>
          <w:color w:val="000000" w:themeColor="text1"/>
        </w:rPr>
        <w:footnoteReference w:id="16"/>
      </w:r>
      <w:r w:rsidRPr="00626850">
        <w:rPr>
          <w:color w:val="000000" w:themeColor="text1"/>
        </w:rPr>
        <w:t>. En este sentido, el juez razona por analogía cuando aplica una ley frente una situación no contemplada explícitamente en ella, a partir del estudio de situaciones fácticas que fueron tratadas por el legislador y guardan similitud con el asunto</w:t>
      </w:r>
      <w:r w:rsidRPr="00626850">
        <w:rPr>
          <w:color w:val="000000" w:themeColor="text1"/>
          <w:spacing w:val="-5"/>
        </w:rPr>
        <w:t xml:space="preserve"> </w:t>
      </w:r>
      <w:r w:rsidRPr="00626850">
        <w:rPr>
          <w:color w:val="000000" w:themeColor="text1"/>
        </w:rPr>
        <w:t>tratado.</w:t>
      </w:r>
      <w:r w:rsidR="00F95FDF" w:rsidRPr="00626850">
        <w:rPr>
          <w:color w:val="000000" w:themeColor="text1"/>
        </w:rPr>
        <w:t xml:space="preserve"> </w:t>
      </w:r>
    </w:p>
    <w:p w14:paraId="75249437" w14:textId="414AB0AE" w:rsidR="0096047A" w:rsidRPr="00626850" w:rsidRDefault="003954EE">
      <w:pPr>
        <w:pStyle w:val="Textoindependiente"/>
        <w:spacing w:before="93" w:line="276" w:lineRule="auto"/>
        <w:ind w:left="300" w:right="446" w:firstLine="709"/>
        <w:jc w:val="both"/>
        <w:rPr>
          <w:color w:val="000000" w:themeColor="text1"/>
        </w:rPr>
      </w:pPr>
      <w:r w:rsidRPr="00626850">
        <w:rPr>
          <w:color w:val="000000" w:themeColor="text1"/>
        </w:rPr>
        <w:lastRenderedPageBreak/>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0028578B" w:rsidRPr="00626850">
        <w:rPr>
          <w:rStyle w:val="Refdenotaalpie"/>
          <w:color w:val="000000" w:themeColor="text1"/>
        </w:rPr>
        <w:footnoteReference w:id="17"/>
      </w:r>
      <w:r w:rsidRPr="00626850">
        <w:rPr>
          <w:color w:val="000000" w:themeColor="text1"/>
        </w:rPr>
        <w:t>.En este sentido, las entidades sometidas al régimen de contratación de Ley 80 de 1993 publicarán en el SECOP sus documentos dentro de los 3 días siguientes a su</w:t>
      </w:r>
      <w:r w:rsidRPr="00626850">
        <w:rPr>
          <w:color w:val="000000" w:themeColor="text1"/>
          <w:spacing w:val="-8"/>
        </w:rPr>
        <w:t xml:space="preserve"> </w:t>
      </w:r>
      <w:r w:rsidRPr="00626850">
        <w:rPr>
          <w:color w:val="000000" w:themeColor="text1"/>
        </w:rPr>
        <w:t>expedición.</w:t>
      </w:r>
    </w:p>
    <w:p w14:paraId="1756F3F3" w14:textId="77777777" w:rsidR="0096047A" w:rsidRPr="00626850" w:rsidRDefault="003954EE">
      <w:pPr>
        <w:pStyle w:val="Textoindependiente"/>
        <w:spacing w:line="276" w:lineRule="auto"/>
        <w:ind w:left="300" w:right="448" w:firstLine="709"/>
        <w:jc w:val="both"/>
        <w:rPr>
          <w:color w:val="000000" w:themeColor="text1"/>
        </w:rPr>
      </w:pPr>
      <w:r w:rsidRPr="00626850">
        <w:rPr>
          <w:color w:val="000000" w:themeColor="text1"/>
        </w:rPr>
        <w:t>Si bien, tal y cómo se mencionó en el acápite anterior, el Decreto 1082 de 2015 no aplica a las empresas industriales y comerciales del Estado, porque su régimen de contratación es el derecho privado, será posible aplicarle esta norma en virtud de la analogía.</w:t>
      </w:r>
    </w:p>
    <w:p w14:paraId="7DD96F64" w14:textId="77777777" w:rsidR="0096047A" w:rsidRPr="00626850" w:rsidRDefault="003954EE">
      <w:pPr>
        <w:pStyle w:val="Textoindependiente"/>
        <w:spacing w:line="276" w:lineRule="auto"/>
        <w:ind w:left="300" w:right="452" w:firstLine="709"/>
        <w:jc w:val="both"/>
        <w:rPr>
          <w:color w:val="000000" w:themeColor="text1"/>
        </w:rPr>
      </w:pPr>
      <w:r w:rsidRPr="00626850">
        <w:rPr>
          <w:color w:val="000000" w:themeColor="text1"/>
        </w:rPr>
        <w:t>Lo anterior, debido a que esta norma guarda similitud con el asunto tratado ya que regula la publicidad de los documentos del SECOP y, por lo tanto, es viable aplicarle la consecuencia jurídica de esta norma a las entidades de régimen especial.</w:t>
      </w:r>
    </w:p>
    <w:p w14:paraId="19933F6C" w14:textId="77777777" w:rsidR="0096047A" w:rsidRPr="00626850" w:rsidRDefault="003954EE">
      <w:pPr>
        <w:pStyle w:val="Textoindependiente"/>
        <w:spacing w:line="276" w:lineRule="auto"/>
        <w:ind w:left="300" w:right="444" w:firstLine="707"/>
        <w:jc w:val="both"/>
        <w:rPr>
          <w:color w:val="000000" w:themeColor="text1"/>
        </w:rPr>
      </w:pPr>
      <w:r w:rsidRPr="00626850">
        <w:rPr>
          <w:color w:val="000000" w:themeColor="text1"/>
        </w:rPr>
        <w:t>A su vez, no es posible que las entidades definan el momento en el cual publicarán sus documentos contractuales en su manual de contratación, porque este es un asunto que debe definir el legislador o el gobierno por medio de un Decreto reglamentario.</w:t>
      </w:r>
    </w:p>
    <w:p w14:paraId="40F4E1E2" w14:textId="77777777" w:rsidR="0096047A" w:rsidRPr="00626850" w:rsidRDefault="003954EE">
      <w:pPr>
        <w:pStyle w:val="Textoindependiente"/>
        <w:spacing w:line="276" w:lineRule="auto"/>
        <w:ind w:left="300" w:right="448" w:firstLine="707"/>
        <w:jc w:val="both"/>
        <w:rPr>
          <w:color w:val="000000" w:themeColor="text1"/>
        </w:rPr>
      </w:pPr>
      <w:r w:rsidRPr="00626850">
        <w:rPr>
          <w:color w:val="000000" w:themeColor="text1"/>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0D8A782A" w14:textId="77777777" w:rsidR="0096047A" w:rsidRPr="00626850" w:rsidRDefault="003954EE">
      <w:pPr>
        <w:pStyle w:val="Textoindependiente"/>
        <w:spacing w:line="276" w:lineRule="auto"/>
        <w:ind w:left="300" w:right="444" w:firstLine="707"/>
        <w:jc w:val="both"/>
        <w:rPr>
          <w:color w:val="000000" w:themeColor="text1"/>
        </w:rPr>
      </w:pPr>
      <w:r w:rsidRPr="00626850">
        <w:rPr>
          <w:color w:val="000000" w:themeColor="text1"/>
        </w:rPr>
        <w:t xml:space="preserve">En todo caso, si se adoptara la posición del Consejo de Estado, explicada con anterioridad, es decir, que la obligación de publicar en el SECOP se apoya </w:t>
      </w:r>
      <w:r w:rsidRPr="00626850">
        <w:rPr>
          <w:color w:val="000000" w:themeColor="text1"/>
          <w:spacing w:val="2"/>
        </w:rPr>
        <w:t xml:space="preserve">del </w:t>
      </w:r>
      <w:r w:rsidRPr="00626850">
        <w:rPr>
          <w:color w:val="000000" w:themeColor="text1"/>
        </w:rPr>
        <w:t>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w:t>
      </w:r>
      <w:r w:rsidRPr="00626850">
        <w:rPr>
          <w:color w:val="000000" w:themeColor="text1"/>
          <w:spacing w:val="-10"/>
        </w:rPr>
        <w:t xml:space="preserve"> </w:t>
      </w:r>
      <w:r w:rsidRPr="00626850">
        <w:rPr>
          <w:color w:val="000000" w:themeColor="text1"/>
        </w:rPr>
        <w:t>2.2.1.1.1.7.1.</w:t>
      </w:r>
    </w:p>
    <w:p w14:paraId="60F6A82A" w14:textId="2FAAACAC" w:rsidR="0096047A" w:rsidRPr="00626850" w:rsidRDefault="003954EE" w:rsidP="0028578B">
      <w:pPr>
        <w:pStyle w:val="Textoindependiente"/>
        <w:spacing w:line="276" w:lineRule="auto"/>
        <w:ind w:left="300" w:right="449" w:firstLine="707"/>
        <w:jc w:val="both"/>
        <w:rPr>
          <w:color w:val="000000" w:themeColor="text1"/>
        </w:rPr>
      </w:pPr>
      <w:r w:rsidRPr="00626850">
        <w:rPr>
          <w:color w:val="000000" w:themeColor="text1"/>
        </w:rPr>
        <w:t>Por otra parte, e</w:t>
      </w:r>
      <w:r w:rsidRPr="00626850">
        <w:rPr>
          <w:rFonts w:ascii="Calibri" w:hAnsi="Calibri"/>
          <w:color w:val="000000" w:themeColor="text1"/>
        </w:rPr>
        <w:t xml:space="preserve">l </w:t>
      </w:r>
      <w:r w:rsidRPr="00626850">
        <w:rPr>
          <w:color w:val="000000" w:themeColor="text1"/>
        </w:rPr>
        <w:t>Consejo de Estado definió los recursos públicos como «todos aquellos que provienen de una actividad económica del Estado y se integran al ciclo presupuestal con el propósito de ser redistribuidos para la satisfacción de las</w:t>
      </w:r>
      <w:r w:rsidR="0028578B" w:rsidRPr="00626850">
        <w:rPr>
          <w:color w:val="000000" w:themeColor="text1"/>
        </w:rPr>
        <w:t xml:space="preserve"> </w:t>
      </w:r>
      <w:r w:rsidRPr="00626850">
        <w:rPr>
          <w:color w:val="000000" w:themeColor="text1"/>
        </w:rPr>
        <w:t>necesidades que demanda el interés general»</w:t>
      </w:r>
      <w:r w:rsidR="0028578B" w:rsidRPr="00626850">
        <w:rPr>
          <w:rStyle w:val="Refdenotaalpie"/>
          <w:color w:val="000000" w:themeColor="text1"/>
        </w:rPr>
        <w:footnoteReference w:id="18"/>
      </w:r>
      <w:r w:rsidRPr="00626850">
        <w:rPr>
          <w:color w:val="000000" w:themeColor="text1"/>
        </w:rPr>
        <w:t xml:space="preserve">, es decir, todos los recursos que hacen parte de la </w:t>
      </w:r>
      <w:r w:rsidRPr="00626850">
        <w:rPr>
          <w:color w:val="000000" w:themeColor="text1"/>
        </w:rPr>
        <w:lastRenderedPageBreak/>
        <w:t>actividad económica del Estado y se integran al ciclo presupuestal.</w:t>
      </w:r>
    </w:p>
    <w:p w14:paraId="719E3DE1" w14:textId="77777777" w:rsidR="0096047A" w:rsidRPr="00626850" w:rsidRDefault="003954EE">
      <w:pPr>
        <w:pStyle w:val="Textoindependiente"/>
        <w:spacing w:line="276" w:lineRule="auto"/>
        <w:ind w:left="300" w:right="449" w:firstLine="359"/>
        <w:jc w:val="both"/>
        <w:rPr>
          <w:color w:val="000000" w:themeColor="text1"/>
        </w:rPr>
      </w:pPr>
      <w:r w:rsidRPr="00626850">
        <w:rPr>
          <w:color w:val="000000" w:themeColor="text1"/>
        </w:rPr>
        <w:t>Ahora, el artículo 36 del Decreto 111 de 1996 establece que el presupuesto de gastos se compondrá de los gastos de funcionamiento, del servicio de la deuda pública y de los gastos de inversión. Por su parte, el «Catalogo único de Clasificación Presupuestal 2» establece que los gastos de funcionamiento son «las apropiaciones necesarias para el desarrollo de las actividades administrativas, técnicas y operativas. Comprende los gastos por servicios personales, adquisición de bienes y servicios, y transferencias de funcionamiento», en los que se incluye los gastos de personal de la entidad. En este sentido, si un convenio o contrato utiliza personal de la universidad para realizar actividades que ejecuten el objeto contractual implicará la ejecución de recursos públicos, porque los recursos con los cuales se paga el personal hacen parte de los recursos públicos que integran su</w:t>
      </w:r>
      <w:r w:rsidRPr="00626850">
        <w:rPr>
          <w:color w:val="000000" w:themeColor="text1"/>
          <w:spacing w:val="-7"/>
        </w:rPr>
        <w:t xml:space="preserve"> </w:t>
      </w:r>
      <w:r w:rsidRPr="00626850">
        <w:rPr>
          <w:color w:val="000000" w:themeColor="text1"/>
        </w:rPr>
        <w:t>presupuesto.</w:t>
      </w:r>
    </w:p>
    <w:p w14:paraId="5EB8CCC9" w14:textId="77777777" w:rsidR="0096047A" w:rsidRPr="00626850" w:rsidRDefault="003954EE">
      <w:pPr>
        <w:pStyle w:val="Textoindependiente"/>
        <w:spacing w:line="276" w:lineRule="auto"/>
        <w:ind w:left="300" w:right="446" w:firstLine="359"/>
        <w:jc w:val="both"/>
        <w:rPr>
          <w:color w:val="000000" w:themeColor="text1"/>
        </w:rPr>
      </w:pPr>
      <w:r w:rsidRPr="00626850">
        <w:rPr>
          <w:color w:val="000000" w:themeColor="text1"/>
        </w:rPr>
        <w:t>Ahora bien, de conformidad con el artículo 3º del Acuerdo 004 de 2013, el IDEXUD es una Unidad Ejecutora del Fondo Especial de Promoción de la Extensión y la Proyección Social, sin personería jurídica. Por lo tanto, el IDEXUD es un órgano que hace parte de la Universidad Distrital y la contratación que lleva a cabo la realiza en su nombre, a quien se le delegó la capacidad para contratar en el artículo 4 del mencionado Acuerdo.</w:t>
      </w:r>
    </w:p>
    <w:p w14:paraId="72951229" w14:textId="77777777" w:rsidR="0096047A" w:rsidRPr="00626850" w:rsidRDefault="0096047A">
      <w:pPr>
        <w:pStyle w:val="Textoindependiente"/>
        <w:spacing w:before="4"/>
        <w:rPr>
          <w:color w:val="000000" w:themeColor="text1"/>
          <w:sz w:val="25"/>
        </w:rPr>
      </w:pPr>
    </w:p>
    <w:p w14:paraId="5BE69240" w14:textId="77777777" w:rsidR="0096047A" w:rsidRPr="00626850" w:rsidRDefault="003954EE">
      <w:pPr>
        <w:pStyle w:val="Ttulo1"/>
        <w:numPr>
          <w:ilvl w:val="0"/>
          <w:numId w:val="1"/>
        </w:numPr>
        <w:tabs>
          <w:tab w:val="left" w:pos="661"/>
        </w:tabs>
        <w:ind w:left="660" w:hanging="361"/>
        <w:rPr>
          <w:color w:val="000000" w:themeColor="text1"/>
        </w:rPr>
      </w:pPr>
      <w:r w:rsidRPr="00626850">
        <w:rPr>
          <w:color w:val="000000" w:themeColor="text1"/>
        </w:rPr>
        <w:t>Respuesta</w:t>
      </w:r>
    </w:p>
    <w:p w14:paraId="378575B2" w14:textId="77777777" w:rsidR="0096047A" w:rsidRPr="00626850" w:rsidRDefault="0096047A">
      <w:pPr>
        <w:pStyle w:val="Textoindependiente"/>
        <w:rPr>
          <w:b/>
          <w:color w:val="000000" w:themeColor="text1"/>
          <w:sz w:val="24"/>
        </w:rPr>
      </w:pPr>
    </w:p>
    <w:p w14:paraId="1600FC57" w14:textId="77777777" w:rsidR="0096047A" w:rsidRPr="00626850" w:rsidRDefault="0096047A">
      <w:pPr>
        <w:pStyle w:val="Textoindependiente"/>
        <w:spacing w:before="10"/>
        <w:rPr>
          <w:b/>
          <w:color w:val="000000" w:themeColor="text1"/>
          <w:sz w:val="18"/>
        </w:rPr>
      </w:pPr>
    </w:p>
    <w:p w14:paraId="3EDD64CE" w14:textId="77777777" w:rsidR="0096047A" w:rsidRPr="00626850" w:rsidRDefault="003954EE">
      <w:pPr>
        <w:pStyle w:val="Textoindependiente"/>
        <w:ind w:left="1005" w:right="1016"/>
        <w:jc w:val="both"/>
        <w:rPr>
          <w:color w:val="000000" w:themeColor="text1"/>
        </w:rPr>
      </w:pPr>
      <w:r w:rsidRPr="00626850">
        <w:rPr>
          <w:color w:val="000000" w:themeColor="text1"/>
        </w:rPr>
        <w:t>«[…] se solicita de manera respetuosa conceptuar al respecto del deber de transparencia que propende el SECOP II, si por el régimen especial universitario y la actividad de extensión resulte por el factor presupuestal del tercero, el deber del registro en la plataforma».</w:t>
      </w:r>
    </w:p>
    <w:p w14:paraId="4E710C73" w14:textId="77777777" w:rsidR="0096047A" w:rsidRPr="00626850" w:rsidRDefault="0096047A">
      <w:pPr>
        <w:pStyle w:val="Textoindependiente"/>
        <w:rPr>
          <w:color w:val="000000" w:themeColor="text1"/>
          <w:sz w:val="24"/>
        </w:rPr>
      </w:pPr>
    </w:p>
    <w:p w14:paraId="61F77AE8" w14:textId="77777777" w:rsidR="0096047A" w:rsidRPr="00626850" w:rsidRDefault="0096047A">
      <w:pPr>
        <w:pStyle w:val="Textoindependiente"/>
        <w:spacing w:before="1"/>
        <w:rPr>
          <w:color w:val="000000" w:themeColor="text1"/>
        </w:rPr>
      </w:pPr>
    </w:p>
    <w:p w14:paraId="6E32FC08" w14:textId="77777777" w:rsidR="0096047A" w:rsidRPr="00626850" w:rsidRDefault="003954EE">
      <w:pPr>
        <w:pStyle w:val="Textoindependiente"/>
        <w:spacing w:line="276" w:lineRule="auto"/>
        <w:ind w:left="300" w:right="448"/>
        <w:jc w:val="both"/>
        <w:rPr>
          <w:color w:val="000000" w:themeColor="text1"/>
        </w:rPr>
      </w:pPr>
      <w:r w:rsidRPr="00626850">
        <w:rPr>
          <w:color w:val="000000" w:themeColor="text1"/>
        </w:rPr>
        <w:t>La obligatoriedad de publicar las actuaciones contractuales de las entidades no depende de su régimen de contratación, sino de la ejecución de recursos públicos. Ese deber no atiende a las condiciones fácticas que tengan las entidades excluidas del régimen de contratación estatal, sino ─se reitera─ al hecho de que la contratación implique la ejecución de recursos públicos.</w:t>
      </w:r>
    </w:p>
    <w:p w14:paraId="3E84DB33" w14:textId="41704309" w:rsidR="0096047A" w:rsidRPr="00626850" w:rsidRDefault="003954EE" w:rsidP="0028578B">
      <w:pPr>
        <w:pStyle w:val="Textoindependiente"/>
        <w:spacing w:before="121" w:line="276" w:lineRule="auto"/>
        <w:ind w:left="300" w:right="452" w:firstLine="707"/>
        <w:jc w:val="both"/>
        <w:rPr>
          <w:color w:val="000000" w:themeColor="text1"/>
          <w:sz w:val="9"/>
        </w:rPr>
      </w:pPr>
      <w:r w:rsidRPr="00626850">
        <w:rPr>
          <w:color w:val="000000" w:themeColor="text1"/>
        </w:rPr>
        <w:t xml:space="preserve">Ahora, el Decreto 103 de 2015 señala que los documentos que deberán publicar las entidades estatales son: i) las autorizaciones, requerimientos, aprobaciones o informes del supervisor o del interventor, que prueben la ejecución del contrato, </w:t>
      </w:r>
      <w:proofErr w:type="spellStart"/>
      <w:r w:rsidRPr="00626850">
        <w:rPr>
          <w:color w:val="000000" w:themeColor="text1"/>
        </w:rPr>
        <w:t>ii</w:t>
      </w:r>
      <w:proofErr w:type="spellEnd"/>
      <w:r w:rsidRPr="00626850">
        <w:rPr>
          <w:color w:val="000000" w:themeColor="text1"/>
        </w:rPr>
        <w:t xml:space="preserve">) en relación con los procedimientos, lineamientos y políticas en materia de adquisición se deberán publicar los documentos previstos en el manual de contratación de la entidad y, finalmente, </w:t>
      </w:r>
      <w:proofErr w:type="spellStart"/>
      <w:r w:rsidRPr="00626850">
        <w:rPr>
          <w:color w:val="000000" w:themeColor="text1"/>
        </w:rPr>
        <w:t>iii</w:t>
      </w:r>
      <w:proofErr w:type="spellEnd"/>
      <w:r w:rsidRPr="00626850">
        <w:rPr>
          <w:color w:val="000000" w:themeColor="text1"/>
        </w:rPr>
        <w:t>) el plan anual de</w:t>
      </w:r>
      <w:r w:rsidRPr="00626850">
        <w:rPr>
          <w:color w:val="000000" w:themeColor="text1"/>
          <w:spacing w:val="-8"/>
        </w:rPr>
        <w:t xml:space="preserve"> </w:t>
      </w:r>
      <w:r w:rsidRPr="00626850">
        <w:rPr>
          <w:color w:val="000000" w:themeColor="text1"/>
        </w:rPr>
        <w:t>adquisiciones.</w:t>
      </w:r>
    </w:p>
    <w:p w14:paraId="09DA1AA2" w14:textId="77777777" w:rsidR="0096047A" w:rsidRPr="00626850" w:rsidRDefault="003954EE">
      <w:pPr>
        <w:pStyle w:val="Textoindependiente"/>
        <w:spacing w:before="93" w:line="276" w:lineRule="auto"/>
        <w:ind w:left="300" w:right="446" w:firstLine="709"/>
        <w:jc w:val="both"/>
        <w:rPr>
          <w:color w:val="000000" w:themeColor="text1"/>
        </w:rPr>
      </w:pPr>
      <w:r w:rsidRPr="00626850">
        <w:rPr>
          <w:color w:val="000000" w:themeColor="text1"/>
        </w:rPr>
        <w:t xml:space="preserve">Frente al segundo grupo de documentos, debido a que estas entidades están sometidas al derecho privado, y por lo tanto no celebran sus procesos de contratación con las modalidades de contratación previstas en la Ley 80 </w:t>
      </w:r>
      <w:r w:rsidRPr="00626850">
        <w:rPr>
          <w:color w:val="000000" w:themeColor="text1"/>
          <w:spacing w:val="3"/>
        </w:rPr>
        <w:t xml:space="preserve">de </w:t>
      </w:r>
      <w:r w:rsidRPr="00626850">
        <w:rPr>
          <w:color w:val="000000" w:themeColor="text1"/>
        </w:rPr>
        <w:t xml:space="preserve">1993; cada una definirá en su </w:t>
      </w:r>
      <w:r w:rsidRPr="00626850">
        <w:rPr>
          <w:color w:val="000000" w:themeColor="text1"/>
        </w:rPr>
        <w:lastRenderedPageBreak/>
        <w:t>manual de contratación el procedimiento para la contratación de sus bienes y servicios.</w:t>
      </w:r>
    </w:p>
    <w:p w14:paraId="0F3C69EF" w14:textId="77777777" w:rsidR="0096047A" w:rsidRPr="00626850" w:rsidRDefault="0096047A">
      <w:pPr>
        <w:pStyle w:val="Textoindependiente"/>
        <w:spacing w:before="8"/>
        <w:rPr>
          <w:color w:val="000000" w:themeColor="text1"/>
          <w:sz w:val="35"/>
        </w:rPr>
      </w:pPr>
    </w:p>
    <w:p w14:paraId="1BB8A854" w14:textId="77777777" w:rsidR="0096047A" w:rsidRPr="00626850" w:rsidRDefault="003954EE">
      <w:pPr>
        <w:pStyle w:val="Textoindependiente"/>
        <w:spacing w:line="276" w:lineRule="auto"/>
        <w:ind w:left="300" w:right="454" w:firstLine="707"/>
        <w:jc w:val="both"/>
        <w:rPr>
          <w:color w:val="000000" w:themeColor="text1"/>
        </w:rPr>
      </w:pPr>
      <w:r w:rsidRPr="00626850">
        <w:rPr>
          <w:color w:val="000000" w:themeColor="text1"/>
        </w:rPr>
        <w:t>Este concepto tiene el alcance previsto en el artículo 28 del Código de Procedimiento Administrativo y de lo Contencioso Administrativo.</w:t>
      </w:r>
    </w:p>
    <w:p w14:paraId="161E6254" w14:textId="77777777" w:rsidR="0096047A" w:rsidRPr="00626850" w:rsidRDefault="0096047A">
      <w:pPr>
        <w:pStyle w:val="Textoindependiente"/>
        <w:rPr>
          <w:color w:val="000000" w:themeColor="text1"/>
          <w:sz w:val="20"/>
        </w:rPr>
      </w:pPr>
    </w:p>
    <w:p w14:paraId="26AEF2C1" w14:textId="77777777" w:rsidR="0096047A" w:rsidRPr="00626850" w:rsidRDefault="003954EE">
      <w:pPr>
        <w:pStyle w:val="Textoindependiente"/>
        <w:spacing w:before="8"/>
        <w:rPr>
          <w:color w:val="000000" w:themeColor="text1"/>
          <w:sz w:val="23"/>
        </w:rPr>
      </w:pPr>
      <w:r w:rsidRPr="00626850">
        <w:rPr>
          <w:noProof/>
          <w:color w:val="000000" w:themeColor="text1"/>
          <w:lang w:val="en-US" w:eastAsia="en-US" w:bidi="ar-SA"/>
        </w:rPr>
        <mc:AlternateContent>
          <mc:Choice Requires="wps">
            <w:drawing>
              <wp:anchor distT="0" distB="0" distL="0" distR="0" simplePos="0" relativeHeight="251669504" behindDoc="1" locked="0" layoutInCell="1" allowOverlap="1" wp14:anchorId="2DB9C2EE" wp14:editId="4A77E772">
                <wp:simplePos x="0" y="0"/>
                <wp:positionH relativeFrom="page">
                  <wp:posOffset>1514475</wp:posOffset>
                </wp:positionH>
                <wp:positionV relativeFrom="paragraph">
                  <wp:posOffset>203200</wp:posOffset>
                </wp:positionV>
                <wp:extent cx="46863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7BD0FE9">
              <v:line id="Line 2"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6pt" to="488.25pt,16pt" w14:anchorId="21627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Tv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">
                <w10:wrap type="topAndBottom" anchorx="page"/>
              </v:line>
            </w:pict>
          </mc:Fallback>
        </mc:AlternateContent>
      </w:r>
    </w:p>
    <w:p w14:paraId="20A39F78" w14:textId="77777777" w:rsidR="0096047A" w:rsidRPr="00626850" w:rsidRDefault="0096047A">
      <w:pPr>
        <w:pStyle w:val="Textoindependiente"/>
        <w:spacing w:before="6"/>
        <w:rPr>
          <w:color w:val="000000" w:themeColor="text1"/>
          <w:sz w:val="27"/>
        </w:rPr>
      </w:pPr>
    </w:p>
    <w:p w14:paraId="402991C4" w14:textId="77777777" w:rsidR="0096047A" w:rsidRPr="00626850" w:rsidRDefault="003954EE">
      <w:pPr>
        <w:pStyle w:val="Textoindependiente"/>
        <w:ind w:left="300"/>
        <w:rPr>
          <w:color w:val="000000" w:themeColor="text1"/>
        </w:rPr>
      </w:pPr>
      <w:r w:rsidRPr="00626850">
        <w:rPr>
          <w:color w:val="000000" w:themeColor="text1"/>
        </w:rPr>
        <w:t>Atentamente,</w:t>
      </w:r>
    </w:p>
    <w:p w14:paraId="15C9D782" w14:textId="241D6BCE" w:rsidR="0096047A" w:rsidRPr="00626850" w:rsidRDefault="0096047A">
      <w:pPr>
        <w:pStyle w:val="Textoindependiente"/>
        <w:spacing w:before="2"/>
        <w:rPr>
          <w:color w:val="000000" w:themeColor="text1"/>
          <w:sz w:val="9"/>
        </w:rPr>
      </w:pPr>
    </w:p>
    <w:p w14:paraId="7B5D5EC1" w14:textId="77777777" w:rsidR="0096047A" w:rsidRPr="00626850" w:rsidRDefault="0096047A">
      <w:pPr>
        <w:pStyle w:val="Textoindependiente"/>
        <w:rPr>
          <w:color w:val="000000" w:themeColor="text1"/>
          <w:sz w:val="20"/>
        </w:rPr>
      </w:pPr>
    </w:p>
    <w:p w14:paraId="48090BB9" w14:textId="376924E2" w:rsidR="0096047A" w:rsidRDefault="00EE6C2A" w:rsidP="00EE6C2A">
      <w:pPr>
        <w:pStyle w:val="Textoindependiente"/>
        <w:spacing w:before="7"/>
        <w:jc w:val="center"/>
        <w:rPr>
          <w:color w:val="000000" w:themeColor="text1"/>
          <w:sz w:val="27"/>
        </w:rPr>
      </w:pPr>
      <w:r>
        <w:rPr>
          <w:noProof/>
        </w:rPr>
        <w:drawing>
          <wp:inline distT="0" distB="0" distL="0" distR="0" wp14:anchorId="2740FA1B" wp14:editId="02C792B6">
            <wp:extent cx="2773045" cy="9886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7B8BE9A" w14:textId="77777777" w:rsidR="00EE6C2A" w:rsidRPr="00626850" w:rsidRDefault="00EE6C2A" w:rsidP="00085E97">
      <w:pPr>
        <w:pStyle w:val="Textoindependiente"/>
        <w:jc w:val="center"/>
        <w:rPr>
          <w:color w:val="000000" w:themeColor="text1"/>
          <w:sz w:val="27"/>
        </w:rPr>
      </w:pPr>
    </w:p>
    <w:tbl>
      <w:tblPr>
        <w:tblStyle w:val="NormalTable0"/>
        <w:tblW w:w="0" w:type="auto"/>
        <w:tblInd w:w="108" w:type="dxa"/>
        <w:tblLayout w:type="fixed"/>
        <w:tblLook w:val="01E0" w:firstRow="1" w:lastRow="1" w:firstColumn="1" w:lastColumn="1" w:noHBand="0" w:noVBand="0"/>
      </w:tblPr>
      <w:tblGrid>
        <w:gridCol w:w="897"/>
        <w:gridCol w:w="4421"/>
      </w:tblGrid>
      <w:tr w:rsidR="00626850" w:rsidRPr="00626850" w14:paraId="5CBD21A2" w14:textId="77777777" w:rsidTr="00E028DF">
        <w:trPr>
          <w:trHeight w:val="358"/>
        </w:trPr>
        <w:tc>
          <w:tcPr>
            <w:tcW w:w="897" w:type="dxa"/>
          </w:tcPr>
          <w:p w14:paraId="1E138A8E" w14:textId="77777777" w:rsidR="0096047A" w:rsidRPr="00626850" w:rsidRDefault="003954EE" w:rsidP="00085E97">
            <w:pPr>
              <w:pStyle w:val="TableParagraph"/>
              <w:ind w:left="180" w:right="81"/>
              <w:jc w:val="center"/>
              <w:rPr>
                <w:color w:val="000000" w:themeColor="text1"/>
                <w:sz w:val="16"/>
              </w:rPr>
            </w:pPr>
            <w:r w:rsidRPr="00626850">
              <w:rPr>
                <w:color w:val="000000" w:themeColor="text1"/>
                <w:sz w:val="16"/>
              </w:rPr>
              <w:t>Elaboró:</w:t>
            </w:r>
          </w:p>
        </w:tc>
        <w:tc>
          <w:tcPr>
            <w:tcW w:w="4421" w:type="dxa"/>
            <w:tcBorders>
              <w:bottom w:val="dotted" w:sz="4" w:space="0" w:color="7E7E7E"/>
            </w:tcBorders>
          </w:tcPr>
          <w:p w14:paraId="6EB734F6" w14:textId="77777777" w:rsidR="0096047A" w:rsidRPr="00626850" w:rsidRDefault="003954EE" w:rsidP="00085E97">
            <w:pPr>
              <w:pStyle w:val="TableParagraph"/>
              <w:spacing w:line="179" w:lineRule="exact"/>
              <w:ind w:left="0"/>
              <w:rPr>
                <w:color w:val="000000" w:themeColor="text1"/>
                <w:sz w:val="16"/>
              </w:rPr>
            </w:pPr>
            <w:proofErr w:type="spellStart"/>
            <w:r w:rsidRPr="00626850">
              <w:rPr>
                <w:color w:val="000000" w:themeColor="text1"/>
                <w:sz w:val="16"/>
              </w:rPr>
              <w:t>Leider</w:t>
            </w:r>
            <w:proofErr w:type="spellEnd"/>
            <w:r w:rsidRPr="00626850">
              <w:rPr>
                <w:color w:val="000000" w:themeColor="text1"/>
                <w:sz w:val="16"/>
              </w:rPr>
              <w:t xml:space="preserve"> Gómez Caballero</w:t>
            </w:r>
          </w:p>
          <w:p w14:paraId="0577B73C" w14:textId="77777777" w:rsidR="0096047A" w:rsidRPr="00626850" w:rsidRDefault="003954EE" w:rsidP="00085E97">
            <w:pPr>
              <w:pStyle w:val="TableParagraph"/>
              <w:ind w:left="0"/>
              <w:rPr>
                <w:color w:val="000000" w:themeColor="text1"/>
                <w:sz w:val="16"/>
              </w:rPr>
            </w:pPr>
            <w:r w:rsidRPr="00626850">
              <w:rPr>
                <w:color w:val="000000" w:themeColor="text1"/>
                <w:sz w:val="16"/>
              </w:rPr>
              <w:t>Contratista</w:t>
            </w:r>
          </w:p>
        </w:tc>
      </w:tr>
      <w:tr w:rsidR="00626850" w:rsidRPr="00626850" w14:paraId="021E2774" w14:textId="77777777" w:rsidTr="00E028DF">
        <w:trPr>
          <w:trHeight w:val="552"/>
        </w:trPr>
        <w:tc>
          <w:tcPr>
            <w:tcW w:w="897" w:type="dxa"/>
          </w:tcPr>
          <w:p w14:paraId="5EC01D77" w14:textId="77777777" w:rsidR="0096047A" w:rsidRPr="00626850" w:rsidRDefault="0096047A" w:rsidP="00085E97">
            <w:pPr>
              <w:pStyle w:val="TableParagraph"/>
              <w:ind w:left="0"/>
              <w:rPr>
                <w:color w:val="000000" w:themeColor="text1"/>
                <w:sz w:val="23"/>
              </w:rPr>
            </w:pPr>
          </w:p>
          <w:p w14:paraId="0B37415D" w14:textId="77777777" w:rsidR="0096047A" w:rsidRPr="00626850" w:rsidRDefault="003954EE" w:rsidP="00085E97">
            <w:pPr>
              <w:pStyle w:val="TableParagraph"/>
              <w:ind w:left="118" w:right="81"/>
              <w:jc w:val="center"/>
              <w:rPr>
                <w:color w:val="000000" w:themeColor="text1"/>
                <w:sz w:val="16"/>
              </w:rPr>
            </w:pPr>
            <w:r w:rsidRPr="00626850">
              <w:rPr>
                <w:color w:val="000000" w:themeColor="text1"/>
                <w:sz w:val="16"/>
              </w:rPr>
              <w:t>Revisó:</w:t>
            </w:r>
          </w:p>
        </w:tc>
        <w:tc>
          <w:tcPr>
            <w:tcW w:w="4421" w:type="dxa"/>
            <w:tcBorders>
              <w:top w:val="dotted" w:sz="4" w:space="0" w:color="7E7E7E"/>
              <w:bottom w:val="dotted" w:sz="4" w:space="0" w:color="7E7E7E"/>
            </w:tcBorders>
          </w:tcPr>
          <w:p w14:paraId="61D34C2C" w14:textId="77777777" w:rsidR="0096047A" w:rsidRPr="00626850" w:rsidRDefault="003954EE" w:rsidP="00085E97">
            <w:pPr>
              <w:pStyle w:val="TableParagraph"/>
              <w:spacing w:line="304" w:lineRule="exact"/>
              <w:ind w:left="0" w:right="1786"/>
              <w:rPr>
                <w:color w:val="000000" w:themeColor="text1"/>
                <w:sz w:val="16"/>
              </w:rPr>
            </w:pPr>
            <w:r w:rsidRPr="00626850">
              <w:rPr>
                <w:color w:val="000000" w:themeColor="text1"/>
                <w:sz w:val="16"/>
              </w:rPr>
              <w:t>Fabián Gonzalo Marín Cortés Subdirector de Gestión Contractual</w:t>
            </w:r>
          </w:p>
        </w:tc>
      </w:tr>
      <w:tr w:rsidR="0096047A" w:rsidRPr="00626850" w14:paraId="3C9FAD87" w14:textId="77777777" w:rsidTr="00E028DF">
        <w:trPr>
          <w:trHeight w:val="504"/>
        </w:trPr>
        <w:tc>
          <w:tcPr>
            <w:tcW w:w="897" w:type="dxa"/>
          </w:tcPr>
          <w:p w14:paraId="59DC3D18" w14:textId="77777777" w:rsidR="0096047A" w:rsidRPr="00626850" w:rsidRDefault="0096047A" w:rsidP="00085E97">
            <w:pPr>
              <w:pStyle w:val="TableParagraph"/>
              <w:ind w:left="0"/>
              <w:rPr>
                <w:color w:val="000000" w:themeColor="text1"/>
                <w:sz w:val="23"/>
              </w:rPr>
            </w:pPr>
          </w:p>
          <w:p w14:paraId="7120A526" w14:textId="77777777" w:rsidR="0096047A" w:rsidRPr="00626850" w:rsidRDefault="003954EE" w:rsidP="00085E97">
            <w:pPr>
              <w:pStyle w:val="TableParagraph"/>
              <w:ind w:left="145" w:right="81"/>
              <w:jc w:val="center"/>
              <w:rPr>
                <w:color w:val="000000" w:themeColor="text1"/>
                <w:sz w:val="16"/>
              </w:rPr>
            </w:pPr>
            <w:r w:rsidRPr="00626850">
              <w:rPr>
                <w:color w:val="000000" w:themeColor="text1"/>
                <w:sz w:val="16"/>
              </w:rPr>
              <w:t>Aprobó:</w:t>
            </w:r>
          </w:p>
        </w:tc>
        <w:tc>
          <w:tcPr>
            <w:tcW w:w="4421" w:type="dxa"/>
            <w:tcBorders>
              <w:top w:val="dotted" w:sz="4" w:space="0" w:color="7E7E7E"/>
              <w:bottom w:val="dotted" w:sz="4" w:space="0" w:color="7E7E7E"/>
            </w:tcBorders>
          </w:tcPr>
          <w:p w14:paraId="0C6C9513" w14:textId="77777777" w:rsidR="0096047A" w:rsidRPr="00626850" w:rsidRDefault="003954EE" w:rsidP="00085E97">
            <w:pPr>
              <w:pStyle w:val="TableParagraph"/>
              <w:spacing w:line="306" w:lineRule="exact"/>
              <w:ind w:left="0" w:right="1786"/>
              <w:rPr>
                <w:color w:val="000000" w:themeColor="text1"/>
                <w:sz w:val="16"/>
              </w:rPr>
            </w:pPr>
            <w:r w:rsidRPr="00626850">
              <w:rPr>
                <w:color w:val="000000" w:themeColor="text1"/>
                <w:sz w:val="16"/>
              </w:rPr>
              <w:t>Fabián Gonzalo Marín Cortés Subdirector de Gestión Contractual</w:t>
            </w:r>
          </w:p>
        </w:tc>
      </w:tr>
    </w:tbl>
    <w:p w14:paraId="54D0F3A7" w14:textId="77777777" w:rsidR="00DE7C28" w:rsidRPr="00626850" w:rsidRDefault="00DE7C28">
      <w:pPr>
        <w:rPr>
          <w:color w:val="000000" w:themeColor="text1"/>
        </w:rPr>
      </w:pPr>
    </w:p>
    <w:sectPr w:rsidR="00DE7C28" w:rsidRPr="00626850">
      <w:headerReference w:type="default" r:id="rId12"/>
      <w:footerReference w:type="default" r:id="rId13"/>
      <w:pgSz w:w="12240" w:h="15840"/>
      <w:pgMar w:top="1560" w:right="1300" w:bottom="1660" w:left="1400" w:header="766" w:footer="1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DF0DB" w14:textId="77777777" w:rsidR="00D3573C" w:rsidRDefault="00D3573C">
      <w:r>
        <w:separator/>
      </w:r>
    </w:p>
  </w:endnote>
  <w:endnote w:type="continuationSeparator" w:id="0">
    <w:p w14:paraId="0A3CCAE5" w14:textId="77777777" w:rsidR="00D3573C" w:rsidRDefault="00D3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8C17D" w14:textId="77777777" w:rsidR="0096047A" w:rsidRDefault="003954EE">
    <w:pPr>
      <w:pStyle w:val="Textoindependiente"/>
      <w:spacing w:line="14" w:lineRule="auto"/>
      <w:rPr>
        <w:sz w:val="20"/>
      </w:rPr>
    </w:pPr>
    <w:r>
      <w:rPr>
        <w:noProof/>
        <w:lang w:val="en-US" w:eastAsia="en-US" w:bidi="ar-SA"/>
      </w:rPr>
      <w:drawing>
        <wp:anchor distT="0" distB="0" distL="0" distR="0" simplePos="0" relativeHeight="251657728" behindDoc="1" locked="0" layoutInCell="1" allowOverlap="1" wp14:anchorId="10B337D4" wp14:editId="46717EBB">
          <wp:simplePos x="0" y="0"/>
          <wp:positionH relativeFrom="page">
            <wp:posOffset>1746504</wp:posOffset>
          </wp:positionH>
          <wp:positionV relativeFrom="page">
            <wp:posOffset>9133217</wp:posOffset>
          </wp:positionV>
          <wp:extent cx="4240784" cy="5949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240784" cy="594982"/>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251658752" behindDoc="1" locked="0" layoutInCell="1" allowOverlap="1" wp14:anchorId="0B17A70D" wp14:editId="3C57BDFF">
              <wp:simplePos x="0" y="0"/>
              <wp:positionH relativeFrom="page">
                <wp:posOffset>3782060</wp:posOffset>
              </wp:positionH>
              <wp:positionV relativeFrom="page">
                <wp:posOffset>8990965</wp:posOffset>
              </wp:positionV>
              <wp:extent cx="17780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023A" w14:textId="77777777" w:rsidR="0096047A" w:rsidRDefault="003954EE">
                          <w:pPr>
                            <w:spacing w:before="14"/>
                            <w:ind w:left="40"/>
                            <w:rPr>
                              <w:sz w:val="18"/>
                            </w:rPr>
                          </w:pPr>
                          <w:r>
                            <w:fldChar w:fldCharType="begin"/>
                          </w:r>
                          <w:r>
                            <w:rPr>
                              <w:sz w:val="18"/>
                            </w:rPr>
                            <w:instrText xml:space="preserve"> PAGE </w:instrText>
                          </w:r>
                          <w:r>
                            <w:fldChar w:fldCharType="separate"/>
                          </w:r>
                          <w:r w:rsidR="005A40F3">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374397">
            <v:shapetype id="_x0000_t202" coordsize="21600,21600" o:spt="202" path="m,l,21600r21600,l21600,xe" w14:anchorId="0B17A70D">
              <v:stroke joinstyle="miter"/>
              <v:path gradientshapeok="t" o:connecttype="rect"/>
            </v:shapetype>
            <v:shape id="Text Box 1" style="position:absolute;margin-left:297.8pt;margin-top:707.95pt;width:14pt;height:1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">
              <v:textbox inset="0,0,0,0">
                <w:txbxContent>
                  <w:p w:rsidR="0096047A" w:rsidRDefault="003954EE" w14:paraId="4590CB77" w14:textId="77777777">
                    <w:pPr>
                      <w:spacing w:before="14"/>
                      <w:ind w:left="40"/>
                      <w:rPr>
                        <w:sz w:val="18"/>
                      </w:rPr>
                    </w:pPr>
                    <w:r>
                      <w:fldChar w:fldCharType="begin"/>
                    </w:r>
                    <w:r>
                      <w:rPr>
                        <w:sz w:val="18"/>
                      </w:rPr>
                      <w:instrText xml:space="preserve"> PAGE </w:instrText>
                    </w:r>
                    <w:r>
                      <w:fldChar w:fldCharType="separate"/>
                    </w:r>
                    <w:r w:rsidR="005A40F3">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DE4A1" w14:textId="77777777" w:rsidR="00D3573C" w:rsidRDefault="00D3573C">
      <w:r>
        <w:separator/>
      </w:r>
    </w:p>
  </w:footnote>
  <w:footnote w:type="continuationSeparator" w:id="0">
    <w:p w14:paraId="23B05312" w14:textId="77777777" w:rsidR="00D3573C" w:rsidRDefault="00D3573C">
      <w:r>
        <w:continuationSeparator/>
      </w:r>
    </w:p>
  </w:footnote>
  <w:footnote w:id="1">
    <w:p w14:paraId="4FC78132" w14:textId="42A35E54" w:rsidR="00A5432D" w:rsidRPr="00E04B77" w:rsidRDefault="00A5432D" w:rsidP="001C6951">
      <w:pPr>
        <w:spacing w:before="75"/>
        <w:ind w:firstLine="701"/>
        <w:jc w:val="both"/>
        <w:rPr>
          <w:sz w:val="19"/>
          <w:szCs w:val="19"/>
        </w:rPr>
      </w:pPr>
      <w:r w:rsidRPr="00E04B77">
        <w:rPr>
          <w:rStyle w:val="Refdenotaalpie"/>
          <w:sz w:val="19"/>
          <w:szCs w:val="19"/>
        </w:rPr>
        <w:footnoteRef/>
      </w:r>
      <w:r w:rsidRPr="00E04B77">
        <w:rPr>
          <w:sz w:val="19"/>
          <w:szCs w:val="19"/>
        </w:rPr>
        <w:t xml:space="preserve"> Corte</w:t>
      </w:r>
      <w:r w:rsidRPr="00E04B77">
        <w:rPr>
          <w:spacing w:val="36"/>
          <w:sz w:val="19"/>
          <w:szCs w:val="19"/>
        </w:rPr>
        <w:t xml:space="preserve"> </w:t>
      </w:r>
      <w:r w:rsidRPr="00E04B77">
        <w:rPr>
          <w:sz w:val="19"/>
          <w:szCs w:val="19"/>
        </w:rPr>
        <w:t>Constitucional.</w:t>
      </w:r>
      <w:r w:rsidRPr="00E04B77">
        <w:rPr>
          <w:spacing w:val="37"/>
          <w:sz w:val="19"/>
          <w:szCs w:val="19"/>
        </w:rPr>
        <w:t xml:space="preserve"> </w:t>
      </w:r>
      <w:r w:rsidRPr="00E04B77">
        <w:rPr>
          <w:sz w:val="19"/>
          <w:szCs w:val="19"/>
        </w:rPr>
        <w:t>Sentencia</w:t>
      </w:r>
      <w:r w:rsidRPr="00E04B77">
        <w:rPr>
          <w:spacing w:val="36"/>
          <w:sz w:val="19"/>
          <w:szCs w:val="19"/>
        </w:rPr>
        <w:t xml:space="preserve"> </w:t>
      </w:r>
      <w:r w:rsidRPr="00E04B77">
        <w:rPr>
          <w:sz w:val="19"/>
          <w:szCs w:val="19"/>
        </w:rPr>
        <w:t>C-</w:t>
      </w:r>
      <w:r w:rsidRPr="00E04B77">
        <w:rPr>
          <w:spacing w:val="37"/>
          <w:sz w:val="19"/>
          <w:szCs w:val="19"/>
        </w:rPr>
        <w:t xml:space="preserve"> </w:t>
      </w:r>
      <w:r w:rsidRPr="00E04B77">
        <w:rPr>
          <w:sz w:val="19"/>
          <w:szCs w:val="19"/>
        </w:rPr>
        <w:t>341</w:t>
      </w:r>
      <w:r w:rsidRPr="00E04B77">
        <w:rPr>
          <w:spacing w:val="37"/>
          <w:sz w:val="19"/>
          <w:szCs w:val="19"/>
        </w:rPr>
        <w:t xml:space="preserve"> </w:t>
      </w:r>
      <w:r w:rsidRPr="00E04B77">
        <w:rPr>
          <w:sz w:val="19"/>
          <w:szCs w:val="19"/>
        </w:rPr>
        <w:t>del</w:t>
      </w:r>
      <w:r w:rsidRPr="00E04B77">
        <w:rPr>
          <w:spacing w:val="37"/>
          <w:sz w:val="19"/>
          <w:szCs w:val="19"/>
        </w:rPr>
        <w:t xml:space="preserve"> </w:t>
      </w:r>
      <w:r w:rsidRPr="00E04B77">
        <w:rPr>
          <w:sz w:val="19"/>
          <w:szCs w:val="19"/>
        </w:rPr>
        <w:t>4</w:t>
      </w:r>
      <w:r w:rsidRPr="00E04B77">
        <w:rPr>
          <w:spacing w:val="37"/>
          <w:sz w:val="19"/>
          <w:szCs w:val="19"/>
        </w:rPr>
        <w:t xml:space="preserve"> </w:t>
      </w:r>
      <w:r w:rsidRPr="00E04B77">
        <w:rPr>
          <w:sz w:val="19"/>
          <w:szCs w:val="19"/>
        </w:rPr>
        <w:t>de</w:t>
      </w:r>
      <w:r w:rsidRPr="00E04B77">
        <w:rPr>
          <w:spacing w:val="36"/>
          <w:sz w:val="19"/>
          <w:szCs w:val="19"/>
        </w:rPr>
        <w:t xml:space="preserve"> </w:t>
      </w:r>
      <w:r w:rsidRPr="00E04B77">
        <w:rPr>
          <w:sz w:val="19"/>
          <w:szCs w:val="19"/>
        </w:rPr>
        <w:t>junio</w:t>
      </w:r>
      <w:r w:rsidRPr="00E04B77">
        <w:rPr>
          <w:spacing w:val="37"/>
          <w:sz w:val="19"/>
          <w:szCs w:val="19"/>
        </w:rPr>
        <w:t xml:space="preserve"> </w:t>
      </w:r>
      <w:r w:rsidRPr="00E04B77">
        <w:rPr>
          <w:sz w:val="19"/>
          <w:szCs w:val="19"/>
        </w:rPr>
        <w:t>de</w:t>
      </w:r>
      <w:r w:rsidRPr="00E04B77">
        <w:rPr>
          <w:spacing w:val="37"/>
          <w:sz w:val="19"/>
          <w:szCs w:val="19"/>
        </w:rPr>
        <w:t xml:space="preserve"> </w:t>
      </w:r>
      <w:r w:rsidRPr="00E04B77">
        <w:rPr>
          <w:sz w:val="19"/>
          <w:szCs w:val="19"/>
        </w:rPr>
        <w:t>2014.</w:t>
      </w:r>
      <w:r w:rsidRPr="00E04B77">
        <w:rPr>
          <w:spacing w:val="36"/>
          <w:sz w:val="19"/>
          <w:szCs w:val="19"/>
        </w:rPr>
        <w:t xml:space="preserve"> </w:t>
      </w:r>
      <w:r w:rsidRPr="00E04B77">
        <w:rPr>
          <w:sz w:val="19"/>
          <w:szCs w:val="19"/>
        </w:rPr>
        <w:t>M.</w:t>
      </w:r>
      <w:r w:rsidRPr="00E04B77">
        <w:rPr>
          <w:spacing w:val="37"/>
          <w:sz w:val="19"/>
          <w:szCs w:val="19"/>
        </w:rPr>
        <w:t xml:space="preserve"> </w:t>
      </w:r>
      <w:r w:rsidRPr="00E04B77">
        <w:rPr>
          <w:sz w:val="19"/>
          <w:szCs w:val="19"/>
        </w:rPr>
        <w:t>P.</w:t>
      </w:r>
      <w:r w:rsidRPr="00E04B77">
        <w:rPr>
          <w:spacing w:val="36"/>
          <w:sz w:val="19"/>
          <w:szCs w:val="19"/>
        </w:rPr>
        <w:t xml:space="preserve"> </w:t>
      </w:r>
      <w:r w:rsidRPr="00E04B77">
        <w:rPr>
          <w:sz w:val="19"/>
          <w:szCs w:val="19"/>
        </w:rPr>
        <w:t>Mauricio</w:t>
      </w:r>
      <w:r w:rsidRPr="00E04B77">
        <w:rPr>
          <w:spacing w:val="37"/>
          <w:sz w:val="19"/>
          <w:szCs w:val="19"/>
        </w:rPr>
        <w:t xml:space="preserve"> </w:t>
      </w:r>
      <w:r w:rsidRPr="00E04B77">
        <w:rPr>
          <w:sz w:val="19"/>
          <w:szCs w:val="19"/>
        </w:rPr>
        <w:t xml:space="preserve">González. </w:t>
      </w:r>
    </w:p>
    <w:p w14:paraId="10668C9E" w14:textId="77777777" w:rsidR="001C6951" w:rsidRPr="00E04B77" w:rsidRDefault="001C6951" w:rsidP="001C6951">
      <w:pPr>
        <w:pStyle w:val="Prrafodelista"/>
        <w:spacing w:before="75"/>
        <w:ind w:left="414" w:firstLine="0"/>
        <w:jc w:val="both"/>
        <w:rPr>
          <w:sz w:val="19"/>
          <w:szCs w:val="19"/>
          <w:lang w:val="es-CO"/>
        </w:rPr>
      </w:pPr>
    </w:p>
  </w:footnote>
  <w:footnote w:id="2">
    <w:p w14:paraId="7D4AC7F0" w14:textId="38E549CF" w:rsidR="001C6951" w:rsidRPr="00E04B77" w:rsidRDefault="00A5432D" w:rsidP="001C6951">
      <w:pPr>
        <w:ind w:right="486" w:firstLine="701"/>
        <w:jc w:val="both"/>
        <w:rPr>
          <w:sz w:val="19"/>
          <w:szCs w:val="19"/>
        </w:rPr>
      </w:pPr>
      <w:r w:rsidRPr="00E04B77">
        <w:rPr>
          <w:rStyle w:val="Refdenotaalpie"/>
          <w:sz w:val="19"/>
          <w:szCs w:val="19"/>
        </w:rPr>
        <w:footnoteRef/>
      </w:r>
      <w:r w:rsidRPr="00E04B77">
        <w:rPr>
          <w:sz w:val="19"/>
          <w:szCs w:val="19"/>
        </w:rPr>
        <w:t xml:space="preserve"> </w:t>
      </w:r>
      <w:r w:rsidR="001C6951" w:rsidRPr="00E04B77">
        <w:rPr>
          <w:sz w:val="19"/>
          <w:szCs w:val="19"/>
        </w:rPr>
        <w:t xml:space="preserve">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 </w:t>
      </w:r>
    </w:p>
    <w:p w14:paraId="4F4D5B59" w14:textId="77777777" w:rsidR="001C6951" w:rsidRPr="00E04B77" w:rsidRDefault="001C6951" w:rsidP="001C6951">
      <w:pPr>
        <w:ind w:right="486" w:firstLine="701"/>
        <w:jc w:val="both"/>
        <w:rPr>
          <w:sz w:val="19"/>
          <w:szCs w:val="19"/>
        </w:rPr>
      </w:pPr>
    </w:p>
    <w:p w14:paraId="5F672F36" w14:textId="40BF130E" w:rsidR="001C6951" w:rsidRPr="00E04B77" w:rsidRDefault="001C6951" w:rsidP="001C6951">
      <w:pPr>
        <w:ind w:right="486" w:firstLine="701"/>
        <w:jc w:val="both"/>
        <w:rPr>
          <w:sz w:val="19"/>
          <w:szCs w:val="19"/>
        </w:rPr>
      </w:pPr>
      <w:proofErr w:type="gramStart"/>
      <w:r w:rsidRPr="00E04B77">
        <w:rPr>
          <w:sz w:val="19"/>
          <w:szCs w:val="19"/>
        </w:rPr>
        <w:t>»Lo</w:t>
      </w:r>
      <w:proofErr w:type="gramEnd"/>
      <w:r w:rsidRPr="00E04B77">
        <w:rPr>
          <w:sz w:val="19"/>
          <w:szCs w:val="19"/>
        </w:rPr>
        <w:t xml:space="preserve"> anterior, sin perjuicio de las publicaciones previstas en el numeral 3 del artículo 30 de la Ley 80 de 1993.</w:t>
      </w:r>
    </w:p>
    <w:p w14:paraId="148B06DB" w14:textId="77777777" w:rsidR="001C6951" w:rsidRPr="00E04B77" w:rsidRDefault="001C6951" w:rsidP="001C6951">
      <w:pPr>
        <w:ind w:right="486" w:firstLine="701"/>
        <w:jc w:val="both"/>
        <w:rPr>
          <w:sz w:val="19"/>
          <w:szCs w:val="19"/>
        </w:rPr>
      </w:pPr>
      <w:proofErr w:type="gramStart"/>
      <w:r w:rsidRPr="00E04B77">
        <w:rPr>
          <w:sz w:val="19"/>
          <w:szCs w:val="19"/>
        </w:rPr>
        <w:t>»Con</w:t>
      </w:r>
      <w:proofErr w:type="gramEnd"/>
      <w:r w:rsidRPr="00E04B77">
        <w:rPr>
          <w:sz w:val="19"/>
          <w:szCs w:val="19"/>
        </w:rPr>
        <w:t xml:space="preserve"> el fin de materializar los objetivos a que se refiere el inciso anterior, el Gobierno Nacional desarrollará el Sistema Electrónico para la Contratación Pública, </w:t>
      </w:r>
      <w:proofErr w:type="spellStart"/>
      <w:r w:rsidRPr="00E04B77">
        <w:rPr>
          <w:sz w:val="19"/>
          <w:szCs w:val="19"/>
        </w:rPr>
        <w:t>Secop</w:t>
      </w:r>
      <w:proofErr w:type="spellEnd"/>
      <w:r w:rsidRPr="00E04B77">
        <w:rPr>
          <w:sz w:val="19"/>
          <w:szCs w:val="19"/>
        </w:rPr>
        <w:t>, el cual:</w:t>
      </w:r>
    </w:p>
    <w:p w14:paraId="3492CA0A" w14:textId="77777777" w:rsidR="001C6951" w:rsidRPr="00E04B77" w:rsidRDefault="001C6951" w:rsidP="001C6951">
      <w:pPr>
        <w:ind w:right="486" w:firstLine="701"/>
        <w:jc w:val="both"/>
        <w:rPr>
          <w:sz w:val="19"/>
          <w:szCs w:val="19"/>
        </w:rPr>
      </w:pPr>
      <w:r w:rsidRPr="00E04B77">
        <w:rPr>
          <w:sz w:val="19"/>
          <w:szCs w:val="19"/>
        </w:rPr>
        <w:t>[…]</w:t>
      </w:r>
    </w:p>
    <w:p w14:paraId="7E5DAA3C" w14:textId="77777777" w:rsidR="001C6951" w:rsidRPr="00E04B77" w:rsidRDefault="001C6951" w:rsidP="001C6951">
      <w:pPr>
        <w:ind w:right="486" w:firstLine="701"/>
        <w:jc w:val="both"/>
        <w:rPr>
          <w:sz w:val="19"/>
          <w:szCs w:val="19"/>
        </w:rPr>
      </w:pPr>
      <w:r w:rsidRPr="00E04B77">
        <w:rPr>
          <w:sz w:val="19"/>
          <w:szCs w:val="19"/>
        </w:rPr>
        <w:t>»c) Contará con la información oficial de la contratación realizada con dineros públicos, para lo cual establecerá los patrones a que haya lugar y se encargará de su difusión a través de canales electrónico».</w:t>
      </w:r>
    </w:p>
    <w:p w14:paraId="0871C3C6" w14:textId="6A58C05F" w:rsidR="00A5432D" w:rsidRPr="00E04B77" w:rsidRDefault="00A5432D" w:rsidP="001C6951">
      <w:pPr>
        <w:pStyle w:val="Textonotapie"/>
        <w:ind w:firstLine="414"/>
        <w:rPr>
          <w:lang w:val="es-CO"/>
        </w:rPr>
      </w:pPr>
    </w:p>
  </w:footnote>
  <w:footnote w:id="3">
    <w:p w14:paraId="02D9DC5A" w14:textId="77777777" w:rsidR="00CD5D98" w:rsidRPr="00E04B77" w:rsidRDefault="00CD5D98" w:rsidP="00CD5D98">
      <w:pPr>
        <w:spacing w:before="78"/>
        <w:ind w:right="449" w:firstLine="701"/>
        <w:jc w:val="both"/>
        <w:rPr>
          <w:sz w:val="19"/>
        </w:rPr>
      </w:pPr>
      <w:r w:rsidRPr="00E04B77">
        <w:rPr>
          <w:rStyle w:val="Refdenotaalpie"/>
        </w:rPr>
        <w:footnoteRef/>
      </w:r>
      <w:r w:rsidRPr="00E04B77">
        <w:t xml:space="preserve"> </w:t>
      </w:r>
      <w:r w:rsidRPr="00E04B77">
        <w:rPr>
          <w:sz w:val="19"/>
        </w:rPr>
        <w:t>Ley 1712 de 2014: «Artículo 2. Toda información en posesión, bajo control o custodia de un sujeto obligado es pública y no podrá ser reservada o limitada sino por disposición constitucional o legal, de conformidad con la presente</w:t>
      </w:r>
      <w:r w:rsidRPr="00E04B77">
        <w:rPr>
          <w:spacing w:val="-5"/>
          <w:sz w:val="19"/>
        </w:rPr>
        <w:t xml:space="preserve"> </w:t>
      </w:r>
      <w:r w:rsidRPr="00E04B77">
        <w:rPr>
          <w:sz w:val="19"/>
        </w:rPr>
        <w:t>ley».</w:t>
      </w:r>
    </w:p>
    <w:p w14:paraId="5A787DDD" w14:textId="7AE71C64" w:rsidR="00CD5D98" w:rsidRPr="00E04B77" w:rsidRDefault="00CD5D98">
      <w:pPr>
        <w:pStyle w:val="Textonotapie"/>
        <w:rPr>
          <w:lang w:val="es-CO"/>
        </w:rPr>
      </w:pPr>
    </w:p>
  </w:footnote>
  <w:footnote w:id="4">
    <w:p w14:paraId="71CA6CD7" w14:textId="77777777" w:rsidR="00CD5D98" w:rsidRPr="00E04B77" w:rsidRDefault="00CD5D98" w:rsidP="00CD5D98">
      <w:pPr>
        <w:ind w:right="453" w:firstLine="701"/>
        <w:jc w:val="both"/>
        <w:rPr>
          <w:sz w:val="19"/>
        </w:rPr>
      </w:pPr>
      <w:r w:rsidRPr="00E04B77">
        <w:rPr>
          <w:rStyle w:val="Refdenotaalpie"/>
        </w:rPr>
        <w:footnoteRef/>
      </w:r>
      <w:r w:rsidRPr="00E04B77">
        <w:t xml:space="preserve"> </w:t>
      </w:r>
      <w:r w:rsidRPr="00E04B77">
        <w:rPr>
          <w:sz w:val="19"/>
        </w:rPr>
        <w:t>Ley 1712 de 2014: «Artículo 5. Ámbito de aplicación. Las disposiciones de esta ley serán aplicables a las siguientes personas en calidad de sujetos obligados:</w:t>
      </w:r>
    </w:p>
    <w:p w14:paraId="7DBE629F" w14:textId="77777777" w:rsidR="00CD5D98" w:rsidRPr="00E04B77" w:rsidRDefault="00CD5D98" w:rsidP="00CD5D98">
      <w:pPr>
        <w:spacing w:before="1"/>
        <w:ind w:left="300" w:right="452" w:firstLine="707"/>
        <w:jc w:val="both"/>
        <w:rPr>
          <w:sz w:val="19"/>
        </w:rPr>
      </w:pPr>
      <w:proofErr w:type="gramStart"/>
      <w:r w:rsidRPr="00E04B77">
        <w:rPr>
          <w:sz w:val="19"/>
        </w:rPr>
        <w:t>»a</w:t>
      </w:r>
      <w:proofErr w:type="gramEnd"/>
      <w:r w:rsidRPr="00E04B77">
        <w:rPr>
          <w:sz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7F81CB43" w14:textId="0BDA6AF8" w:rsidR="00CD5D98" w:rsidRPr="00E04B77" w:rsidRDefault="00CD5D98">
      <w:pPr>
        <w:pStyle w:val="Textonotapie"/>
        <w:rPr>
          <w:lang w:val="es-CO"/>
        </w:rPr>
      </w:pPr>
    </w:p>
  </w:footnote>
  <w:footnote w:id="5">
    <w:p w14:paraId="4BE47065" w14:textId="77777777" w:rsidR="00CD5D98" w:rsidRPr="00E04B77" w:rsidRDefault="00CD5D98" w:rsidP="00CD5D98">
      <w:pPr>
        <w:spacing w:before="1" w:line="222" w:lineRule="exact"/>
        <w:ind w:left="1010"/>
        <w:jc w:val="both"/>
        <w:rPr>
          <w:sz w:val="19"/>
        </w:rPr>
      </w:pPr>
      <w:r w:rsidRPr="00E04B77">
        <w:rPr>
          <w:rStyle w:val="Refdenotaalpie"/>
        </w:rPr>
        <w:footnoteRef/>
      </w:r>
      <w:r w:rsidRPr="00E04B77">
        <w:t xml:space="preserve"> </w:t>
      </w:r>
      <w:r w:rsidRPr="00E04B77">
        <w:rPr>
          <w:sz w:val="19"/>
        </w:rPr>
        <w:t>Artículo 2.1.1.2.1.7. «Publicación de la información contractual. De conformidad con el literal</w:t>
      </w:r>
    </w:p>
    <w:p w14:paraId="15B89E86" w14:textId="77777777" w:rsidR="00CD5D98" w:rsidRPr="00E04B77" w:rsidRDefault="00CD5D98" w:rsidP="00CD5D98">
      <w:pPr>
        <w:ind w:left="300" w:right="450"/>
        <w:jc w:val="both"/>
        <w:rPr>
          <w:sz w:val="19"/>
        </w:rPr>
      </w:pPr>
      <w:r w:rsidRPr="00E04B77">
        <w:rPr>
          <w:sz w:val="19"/>
        </w:rPr>
        <w:t>(c)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66A632B9" w14:textId="77777777" w:rsidR="00CD5D98" w:rsidRPr="00E04B77" w:rsidRDefault="00CD5D98" w:rsidP="00CD5D98">
      <w:pPr>
        <w:spacing w:line="218" w:lineRule="exact"/>
        <w:ind w:left="1010"/>
        <w:rPr>
          <w:sz w:val="19"/>
        </w:rPr>
      </w:pPr>
      <w:r w:rsidRPr="00E04B77">
        <w:rPr>
          <w:sz w:val="19"/>
        </w:rPr>
        <w:t>[…]</w:t>
      </w:r>
    </w:p>
    <w:p w14:paraId="10F4DE51" w14:textId="77777777" w:rsidR="00CD5D98" w:rsidRPr="00E04B77" w:rsidRDefault="00CD5D98" w:rsidP="00CD5D98">
      <w:pPr>
        <w:pStyle w:val="Textoindependiente"/>
        <w:spacing w:before="11"/>
        <w:rPr>
          <w:sz w:val="18"/>
        </w:rPr>
      </w:pPr>
    </w:p>
    <w:p w14:paraId="1D018D9D" w14:textId="77777777" w:rsidR="00CD5D98" w:rsidRPr="00E04B77" w:rsidRDefault="00CD5D98" w:rsidP="00CD5D98">
      <w:pPr>
        <w:ind w:left="300" w:right="450" w:firstLine="709"/>
        <w:jc w:val="both"/>
        <w:rPr>
          <w:sz w:val="19"/>
        </w:rPr>
      </w:pPr>
      <w:proofErr w:type="gramStart"/>
      <w:r w:rsidRPr="00E04B77">
        <w:rPr>
          <w:sz w:val="19"/>
        </w:rPr>
        <w:t>»Los</w:t>
      </w:r>
      <w:proofErr w:type="gramEnd"/>
      <w:r w:rsidRPr="00E04B77">
        <w:rPr>
          <w:sz w:val="19"/>
        </w:rPr>
        <w:t xml:space="preserve"> sujetos obligados que contratan con recursos públicos y recursos privados, deben publicar la información de su gestión contractual con cargo a recursos públicos en el Sistema Electrónico para la Contratación Pública</w:t>
      </w:r>
      <w:r w:rsidRPr="00E04B77">
        <w:rPr>
          <w:spacing w:val="-5"/>
          <w:sz w:val="19"/>
        </w:rPr>
        <w:t xml:space="preserve"> </w:t>
      </w:r>
      <w:r w:rsidRPr="00E04B77">
        <w:rPr>
          <w:sz w:val="19"/>
        </w:rPr>
        <w:t>[SECOP]».</w:t>
      </w:r>
    </w:p>
    <w:p w14:paraId="6199D371" w14:textId="5FA27EC0" w:rsidR="00CD5D98" w:rsidRPr="00E04B77" w:rsidRDefault="00CD5D98">
      <w:pPr>
        <w:pStyle w:val="Textonotapie"/>
        <w:rPr>
          <w:lang w:val="es-CO"/>
        </w:rPr>
      </w:pPr>
    </w:p>
  </w:footnote>
  <w:footnote w:id="6">
    <w:p w14:paraId="1AF4C79A" w14:textId="77777777" w:rsidR="00CD5D98" w:rsidRPr="00E04B77" w:rsidRDefault="00CD5D98" w:rsidP="00CD5D98">
      <w:pPr>
        <w:ind w:left="1008"/>
        <w:rPr>
          <w:sz w:val="19"/>
        </w:rPr>
      </w:pPr>
      <w:r w:rsidRPr="00E04B77">
        <w:rPr>
          <w:rStyle w:val="Refdenotaalpie"/>
        </w:rPr>
        <w:footnoteRef/>
      </w:r>
      <w:r w:rsidRPr="00E04B77">
        <w:t xml:space="preserve"> </w:t>
      </w:r>
      <w:r w:rsidRPr="00E04B77">
        <w:rPr>
          <w:sz w:val="19"/>
        </w:rPr>
        <w:t>Corte Constitucional. Sentencia C─274 de 9 de mayo de 2013. M.P. María Victoria Calle</w:t>
      </w:r>
    </w:p>
    <w:p w14:paraId="3B9A26F4" w14:textId="77777777" w:rsidR="00CD5D98" w:rsidRPr="00E04B77" w:rsidRDefault="00CD5D98" w:rsidP="00CD5D98">
      <w:pPr>
        <w:spacing w:before="1"/>
        <w:ind w:left="300"/>
        <w:rPr>
          <w:sz w:val="19"/>
        </w:rPr>
      </w:pPr>
      <w:r w:rsidRPr="00E04B77">
        <w:rPr>
          <w:sz w:val="19"/>
        </w:rPr>
        <w:t>Correa.</w:t>
      </w:r>
    </w:p>
    <w:p w14:paraId="4E78AFC8" w14:textId="23D52779" w:rsidR="00CD5D98" w:rsidRPr="00E04B77" w:rsidRDefault="00CD5D98">
      <w:pPr>
        <w:pStyle w:val="Textonotapie"/>
        <w:rPr>
          <w:lang w:val="es-CO"/>
        </w:rPr>
      </w:pPr>
    </w:p>
  </w:footnote>
  <w:footnote w:id="7">
    <w:p w14:paraId="7155AB5A" w14:textId="165515B2" w:rsidR="003E7405" w:rsidRPr="00E04B77" w:rsidRDefault="003E7405" w:rsidP="003E7405">
      <w:pPr>
        <w:pStyle w:val="Textonotapie"/>
        <w:ind w:left="300" w:firstLine="720"/>
        <w:rPr>
          <w:lang w:val="es-CO"/>
        </w:rPr>
      </w:pPr>
      <w:r w:rsidRPr="00E04B77">
        <w:rPr>
          <w:rStyle w:val="Refdenotaalpie"/>
        </w:rPr>
        <w:footnoteRef/>
      </w:r>
      <w:r w:rsidRPr="00E04B77">
        <w:t xml:space="preserve"> </w:t>
      </w:r>
      <w:r w:rsidRPr="00E04B77">
        <w:rPr>
          <w:sz w:val="19"/>
        </w:rPr>
        <w:t>«Numeral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14:paraId="3603A333" w14:textId="77777777" w:rsidR="003E7405" w:rsidRPr="00E04B77" w:rsidRDefault="003E7405" w:rsidP="003E7405">
      <w:pPr>
        <w:ind w:left="300" w:right="453" w:firstLine="707"/>
        <w:jc w:val="both"/>
        <w:rPr>
          <w:sz w:val="19"/>
        </w:rPr>
      </w:pPr>
      <w:r w:rsidRPr="00E04B77">
        <w:rPr>
          <w:rStyle w:val="Refdenotaalpie"/>
        </w:rPr>
        <w:footnoteRef/>
      </w:r>
      <w:r w:rsidRPr="00E04B77">
        <w:t xml:space="preserve"> </w:t>
      </w:r>
      <w:r w:rsidRPr="00E04B77">
        <w:rPr>
          <w:sz w:val="19"/>
        </w:rPr>
        <w:t xml:space="preserve">Consejo de Estado. Sección Tercera. Subsección C. Auto del 14 de agosto de 2017. </w:t>
      </w:r>
      <w:proofErr w:type="spellStart"/>
      <w:r w:rsidRPr="00E04B77">
        <w:rPr>
          <w:sz w:val="19"/>
        </w:rPr>
        <w:t>Exp</w:t>
      </w:r>
      <w:proofErr w:type="spellEnd"/>
      <w:r w:rsidRPr="00E04B77">
        <w:rPr>
          <w:sz w:val="19"/>
        </w:rPr>
        <w:t>. 58.820. C.P. Jaime Orlando Santofimio Gamboa.</w:t>
      </w:r>
    </w:p>
    <w:p w14:paraId="0C573F63" w14:textId="4498AD33" w:rsidR="003E7405" w:rsidRPr="00E04B77" w:rsidRDefault="003E7405">
      <w:pPr>
        <w:pStyle w:val="Textonotapie"/>
        <w:rPr>
          <w:lang w:val="es-CO"/>
        </w:rPr>
      </w:pPr>
    </w:p>
  </w:footnote>
  <w:footnote w:id="9">
    <w:p w14:paraId="141EB0E2" w14:textId="4937CBD3" w:rsidR="003E7405" w:rsidRPr="00E04B77" w:rsidRDefault="003E7405" w:rsidP="003E7405">
      <w:pPr>
        <w:pStyle w:val="Textonotapie"/>
        <w:ind w:firstLine="720"/>
        <w:jc w:val="both"/>
        <w:rPr>
          <w:lang w:val="es-CO"/>
        </w:rPr>
      </w:pPr>
      <w:r w:rsidRPr="00E04B77">
        <w:rPr>
          <w:rStyle w:val="Refdenotaalpie"/>
        </w:rPr>
        <w:footnoteRef/>
      </w:r>
      <w:r w:rsidRPr="00E04B77">
        <w:t xml:space="preserve"> </w:t>
      </w:r>
      <w:r w:rsidRPr="00E04B77">
        <w:rPr>
          <w:sz w:val="19"/>
        </w:rPr>
        <w:t>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w:t>
      </w:r>
      <w:r w:rsidRPr="00E04B77">
        <w:rPr>
          <w:spacing w:val="-2"/>
          <w:sz w:val="19"/>
        </w:rPr>
        <w:t xml:space="preserve"> </w:t>
      </w:r>
      <w:r w:rsidRPr="00E04B77">
        <w:rPr>
          <w:sz w:val="19"/>
        </w:rPr>
        <w:t>Proceso.</w:t>
      </w:r>
    </w:p>
  </w:footnote>
  <w:footnote w:id="10">
    <w:p w14:paraId="29743323" w14:textId="77777777" w:rsidR="003E7405" w:rsidRPr="00E04B77" w:rsidRDefault="003E7405" w:rsidP="003E7405">
      <w:pPr>
        <w:spacing w:before="1"/>
        <w:ind w:left="300" w:right="446" w:firstLine="707"/>
        <w:jc w:val="both"/>
        <w:rPr>
          <w:sz w:val="19"/>
        </w:rPr>
      </w:pPr>
      <w:r w:rsidRPr="00E04B77">
        <w:rPr>
          <w:rStyle w:val="Refdenotaalpie"/>
        </w:rPr>
        <w:footnoteRef/>
      </w:r>
      <w:r w:rsidRPr="00E04B77">
        <w:t xml:space="preserve"> </w:t>
      </w:r>
      <w:r w:rsidRPr="00E04B77">
        <w:rPr>
          <w:sz w:val="19"/>
        </w:rPr>
        <w:t>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w:t>
      </w:r>
      <w:r w:rsidRPr="00E04B77">
        <w:rPr>
          <w:spacing w:val="-2"/>
          <w:sz w:val="19"/>
        </w:rPr>
        <w:t xml:space="preserve"> </w:t>
      </w:r>
      <w:r w:rsidRPr="00E04B77">
        <w:rPr>
          <w:sz w:val="19"/>
        </w:rPr>
        <w:t>otros.</w:t>
      </w:r>
    </w:p>
    <w:p w14:paraId="69DA9F1A" w14:textId="77777777" w:rsidR="003E7405" w:rsidRPr="00E04B77" w:rsidRDefault="003E7405" w:rsidP="003E7405">
      <w:pPr>
        <w:ind w:left="300" w:right="449" w:firstLine="707"/>
        <w:jc w:val="both"/>
        <w:rPr>
          <w:sz w:val="19"/>
        </w:rPr>
      </w:pPr>
      <w:proofErr w:type="gramStart"/>
      <w:r w:rsidRPr="00E04B77">
        <w:rPr>
          <w:sz w:val="19"/>
        </w:rPr>
        <w:t>»Así</w:t>
      </w:r>
      <w:proofErr w:type="gramEnd"/>
      <w:r w:rsidRPr="00E04B77">
        <w:rPr>
          <w:sz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226D7DAA" w14:textId="03169D0A" w:rsidR="003E7405" w:rsidRPr="00E04B77" w:rsidRDefault="003E7405">
      <w:pPr>
        <w:pStyle w:val="Textonotapie"/>
        <w:rPr>
          <w:lang w:val="es-CO"/>
        </w:rPr>
      </w:pPr>
    </w:p>
  </w:footnote>
  <w:footnote w:id="11">
    <w:p w14:paraId="2F3AD398" w14:textId="77777777" w:rsidR="003E7405" w:rsidRPr="00E04B77" w:rsidRDefault="003E7405" w:rsidP="003E7405">
      <w:pPr>
        <w:spacing w:before="75"/>
        <w:ind w:left="300" w:right="446" w:firstLine="707"/>
        <w:jc w:val="both"/>
        <w:rPr>
          <w:sz w:val="19"/>
        </w:rPr>
      </w:pPr>
      <w:r w:rsidRPr="00E04B77">
        <w:rPr>
          <w:rStyle w:val="Refdenotaalpie"/>
        </w:rPr>
        <w:footnoteRef/>
      </w:r>
      <w:r w:rsidRPr="00E04B77">
        <w:t xml:space="preserve"> </w:t>
      </w:r>
      <w:r w:rsidRPr="00E04B77">
        <w:rPr>
          <w:sz w:val="19"/>
        </w:rPr>
        <w:t>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18BB49E8" w14:textId="7ED42C08" w:rsidR="003E7405" w:rsidRPr="00E04B77" w:rsidRDefault="003E7405" w:rsidP="003E7405">
      <w:pPr>
        <w:pStyle w:val="Textonotapie"/>
        <w:jc w:val="both"/>
        <w:rPr>
          <w:lang w:val="es-CO"/>
        </w:rPr>
      </w:pPr>
    </w:p>
  </w:footnote>
  <w:footnote w:id="12">
    <w:p w14:paraId="78D7B0EE" w14:textId="2E480A86" w:rsidR="003E7405" w:rsidRPr="00E04B77" w:rsidRDefault="003E7405" w:rsidP="003E7405">
      <w:pPr>
        <w:pStyle w:val="Textonotapie"/>
        <w:ind w:firstLine="720"/>
        <w:jc w:val="both"/>
        <w:rPr>
          <w:lang w:val="es-CO"/>
        </w:rPr>
      </w:pPr>
      <w:r w:rsidRPr="00E04B77">
        <w:rPr>
          <w:rStyle w:val="Refdenotaalpie"/>
        </w:rPr>
        <w:footnoteRef/>
      </w:r>
      <w:r w:rsidRPr="00E04B77">
        <w:t xml:space="preserve"> </w:t>
      </w:r>
      <w:r w:rsidRPr="00E04B77">
        <w:rPr>
          <w:sz w:val="19"/>
        </w:rPr>
        <w:t>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footnote>
  <w:footnote w:id="13">
    <w:p w14:paraId="4E77479A" w14:textId="77777777" w:rsidR="003E7405" w:rsidRPr="00E04B77" w:rsidRDefault="003E7405" w:rsidP="003E7405">
      <w:pPr>
        <w:ind w:right="448" w:firstLine="720"/>
        <w:jc w:val="both"/>
        <w:rPr>
          <w:sz w:val="19"/>
        </w:rPr>
      </w:pPr>
      <w:r w:rsidRPr="00E04B77">
        <w:rPr>
          <w:rStyle w:val="Refdenotaalpie"/>
        </w:rPr>
        <w:footnoteRef/>
      </w:r>
      <w:r w:rsidRPr="00E04B77">
        <w:t xml:space="preserve"> </w:t>
      </w:r>
      <w:r w:rsidRPr="00E04B77">
        <w:rPr>
          <w:sz w:val="19"/>
        </w:rPr>
        <w:t xml:space="preserve">Decreto 103 de 2015: «Artículo 10. Publicación del Plan Anual de Adquisiciones. Los sujetos obligados que contratan con cargo a recursos públicos deben publicar en su página web y en el </w:t>
      </w:r>
      <w:proofErr w:type="spellStart"/>
      <w:r w:rsidRPr="00E04B77">
        <w:rPr>
          <w:sz w:val="19"/>
        </w:rPr>
        <w:t>Secop</w:t>
      </w:r>
      <w:proofErr w:type="spellEnd"/>
      <w:r w:rsidRPr="00E04B77">
        <w:rPr>
          <w:sz w:val="19"/>
        </w:rPr>
        <w:t xml:space="preserve"> el Plan Anual de Adquisiciones, de acuerdo con lo previsto en el artículo 74 de la Ley 1474 de 2011, el literal e) del artículo 9° de la Ley 1712 de 2014 y el Decreto 1510 de 2013, o el que lo modifique, sustituya o adicione.</w:t>
      </w:r>
    </w:p>
    <w:p w14:paraId="5102C1DA" w14:textId="77777777" w:rsidR="003E7405" w:rsidRPr="00E04B77" w:rsidRDefault="003E7405" w:rsidP="003E7405">
      <w:pPr>
        <w:ind w:right="451" w:firstLine="720"/>
        <w:jc w:val="both"/>
        <w:rPr>
          <w:sz w:val="19"/>
        </w:rPr>
      </w:pPr>
      <w:proofErr w:type="gramStart"/>
      <w:r w:rsidRPr="00E04B77">
        <w:rPr>
          <w:sz w:val="19"/>
        </w:rPr>
        <w:t>»Los</w:t>
      </w:r>
      <w:proofErr w:type="gramEnd"/>
      <w:r w:rsidRPr="00E04B77">
        <w:rPr>
          <w:sz w:val="19"/>
        </w:rPr>
        <w:t xml:space="preserve"> sujetos obligados que no contratan con cargo a recursos públicos no están obligados a publicar su Plan Anual de Adquisiciones.</w:t>
      </w:r>
    </w:p>
    <w:p w14:paraId="71D3990A" w14:textId="77777777" w:rsidR="003E7405" w:rsidRPr="00E04B77" w:rsidRDefault="003E7405" w:rsidP="003E7405">
      <w:pPr>
        <w:ind w:right="449" w:firstLine="720"/>
        <w:jc w:val="both"/>
        <w:rPr>
          <w:sz w:val="19"/>
        </w:rPr>
      </w:pPr>
      <w:proofErr w:type="gramStart"/>
      <w:r w:rsidRPr="00E04B77">
        <w:rPr>
          <w:sz w:val="19"/>
        </w:rPr>
        <w:t>»Los</w:t>
      </w:r>
      <w:proofErr w:type="gramEnd"/>
      <w:r w:rsidRPr="00E04B77">
        <w:rPr>
          <w:sz w:val="19"/>
        </w:rPr>
        <w:t xml:space="preserve"> sujetos obligados que contratan con cargo a recursos públicos y recursos privados, deben publicar en su página web y en el SECOP el Plan Anual de Adquisiciones para los recursos de carácter público que ejecutarán en el año.</w:t>
      </w:r>
    </w:p>
    <w:p w14:paraId="2B0ED6F9" w14:textId="77777777" w:rsidR="003E7405" w:rsidRPr="00E04B77" w:rsidRDefault="003E7405" w:rsidP="003E7405">
      <w:pPr>
        <w:spacing w:before="79"/>
        <w:ind w:right="448" w:firstLine="720"/>
        <w:jc w:val="both"/>
        <w:rPr>
          <w:sz w:val="19"/>
        </w:rPr>
      </w:pPr>
      <w:proofErr w:type="gramStart"/>
      <w:r w:rsidRPr="00E04B77">
        <w:rPr>
          <w:sz w:val="19"/>
        </w:rPr>
        <w:t>»Se</w:t>
      </w:r>
      <w:proofErr w:type="gramEnd"/>
      <w:r w:rsidRPr="00E04B77">
        <w:rPr>
          <w:sz w:val="19"/>
        </w:rPr>
        <w:t xml:space="preserve"> entenderá como definición de Plan Anual de Adquisiciones respecto a todos los sujetos obligados que contratan con recursos públicos, la prevista en el artículo 3° del Decreto 1510 de 2013, o el que lo modifique, sustituya o adicione».</w:t>
      </w:r>
    </w:p>
    <w:p w14:paraId="10E94D46" w14:textId="5DA31476" w:rsidR="003E7405" w:rsidRPr="00E04B77" w:rsidRDefault="003E7405">
      <w:pPr>
        <w:pStyle w:val="Textonotapie"/>
        <w:rPr>
          <w:lang w:val="es-CO"/>
        </w:rPr>
      </w:pPr>
    </w:p>
  </w:footnote>
  <w:footnote w:id="14">
    <w:p w14:paraId="55FB62EF" w14:textId="2E1D903B" w:rsidR="003E7405" w:rsidRPr="00E04B77" w:rsidRDefault="003E7405" w:rsidP="003E7405">
      <w:pPr>
        <w:spacing w:line="244" w:lineRule="auto"/>
        <w:ind w:right="449" w:firstLine="720"/>
        <w:jc w:val="both"/>
        <w:rPr>
          <w:sz w:val="19"/>
        </w:rPr>
      </w:pPr>
      <w:r w:rsidRPr="00E04B77">
        <w:rPr>
          <w:rStyle w:val="Refdenotaalpie"/>
        </w:rPr>
        <w:footnoteRef/>
      </w:r>
      <w:r w:rsidRPr="00E04B77">
        <w:t xml:space="preserve"> </w:t>
      </w:r>
      <w:r w:rsidRPr="00E04B77">
        <w:rPr>
          <w:sz w:val="19"/>
        </w:rPr>
        <w:t>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1E04C2CF" w14:textId="77777777" w:rsidR="003E7405" w:rsidRPr="00E04B77" w:rsidRDefault="003E7405" w:rsidP="003E7405">
      <w:pPr>
        <w:spacing w:before="79"/>
        <w:ind w:right="450" w:firstLine="720"/>
        <w:jc w:val="both"/>
        <w:rPr>
          <w:sz w:val="19"/>
        </w:rPr>
      </w:pPr>
      <w:proofErr w:type="gramStart"/>
      <w:r w:rsidRPr="00E04B77">
        <w:rPr>
          <w:sz w:val="19"/>
        </w:rPr>
        <w:t>»En</w:t>
      </w:r>
      <w:proofErr w:type="gramEnd"/>
      <w:r w:rsidRPr="00E04B77">
        <w:rPr>
          <w:sz w:val="19"/>
        </w:rPr>
        <w:t xml:space="preserve">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3F32E194" w14:textId="77777777" w:rsidR="003E7405" w:rsidRPr="00E04B77" w:rsidRDefault="003E7405" w:rsidP="003E7405">
      <w:pPr>
        <w:spacing w:line="244" w:lineRule="auto"/>
        <w:ind w:right="449" w:firstLine="720"/>
        <w:jc w:val="both"/>
        <w:rPr>
          <w:sz w:val="19"/>
        </w:rPr>
      </w:pPr>
    </w:p>
    <w:p w14:paraId="65D4347D" w14:textId="280F59F2" w:rsidR="003E7405" w:rsidRPr="00E04B77" w:rsidRDefault="003E7405">
      <w:pPr>
        <w:pStyle w:val="Textonotapie"/>
        <w:rPr>
          <w:lang w:val="es-CO"/>
        </w:rPr>
      </w:pPr>
    </w:p>
  </w:footnote>
  <w:footnote w:id="15">
    <w:p w14:paraId="2E522FBB" w14:textId="77777777" w:rsidR="0028578B" w:rsidRPr="00E04B77" w:rsidRDefault="0028578B" w:rsidP="0028578B">
      <w:pPr>
        <w:spacing w:line="247" w:lineRule="auto"/>
        <w:ind w:left="300" w:right="448" w:firstLine="709"/>
        <w:jc w:val="both"/>
        <w:rPr>
          <w:sz w:val="19"/>
        </w:rPr>
      </w:pPr>
      <w:r w:rsidRPr="00E04B77">
        <w:rPr>
          <w:rStyle w:val="Refdenotaalpie"/>
        </w:rPr>
        <w:footnoteRef/>
      </w:r>
      <w:r w:rsidRPr="00E04B77">
        <w:t xml:space="preserve"> </w:t>
      </w:r>
      <w:r w:rsidRPr="00E04B77">
        <w:rPr>
          <w:sz w:val="19"/>
        </w:rPr>
        <w:t>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21FDECB5" w14:textId="77777777" w:rsidR="0028578B" w:rsidRPr="00E04B77" w:rsidRDefault="0028578B" w:rsidP="0028578B">
      <w:pPr>
        <w:ind w:left="300" w:right="451" w:firstLine="709"/>
        <w:jc w:val="both"/>
        <w:rPr>
          <w:sz w:val="19"/>
        </w:rPr>
      </w:pPr>
      <w:proofErr w:type="gramStart"/>
      <w:r w:rsidRPr="00E04B77">
        <w:rPr>
          <w:sz w:val="19"/>
        </w:rPr>
        <w:t>»La</w:t>
      </w:r>
      <w:proofErr w:type="gramEnd"/>
      <w:r w:rsidRPr="00E04B77">
        <w:rPr>
          <w:sz w:val="19"/>
        </w:rPr>
        <w:t xml:space="preserve">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p>
    <w:p w14:paraId="256E9214" w14:textId="77777777" w:rsidR="0028578B" w:rsidRPr="00E04B77" w:rsidRDefault="0028578B" w:rsidP="0028578B">
      <w:pPr>
        <w:ind w:left="300" w:right="451" w:firstLine="709"/>
        <w:jc w:val="both"/>
        <w:rPr>
          <w:sz w:val="19"/>
        </w:rPr>
      </w:pPr>
      <w:proofErr w:type="gramStart"/>
      <w:r w:rsidRPr="00E04B77">
        <w:rPr>
          <w:sz w:val="19"/>
        </w:rPr>
        <w:t>»Con</w:t>
      </w:r>
      <w:proofErr w:type="gramEnd"/>
      <w:r w:rsidRPr="00E04B77">
        <w:rPr>
          <w:sz w:val="19"/>
        </w:rPr>
        <w:t xml:space="preserve">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5B69810D" w14:textId="1DE6D732" w:rsidR="0028578B" w:rsidRPr="00E04B77" w:rsidRDefault="0028578B">
      <w:pPr>
        <w:pStyle w:val="Textonotapie"/>
        <w:rPr>
          <w:lang w:val="es-CO"/>
        </w:rPr>
      </w:pPr>
    </w:p>
  </w:footnote>
  <w:footnote w:id="16">
    <w:p w14:paraId="2CB5E663" w14:textId="77777777" w:rsidR="0028578B" w:rsidRPr="00E04B77" w:rsidRDefault="0028578B" w:rsidP="0028578B">
      <w:pPr>
        <w:spacing w:before="1"/>
        <w:ind w:left="289" w:firstLine="720"/>
        <w:jc w:val="both"/>
        <w:rPr>
          <w:sz w:val="19"/>
        </w:rPr>
      </w:pPr>
      <w:r w:rsidRPr="00E04B77">
        <w:rPr>
          <w:rStyle w:val="Refdenotaalpie"/>
        </w:rPr>
        <w:footnoteRef/>
      </w:r>
      <w:r w:rsidRPr="00E04B77">
        <w:t xml:space="preserve"> </w:t>
      </w:r>
      <w:r w:rsidRPr="00E04B77">
        <w:rPr>
          <w:sz w:val="19"/>
        </w:rPr>
        <w:t>Corte Constitucional. Sentencia C- 083 del 1 de marzo de 1995. M.P. Carlos Gaviria Díaz</w:t>
      </w:r>
    </w:p>
    <w:p w14:paraId="160CC9F0" w14:textId="59542A9F" w:rsidR="0028578B" w:rsidRPr="00E04B77" w:rsidRDefault="0028578B">
      <w:pPr>
        <w:pStyle w:val="Textonotapie"/>
        <w:rPr>
          <w:lang w:val="es-CO"/>
        </w:rPr>
      </w:pPr>
    </w:p>
  </w:footnote>
  <w:footnote w:id="17">
    <w:p w14:paraId="0A6D2B3D" w14:textId="77777777" w:rsidR="0028578B" w:rsidRPr="00E04B77" w:rsidRDefault="0028578B" w:rsidP="0028578B">
      <w:pPr>
        <w:spacing w:before="86" w:line="244" w:lineRule="auto"/>
        <w:ind w:right="449" w:firstLine="720"/>
        <w:jc w:val="both"/>
        <w:rPr>
          <w:sz w:val="19"/>
        </w:rPr>
      </w:pPr>
      <w:r w:rsidRPr="00E04B77">
        <w:rPr>
          <w:rStyle w:val="Refdenotaalpie"/>
        </w:rPr>
        <w:footnoteRef/>
      </w:r>
      <w:r w:rsidRPr="00E04B77">
        <w:t xml:space="preserve"> </w:t>
      </w:r>
      <w:r w:rsidRPr="00E04B77">
        <w:rPr>
          <w:sz w:val="19"/>
        </w:rPr>
        <w:t>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9206BC6" w14:textId="77777777" w:rsidR="0028578B" w:rsidRPr="00E04B77" w:rsidRDefault="0028578B" w:rsidP="0028578B">
      <w:pPr>
        <w:ind w:right="450" w:firstLine="720"/>
        <w:jc w:val="both"/>
        <w:rPr>
          <w:sz w:val="19"/>
        </w:rPr>
      </w:pPr>
      <w:proofErr w:type="gramStart"/>
      <w:r w:rsidRPr="00E04B77">
        <w:rPr>
          <w:sz w:val="19"/>
        </w:rPr>
        <w:t>»La</w:t>
      </w:r>
      <w:proofErr w:type="gramEnd"/>
      <w:r w:rsidRPr="00E04B77">
        <w:rPr>
          <w:sz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6968E54A" w14:textId="0BD34FA4" w:rsidR="0028578B" w:rsidRPr="00E04B77" w:rsidRDefault="0028578B">
      <w:pPr>
        <w:pStyle w:val="Textonotapie"/>
        <w:rPr>
          <w:lang w:val="es-CO"/>
        </w:rPr>
      </w:pPr>
    </w:p>
  </w:footnote>
  <w:footnote w:id="18">
    <w:p w14:paraId="367F1AC5" w14:textId="77777777" w:rsidR="0028578B" w:rsidRPr="00E04B77" w:rsidRDefault="0028578B" w:rsidP="0028578B">
      <w:pPr>
        <w:spacing w:before="89" w:line="252" w:lineRule="auto"/>
        <w:ind w:right="486" w:firstLine="720"/>
        <w:rPr>
          <w:sz w:val="19"/>
        </w:rPr>
      </w:pPr>
      <w:r w:rsidRPr="00E04B77">
        <w:rPr>
          <w:rStyle w:val="Refdenotaalpie"/>
        </w:rPr>
        <w:footnoteRef/>
      </w:r>
      <w:r w:rsidRPr="00E04B77">
        <w:t xml:space="preserve"> </w:t>
      </w:r>
      <w:r w:rsidRPr="00E04B77">
        <w:rPr>
          <w:sz w:val="19"/>
        </w:rPr>
        <w:t>Consejo de Estado, Sala Plena de lo Contencioso Administrativo. Sentencia del 28 de marzo de 2017. Rad. 2015-00111-00, M.P. Rafael Suárez Vargas.</w:t>
      </w:r>
    </w:p>
    <w:p w14:paraId="41AF0E16" w14:textId="4532DB39" w:rsidR="0028578B" w:rsidRPr="00E04B77" w:rsidRDefault="0028578B">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5DA25" w14:textId="77777777" w:rsidR="0096047A" w:rsidRDefault="003954EE">
    <w:pPr>
      <w:pStyle w:val="Textoindependiente"/>
      <w:spacing w:line="14" w:lineRule="auto"/>
      <w:rPr>
        <w:sz w:val="20"/>
      </w:rPr>
    </w:pPr>
    <w:r>
      <w:rPr>
        <w:noProof/>
        <w:lang w:val="en-US" w:eastAsia="en-US" w:bidi="ar-SA"/>
      </w:rPr>
      <w:drawing>
        <wp:anchor distT="0" distB="0" distL="0" distR="0" simplePos="0" relativeHeight="251656704" behindDoc="1" locked="0" layoutInCell="1" allowOverlap="1" wp14:anchorId="50BCCD42" wp14:editId="0C9C0F2C">
          <wp:simplePos x="0" y="0"/>
          <wp:positionH relativeFrom="page">
            <wp:posOffset>5514312</wp:posOffset>
          </wp:positionH>
          <wp:positionV relativeFrom="page">
            <wp:posOffset>461921</wp:posOffset>
          </wp:positionV>
          <wp:extent cx="1128151" cy="4365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8151" cy="43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D1C85"/>
    <w:multiLevelType w:val="multilevel"/>
    <w:tmpl w:val="51B63F04"/>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42" w:hanging="443"/>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17" w:hanging="443"/>
      </w:pPr>
      <w:rPr>
        <w:rFonts w:hint="default"/>
        <w:lang w:val="es-ES" w:eastAsia="es-ES" w:bidi="es-ES"/>
      </w:rPr>
    </w:lvl>
    <w:lvl w:ilvl="3">
      <w:numFmt w:val="bullet"/>
      <w:lvlText w:val="•"/>
      <w:lvlJc w:val="left"/>
      <w:pPr>
        <w:ind w:left="2695" w:hanging="443"/>
      </w:pPr>
      <w:rPr>
        <w:rFonts w:hint="default"/>
        <w:lang w:val="es-ES" w:eastAsia="es-ES" w:bidi="es-ES"/>
      </w:rPr>
    </w:lvl>
    <w:lvl w:ilvl="4">
      <w:numFmt w:val="bullet"/>
      <w:lvlText w:val="•"/>
      <w:lvlJc w:val="left"/>
      <w:pPr>
        <w:ind w:left="3673" w:hanging="443"/>
      </w:pPr>
      <w:rPr>
        <w:rFonts w:hint="default"/>
        <w:lang w:val="es-ES" w:eastAsia="es-ES" w:bidi="es-ES"/>
      </w:rPr>
    </w:lvl>
    <w:lvl w:ilvl="5">
      <w:numFmt w:val="bullet"/>
      <w:lvlText w:val="•"/>
      <w:lvlJc w:val="left"/>
      <w:pPr>
        <w:ind w:left="4651" w:hanging="443"/>
      </w:pPr>
      <w:rPr>
        <w:rFonts w:hint="default"/>
        <w:lang w:val="es-ES" w:eastAsia="es-ES" w:bidi="es-ES"/>
      </w:rPr>
    </w:lvl>
    <w:lvl w:ilvl="6">
      <w:numFmt w:val="bullet"/>
      <w:lvlText w:val="•"/>
      <w:lvlJc w:val="left"/>
      <w:pPr>
        <w:ind w:left="5628" w:hanging="443"/>
      </w:pPr>
      <w:rPr>
        <w:rFonts w:hint="default"/>
        <w:lang w:val="es-ES" w:eastAsia="es-ES" w:bidi="es-ES"/>
      </w:rPr>
    </w:lvl>
    <w:lvl w:ilvl="7">
      <w:numFmt w:val="bullet"/>
      <w:lvlText w:val="•"/>
      <w:lvlJc w:val="left"/>
      <w:pPr>
        <w:ind w:left="6606" w:hanging="443"/>
      </w:pPr>
      <w:rPr>
        <w:rFonts w:hint="default"/>
        <w:lang w:val="es-ES" w:eastAsia="es-ES" w:bidi="es-ES"/>
      </w:rPr>
    </w:lvl>
    <w:lvl w:ilvl="8">
      <w:numFmt w:val="bullet"/>
      <w:lvlText w:val="•"/>
      <w:lvlJc w:val="left"/>
      <w:pPr>
        <w:ind w:left="7584" w:hanging="443"/>
      </w:pPr>
      <w:rPr>
        <w:rFonts w:hint="default"/>
        <w:lang w:val="es-ES" w:eastAsia="es-ES" w:bidi="es-ES"/>
      </w:rPr>
    </w:lvl>
  </w:abstractNum>
  <w:abstractNum w:abstractNumId="1" w15:restartNumberingAfterBreak="0">
    <w:nsid w:val="5F2F620A"/>
    <w:multiLevelType w:val="hybridMultilevel"/>
    <w:tmpl w:val="C534EC24"/>
    <w:lvl w:ilvl="0" w:tplc="C5CA87D6">
      <w:start w:val="1"/>
      <w:numFmt w:val="decimal"/>
      <w:lvlText w:val="%1"/>
      <w:lvlJc w:val="left"/>
      <w:pPr>
        <w:ind w:left="414" w:hanging="360"/>
      </w:pPr>
      <w:rPr>
        <w:rFonts w:hint="default"/>
        <w:color w:val="auto"/>
        <w:sz w:val="12"/>
      </w:rPr>
    </w:lvl>
    <w:lvl w:ilvl="1" w:tplc="240A0019" w:tentative="1">
      <w:start w:val="1"/>
      <w:numFmt w:val="lowerLetter"/>
      <w:lvlText w:val="%2."/>
      <w:lvlJc w:val="left"/>
      <w:pPr>
        <w:ind w:left="1134" w:hanging="360"/>
      </w:pPr>
    </w:lvl>
    <w:lvl w:ilvl="2" w:tplc="240A001B" w:tentative="1">
      <w:start w:val="1"/>
      <w:numFmt w:val="lowerRoman"/>
      <w:lvlText w:val="%3."/>
      <w:lvlJc w:val="right"/>
      <w:pPr>
        <w:ind w:left="1854" w:hanging="180"/>
      </w:pPr>
    </w:lvl>
    <w:lvl w:ilvl="3" w:tplc="240A000F" w:tentative="1">
      <w:start w:val="1"/>
      <w:numFmt w:val="decimal"/>
      <w:lvlText w:val="%4."/>
      <w:lvlJc w:val="left"/>
      <w:pPr>
        <w:ind w:left="2574" w:hanging="360"/>
      </w:pPr>
    </w:lvl>
    <w:lvl w:ilvl="4" w:tplc="240A0019" w:tentative="1">
      <w:start w:val="1"/>
      <w:numFmt w:val="lowerLetter"/>
      <w:lvlText w:val="%5."/>
      <w:lvlJc w:val="left"/>
      <w:pPr>
        <w:ind w:left="3294" w:hanging="360"/>
      </w:pPr>
    </w:lvl>
    <w:lvl w:ilvl="5" w:tplc="240A001B" w:tentative="1">
      <w:start w:val="1"/>
      <w:numFmt w:val="lowerRoman"/>
      <w:lvlText w:val="%6."/>
      <w:lvlJc w:val="right"/>
      <w:pPr>
        <w:ind w:left="4014" w:hanging="180"/>
      </w:pPr>
    </w:lvl>
    <w:lvl w:ilvl="6" w:tplc="240A000F" w:tentative="1">
      <w:start w:val="1"/>
      <w:numFmt w:val="decimal"/>
      <w:lvlText w:val="%7."/>
      <w:lvlJc w:val="left"/>
      <w:pPr>
        <w:ind w:left="4734" w:hanging="360"/>
      </w:pPr>
    </w:lvl>
    <w:lvl w:ilvl="7" w:tplc="240A0019" w:tentative="1">
      <w:start w:val="1"/>
      <w:numFmt w:val="lowerLetter"/>
      <w:lvlText w:val="%8."/>
      <w:lvlJc w:val="left"/>
      <w:pPr>
        <w:ind w:left="5454" w:hanging="360"/>
      </w:pPr>
    </w:lvl>
    <w:lvl w:ilvl="8" w:tplc="240A001B" w:tentative="1">
      <w:start w:val="1"/>
      <w:numFmt w:val="lowerRoman"/>
      <w:lvlText w:val="%9."/>
      <w:lvlJc w:val="right"/>
      <w:pPr>
        <w:ind w:left="61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7A"/>
    <w:rsid w:val="00085E97"/>
    <w:rsid w:val="000F4578"/>
    <w:rsid w:val="0018608E"/>
    <w:rsid w:val="001C6951"/>
    <w:rsid w:val="0028578B"/>
    <w:rsid w:val="00382771"/>
    <w:rsid w:val="003954EE"/>
    <w:rsid w:val="003C5C4A"/>
    <w:rsid w:val="003E7405"/>
    <w:rsid w:val="00561ABB"/>
    <w:rsid w:val="005A40F3"/>
    <w:rsid w:val="00626850"/>
    <w:rsid w:val="00750476"/>
    <w:rsid w:val="00790DC2"/>
    <w:rsid w:val="007E44D6"/>
    <w:rsid w:val="00806CE9"/>
    <w:rsid w:val="008412EA"/>
    <w:rsid w:val="0096047A"/>
    <w:rsid w:val="009F55D7"/>
    <w:rsid w:val="00A03E74"/>
    <w:rsid w:val="00A5432D"/>
    <w:rsid w:val="00A67C62"/>
    <w:rsid w:val="00C21498"/>
    <w:rsid w:val="00C74211"/>
    <w:rsid w:val="00CD5D98"/>
    <w:rsid w:val="00D3573C"/>
    <w:rsid w:val="00DE7C28"/>
    <w:rsid w:val="00E028DF"/>
    <w:rsid w:val="00E04B77"/>
    <w:rsid w:val="00EE6C2A"/>
    <w:rsid w:val="00F20B9C"/>
    <w:rsid w:val="00F95FDF"/>
    <w:rsid w:val="00FB75EB"/>
    <w:rsid w:val="0496E411"/>
    <w:rsid w:val="1378409B"/>
    <w:rsid w:val="19CE8228"/>
    <w:rsid w:val="25FE7668"/>
    <w:rsid w:val="38C97053"/>
    <w:rsid w:val="4B89CE26"/>
    <w:rsid w:val="4E942B9B"/>
    <w:rsid w:val="51798AE6"/>
    <w:rsid w:val="63109174"/>
    <w:rsid w:val="7747A588"/>
    <w:rsid w:val="77A030EA"/>
    <w:rsid w:val="7F0EE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62C02"/>
  <w15:docId w15:val="{A39E3028-68D5-4F2B-A349-F72DC52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85" w:hanging="286"/>
    </w:pPr>
  </w:style>
  <w:style w:type="paragraph" w:customStyle="1" w:styleId="TableParagraph">
    <w:name w:val="Table Paragraph"/>
    <w:basedOn w:val="Normal"/>
    <w:uiPriority w:val="1"/>
    <w:qFormat/>
    <w:pPr>
      <w:ind w:left="115"/>
    </w:pPr>
  </w:style>
  <w:style w:type="character" w:customStyle="1" w:styleId="TextoindependienteCar">
    <w:name w:val="Texto independiente Car"/>
    <w:basedOn w:val="Fuentedeprrafopredeter"/>
    <w:link w:val="Textoindependiente"/>
    <w:uiPriority w:val="1"/>
    <w:rsid w:val="00806CE9"/>
    <w:rPr>
      <w:rFonts w:ascii="Arial" w:eastAsia="Arial" w:hAnsi="Arial" w:cs="Arial"/>
      <w:lang w:val="es-ES" w:eastAsia="es-ES" w:bidi="es-ES"/>
    </w:rPr>
  </w:style>
  <w:style w:type="paragraph" w:styleId="Encabezado">
    <w:name w:val="header"/>
    <w:basedOn w:val="Normal"/>
    <w:link w:val="EncabezadoCar"/>
    <w:uiPriority w:val="99"/>
    <w:unhideWhenUsed/>
    <w:rsid w:val="00790DC2"/>
    <w:pPr>
      <w:tabs>
        <w:tab w:val="center" w:pos="4419"/>
        <w:tab w:val="right" w:pos="8838"/>
      </w:tabs>
    </w:pPr>
  </w:style>
  <w:style w:type="character" w:customStyle="1" w:styleId="EncabezadoCar">
    <w:name w:val="Encabezado Car"/>
    <w:basedOn w:val="Fuentedeprrafopredeter"/>
    <w:link w:val="Encabezado"/>
    <w:uiPriority w:val="99"/>
    <w:rsid w:val="00790DC2"/>
    <w:rPr>
      <w:rFonts w:ascii="Arial" w:eastAsia="Arial" w:hAnsi="Arial" w:cs="Arial"/>
      <w:lang w:val="es-ES" w:eastAsia="es-ES" w:bidi="es-ES"/>
    </w:rPr>
  </w:style>
  <w:style w:type="paragraph" w:styleId="Piedepgina">
    <w:name w:val="footer"/>
    <w:basedOn w:val="Normal"/>
    <w:link w:val="PiedepginaCar"/>
    <w:uiPriority w:val="99"/>
    <w:unhideWhenUsed/>
    <w:rsid w:val="00790DC2"/>
    <w:pPr>
      <w:tabs>
        <w:tab w:val="center" w:pos="4419"/>
        <w:tab w:val="right" w:pos="8838"/>
      </w:tabs>
    </w:pPr>
  </w:style>
  <w:style w:type="character" w:customStyle="1" w:styleId="PiedepginaCar">
    <w:name w:val="Pie de página Car"/>
    <w:basedOn w:val="Fuentedeprrafopredeter"/>
    <w:link w:val="Piedepgina"/>
    <w:uiPriority w:val="99"/>
    <w:rsid w:val="00790DC2"/>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0F4578"/>
    <w:rPr>
      <w:sz w:val="20"/>
      <w:szCs w:val="20"/>
    </w:rPr>
  </w:style>
  <w:style w:type="character" w:customStyle="1" w:styleId="TextonotapieCar">
    <w:name w:val="Texto nota pie Car"/>
    <w:basedOn w:val="Fuentedeprrafopredeter"/>
    <w:link w:val="Textonotapie"/>
    <w:uiPriority w:val="99"/>
    <w:semiHidden/>
    <w:rsid w:val="000F4578"/>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0F4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974E7-C814-4C77-A2A3-B0DCFF5837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5E3D8D2E-78D9-4124-B776-BECC230E7BA7}">
  <ds:schemaRefs>
    <ds:schemaRef ds:uri="http://schemas.openxmlformats.org/officeDocument/2006/bibliography"/>
  </ds:schemaRefs>
</ds:datastoreItem>
</file>

<file path=customXml/itemProps3.xml><?xml version="1.0" encoding="utf-8"?>
<ds:datastoreItem xmlns:ds="http://schemas.openxmlformats.org/officeDocument/2006/customXml" ds:itemID="{8C25435F-F37E-4BD1-A21F-2AB2F62DF222}">
  <ds:schemaRefs>
    <ds:schemaRef ds:uri="http://schemas.microsoft.com/sharepoint/v3/contenttype/forms"/>
  </ds:schemaRefs>
</ds:datastoreItem>
</file>

<file path=customXml/itemProps4.xml><?xml version="1.0" encoding="utf-8"?>
<ds:datastoreItem xmlns:ds="http://schemas.openxmlformats.org/officeDocument/2006/customXml" ds:itemID="{BC9A531B-FEC3-4933-AE70-C72EEE418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4536</Words>
  <Characters>24948</Characters>
  <Application>Microsoft Office Word</Application>
  <DocSecurity>0</DocSecurity>
  <Lines>207</Lines>
  <Paragraphs>58</Paragraphs>
  <ScaleCrop>false</ScaleCrop>
  <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31</cp:revision>
  <dcterms:created xsi:type="dcterms:W3CDTF">2020-04-27T18:20:00Z</dcterms:created>
  <dcterms:modified xsi:type="dcterms:W3CDTF">2020-08-03T17:40:00Z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vt:lpwstr>
  </property>
  <property fmtid="{D5CDD505-2E9C-101B-9397-08002B2CF9AE}" pid="4" name="LastSaved">
    <vt:filetime>2020-04-27T00:00:00Z</vt:filetime>
  </property>
  <property fmtid="{D5CDD505-2E9C-101B-9397-08002B2CF9AE}" pid="5" name="ContentTypeId">
    <vt:lpwstr>0x010100F2E0F32964D9B84EA054B84E5D4157A0</vt:lpwstr>
  </property>
</Properties>
</file>