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40093D"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40093D">
        <w:rPr>
          <w:rFonts w:ascii="Arial" w:hAnsi="Arial" w:cs="Arial"/>
          <w:b/>
          <w:color w:val="000000" w:themeColor="text1"/>
          <w:sz w:val="16"/>
          <w:szCs w:val="16"/>
          <w:lang w:eastAsia="es-ES"/>
        </w:rPr>
        <w:tab/>
      </w:r>
      <w:r w:rsidR="0034177C" w:rsidRPr="0040093D">
        <w:rPr>
          <w:rFonts w:ascii="Arial" w:hAnsi="Arial" w:cs="Arial"/>
          <w:b/>
          <w:color w:val="000000" w:themeColor="text1"/>
          <w:sz w:val="16"/>
          <w:szCs w:val="16"/>
          <w:lang w:eastAsia="es-ES"/>
        </w:rPr>
        <w:t>CCE-DES-FM-17</w:t>
      </w:r>
    </w:p>
    <w:p w14:paraId="33FF83A2" w14:textId="77777777" w:rsidR="0034177C" w:rsidRPr="007F0B79" w:rsidRDefault="0034177C" w:rsidP="007F6B46">
      <w:pPr>
        <w:spacing w:line="276" w:lineRule="auto"/>
        <w:jc w:val="both"/>
        <w:rPr>
          <w:rFonts w:ascii="Arial" w:eastAsia="Calibri" w:hAnsi="Arial" w:cs="Arial"/>
          <w:b/>
          <w:color w:val="000000" w:themeColor="text1"/>
          <w:sz w:val="16"/>
          <w:szCs w:val="16"/>
        </w:rPr>
      </w:pPr>
    </w:p>
    <w:bookmarkEnd w:id="0"/>
    <w:bookmarkEnd w:id="1"/>
    <w:p w14:paraId="2A937FDE" w14:textId="430E8B28" w:rsidR="00127AF2" w:rsidRPr="0040093D" w:rsidRDefault="00127AF2" w:rsidP="0054485D">
      <w:pPr>
        <w:jc w:val="both"/>
        <w:rPr>
          <w:rFonts w:ascii="Arial" w:eastAsia="Calibri" w:hAnsi="Arial" w:cs="Arial"/>
          <w:color w:val="000000" w:themeColor="text1"/>
          <w:sz w:val="22"/>
          <w:lang w:val="es-ES_tradnl"/>
        </w:rPr>
      </w:pPr>
      <w:r w:rsidRPr="0040093D">
        <w:rPr>
          <w:rFonts w:ascii="Arial" w:eastAsia="Calibri" w:hAnsi="Arial" w:cs="Arial"/>
          <w:b/>
          <w:color w:val="000000" w:themeColor="text1"/>
          <w:sz w:val="22"/>
          <w:lang w:val="es-ES_tradnl"/>
        </w:rPr>
        <w:t xml:space="preserve">SUBSANABILIDAD </w:t>
      </w:r>
      <w:r w:rsidR="003C2AA4" w:rsidRPr="0040093D">
        <w:rPr>
          <w:rFonts w:ascii="Arial" w:eastAsia="Calibri" w:hAnsi="Arial" w:cs="Arial"/>
          <w:b/>
          <w:color w:val="000000" w:themeColor="text1"/>
          <w:sz w:val="22"/>
        </w:rPr>
        <w:t xml:space="preserve">– </w:t>
      </w:r>
      <w:r w:rsidRPr="0040093D">
        <w:rPr>
          <w:rFonts w:ascii="Arial" w:eastAsia="Calibri" w:hAnsi="Arial" w:cs="Arial"/>
          <w:b/>
          <w:color w:val="000000" w:themeColor="text1"/>
          <w:sz w:val="22"/>
          <w:lang w:val="es-ES_tradnl"/>
        </w:rPr>
        <w:t xml:space="preserve">Aplicación </w:t>
      </w:r>
      <w:r w:rsidR="00734BB2" w:rsidRPr="0040093D">
        <w:rPr>
          <w:rFonts w:ascii="Arial" w:eastAsia="Calibri" w:hAnsi="Arial" w:cs="Arial"/>
          <w:b/>
          <w:color w:val="000000" w:themeColor="text1"/>
          <w:sz w:val="22"/>
        </w:rPr>
        <w:t>–</w:t>
      </w:r>
      <w:r w:rsidR="00EE0253" w:rsidRPr="0040093D">
        <w:rPr>
          <w:rFonts w:ascii="Arial" w:eastAsia="Calibri" w:hAnsi="Arial" w:cs="Arial"/>
          <w:b/>
          <w:color w:val="000000" w:themeColor="text1"/>
          <w:sz w:val="22"/>
          <w:lang w:val="es-ES_tradnl"/>
        </w:rPr>
        <w:t xml:space="preserve"> </w:t>
      </w:r>
      <w:r w:rsidR="00F53818">
        <w:rPr>
          <w:rFonts w:ascii="Arial" w:eastAsia="Calibri" w:hAnsi="Arial" w:cs="Arial"/>
          <w:b/>
          <w:color w:val="000000" w:themeColor="text1"/>
          <w:sz w:val="22"/>
          <w:lang w:val="es-ES_tradnl"/>
        </w:rPr>
        <w:t>R</w:t>
      </w:r>
      <w:r w:rsidR="00EE0253" w:rsidRPr="0040093D">
        <w:rPr>
          <w:rFonts w:ascii="Arial" w:eastAsia="Calibri" w:hAnsi="Arial" w:cs="Arial"/>
          <w:b/>
          <w:color w:val="000000" w:themeColor="text1"/>
          <w:sz w:val="22"/>
          <w:lang w:val="es-ES_tradnl"/>
        </w:rPr>
        <w:t xml:space="preserve">estricciones </w:t>
      </w:r>
    </w:p>
    <w:p w14:paraId="779D26A9" w14:textId="77777777" w:rsidR="00127AF2" w:rsidRPr="0040093D" w:rsidRDefault="00127AF2" w:rsidP="0054485D">
      <w:pPr>
        <w:jc w:val="both"/>
        <w:rPr>
          <w:rFonts w:ascii="Arial" w:eastAsia="Calibri" w:hAnsi="Arial" w:cs="Arial"/>
          <w:color w:val="000000" w:themeColor="text1"/>
          <w:sz w:val="20"/>
          <w:szCs w:val="20"/>
          <w:lang w:val="es-ES_tradnl"/>
        </w:rPr>
      </w:pPr>
    </w:p>
    <w:p w14:paraId="407EE706" w14:textId="52F1B21F" w:rsidR="00475C5A" w:rsidRPr="0040093D" w:rsidRDefault="00263A78" w:rsidP="0C8C5D1E">
      <w:pPr>
        <w:jc w:val="both"/>
        <w:rPr>
          <w:rFonts w:ascii="Arial" w:eastAsia="Calibri" w:hAnsi="Arial" w:cs="Arial"/>
          <w:color w:val="000000" w:themeColor="text1"/>
          <w:sz w:val="20"/>
          <w:szCs w:val="20"/>
          <w:lang w:val="es-ES"/>
        </w:rPr>
      </w:pPr>
      <w:r w:rsidRPr="12A4054A">
        <w:rPr>
          <w:rFonts w:ascii="Arial" w:eastAsia="Calibri" w:hAnsi="Arial" w:cs="Arial"/>
          <w:color w:val="000000" w:themeColor="text1"/>
          <w:sz w:val="20"/>
          <w:szCs w:val="20"/>
          <w:lang w:val="es-ES"/>
        </w:rPr>
        <w:t xml:space="preserve">[…] </w:t>
      </w:r>
      <w:r w:rsidR="6BAC64D3" w:rsidRPr="12A4054A">
        <w:rPr>
          <w:rFonts w:ascii="Arial" w:eastAsia="Calibri" w:hAnsi="Arial" w:cs="Arial"/>
          <w:color w:val="000000" w:themeColor="text1"/>
          <w:sz w:val="20"/>
          <w:szCs w:val="20"/>
          <w:lang w:val="es-ES"/>
        </w:rPr>
        <w:t>L</w:t>
      </w:r>
      <w:r w:rsidR="00A10ACA" w:rsidRPr="12A4054A">
        <w:rPr>
          <w:rFonts w:ascii="Arial" w:eastAsia="Calibri" w:hAnsi="Arial" w:cs="Arial"/>
          <w:color w:val="000000" w:themeColor="text1"/>
          <w:sz w:val="20"/>
          <w:szCs w:val="20"/>
          <w:lang w:val="es-ES"/>
        </w:rPr>
        <w:t xml:space="preserve">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permitir, por regla general, que los oferentes aporten o corrijan aquella información relacionada con tales requisitos de participación, de manera que no se rechace de plano de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00A10ACA" w:rsidRPr="12A4054A">
        <w:rPr>
          <w:rFonts w:ascii="Arial" w:eastAsia="Calibri" w:hAnsi="Arial" w:cs="Arial"/>
          <w:color w:val="000000" w:themeColor="text1"/>
          <w:sz w:val="20"/>
          <w:szCs w:val="20"/>
          <w:lang w:val="es-ES"/>
        </w:rPr>
        <w:t>subsanabilidad</w:t>
      </w:r>
      <w:proofErr w:type="spellEnd"/>
      <w:r w:rsidR="00A10ACA" w:rsidRPr="12A4054A">
        <w:rPr>
          <w:rFonts w:ascii="Arial" w:eastAsia="Calibri" w:hAnsi="Arial" w:cs="Arial"/>
          <w:color w:val="000000" w:themeColor="text1"/>
          <w:sz w:val="20"/>
          <w:szCs w:val="20"/>
          <w:lang w:val="es-ES"/>
        </w:rPr>
        <w:t xml:space="preserve"> de las ofertas debe interpretarse como una regla general en relación con la falta de entrega o con los defectos de los requisitos habilitantes.</w:t>
      </w:r>
    </w:p>
    <w:p w14:paraId="1B63BF72" w14:textId="77777777" w:rsidR="00A10ACA" w:rsidRPr="0040093D" w:rsidRDefault="00A10ACA" w:rsidP="0054485D">
      <w:pPr>
        <w:jc w:val="both"/>
        <w:rPr>
          <w:rFonts w:ascii="Arial" w:eastAsia="Calibri" w:hAnsi="Arial" w:cs="Arial"/>
          <w:color w:val="000000" w:themeColor="text1"/>
          <w:sz w:val="20"/>
          <w:lang w:val="es-ES_tradnl"/>
        </w:rPr>
      </w:pPr>
    </w:p>
    <w:p w14:paraId="4A01687E" w14:textId="59EAFB5B" w:rsidR="00EE0253" w:rsidRPr="0040093D" w:rsidRDefault="00EE0253" w:rsidP="0054485D">
      <w:pPr>
        <w:jc w:val="both"/>
        <w:rPr>
          <w:rFonts w:ascii="Arial" w:eastAsia="Calibri" w:hAnsi="Arial" w:cs="Arial"/>
          <w:color w:val="000000" w:themeColor="text1"/>
          <w:sz w:val="22"/>
          <w:lang w:val="es-ES_tradnl"/>
        </w:rPr>
      </w:pPr>
      <w:r w:rsidRPr="0040093D">
        <w:rPr>
          <w:rFonts w:ascii="Arial" w:eastAsia="Calibri" w:hAnsi="Arial" w:cs="Arial"/>
          <w:b/>
          <w:color w:val="000000" w:themeColor="text1"/>
          <w:sz w:val="22"/>
          <w:lang w:val="es-ES_tradnl"/>
        </w:rPr>
        <w:t>SUBSANA</w:t>
      </w:r>
      <w:r w:rsidR="00356742">
        <w:rPr>
          <w:rFonts w:ascii="Arial" w:eastAsia="Calibri" w:hAnsi="Arial" w:cs="Arial"/>
          <w:b/>
          <w:color w:val="000000" w:themeColor="text1"/>
          <w:sz w:val="22"/>
          <w:lang w:val="es-ES_tradnl"/>
        </w:rPr>
        <w:t xml:space="preserve">BILIDAD </w:t>
      </w:r>
      <w:r w:rsidR="00356742" w:rsidRPr="0040093D">
        <w:rPr>
          <w:rFonts w:ascii="Arial" w:eastAsia="Calibri" w:hAnsi="Arial" w:cs="Arial"/>
          <w:b/>
          <w:color w:val="000000" w:themeColor="text1"/>
          <w:sz w:val="22"/>
        </w:rPr>
        <w:t>–</w:t>
      </w:r>
      <w:r w:rsidR="00356742">
        <w:rPr>
          <w:rFonts w:ascii="Arial" w:eastAsia="Calibri" w:hAnsi="Arial" w:cs="Arial"/>
          <w:b/>
          <w:color w:val="000000" w:themeColor="text1"/>
          <w:sz w:val="22"/>
          <w:lang w:val="es-ES_tradnl"/>
        </w:rPr>
        <w:t xml:space="preserve"> Por medios electrónicos </w:t>
      </w:r>
      <w:r w:rsidR="003C2AA4" w:rsidRPr="0040093D">
        <w:rPr>
          <w:rFonts w:ascii="Arial" w:eastAsia="Calibri" w:hAnsi="Arial" w:cs="Arial"/>
          <w:b/>
          <w:color w:val="000000" w:themeColor="text1"/>
          <w:sz w:val="22"/>
        </w:rPr>
        <w:t xml:space="preserve">– </w:t>
      </w:r>
      <w:r w:rsidR="00475C5A" w:rsidRPr="0040093D">
        <w:rPr>
          <w:rFonts w:ascii="Arial" w:eastAsia="Calibri" w:hAnsi="Arial" w:cs="Arial"/>
          <w:b/>
          <w:color w:val="000000" w:themeColor="text1"/>
          <w:sz w:val="22"/>
          <w:lang w:val="es-ES_tradnl"/>
        </w:rPr>
        <w:t>Marco normativo</w:t>
      </w:r>
    </w:p>
    <w:p w14:paraId="33129080" w14:textId="77777777" w:rsidR="00EE0253" w:rsidRPr="0040093D" w:rsidRDefault="00EE0253" w:rsidP="0054485D">
      <w:pPr>
        <w:jc w:val="both"/>
        <w:rPr>
          <w:rFonts w:ascii="Arial" w:eastAsia="Calibri" w:hAnsi="Arial" w:cs="Arial"/>
          <w:color w:val="000000" w:themeColor="text1"/>
          <w:sz w:val="20"/>
          <w:szCs w:val="20"/>
          <w:lang w:val="es-ES_tradnl"/>
        </w:rPr>
      </w:pPr>
    </w:p>
    <w:p w14:paraId="3AD8D3D5" w14:textId="7CB4B7A5" w:rsidR="006E0D82" w:rsidRDefault="00A10ACA" w:rsidP="00482EC6">
      <w:pPr>
        <w:spacing w:after="120"/>
        <w:jc w:val="both"/>
        <w:rPr>
          <w:rFonts w:ascii="Arial" w:eastAsia="Calibri" w:hAnsi="Arial" w:cs="Arial"/>
          <w:color w:val="000000" w:themeColor="text1"/>
          <w:sz w:val="20"/>
          <w:lang w:val="es-ES_tradnl"/>
        </w:rPr>
      </w:pPr>
      <w:r w:rsidRPr="0040093D">
        <w:rPr>
          <w:rFonts w:ascii="Arial" w:eastAsia="Calibri" w:hAnsi="Arial" w:cs="Arial"/>
          <w:color w:val="000000" w:themeColor="text1"/>
          <w:sz w:val="20"/>
          <w:lang w:val="es-ES_tradnl"/>
        </w:rPr>
        <w:t xml:space="preserve">Una </w:t>
      </w:r>
      <w:r w:rsidRPr="0040093D">
        <w:rPr>
          <w:rFonts w:ascii="Arial" w:eastAsia="Calibri" w:hAnsi="Arial" w:cs="Arial"/>
          <w:i/>
          <w:color w:val="000000" w:themeColor="text1"/>
          <w:sz w:val="20"/>
          <w:lang w:val="es-ES_tradnl"/>
        </w:rPr>
        <w:t>interpretación sistemática</w:t>
      </w:r>
      <w:r w:rsidRPr="0040093D">
        <w:rPr>
          <w:rFonts w:ascii="Arial" w:eastAsia="Calibri" w:hAnsi="Arial" w:cs="Arial"/>
          <w:color w:val="000000" w:themeColor="text1"/>
          <w:sz w:val="20"/>
          <w:lang w:val="es-ES_tradnl"/>
        </w:rPr>
        <w:t xml:space="preserve"> </w:t>
      </w:r>
      <w:r w:rsidR="00990345" w:rsidRPr="0040093D">
        <w:rPr>
          <w:rFonts w:ascii="Arial" w:eastAsia="Calibri" w:hAnsi="Arial" w:cs="Arial"/>
          <w:color w:val="000000" w:themeColor="text1"/>
          <w:sz w:val="20"/>
          <w:lang w:val="es-ES_tradnl"/>
        </w:rPr>
        <w:t xml:space="preserve">apoya la posibilidad de subsanar electrónicamente los requisitos habilitantes, pues –más allá de la </w:t>
      </w:r>
      <w:r w:rsidR="00990345" w:rsidRPr="0040093D">
        <w:rPr>
          <w:rFonts w:ascii="Arial" w:eastAsia="Calibri" w:hAnsi="Arial" w:cs="Arial"/>
          <w:i/>
          <w:color w:val="000000" w:themeColor="text1"/>
          <w:sz w:val="20"/>
          <w:lang w:val="es-ES_tradnl"/>
        </w:rPr>
        <w:t xml:space="preserve">interpretación estricta </w:t>
      </w:r>
      <w:r w:rsidR="00990345" w:rsidRPr="0040093D">
        <w:rPr>
          <w:rFonts w:ascii="Arial" w:eastAsia="Calibri" w:hAnsi="Arial" w:cs="Arial"/>
          <w:iCs/>
          <w:color w:val="000000" w:themeColor="text1"/>
          <w:sz w:val="20"/>
          <w:lang w:val="es-ES_tradnl"/>
        </w:rPr>
        <w:t>del pliego tipo</w:t>
      </w:r>
      <w:r w:rsidR="00990345" w:rsidRPr="0040093D">
        <w:rPr>
          <w:rFonts w:ascii="Arial" w:eastAsia="Calibri" w:hAnsi="Arial" w:cs="Arial"/>
          <w:color w:val="000000" w:themeColor="text1"/>
          <w:sz w:val="20"/>
          <w:lang w:val="es-ES_tradnl"/>
        </w:rPr>
        <w:t xml:space="preserve">– estos documentos deben integrarse con las demás normas que regulan la materia. </w:t>
      </w:r>
    </w:p>
    <w:p w14:paraId="3BF62E40" w14:textId="00C30D6D" w:rsidR="00B37BC5" w:rsidRPr="0040093D" w:rsidRDefault="00B37BC5" w:rsidP="00482EC6">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5D3F88B8" w14:textId="77777777" w:rsidR="00C33D9C" w:rsidRPr="0040093D" w:rsidRDefault="00990345" w:rsidP="00482EC6">
      <w:pPr>
        <w:spacing w:after="120"/>
        <w:jc w:val="both"/>
        <w:rPr>
          <w:rFonts w:ascii="Arial" w:eastAsia="Calibri" w:hAnsi="Arial" w:cs="Arial"/>
          <w:color w:val="000000" w:themeColor="text1"/>
          <w:sz w:val="20"/>
          <w:lang w:val="es-ES_tradnl"/>
        </w:rPr>
      </w:pPr>
      <w:r w:rsidRPr="0040093D">
        <w:rPr>
          <w:rFonts w:ascii="Arial" w:eastAsia="Calibri" w:hAnsi="Arial" w:cs="Arial"/>
          <w:color w:val="000000" w:themeColor="text1"/>
          <w:sz w:val="20"/>
          <w:lang w:val="es-ES_tradnl"/>
        </w:rPr>
        <w:t xml:space="preserve">Para estos efectos, el inciso 1 del artículo 25 del Decreto-Ley 2150 de 1995 –modificado por el artículo 10 de la </w:t>
      </w:r>
      <w:bookmarkStart w:id="2" w:name="_Hlk35439209"/>
      <w:r w:rsidRPr="0040093D">
        <w:rPr>
          <w:rFonts w:ascii="Arial" w:eastAsia="Calibri" w:hAnsi="Arial" w:cs="Arial"/>
          <w:color w:val="000000" w:themeColor="text1"/>
          <w:sz w:val="20"/>
          <w:lang w:val="es-ES_tradnl"/>
        </w:rPr>
        <w:t>Ley 962 de 2005</w:t>
      </w:r>
      <w:bookmarkEnd w:id="2"/>
      <w:r w:rsidRPr="0040093D">
        <w:rPr>
          <w:rFonts w:ascii="Arial" w:eastAsia="Calibri" w:hAnsi="Arial" w:cs="Arial"/>
          <w:color w:val="000000" w:themeColor="text1"/>
          <w:sz w:val="20"/>
          <w:lang w:val="es-ES_tradnl"/>
        </w:rPr>
        <w:t xml:space="preserve">– dispone que «Las entidades de la Administración Pública deberán facilitar la recepción y envío de documentos, propuestas o solicitudes y sus respectivas respuestas por medio de correo certificado y por correo electrónico». Adicionalmente, la Ley 527 de 1999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–literal a) del artículo 2–, con el fin de disponer que no se negarán efectos jurídicos a la información por el solo hecho de que se allegue en esta forma –artículo 8–. </w:t>
      </w:r>
    </w:p>
    <w:p w14:paraId="44FD6E2E" w14:textId="77777777" w:rsidR="00482EC6" w:rsidRPr="0040093D" w:rsidRDefault="00990345" w:rsidP="00482EC6">
      <w:pPr>
        <w:spacing w:after="120"/>
        <w:jc w:val="both"/>
        <w:rPr>
          <w:rFonts w:ascii="Arial" w:eastAsia="Calibri" w:hAnsi="Arial" w:cs="Arial"/>
          <w:color w:val="000000" w:themeColor="text1"/>
          <w:sz w:val="20"/>
          <w:lang w:val="es-ES_tradnl"/>
        </w:rPr>
      </w:pPr>
      <w:r w:rsidRPr="0040093D">
        <w:rPr>
          <w:rFonts w:ascii="Arial" w:eastAsia="Calibri" w:hAnsi="Arial" w:cs="Arial"/>
          <w:color w:val="000000" w:themeColor="text1"/>
          <w:sz w:val="20"/>
          <w:lang w:val="es-ES_tradnl"/>
        </w:rPr>
        <w:t>Así mismo, teniendo en cuenta la remisión del artículo 77 de la Ley 80 de 1993 al CPACA, el artículo 53 de la Ley 1437 de 2011 dispone que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 En cuanto sean compatibles con la naturaleza de los procedimientos administrativos, se aplicarán las disposiciones de la Ley 527 de 1999 y las normas que la sustituyan, adicionen o modifiquen». Por lo demás, el inciso 1º del artículo 3 de la Ley 1150 de 2007 prescribe lo siguiente: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w:t>
      </w:r>
      <w:r w:rsidR="00914C3F" w:rsidRPr="0040093D">
        <w:rPr>
          <w:rFonts w:ascii="Arial" w:eastAsia="Calibri" w:hAnsi="Arial" w:cs="Arial"/>
          <w:color w:val="000000" w:themeColor="text1"/>
          <w:sz w:val="20"/>
          <w:lang w:val="es-ES_tradnl"/>
        </w:rPr>
        <w:t xml:space="preserve"> </w:t>
      </w:r>
    </w:p>
    <w:p w14:paraId="2E032724" w14:textId="662CAAA1" w:rsidR="00EE0253" w:rsidRPr="0040093D" w:rsidRDefault="00914C3F" w:rsidP="00482EC6">
      <w:pPr>
        <w:jc w:val="both"/>
        <w:rPr>
          <w:rFonts w:ascii="Arial" w:eastAsia="Calibri" w:hAnsi="Arial" w:cs="Arial"/>
          <w:color w:val="000000" w:themeColor="text1"/>
          <w:sz w:val="20"/>
          <w:lang w:val="es-ES_tradnl"/>
        </w:rPr>
      </w:pPr>
      <w:r w:rsidRPr="0040093D">
        <w:rPr>
          <w:rFonts w:ascii="Arial" w:eastAsia="Calibri" w:hAnsi="Arial" w:cs="Arial"/>
          <w:color w:val="000000" w:themeColor="text1"/>
          <w:sz w:val="20"/>
          <w:lang w:val="es-ES_tradnl"/>
        </w:rPr>
        <w:t>En consecuencia, la utilización de los medios digitales se extiende a los pliegos tipo, pues –aunque la posibilidad no se regule de forma expresa– se interpretan armónicamente con las disposiciones anteriormente citadas</w:t>
      </w:r>
      <w:r w:rsidR="00482EC6" w:rsidRPr="0040093D">
        <w:rPr>
          <w:rFonts w:ascii="Arial" w:eastAsia="Calibri" w:hAnsi="Arial" w:cs="Arial"/>
          <w:color w:val="000000" w:themeColor="text1"/>
          <w:sz w:val="20"/>
          <w:lang w:val="es-ES_tradnl"/>
        </w:rPr>
        <w:t>.</w:t>
      </w:r>
    </w:p>
    <w:p w14:paraId="1D179F3B" w14:textId="2E4467D6" w:rsidR="00FC1196" w:rsidRPr="0040093D" w:rsidRDefault="00FC1196" w:rsidP="0054485D">
      <w:pPr>
        <w:jc w:val="both"/>
        <w:rPr>
          <w:rFonts w:ascii="Arial" w:eastAsia="Calibri" w:hAnsi="Arial" w:cs="Arial"/>
          <w:color w:val="000000" w:themeColor="text1"/>
          <w:sz w:val="20"/>
          <w:lang w:val="es-ES_tradnl"/>
        </w:rPr>
      </w:pPr>
    </w:p>
    <w:p w14:paraId="6073BE97" w14:textId="35C0CF6F" w:rsidR="00FC1196" w:rsidRPr="0040093D" w:rsidRDefault="00FC1196" w:rsidP="0054485D">
      <w:pPr>
        <w:jc w:val="both"/>
        <w:rPr>
          <w:rFonts w:ascii="Arial" w:eastAsia="Calibri" w:hAnsi="Arial" w:cs="Arial"/>
          <w:color w:val="000000" w:themeColor="text1"/>
          <w:sz w:val="22"/>
          <w:lang w:val="es-ES_tradnl"/>
        </w:rPr>
      </w:pPr>
      <w:r w:rsidRPr="0040093D">
        <w:rPr>
          <w:rFonts w:ascii="Arial" w:eastAsia="Calibri" w:hAnsi="Arial" w:cs="Arial"/>
          <w:b/>
          <w:color w:val="000000" w:themeColor="text1"/>
          <w:sz w:val="22"/>
          <w:lang w:val="es-ES_tradnl"/>
        </w:rPr>
        <w:t xml:space="preserve">DOCUMENTO FIRMADO </w:t>
      </w:r>
      <w:r w:rsidR="003C2AA4" w:rsidRPr="0040093D">
        <w:rPr>
          <w:rFonts w:ascii="Arial" w:eastAsia="Calibri" w:hAnsi="Arial" w:cs="Arial"/>
          <w:b/>
          <w:color w:val="000000" w:themeColor="text1"/>
          <w:sz w:val="22"/>
        </w:rPr>
        <w:t xml:space="preserve">– </w:t>
      </w:r>
      <w:r w:rsidRPr="0040093D">
        <w:rPr>
          <w:rFonts w:ascii="Arial" w:eastAsia="Calibri" w:hAnsi="Arial" w:cs="Arial"/>
          <w:b/>
          <w:color w:val="000000" w:themeColor="text1"/>
          <w:sz w:val="22"/>
          <w:lang w:val="es-ES_tradnl"/>
        </w:rPr>
        <w:t xml:space="preserve">Concepto </w:t>
      </w:r>
      <w:r w:rsidR="003C2AA4" w:rsidRPr="0040093D">
        <w:rPr>
          <w:rFonts w:ascii="Arial" w:eastAsia="Calibri" w:hAnsi="Arial" w:cs="Arial"/>
          <w:b/>
          <w:color w:val="000000" w:themeColor="text1"/>
          <w:sz w:val="22"/>
        </w:rPr>
        <w:t xml:space="preserve">– </w:t>
      </w:r>
      <w:r w:rsidRPr="0040093D">
        <w:rPr>
          <w:rFonts w:ascii="Arial" w:eastAsia="Calibri" w:hAnsi="Arial" w:cs="Arial"/>
          <w:b/>
          <w:color w:val="000000" w:themeColor="text1"/>
          <w:sz w:val="22"/>
          <w:lang w:val="es-ES_tradnl"/>
        </w:rPr>
        <w:t>Clases de firma</w:t>
      </w:r>
    </w:p>
    <w:p w14:paraId="11504893" w14:textId="77777777" w:rsidR="00FC1196" w:rsidRPr="0040093D" w:rsidRDefault="00FC1196" w:rsidP="0054485D">
      <w:pPr>
        <w:jc w:val="both"/>
        <w:rPr>
          <w:rFonts w:ascii="Arial" w:eastAsia="Calibri" w:hAnsi="Arial" w:cs="Arial"/>
          <w:color w:val="000000" w:themeColor="text1"/>
          <w:sz w:val="20"/>
          <w:lang w:val="es-ES_tradnl"/>
        </w:rPr>
      </w:pPr>
    </w:p>
    <w:p w14:paraId="5A484449" w14:textId="497BEE0B" w:rsidR="003A28BB" w:rsidRPr="0040093D" w:rsidRDefault="00B37BC5" w:rsidP="003A28BB">
      <w:pPr>
        <w:spacing w:after="120"/>
        <w:jc w:val="both"/>
        <w:rPr>
          <w:rFonts w:ascii="Arial" w:eastAsia="Calibri" w:hAnsi="Arial" w:cs="Arial"/>
          <w:color w:val="000000" w:themeColor="text1"/>
          <w:sz w:val="20"/>
        </w:rPr>
      </w:pPr>
      <w:r>
        <w:rPr>
          <w:rFonts w:ascii="Arial" w:eastAsia="Calibri" w:hAnsi="Arial" w:cs="Arial"/>
          <w:color w:val="000000" w:themeColor="text1"/>
          <w:sz w:val="20"/>
          <w:lang w:val="es-ES_tradnl"/>
        </w:rPr>
        <w:t xml:space="preserve">[…] </w:t>
      </w:r>
      <w:r w:rsidR="00914C3F" w:rsidRPr="0040093D">
        <w:rPr>
          <w:rFonts w:ascii="Arial" w:eastAsia="Calibri" w:hAnsi="Arial" w:cs="Arial"/>
          <w:color w:val="000000" w:themeColor="text1"/>
          <w:sz w:val="20"/>
          <w:lang w:val="es-ES_tradnl"/>
        </w:rPr>
        <w:t xml:space="preserve">Dentro del concepto general, la </w:t>
      </w:r>
      <w:r w:rsidR="00914C3F" w:rsidRPr="0040093D">
        <w:rPr>
          <w:rFonts w:ascii="Arial" w:eastAsia="Calibri" w:hAnsi="Arial" w:cs="Arial"/>
          <w:i/>
          <w:iCs/>
          <w:color w:val="000000" w:themeColor="text1"/>
          <w:sz w:val="20"/>
          <w:lang w:val="es-ES_tradnl"/>
        </w:rPr>
        <w:t>firma manuscrita</w:t>
      </w:r>
      <w:r w:rsidR="00914C3F" w:rsidRPr="0040093D">
        <w:rPr>
          <w:rFonts w:ascii="Arial" w:eastAsia="Calibri" w:hAnsi="Arial" w:cs="Arial"/>
          <w:color w:val="000000" w:themeColor="text1"/>
          <w:sz w:val="20"/>
          <w:lang w:val="es-ES_tradnl"/>
        </w:rPr>
        <w:t xml:space="preserve"> </w:t>
      </w:r>
      <w:r w:rsidR="00914C3F" w:rsidRPr="0040093D">
        <w:rPr>
          <w:rFonts w:ascii="Arial" w:eastAsia="Calibri" w:hAnsi="Arial" w:cs="Arial"/>
          <w:color w:val="000000" w:themeColor="text1"/>
          <w:sz w:val="20"/>
        </w:rPr>
        <w:t xml:space="preserve">es «[…] un rasgo o signo impuesto del puño y letra de una persona, con el cual, de forma general y reiterada, se compromete con el contenido de los documentos que la consignan, o da fe de que lo allí registrado obedece a la realidad». </w:t>
      </w:r>
    </w:p>
    <w:p w14:paraId="72E60759" w14:textId="77777777" w:rsidR="0030333F" w:rsidRPr="0040093D" w:rsidRDefault="00914C3F" w:rsidP="009032DE">
      <w:pPr>
        <w:spacing w:after="120"/>
        <w:jc w:val="both"/>
        <w:rPr>
          <w:rFonts w:ascii="Arial" w:eastAsia="Calibri" w:hAnsi="Arial" w:cs="Arial"/>
          <w:color w:val="000000" w:themeColor="text1"/>
          <w:sz w:val="20"/>
        </w:rPr>
      </w:pPr>
      <w:r w:rsidRPr="0040093D">
        <w:rPr>
          <w:rFonts w:ascii="Arial" w:eastAsia="Calibri" w:hAnsi="Arial" w:cs="Arial"/>
          <w:color w:val="000000" w:themeColor="text1"/>
          <w:sz w:val="20"/>
        </w:rPr>
        <w:t xml:space="preserve">Por otra parte, frente a la </w:t>
      </w:r>
      <w:r w:rsidRPr="0040093D">
        <w:rPr>
          <w:rFonts w:ascii="Arial" w:eastAsia="Calibri" w:hAnsi="Arial" w:cs="Arial"/>
          <w:i/>
          <w:iCs/>
          <w:color w:val="000000" w:themeColor="text1"/>
          <w:sz w:val="20"/>
        </w:rPr>
        <w:t>firma electrónica</w:t>
      </w:r>
      <w:r w:rsidRPr="0040093D">
        <w:rPr>
          <w:rFonts w:ascii="Arial" w:eastAsia="Calibri" w:hAnsi="Arial" w:cs="Arial"/>
          <w:color w:val="000000" w:themeColor="text1"/>
          <w:sz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40093D">
        <w:rPr>
          <w:rFonts w:ascii="Arial" w:eastAsia="Calibri" w:hAnsi="Arial" w:cs="Arial"/>
          <w:color w:val="000000" w:themeColor="text1"/>
          <w:sz w:val="20"/>
        </w:rPr>
        <w:t>ii</w:t>
      </w:r>
      <w:proofErr w:type="spellEnd"/>
      <w:r w:rsidRPr="0040093D">
        <w:rPr>
          <w:rFonts w:ascii="Arial" w:eastAsia="Calibri" w:hAnsi="Arial" w:cs="Arial"/>
          <w:color w:val="000000" w:themeColor="text1"/>
          <w:sz w:val="20"/>
        </w:rPr>
        <w:t xml:space="preserve">) asegurar que el documento firmado es exactamente el mismo que el original y </w:t>
      </w:r>
      <w:proofErr w:type="spellStart"/>
      <w:r w:rsidRPr="0040093D">
        <w:rPr>
          <w:rFonts w:ascii="Arial" w:eastAsia="Calibri" w:hAnsi="Arial" w:cs="Arial"/>
          <w:color w:val="000000" w:themeColor="text1"/>
          <w:sz w:val="20"/>
        </w:rPr>
        <w:t>iii</w:t>
      </w:r>
      <w:proofErr w:type="spellEnd"/>
      <w:r w:rsidRPr="0040093D">
        <w:rPr>
          <w:rFonts w:ascii="Arial" w:eastAsia="Calibri" w:hAnsi="Arial" w:cs="Arial"/>
          <w:color w:val="000000" w:themeColor="text1"/>
          <w:sz w:val="20"/>
        </w:rPr>
        <w:t xml:space="preserve">) asegurar que los datos que utiliza el firmante para realizar la firma son únicos y exclusivos. </w:t>
      </w:r>
    </w:p>
    <w:p w14:paraId="4A9D6608" w14:textId="17A36853" w:rsidR="00914C3F" w:rsidRPr="0040093D" w:rsidRDefault="00914C3F" w:rsidP="0054485D">
      <w:pPr>
        <w:jc w:val="both"/>
        <w:rPr>
          <w:rFonts w:ascii="Arial" w:eastAsia="Calibri" w:hAnsi="Arial" w:cs="Arial"/>
          <w:color w:val="000000" w:themeColor="text1"/>
          <w:sz w:val="20"/>
        </w:rPr>
      </w:pPr>
      <w:r w:rsidRPr="0040093D">
        <w:rPr>
          <w:rFonts w:ascii="Arial" w:eastAsia="Calibri" w:hAnsi="Arial" w:cs="Arial"/>
          <w:color w:val="000000" w:themeColor="text1"/>
          <w:sz w:val="20"/>
        </w:rPr>
        <w:t xml:space="preserve">Finalmente, el artículo 2 de la Ley 527 de 1999 define la </w:t>
      </w:r>
      <w:r w:rsidRPr="0040093D">
        <w:rPr>
          <w:rFonts w:ascii="Arial" w:eastAsia="Calibri" w:hAnsi="Arial" w:cs="Arial"/>
          <w:i/>
          <w:iCs/>
          <w:color w:val="000000" w:themeColor="text1"/>
          <w:sz w:val="20"/>
        </w:rPr>
        <w:t>firma digital</w:t>
      </w:r>
      <w:r w:rsidRPr="0040093D">
        <w:rPr>
          <w:rFonts w:ascii="Arial" w:eastAsia="Calibri" w:hAnsi="Arial" w:cs="Arial"/>
          <w:color w:val="000000" w:themeColor="text1"/>
          <w:sz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30F370A1" w14:textId="77777777" w:rsidR="004D4BA1" w:rsidRPr="0040093D" w:rsidRDefault="004D4BA1" w:rsidP="0054485D">
      <w:pPr>
        <w:jc w:val="both"/>
        <w:rPr>
          <w:rFonts w:ascii="Arial" w:eastAsia="Calibri" w:hAnsi="Arial" w:cs="Arial"/>
          <w:color w:val="000000" w:themeColor="text1"/>
          <w:sz w:val="20"/>
          <w:lang w:val="es-ES_tradnl"/>
        </w:rPr>
      </w:pPr>
    </w:p>
    <w:p w14:paraId="6CF263A9" w14:textId="7F3EB148" w:rsidR="00F1108B" w:rsidRPr="0040093D" w:rsidRDefault="7A7D6AEC" w:rsidP="12A4054A">
      <w:pPr>
        <w:jc w:val="both"/>
        <w:rPr>
          <w:rFonts w:ascii="Arial" w:eastAsia="Calibri" w:hAnsi="Arial" w:cs="Arial"/>
          <w:b/>
          <w:bCs/>
          <w:color w:val="000000" w:themeColor="text1"/>
          <w:sz w:val="22"/>
          <w:lang w:val="es-ES"/>
        </w:rPr>
      </w:pPr>
      <w:r w:rsidRPr="12A4054A">
        <w:rPr>
          <w:rFonts w:ascii="Arial" w:eastAsia="Calibri" w:hAnsi="Arial" w:cs="Arial"/>
          <w:b/>
          <w:bCs/>
          <w:color w:val="000000" w:themeColor="text1"/>
          <w:sz w:val="22"/>
          <w:lang w:val="es-ES"/>
        </w:rPr>
        <w:t>RECHAZO DE LA OFERTA</w:t>
      </w:r>
      <w:r w:rsidR="00E630C0" w:rsidRPr="12A4054A">
        <w:rPr>
          <w:rFonts w:ascii="Arial" w:eastAsia="Calibri" w:hAnsi="Arial" w:cs="Arial"/>
          <w:b/>
          <w:bCs/>
          <w:color w:val="000000" w:themeColor="text1"/>
          <w:sz w:val="22"/>
          <w:lang w:val="es-ES"/>
        </w:rPr>
        <w:t xml:space="preserve"> </w:t>
      </w:r>
      <w:r w:rsidR="003C2AA4" w:rsidRPr="12A4054A">
        <w:rPr>
          <w:rFonts w:ascii="Arial" w:eastAsia="Calibri" w:hAnsi="Arial" w:cs="Arial"/>
          <w:b/>
          <w:bCs/>
          <w:color w:val="000000" w:themeColor="text1"/>
          <w:sz w:val="22"/>
        </w:rPr>
        <w:t xml:space="preserve">– </w:t>
      </w:r>
      <w:r w:rsidR="086A8793" w:rsidRPr="12A4054A">
        <w:rPr>
          <w:rFonts w:ascii="Arial" w:eastAsia="Calibri" w:hAnsi="Arial" w:cs="Arial"/>
          <w:b/>
          <w:bCs/>
          <w:color w:val="000000" w:themeColor="text1"/>
          <w:sz w:val="22"/>
        </w:rPr>
        <w:t>Documento sin firma –</w:t>
      </w:r>
      <w:proofErr w:type="spellStart"/>
      <w:r w:rsidR="086A8793" w:rsidRPr="12A4054A">
        <w:rPr>
          <w:rFonts w:ascii="Arial" w:eastAsia="Calibri" w:hAnsi="Arial" w:cs="Arial"/>
          <w:b/>
          <w:bCs/>
          <w:color w:val="000000" w:themeColor="text1"/>
          <w:sz w:val="22"/>
        </w:rPr>
        <w:t>Subsanabilidad</w:t>
      </w:r>
      <w:proofErr w:type="spellEnd"/>
      <w:r w:rsidR="086A8793" w:rsidRPr="12A4054A">
        <w:rPr>
          <w:rFonts w:ascii="Arial" w:eastAsia="Calibri" w:hAnsi="Arial" w:cs="Arial"/>
          <w:b/>
          <w:bCs/>
          <w:color w:val="000000" w:themeColor="text1"/>
          <w:sz w:val="22"/>
        </w:rPr>
        <w:t xml:space="preserve"> – Validez</w:t>
      </w:r>
    </w:p>
    <w:p w14:paraId="01C74028" w14:textId="70465182" w:rsidR="00F1108B" w:rsidRPr="0040093D" w:rsidRDefault="00F1108B" w:rsidP="12A4054A">
      <w:pPr>
        <w:jc w:val="both"/>
        <w:rPr>
          <w:rFonts w:ascii="Arial" w:eastAsia="Calibri" w:hAnsi="Arial" w:cs="Arial"/>
          <w:color w:val="000000" w:themeColor="text1"/>
          <w:sz w:val="20"/>
          <w:szCs w:val="20"/>
          <w:lang w:val="es-ES"/>
        </w:rPr>
      </w:pPr>
    </w:p>
    <w:p w14:paraId="3DD59D32" w14:textId="71F1FB81" w:rsidR="00F1108B" w:rsidRPr="0040093D" w:rsidRDefault="009C1B63" w:rsidP="0C8C5D1E">
      <w:pPr>
        <w:jc w:val="both"/>
        <w:rPr>
          <w:rFonts w:ascii="Arial" w:eastAsia="Calibri" w:hAnsi="Arial" w:cs="Arial"/>
          <w:color w:val="000000" w:themeColor="text1"/>
          <w:sz w:val="20"/>
          <w:szCs w:val="20"/>
          <w:lang w:val="es-ES"/>
        </w:rPr>
      </w:pPr>
      <w:r w:rsidRPr="0C8C5D1E">
        <w:rPr>
          <w:rFonts w:ascii="Arial" w:eastAsia="Calibri" w:hAnsi="Arial" w:cs="Arial"/>
          <w:color w:val="000000" w:themeColor="text1"/>
          <w:sz w:val="20"/>
          <w:szCs w:val="20"/>
          <w:lang w:val="es-ES"/>
        </w:rPr>
        <w:t xml:space="preserve">[…] </w:t>
      </w:r>
      <w:r w:rsidR="6308E9A0" w:rsidRPr="0C8C5D1E">
        <w:rPr>
          <w:rFonts w:ascii="Arial" w:eastAsia="Calibri" w:hAnsi="Arial" w:cs="Arial"/>
          <w:color w:val="000000" w:themeColor="text1"/>
          <w:sz w:val="20"/>
          <w:szCs w:val="20"/>
          <w:lang w:val="es-ES"/>
        </w:rPr>
        <w:t>p</w:t>
      </w:r>
      <w:r w:rsidR="007B7EA2" w:rsidRPr="0C8C5D1E">
        <w:rPr>
          <w:rFonts w:ascii="Arial" w:eastAsia="Calibri" w:hAnsi="Arial" w:cs="Arial"/>
          <w:color w:val="000000" w:themeColor="text1"/>
          <w:sz w:val="20"/>
          <w:szCs w:val="20"/>
          <w:lang w:val="es-ES"/>
        </w:rPr>
        <w:t>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del traslado del informe de evaluación. Si el proponente aporta el documento con firma manuscrita y lo escanea para enviarlo a la entidad estatal, deberá considerarse como válido, porque estos documentos son una copia simple del original y tienen validez, máxime cuando en el «Documento Base» o «Pliego Tipo» no se exige que se presenten documentos en físico, sino debidamente firmados por quien corresponda.</w:t>
      </w:r>
      <w:r w:rsidR="00F1108B" w:rsidRPr="0040093D">
        <w:rPr>
          <w:rFonts w:ascii="Arial" w:eastAsia="Calibri" w:hAnsi="Arial" w:cs="Arial"/>
          <w:color w:val="000000" w:themeColor="text1"/>
          <w:sz w:val="20"/>
          <w:lang w:val="es-ES_tradnl"/>
        </w:rPr>
        <w:tab/>
      </w:r>
    </w:p>
    <w:p w14:paraId="46FC6619" w14:textId="16B1DF38" w:rsidR="00F1108B" w:rsidRPr="0040093D" w:rsidRDefault="00F1108B" w:rsidP="0054485D">
      <w:pPr>
        <w:jc w:val="both"/>
        <w:rPr>
          <w:rFonts w:ascii="Arial" w:hAnsi="Arial" w:cs="Arial"/>
          <w:color w:val="000000" w:themeColor="text1"/>
          <w:sz w:val="20"/>
          <w:szCs w:val="20"/>
        </w:rPr>
      </w:pPr>
    </w:p>
    <w:p w14:paraId="40CD19EC" w14:textId="77777777" w:rsidR="007B7EA2" w:rsidRPr="0040093D" w:rsidRDefault="007B7EA2" w:rsidP="00F1108B">
      <w:pPr>
        <w:rPr>
          <w:rFonts w:ascii="Arial" w:hAnsi="Arial" w:cs="Arial"/>
          <w:color w:val="000000" w:themeColor="text1"/>
          <w:sz w:val="20"/>
          <w:szCs w:val="20"/>
        </w:rPr>
      </w:pPr>
    </w:p>
    <w:p w14:paraId="380C0EF6" w14:textId="77777777" w:rsidR="00DC3A36" w:rsidRPr="002C780A" w:rsidRDefault="00DC3A36" w:rsidP="00DC3A36">
      <w:pPr>
        <w:pStyle w:val="Default"/>
        <w:rPr>
          <w:color w:val="000000" w:themeColor="text1"/>
          <w:sz w:val="22"/>
          <w:szCs w:val="22"/>
        </w:rPr>
      </w:pPr>
      <w:r w:rsidRPr="002C780A">
        <w:rPr>
          <w:color w:val="000000" w:themeColor="text1"/>
          <w:sz w:val="22"/>
          <w:szCs w:val="22"/>
        </w:rPr>
        <w:t xml:space="preserve">Bogotá D.C., </w:t>
      </w:r>
      <w:r w:rsidRPr="002C780A">
        <w:rPr>
          <w:b/>
          <w:bCs/>
          <w:color w:val="000000" w:themeColor="text1"/>
          <w:sz w:val="22"/>
          <w:szCs w:val="22"/>
        </w:rPr>
        <w:t xml:space="preserve">24/03/2020 Hora 21:27:13s </w:t>
      </w:r>
    </w:p>
    <w:p w14:paraId="44FC3668" w14:textId="3A409E30" w:rsidR="00F1108B" w:rsidRPr="002C780A" w:rsidRDefault="00DC3A36" w:rsidP="000D1678">
      <w:pPr>
        <w:jc w:val="right"/>
        <w:rPr>
          <w:rFonts w:ascii="Arial" w:hAnsi="Arial" w:cs="Arial"/>
          <w:b/>
          <w:bCs/>
          <w:color w:val="000000" w:themeColor="text1"/>
          <w:sz w:val="22"/>
        </w:rPr>
      </w:pPr>
      <w:proofErr w:type="spellStart"/>
      <w:r w:rsidRPr="002C780A">
        <w:rPr>
          <w:rFonts w:ascii="Arial" w:hAnsi="Arial" w:cs="Arial"/>
          <w:b/>
          <w:bCs/>
          <w:color w:val="000000" w:themeColor="text1"/>
          <w:sz w:val="22"/>
        </w:rPr>
        <w:t>N°</w:t>
      </w:r>
      <w:proofErr w:type="spellEnd"/>
      <w:r w:rsidRPr="002C780A">
        <w:rPr>
          <w:rFonts w:ascii="Arial" w:hAnsi="Arial" w:cs="Arial"/>
          <w:b/>
          <w:bCs/>
          <w:color w:val="000000" w:themeColor="text1"/>
          <w:sz w:val="22"/>
        </w:rPr>
        <w:t xml:space="preserve"> Radicado: 2202013000002157</w:t>
      </w:r>
    </w:p>
    <w:p w14:paraId="5C0163B7" w14:textId="77777777" w:rsidR="000D1678" w:rsidRPr="0040093D" w:rsidRDefault="000D1678" w:rsidP="000D1678">
      <w:pPr>
        <w:jc w:val="right"/>
        <w:rPr>
          <w:rFonts w:ascii="Arial" w:eastAsia="Calibri" w:hAnsi="Arial" w:cs="Arial"/>
          <w:color w:val="000000" w:themeColor="text1"/>
          <w:sz w:val="20"/>
          <w:szCs w:val="20"/>
        </w:rPr>
      </w:pPr>
    </w:p>
    <w:p w14:paraId="1AC01C9C" w14:textId="77777777" w:rsidR="00F1108B" w:rsidRPr="0040093D" w:rsidRDefault="00F1108B" w:rsidP="00F1108B">
      <w:pPr>
        <w:rPr>
          <w:rFonts w:ascii="Arial" w:eastAsia="Calibri" w:hAnsi="Arial" w:cs="Arial"/>
          <w:color w:val="000000" w:themeColor="text1"/>
          <w:sz w:val="22"/>
          <w:szCs w:val="20"/>
        </w:rPr>
      </w:pPr>
      <w:r w:rsidRPr="0040093D">
        <w:rPr>
          <w:rFonts w:ascii="Arial" w:eastAsia="Calibri" w:hAnsi="Arial" w:cs="Arial"/>
          <w:color w:val="000000" w:themeColor="text1"/>
          <w:sz w:val="22"/>
          <w:szCs w:val="20"/>
        </w:rPr>
        <w:t>Señor</w:t>
      </w:r>
    </w:p>
    <w:p w14:paraId="57164491" w14:textId="7C238181" w:rsidR="00F1108B" w:rsidRPr="0040093D" w:rsidRDefault="007F785F" w:rsidP="00F1108B">
      <w:pPr>
        <w:rPr>
          <w:rFonts w:ascii="Arial" w:eastAsia="Calibri" w:hAnsi="Arial" w:cs="Arial"/>
          <w:b/>
          <w:color w:val="000000" w:themeColor="text1"/>
          <w:sz w:val="22"/>
          <w:szCs w:val="20"/>
        </w:rPr>
      </w:pPr>
      <w:r w:rsidRPr="0040093D">
        <w:rPr>
          <w:rFonts w:ascii="Arial" w:eastAsia="Calibri" w:hAnsi="Arial" w:cs="Arial"/>
          <w:b/>
          <w:color w:val="000000" w:themeColor="text1"/>
          <w:sz w:val="22"/>
          <w:szCs w:val="20"/>
        </w:rPr>
        <w:t xml:space="preserve">JAIRO MORENO GÁMEZ  </w:t>
      </w:r>
    </w:p>
    <w:p w14:paraId="697E1C63" w14:textId="35F5BE58" w:rsidR="00D401BE" w:rsidRPr="0040093D" w:rsidRDefault="00F1108B" w:rsidP="00F1108B">
      <w:pPr>
        <w:rPr>
          <w:rFonts w:ascii="Arial" w:eastAsia="Calibri" w:hAnsi="Arial" w:cs="Arial"/>
          <w:color w:val="000000" w:themeColor="text1"/>
          <w:sz w:val="22"/>
          <w:szCs w:val="20"/>
        </w:rPr>
      </w:pPr>
      <w:r w:rsidRPr="0040093D">
        <w:rPr>
          <w:rFonts w:ascii="Arial" w:eastAsia="Calibri" w:hAnsi="Arial" w:cs="Arial"/>
          <w:color w:val="000000" w:themeColor="text1"/>
          <w:sz w:val="22"/>
          <w:szCs w:val="20"/>
        </w:rPr>
        <w:t>Ciudad</w:t>
      </w:r>
    </w:p>
    <w:p w14:paraId="283D6043" w14:textId="42B8503C" w:rsidR="00F1108B" w:rsidRPr="0040093D" w:rsidRDefault="00F1108B" w:rsidP="00F1108B">
      <w:pPr>
        <w:jc w:val="center"/>
        <w:rPr>
          <w:rFonts w:ascii="Arial" w:eastAsia="Calibri" w:hAnsi="Arial" w:cs="Arial"/>
          <w:b/>
          <w:color w:val="000000" w:themeColor="text1"/>
          <w:sz w:val="22"/>
        </w:rPr>
      </w:pPr>
      <w:r w:rsidRPr="0040093D">
        <w:rPr>
          <w:rFonts w:ascii="Arial" w:eastAsia="Calibri" w:hAnsi="Arial" w:cs="Arial"/>
          <w:b/>
          <w:color w:val="000000" w:themeColor="text1"/>
          <w:sz w:val="22"/>
        </w:rPr>
        <w:t>Concepto C ─ 0</w:t>
      </w:r>
      <w:r w:rsidR="00CA7E7B" w:rsidRPr="0040093D">
        <w:rPr>
          <w:rFonts w:ascii="Arial" w:eastAsia="Calibri" w:hAnsi="Arial" w:cs="Arial"/>
          <w:b/>
          <w:color w:val="000000" w:themeColor="text1"/>
          <w:sz w:val="22"/>
        </w:rPr>
        <w:t>44</w:t>
      </w:r>
      <w:r w:rsidRPr="0040093D">
        <w:rPr>
          <w:rFonts w:ascii="Arial" w:eastAsia="Calibri" w:hAnsi="Arial" w:cs="Arial"/>
          <w:b/>
          <w:color w:val="000000" w:themeColor="text1"/>
          <w:sz w:val="22"/>
        </w:rPr>
        <w:t xml:space="preserve"> de 2020</w:t>
      </w:r>
    </w:p>
    <w:p w14:paraId="656B0268" w14:textId="77777777" w:rsidR="00D401BE" w:rsidRPr="0040093D" w:rsidRDefault="00D401BE" w:rsidP="00F1108B">
      <w:pPr>
        <w:jc w:val="center"/>
        <w:rPr>
          <w:rFonts w:ascii="Arial" w:eastAsia="Calibri" w:hAnsi="Arial" w:cs="Arial"/>
          <w:b/>
          <w:color w:val="000000" w:themeColor="text1"/>
          <w:sz w:val="22"/>
        </w:rPr>
      </w:pPr>
    </w:p>
    <w:p w14:paraId="55A2A84E" w14:textId="77777777" w:rsidR="00F1108B" w:rsidRPr="0040093D" w:rsidRDefault="00F1108B" w:rsidP="00F1108B">
      <w:pPr>
        <w:rPr>
          <w:rFonts w:ascii="Arial" w:eastAsia="Calibri" w:hAnsi="Arial" w:cs="Arial"/>
          <w:color w:val="000000" w:themeColor="text1"/>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40093D" w:rsidRPr="0040093D" w14:paraId="522C04FC" w14:textId="77777777" w:rsidTr="00356742">
        <w:tc>
          <w:tcPr>
            <w:tcW w:w="3119" w:type="dxa"/>
            <w:hideMark/>
          </w:tcPr>
          <w:p w14:paraId="5C1F9A7E" w14:textId="77777777" w:rsidR="00F1108B" w:rsidRPr="0040093D" w:rsidRDefault="00F1108B" w:rsidP="00AB358D">
            <w:pPr>
              <w:rPr>
                <w:rFonts w:ascii="Arial" w:eastAsia="Calibri" w:hAnsi="Arial" w:cs="Arial"/>
                <w:color w:val="000000" w:themeColor="text1"/>
                <w:sz w:val="22"/>
              </w:rPr>
            </w:pPr>
            <w:r w:rsidRPr="0040093D">
              <w:rPr>
                <w:rFonts w:ascii="Arial" w:eastAsia="Calibri" w:hAnsi="Arial" w:cs="Arial"/>
                <w:b/>
                <w:color w:val="000000" w:themeColor="text1"/>
                <w:sz w:val="22"/>
              </w:rPr>
              <w:t>Temas:</w:t>
            </w:r>
            <w:r w:rsidRPr="0040093D">
              <w:rPr>
                <w:rFonts w:ascii="Arial" w:eastAsia="Calibri" w:hAnsi="Arial" w:cs="Arial"/>
                <w:color w:val="000000" w:themeColor="text1"/>
                <w:sz w:val="22"/>
              </w:rPr>
              <w:t xml:space="preserve">           </w:t>
            </w:r>
          </w:p>
          <w:p w14:paraId="4376ABAA" w14:textId="77777777" w:rsidR="00F1108B" w:rsidRPr="0040093D" w:rsidRDefault="00F1108B" w:rsidP="00AB358D">
            <w:pPr>
              <w:rPr>
                <w:rFonts w:ascii="Arial" w:eastAsia="Calibri" w:hAnsi="Arial" w:cs="Arial"/>
                <w:color w:val="000000" w:themeColor="text1"/>
                <w:sz w:val="22"/>
              </w:rPr>
            </w:pPr>
            <w:r w:rsidRPr="0040093D">
              <w:rPr>
                <w:rFonts w:ascii="Arial" w:eastAsia="Calibri" w:hAnsi="Arial" w:cs="Arial"/>
                <w:color w:val="000000" w:themeColor="text1"/>
                <w:sz w:val="22"/>
              </w:rPr>
              <w:t xml:space="preserve">                           </w:t>
            </w:r>
          </w:p>
        </w:tc>
        <w:tc>
          <w:tcPr>
            <w:tcW w:w="5807" w:type="dxa"/>
            <w:hideMark/>
          </w:tcPr>
          <w:p w14:paraId="3AA47512" w14:textId="127ECF05" w:rsidR="00F1108B" w:rsidRPr="0040093D" w:rsidRDefault="007C6339" w:rsidP="00AB358D">
            <w:pPr>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SUBSANABILIDAD ― Aplicación </w:t>
            </w:r>
            <w:r w:rsidR="00F53818">
              <w:rPr>
                <w:rFonts w:ascii="Arial" w:eastAsia="Calibri" w:hAnsi="Arial" w:cs="Arial"/>
                <w:color w:val="000000" w:themeColor="text1"/>
                <w:sz w:val="22"/>
              </w:rPr>
              <w:t>- R</w:t>
            </w:r>
            <w:r w:rsidRPr="0040093D">
              <w:rPr>
                <w:rFonts w:ascii="Arial" w:eastAsia="Calibri" w:hAnsi="Arial" w:cs="Arial"/>
                <w:color w:val="000000" w:themeColor="text1"/>
                <w:sz w:val="22"/>
              </w:rPr>
              <w:t>estricciones</w:t>
            </w:r>
            <w:r w:rsidR="00F1108B" w:rsidRPr="0040093D">
              <w:rPr>
                <w:rFonts w:ascii="Arial" w:eastAsia="Calibri" w:hAnsi="Arial" w:cs="Arial"/>
                <w:color w:val="000000" w:themeColor="text1"/>
                <w:sz w:val="22"/>
              </w:rPr>
              <w:t xml:space="preserve"> / </w:t>
            </w:r>
            <w:r w:rsidR="00356742" w:rsidRPr="00356742">
              <w:rPr>
                <w:rFonts w:ascii="Arial" w:eastAsia="Calibri" w:hAnsi="Arial" w:cs="Arial"/>
                <w:color w:val="000000" w:themeColor="text1"/>
                <w:sz w:val="22"/>
              </w:rPr>
              <w:t>SUBSANABILIDAD – Por medios electrónicos – Marco normativo</w:t>
            </w:r>
            <w:r w:rsidRPr="0040093D">
              <w:rPr>
                <w:rFonts w:ascii="Arial" w:eastAsia="Calibri" w:hAnsi="Arial" w:cs="Arial"/>
                <w:color w:val="000000" w:themeColor="text1"/>
                <w:sz w:val="22"/>
              </w:rPr>
              <w:t xml:space="preserve"> / </w:t>
            </w:r>
            <w:r w:rsidR="00FC1196" w:rsidRPr="0040093D">
              <w:rPr>
                <w:rFonts w:ascii="Arial" w:eastAsia="Calibri" w:hAnsi="Arial" w:cs="Arial"/>
                <w:color w:val="000000" w:themeColor="text1"/>
                <w:sz w:val="22"/>
              </w:rPr>
              <w:t>DOCUMENTO FIRMADO ― Concepto ― Clases de firma / FIRMA MANUSCRITA, ELECTRÓNICA Y DIGITAL ― Requisitos legales</w:t>
            </w:r>
          </w:p>
        </w:tc>
      </w:tr>
      <w:tr w:rsidR="00F1108B" w:rsidRPr="0040093D" w14:paraId="7D0D2FDB" w14:textId="77777777" w:rsidTr="00356742">
        <w:tc>
          <w:tcPr>
            <w:tcW w:w="3119" w:type="dxa"/>
          </w:tcPr>
          <w:p w14:paraId="7DC82264" w14:textId="77777777" w:rsidR="00F1108B" w:rsidRPr="0040093D" w:rsidRDefault="00F1108B" w:rsidP="00AB358D">
            <w:pPr>
              <w:rPr>
                <w:rFonts w:ascii="Arial" w:eastAsia="Calibri" w:hAnsi="Arial" w:cs="Arial"/>
                <w:b/>
                <w:color w:val="000000" w:themeColor="text1"/>
                <w:sz w:val="22"/>
              </w:rPr>
            </w:pPr>
            <w:r w:rsidRPr="0040093D">
              <w:rPr>
                <w:rFonts w:ascii="Arial" w:eastAsia="Calibri" w:hAnsi="Arial" w:cs="Arial"/>
                <w:b/>
                <w:color w:val="000000" w:themeColor="text1"/>
                <w:sz w:val="22"/>
              </w:rPr>
              <w:t>Radicación:</w:t>
            </w:r>
            <w:r w:rsidRPr="0040093D">
              <w:rPr>
                <w:rFonts w:ascii="Arial" w:eastAsia="Calibri" w:hAnsi="Arial" w:cs="Arial"/>
                <w:color w:val="000000" w:themeColor="text1"/>
                <w:sz w:val="22"/>
              </w:rPr>
              <w:t xml:space="preserve">                              </w:t>
            </w:r>
          </w:p>
        </w:tc>
        <w:tc>
          <w:tcPr>
            <w:tcW w:w="5807" w:type="dxa"/>
          </w:tcPr>
          <w:p w14:paraId="01DC5749" w14:textId="607BC123" w:rsidR="00F1108B" w:rsidRPr="0040093D" w:rsidRDefault="00F1108B" w:rsidP="007F785F">
            <w:pPr>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Respuesta consulta # </w:t>
            </w:r>
            <w:r w:rsidR="007F785F" w:rsidRPr="0040093D">
              <w:rPr>
                <w:rFonts w:ascii="Arial" w:eastAsia="Calibri" w:hAnsi="Arial" w:cs="Arial"/>
                <w:color w:val="000000" w:themeColor="text1"/>
                <w:sz w:val="22"/>
              </w:rPr>
              <w:t>4202012000000145</w:t>
            </w:r>
          </w:p>
        </w:tc>
      </w:tr>
    </w:tbl>
    <w:p w14:paraId="7DF1E86E" w14:textId="77777777" w:rsidR="00F1108B" w:rsidRPr="0040093D" w:rsidRDefault="00F1108B" w:rsidP="00F1108B">
      <w:pPr>
        <w:jc w:val="both"/>
        <w:rPr>
          <w:rFonts w:ascii="Arial" w:eastAsia="Calibri" w:hAnsi="Arial" w:cs="Arial"/>
          <w:color w:val="000000" w:themeColor="text1"/>
          <w:sz w:val="22"/>
        </w:rPr>
      </w:pPr>
    </w:p>
    <w:p w14:paraId="446ECF41" w14:textId="77777777" w:rsidR="00F1108B" w:rsidRPr="0040093D" w:rsidRDefault="00F1108B" w:rsidP="00F1108B">
      <w:pPr>
        <w:jc w:val="both"/>
        <w:rPr>
          <w:rFonts w:ascii="Arial" w:eastAsia="Calibri" w:hAnsi="Arial" w:cs="Arial"/>
          <w:color w:val="000000" w:themeColor="text1"/>
          <w:sz w:val="22"/>
        </w:rPr>
      </w:pPr>
    </w:p>
    <w:p w14:paraId="6A11BDDD" w14:textId="36A3EE55" w:rsidR="00F1108B" w:rsidRPr="0040093D" w:rsidRDefault="00F1108B" w:rsidP="00F1108B">
      <w:pPr>
        <w:rPr>
          <w:rFonts w:ascii="Arial" w:eastAsia="Calibri" w:hAnsi="Arial" w:cs="Arial"/>
          <w:color w:val="000000" w:themeColor="text1"/>
          <w:sz w:val="22"/>
        </w:rPr>
      </w:pPr>
      <w:r w:rsidRPr="0040093D">
        <w:rPr>
          <w:rFonts w:ascii="Arial" w:eastAsia="Calibri" w:hAnsi="Arial" w:cs="Arial"/>
          <w:color w:val="000000" w:themeColor="text1"/>
          <w:sz w:val="22"/>
        </w:rPr>
        <w:t xml:space="preserve">Estimado señor </w:t>
      </w:r>
      <w:r w:rsidR="007F785F" w:rsidRPr="0040093D">
        <w:rPr>
          <w:rFonts w:ascii="Arial" w:eastAsia="Calibri" w:hAnsi="Arial" w:cs="Arial"/>
          <w:color w:val="000000" w:themeColor="text1"/>
          <w:sz w:val="22"/>
        </w:rPr>
        <w:t>Moreno Gámez</w:t>
      </w:r>
      <w:r w:rsidRPr="0040093D">
        <w:rPr>
          <w:rFonts w:ascii="Arial" w:eastAsia="Calibri" w:hAnsi="Arial" w:cs="Arial"/>
          <w:color w:val="000000" w:themeColor="text1"/>
          <w:sz w:val="22"/>
        </w:rPr>
        <w:t>,</w:t>
      </w:r>
    </w:p>
    <w:p w14:paraId="45ADAB8A" w14:textId="77777777" w:rsidR="00F1108B" w:rsidRPr="0040093D" w:rsidRDefault="00F1108B" w:rsidP="00F1108B">
      <w:pPr>
        <w:rPr>
          <w:rFonts w:ascii="Arial" w:eastAsia="Calibri" w:hAnsi="Arial" w:cs="Arial"/>
          <w:color w:val="000000" w:themeColor="text1"/>
          <w:sz w:val="22"/>
        </w:rPr>
      </w:pPr>
    </w:p>
    <w:p w14:paraId="329AA852" w14:textId="3D8E72C0" w:rsidR="00F1108B" w:rsidRPr="0040093D" w:rsidRDefault="00F1108B" w:rsidP="00F1108B">
      <w:pPr>
        <w:spacing w:line="276" w:lineRule="auto"/>
        <w:ind w:right="49"/>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La Agencia Nacional de Contratación Pública ―Colombia Compra Eficiente― responde su consulta del </w:t>
      </w:r>
      <w:r w:rsidR="007F785F" w:rsidRPr="0040093D">
        <w:rPr>
          <w:rFonts w:ascii="Arial" w:eastAsia="Calibri" w:hAnsi="Arial" w:cs="Arial"/>
          <w:color w:val="000000" w:themeColor="text1"/>
          <w:sz w:val="22"/>
        </w:rPr>
        <w:t>10</w:t>
      </w:r>
      <w:r w:rsidRPr="0040093D">
        <w:rPr>
          <w:rFonts w:ascii="Arial" w:eastAsia="Calibri" w:hAnsi="Arial" w:cs="Arial"/>
          <w:color w:val="000000" w:themeColor="text1"/>
          <w:sz w:val="22"/>
        </w:rPr>
        <w:t xml:space="preserve"> de enero de 2020, en ejercicio de la competencia otorgada por el numeral 8 del artículo 11 y el numeral 5 del artículo 3 del Decreto Ley 4170 de 2011. </w:t>
      </w:r>
    </w:p>
    <w:p w14:paraId="72382DCC" w14:textId="77777777" w:rsidR="00F1108B" w:rsidRPr="0040093D" w:rsidRDefault="00F1108B" w:rsidP="00F1108B">
      <w:pPr>
        <w:pStyle w:val="ListParagraph"/>
        <w:tabs>
          <w:tab w:val="left" w:pos="284"/>
        </w:tabs>
        <w:spacing w:line="276" w:lineRule="auto"/>
        <w:ind w:left="0"/>
        <w:jc w:val="both"/>
        <w:rPr>
          <w:rFonts w:ascii="Arial" w:eastAsia="Calibri" w:hAnsi="Arial" w:cs="Arial"/>
          <w:color w:val="000000" w:themeColor="text1"/>
          <w:sz w:val="22"/>
        </w:rPr>
      </w:pPr>
    </w:p>
    <w:p w14:paraId="7041ED68" w14:textId="77777777" w:rsidR="00F1108B" w:rsidRPr="0040093D" w:rsidRDefault="00F1108B" w:rsidP="00F1108B">
      <w:pPr>
        <w:pStyle w:val="ListParagraph"/>
        <w:tabs>
          <w:tab w:val="left" w:pos="284"/>
        </w:tabs>
        <w:spacing w:line="276" w:lineRule="auto"/>
        <w:ind w:left="0"/>
        <w:jc w:val="both"/>
        <w:rPr>
          <w:rFonts w:ascii="Arial" w:eastAsia="Calibri" w:hAnsi="Arial" w:cs="Arial"/>
          <w:b/>
          <w:color w:val="000000" w:themeColor="text1"/>
          <w:sz w:val="22"/>
        </w:rPr>
      </w:pPr>
      <w:r w:rsidRPr="0040093D">
        <w:rPr>
          <w:rFonts w:ascii="Arial" w:eastAsia="Calibri" w:hAnsi="Arial" w:cs="Arial"/>
          <w:b/>
          <w:color w:val="000000" w:themeColor="text1"/>
          <w:sz w:val="22"/>
        </w:rPr>
        <w:t>1.</w:t>
      </w:r>
      <w:r w:rsidRPr="0040093D">
        <w:rPr>
          <w:rFonts w:ascii="Arial" w:eastAsia="Calibri" w:hAnsi="Arial" w:cs="Arial"/>
          <w:color w:val="000000" w:themeColor="text1"/>
          <w:sz w:val="22"/>
        </w:rPr>
        <w:t xml:space="preserve"> </w:t>
      </w:r>
      <w:r w:rsidRPr="0040093D">
        <w:rPr>
          <w:rFonts w:ascii="Arial" w:eastAsia="Calibri" w:hAnsi="Arial" w:cs="Arial"/>
          <w:b/>
          <w:color w:val="000000" w:themeColor="text1"/>
          <w:sz w:val="22"/>
        </w:rPr>
        <w:t xml:space="preserve">Problemas planteados </w:t>
      </w:r>
    </w:p>
    <w:p w14:paraId="2C3DAA31" w14:textId="77777777" w:rsidR="00F1108B" w:rsidRPr="0040093D" w:rsidRDefault="00F1108B" w:rsidP="00F1108B">
      <w:pPr>
        <w:tabs>
          <w:tab w:val="left" w:pos="426"/>
        </w:tabs>
        <w:spacing w:line="276" w:lineRule="auto"/>
        <w:jc w:val="both"/>
        <w:rPr>
          <w:rFonts w:ascii="Arial" w:eastAsia="Calibri" w:hAnsi="Arial" w:cs="Arial"/>
          <w:b/>
          <w:color w:val="000000" w:themeColor="text1"/>
          <w:sz w:val="22"/>
        </w:rPr>
      </w:pPr>
    </w:p>
    <w:p w14:paraId="54B6D392" w14:textId="6E3E2763" w:rsidR="00F1108B" w:rsidRPr="0040093D" w:rsidRDefault="00F1108B" w:rsidP="00F1108B">
      <w:pPr>
        <w:tabs>
          <w:tab w:val="left" w:pos="426"/>
        </w:tabs>
        <w:spacing w:line="276" w:lineRule="auto"/>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Usted realiza las siguientes preguntas: </w:t>
      </w:r>
      <w:bookmarkStart w:id="3" w:name="_Hlk35424549"/>
      <w:r w:rsidRPr="0040093D">
        <w:rPr>
          <w:rFonts w:ascii="Arial" w:eastAsia="Calibri" w:hAnsi="Arial" w:cs="Arial"/>
          <w:color w:val="000000" w:themeColor="text1"/>
          <w:sz w:val="22"/>
        </w:rPr>
        <w:t xml:space="preserve">i) </w:t>
      </w:r>
      <w:r w:rsidR="007F785F" w:rsidRPr="0040093D">
        <w:rPr>
          <w:rFonts w:ascii="Arial" w:eastAsia="Calibri" w:hAnsi="Arial" w:cs="Arial"/>
          <w:color w:val="000000" w:themeColor="text1"/>
          <w:sz w:val="22"/>
        </w:rPr>
        <w:t>¿En</w:t>
      </w:r>
      <w:r w:rsidR="00A426F3" w:rsidRPr="0040093D">
        <w:rPr>
          <w:rFonts w:ascii="Arial" w:eastAsia="Calibri" w:hAnsi="Arial" w:cs="Arial"/>
          <w:color w:val="000000" w:themeColor="text1"/>
          <w:sz w:val="22"/>
        </w:rPr>
        <w:t xml:space="preserve"> un</w:t>
      </w:r>
      <w:r w:rsidR="007F785F" w:rsidRPr="0040093D">
        <w:rPr>
          <w:rFonts w:ascii="Arial" w:eastAsia="Calibri" w:hAnsi="Arial" w:cs="Arial"/>
          <w:color w:val="000000" w:themeColor="text1"/>
          <w:sz w:val="22"/>
        </w:rPr>
        <w:t xml:space="preserve"> proceso tramitado </w:t>
      </w:r>
      <w:r w:rsidR="00A426F3" w:rsidRPr="0040093D">
        <w:rPr>
          <w:rFonts w:ascii="Arial" w:eastAsia="Calibri" w:hAnsi="Arial" w:cs="Arial"/>
          <w:color w:val="000000" w:themeColor="text1"/>
          <w:sz w:val="22"/>
        </w:rPr>
        <w:t>con</w:t>
      </w:r>
      <w:r w:rsidR="007F785F" w:rsidRPr="0040093D">
        <w:rPr>
          <w:rFonts w:ascii="Arial" w:eastAsia="Calibri" w:hAnsi="Arial" w:cs="Arial"/>
          <w:color w:val="000000" w:themeColor="text1"/>
          <w:sz w:val="22"/>
        </w:rPr>
        <w:t xml:space="preserve"> pliego tipo</w:t>
      </w:r>
      <w:r w:rsidR="00A426F3" w:rsidRPr="0040093D">
        <w:rPr>
          <w:rFonts w:ascii="Arial" w:eastAsia="Calibri" w:hAnsi="Arial" w:cs="Arial"/>
          <w:color w:val="000000" w:themeColor="text1"/>
          <w:sz w:val="22"/>
        </w:rPr>
        <w:t>,</w:t>
      </w:r>
      <w:r w:rsidR="007F785F" w:rsidRPr="0040093D">
        <w:rPr>
          <w:rFonts w:ascii="Arial" w:eastAsia="Calibri" w:hAnsi="Arial" w:cs="Arial"/>
          <w:color w:val="000000" w:themeColor="text1"/>
          <w:sz w:val="22"/>
        </w:rPr>
        <w:t xml:space="preserve"> en el SECOP I, los documentos para subsanar la oferta y que harán parte de la misma pueden </w:t>
      </w:r>
      <w:r w:rsidR="00A426F3" w:rsidRPr="0040093D">
        <w:rPr>
          <w:rFonts w:ascii="Arial" w:eastAsia="Calibri" w:hAnsi="Arial" w:cs="Arial"/>
          <w:color w:val="000000" w:themeColor="text1"/>
          <w:sz w:val="22"/>
        </w:rPr>
        <w:t>enviarse</w:t>
      </w:r>
      <w:r w:rsidR="007F785F" w:rsidRPr="0040093D">
        <w:rPr>
          <w:rFonts w:ascii="Arial" w:eastAsia="Calibri" w:hAnsi="Arial" w:cs="Arial"/>
          <w:color w:val="000000" w:themeColor="text1"/>
          <w:sz w:val="22"/>
        </w:rPr>
        <w:t xml:space="preserve"> por correo electrónico?; </w:t>
      </w:r>
      <w:bookmarkStart w:id="4" w:name="_Hlk34771411"/>
      <w:proofErr w:type="spellStart"/>
      <w:r w:rsidR="007F785F" w:rsidRPr="0040093D">
        <w:rPr>
          <w:rFonts w:ascii="Arial" w:eastAsia="Calibri" w:hAnsi="Arial" w:cs="Arial"/>
          <w:color w:val="000000" w:themeColor="text1"/>
          <w:sz w:val="22"/>
        </w:rPr>
        <w:t>ii</w:t>
      </w:r>
      <w:proofErr w:type="spellEnd"/>
      <w:r w:rsidR="007F785F" w:rsidRPr="0040093D">
        <w:rPr>
          <w:rFonts w:ascii="Arial" w:eastAsia="Calibri" w:hAnsi="Arial" w:cs="Arial"/>
          <w:color w:val="000000" w:themeColor="text1"/>
          <w:sz w:val="22"/>
        </w:rPr>
        <w:t xml:space="preserve">) en caso afirmativo, ¿la entidad debe imprimir los documentos </w:t>
      </w:r>
      <w:r w:rsidR="00A426F3" w:rsidRPr="0040093D">
        <w:rPr>
          <w:rFonts w:ascii="Arial" w:eastAsia="Calibri" w:hAnsi="Arial" w:cs="Arial"/>
          <w:color w:val="000000" w:themeColor="text1"/>
          <w:sz w:val="22"/>
        </w:rPr>
        <w:t>–</w:t>
      </w:r>
      <w:r w:rsidR="007F785F" w:rsidRPr="0040093D">
        <w:rPr>
          <w:rFonts w:ascii="Arial" w:eastAsia="Calibri" w:hAnsi="Arial" w:cs="Arial"/>
          <w:color w:val="000000" w:themeColor="text1"/>
          <w:sz w:val="22"/>
        </w:rPr>
        <w:t>sin importar el volumen</w:t>
      </w:r>
      <w:r w:rsidR="00A426F3" w:rsidRPr="0040093D">
        <w:rPr>
          <w:rFonts w:ascii="Arial" w:eastAsia="Calibri" w:hAnsi="Arial" w:cs="Arial"/>
          <w:color w:val="000000" w:themeColor="text1"/>
          <w:sz w:val="22"/>
        </w:rPr>
        <w:t>–</w:t>
      </w:r>
      <w:r w:rsidR="007F785F" w:rsidRPr="0040093D">
        <w:rPr>
          <w:rFonts w:ascii="Arial" w:eastAsia="Calibri" w:hAnsi="Arial" w:cs="Arial"/>
          <w:color w:val="000000" w:themeColor="text1"/>
          <w:sz w:val="22"/>
        </w:rPr>
        <w:t xml:space="preserve"> y anexarlos al expediente?</w:t>
      </w:r>
      <w:bookmarkEnd w:id="4"/>
      <w:r w:rsidR="007F785F" w:rsidRPr="0040093D">
        <w:rPr>
          <w:rFonts w:ascii="Arial" w:eastAsia="Calibri" w:hAnsi="Arial" w:cs="Arial"/>
          <w:color w:val="000000" w:themeColor="text1"/>
          <w:sz w:val="22"/>
        </w:rPr>
        <w:t xml:space="preserve">; </w:t>
      </w:r>
      <w:proofErr w:type="spellStart"/>
      <w:r w:rsidR="007F785F" w:rsidRPr="0040093D">
        <w:rPr>
          <w:rFonts w:ascii="Arial" w:eastAsia="Calibri" w:hAnsi="Arial" w:cs="Arial"/>
          <w:color w:val="000000" w:themeColor="text1"/>
          <w:sz w:val="22"/>
        </w:rPr>
        <w:t>iii</w:t>
      </w:r>
      <w:proofErr w:type="spellEnd"/>
      <w:r w:rsidR="007F785F" w:rsidRPr="0040093D">
        <w:rPr>
          <w:rFonts w:ascii="Arial" w:eastAsia="Calibri" w:hAnsi="Arial" w:cs="Arial"/>
          <w:color w:val="000000" w:themeColor="text1"/>
          <w:sz w:val="22"/>
        </w:rPr>
        <w:t>) en caso afirmativo, ¿los documentos que requieren firma manuscrita, como la carta de presentación de la propuesta</w:t>
      </w:r>
      <w:r w:rsidR="00B06595" w:rsidRPr="0040093D">
        <w:rPr>
          <w:rFonts w:ascii="Arial" w:eastAsia="Calibri" w:hAnsi="Arial" w:cs="Arial"/>
          <w:color w:val="000000" w:themeColor="text1"/>
          <w:sz w:val="22"/>
        </w:rPr>
        <w:t xml:space="preserve">, pueden ser tenidos como válidos </w:t>
      </w:r>
      <w:r w:rsidR="00A426F3" w:rsidRPr="0040093D">
        <w:rPr>
          <w:rFonts w:ascii="Arial" w:eastAsia="Calibri" w:hAnsi="Arial" w:cs="Arial"/>
          <w:color w:val="000000" w:themeColor="text1"/>
          <w:sz w:val="22"/>
        </w:rPr>
        <w:t xml:space="preserve">en caso de enviarse </w:t>
      </w:r>
      <w:r w:rsidR="00B06595" w:rsidRPr="0040093D">
        <w:rPr>
          <w:rFonts w:ascii="Arial" w:eastAsia="Calibri" w:hAnsi="Arial" w:cs="Arial"/>
          <w:color w:val="000000" w:themeColor="text1"/>
          <w:sz w:val="22"/>
        </w:rPr>
        <w:t xml:space="preserve">por correo electrónico?; </w:t>
      </w:r>
      <w:proofErr w:type="spellStart"/>
      <w:r w:rsidR="00C32017" w:rsidRPr="0040093D">
        <w:rPr>
          <w:rFonts w:ascii="Arial" w:eastAsia="Calibri" w:hAnsi="Arial" w:cs="Arial"/>
          <w:color w:val="000000" w:themeColor="text1"/>
          <w:sz w:val="22"/>
        </w:rPr>
        <w:t>iv</w:t>
      </w:r>
      <w:proofErr w:type="spellEnd"/>
      <w:r w:rsidR="00B06595" w:rsidRPr="0040093D">
        <w:rPr>
          <w:rFonts w:ascii="Arial" w:eastAsia="Calibri" w:hAnsi="Arial" w:cs="Arial"/>
          <w:color w:val="000000" w:themeColor="text1"/>
          <w:sz w:val="22"/>
        </w:rPr>
        <w:t xml:space="preserve">) en caso afirmativo, ¿el término para subsanar debe contarse hasta la última hora laboral de la entidad o debe contarse hasta la media noche del respectivo día?; </w:t>
      </w:r>
      <w:bookmarkStart w:id="5" w:name="_Hlk34775390"/>
      <w:r w:rsidR="00B06595" w:rsidRPr="0040093D">
        <w:rPr>
          <w:rFonts w:ascii="Arial" w:eastAsia="Calibri" w:hAnsi="Arial" w:cs="Arial"/>
          <w:color w:val="000000" w:themeColor="text1"/>
          <w:sz w:val="22"/>
        </w:rPr>
        <w:t>v) ¿la entidad podría disponer sobre los mecanismos para subsanar la oferta, indicando si se realiza física o electrónicamente?</w:t>
      </w:r>
      <w:bookmarkEnd w:id="3"/>
      <w:r w:rsidR="00B06595" w:rsidRPr="0040093D">
        <w:rPr>
          <w:rFonts w:ascii="Arial" w:eastAsia="Calibri" w:hAnsi="Arial" w:cs="Arial"/>
          <w:color w:val="000000" w:themeColor="text1"/>
          <w:sz w:val="22"/>
        </w:rPr>
        <w:t xml:space="preserve"> </w:t>
      </w:r>
      <w:bookmarkEnd w:id="5"/>
      <w:r w:rsidR="007F785F" w:rsidRPr="0040093D">
        <w:rPr>
          <w:rFonts w:ascii="Arial" w:eastAsia="Calibri" w:hAnsi="Arial" w:cs="Arial"/>
          <w:color w:val="000000" w:themeColor="text1"/>
          <w:sz w:val="22"/>
        </w:rPr>
        <w:t xml:space="preserve">  </w:t>
      </w:r>
    </w:p>
    <w:p w14:paraId="04DF639B" w14:textId="77777777" w:rsidR="00F1108B" w:rsidRPr="0040093D" w:rsidRDefault="00F1108B" w:rsidP="00F1108B">
      <w:pPr>
        <w:tabs>
          <w:tab w:val="left" w:pos="426"/>
        </w:tabs>
        <w:spacing w:line="276" w:lineRule="auto"/>
        <w:jc w:val="both"/>
        <w:rPr>
          <w:rFonts w:ascii="Arial" w:eastAsia="Calibri" w:hAnsi="Arial" w:cs="Arial"/>
          <w:color w:val="000000" w:themeColor="text1"/>
          <w:sz w:val="22"/>
        </w:rPr>
      </w:pPr>
    </w:p>
    <w:p w14:paraId="68AE0704" w14:textId="1DC77087" w:rsidR="00F1108B" w:rsidRPr="0040093D" w:rsidRDefault="00F1108B" w:rsidP="00161F1C">
      <w:pPr>
        <w:tabs>
          <w:tab w:val="left" w:pos="426"/>
        </w:tabs>
        <w:spacing w:line="276" w:lineRule="auto"/>
        <w:jc w:val="both"/>
        <w:rPr>
          <w:rFonts w:ascii="Arial" w:eastAsia="Calibri" w:hAnsi="Arial" w:cs="Arial"/>
          <w:b/>
          <w:color w:val="000000" w:themeColor="text1"/>
          <w:sz w:val="22"/>
        </w:rPr>
      </w:pPr>
      <w:r w:rsidRPr="0040093D">
        <w:rPr>
          <w:rFonts w:ascii="Arial" w:eastAsia="Calibri" w:hAnsi="Arial" w:cs="Arial"/>
          <w:b/>
          <w:color w:val="000000" w:themeColor="text1"/>
          <w:sz w:val="22"/>
        </w:rPr>
        <w:t>2.</w:t>
      </w:r>
      <w:r w:rsidRPr="0040093D">
        <w:rPr>
          <w:rFonts w:ascii="Arial" w:eastAsia="Calibri" w:hAnsi="Arial" w:cs="Arial"/>
          <w:color w:val="000000" w:themeColor="text1"/>
          <w:sz w:val="22"/>
        </w:rPr>
        <w:t xml:space="preserve"> </w:t>
      </w:r>
      <w:r w:rsidRPr="0040093D">
        <w:rPr>
          <w:rFonts w:ascii="Arial" w:eastAsia="Calibri" w:hAnsi="Arial" w:cs="Arial"/>
          <w:b/>
          <w:color w:val="000000" w:themeColor="text1"/>
          <w:sz w:val="22"/>
        </w:rPr>
        <w:t>Consideraciones</w:t>
      </w:r>
    </w:p>
    <w:p w14:paraId="0734BEF7" w14:textId="77777777" w:rsidR="00161F1C" w:rsidRPr="0040093D" w:rsidRDefault="00161F1C" w:rsidP="00161F1C">
      <w:pPr>
        <w:tabs>
          <w:tab w:val="left" w:pos="426"/>
        </w:tabs>
        <w:spacing w:line="276" w:lineRule="auto"/>
        <w:jc w:val="both"/>
        <w:rPr>
          <w:rFonts w:ascii="Arial" w:eastAsia="Calibri" w:hAnsi="Arial" w:cs="Arial"/>
          <w:b/>
          <w:color w:val="000000" w:themeColor="text1"/>
          <w:sz w:val="22"/>
        </w:rPr>
      </w:pPr>
    </w:p>
    <w:p w14:paraId="213B0DA5" w14:textId="77777777" w:rsidR="002D5A1B" w:rsidRPr="0040093D" w:rsidRDefault="00F1108B" w:rsidP="002E055C">
      <w:pPr>
        <w:spacing w:line="276" w:lineRule="auto"/>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Para desarrollar los proble</w:t>
      </w:r>
      <w:r w:rsidR="008A796E" w:rsidRPr="0040093D">
        <w:rPr>
          <w:rFonts w:ascii="Arial" w:eastAsia="Calibri" w:hAnsi="Arial" w:cs="Arial"/>
          <w:color w:val="000000" w:themeColor="text1"/>
          <w:sz w:val="22"/>
          <w:lang w:val="es-ES_tradnl"/>
        </w:rPr>
        <w:t>mas planteados</w:t>
      </w:r>
      <w:r w:rsidR="00D32256" w:rsidRPr="0040093D">
        <w:rPr>
          <w:rFonts w:ascii="Arial" w:eastAsia="Calibri" w:hAnsi="Arial" w:cs="Arial"/>
          <w:color w:val="000000" w:themeColor="text1"/>
          <w:sz w:val="22"/>
          <w:lang w:val="es-ES_tradnl"/>
        </w:rPr>
        <w:t>,</w:t>
      </w:r>
      <w:r w:rsidR="008A796E" w:rsidRPr="0040093D">
        <w:rPr>
          <w:rFonts w:ascii="Arial" w:eastAsia="Calibri" w:hAnsi="Arial" w:cs="Arial"/>
          <w:color w:val="000000" w:themeColor="text1"/>
          <w:sz w:val="22"/>
          <w:lang w:val="es-ES_tradnl"/>
        </w:rPr>
        <w:t xml:space="preserve"> </w:t>
      </w:r>
      <w:r w:rsidRPr="0040093D">
        <w:rPr>
          <w:rFonts w:ascii="Arial" w:eastAsia="Calibri" w:hAnsi="Arial" w:cs="Arial"/>
          <w:color w:val="000000" w:themeColor="text1"/>
          <w:sz w:val="22"/>
          <w:lang w:val="es-ES_tradnl"/>
        </w:rPr>
        <w:t xml:space="preserve">se explicará el alcance </w:t>
      </w:r>
      <w:r w:rsidR="00B06595" w:rsidRPr="0040093D">
        <w:rPr>
          <w:rFonts w:ascii="Arial" w:eastAsia="Calibri" w:hAnsi="Arial" w:cs="Arial"/>
          <w:color w:val="000000" w:themeColor="text1"/>
          <w:sz w:val="22"/>
          <w:lang w:val="es-ES_tradnl"/>
        </w:rPr>
        <w:t xml:space="preserve">de </w:t>
      </w:r>
      <w:r w:rsidRPr="0040093D">
        <w:rPr>
          <w:rFonts w:ascii="Arial" w:eastAsia="Calibri" w:hAnsi="Arial" w:cs="Arial"/>
          <w:color w:val="000000" w:themeColor="text1"/>
          <w:sz w:val="22"/>
          <w:lang w:val="es-ES_tradnl"/>
        </w:rPr>
        <w:t xml:space="preserve">la </w:t>
      </w:r>
      <w:proofErr w:type="spellStart"/>
      <w:r w:rsidR="00B06595" w:rsidRPr="0040093D">
        <w:rPr>
          <w:rFonts w:ascii="Arial" w:eastAsia="Calibri" w:hAnsi="Arial" w:cs="Arial"/>
          <w:color w:val="000000" w:themeColor="text1"/>
          <w:sz w:val="22"/>
          <w:lang w:val="es-ES_tradnl"/>
        </w:rPr>
        <w:t>subsanabilidad</w:t>
      </w:r>
      <w:proofErr w:type="spellEnd"/>
      <w:r w:rsidR="005F4481" w:rsidRPr="0040093D">
        <w:rPr>
          <w:rFonts w:ascii="Arial" w:eastAsia="Calibri" w:hAnsi="Arial" w:cs="Arial"/>
          <w:color w:val="000000" w:themeColor="text1"/>
          <w:sz w:val="22"/>
          <w:lang w:val="es-ES_tradnl"/>
        </w:rPr>
        <w:t xml:space="preserve"> de las ofertas</w:t>
      </w:r>
      <w:r w:rsidR="00D32256" w:rsidRPr="0040093D">
        <w:rPr>
          <w:rFonts w:ascii="Arial" w:eastAsia="Calibri" w:hAnsi="Arial" w:cs="Arial"/>
          <w:color w:val="000000" w:themeColor="text1"/>
          <w:sz w:val="22"/>
          <w:lang w:val="es-ES_tradnl"/>
        </w:rPr>
        <w:t>,</w:t>
      </w:r>
      <w:r w:rsidR="008A796E" w:rsidRPr="0040093D">
        <w:rPr>
          <w:rFonts w:ascii="Arial" w:eastAsia="Calibri" w:hAnsi="Arial" w:cs="Arial"/>
          <w:color w:val="000000" w:themeColor="text1"/>
          <w:sz w:val="22"/>
          <w:lang w:val="es-ES_tradnl"/>
        </w:rPr>
        <w:t xml:space="preserve"> </w:t>
      </w:r>
      <w:r w:rsidR="00F87E29" w:rsidRPr="0040093D">
        <w:rPr>
          <w:rFonts w:ascii="Arial" w:eastAsia="Calibri" w:hAnsi="Arial" w:cs="Arial"/>
          <w:color w:val="000000" w:themeColor="text1"/>
          <w:sz w:val="22"/>
          <w:lang w:val="es-ES_tradnl"/>
        </w:rPr>
        <w:t xml:space="preserve">se analizará </w:t>
      </w:r>
      <w:r w:rsidR="00D32256" w:rsidRPr="0040093D">
        <w:rPr>
          <w:rFonts w:ascii="Arial" w:eastAsia="Calibri" w:hAnsi="Arial" w:cs="Arial"/>
          <w:color w:val="000000" w:themeColor="text1"/>
          <w:sz w:val="22"/>
          <w:lang w:val="es-ES_tradnl"/>
        </w:rPr>
        <w:t>la aplicación de</w:t>
      </w:r>
      <w:r w:rsidR="00F87E29" w:rsidRPr="0040093D">
        <w:rPr>
          <w:rFonts w:ascii="Arial" w:eastAsia="Calibri" w:hAnsi="Arial" w:cs="Arial"/>
          <w:color w:val="000000" w:themeColor="text1"/>
          <w:sz w:val="22"/>
          <w:lang w:val="es-ES_tradnl"/>
        </w:rPr>
        <w:t xml:space="preserve"> los medios electrónicos</w:t>
      </w:r>
      <w:r w:rsidR="00D32256" w:rsidRPr="0040093D">
        <w:rPr>
          <w:rFonts w:ascii="Arial" w:eastAsia="Calibri" w:hAnsi="Arial" w:cs="Arial"/>
          <w:color w:val="000000" w:themeColor="text1"/>
          <w:sz w:val="22"/>
          <w:lang w:val="es-ES_tradnl"/>
        </w:rPr>
        <w:t xml:space="preserve"> en los procesos de selección y, finalmente, se explicará</w:t>
      </w:r>
      <w:r w:rsidR="005A1976" w:rsidRPr="0040093D">
        <w:rPr>
          <w:rFonts w:ascii="Arial" w:eastAsia="Calibri" w:hAnsi="Arial" w:cs="Arial"/>
          <w:color w:val="000000" w:themeColor="text1"/>
          <w:sz w:val="22"/>
          <w:lang w:val="es-ES_tradnl"/>
        </w:rPr>
        <w:t>n</w:t>
      </w:r>
      <w:r w:rsidR="00D32256" w:rsidRPr="0040093D">
        <w:rPr>
          <w:rFonts w:ascii="Arial" w:eastAsia="Calibri" w:hAnsi="Arial" w:cs="Arial"/>
          <w:color w:val="000000" w:themeColor="text1"/>
          <w:sz w:val="22"/>
          <w:lang w:val="es-ES_tradnl"/>
        </w:rPr>
        <w:t xml:space="preserve"> los requisitos legales que debe reunir la subsanación que se realice por </w:t>
      </w:r>
      <w:r w:rsidR="00464030" w:rsidRPr="0040093D">
        <w:rPr>
          <w:rFonts w:ascii="Arial" w:eastAsia="Calibri" w:hAnsi="Arial" w:cs="Arial"/>
          <w:color w:val="000000" w:themeColor="text1"/>
          <w:sz w:val="22"/>
          <w:lang w:val="es-ES_tradnl"/>
        </w:rPr>
        <w:t>dichos mecanismos</w:t>
      </w:r>
      <w:r w:rsidR="00D32256" w:rsidRPr="0040093D">
        <w:rPr>
          <w:rFonts w:ascii="Arial" w:eastAsia="Calibri" w:hAnsi="Arial" w:cs="Arial"/>
          <w:color w:val="000000" w:themeColor="text1"/>
          <w:sz w:val="22"/>
          <w:lang w:val="es-ES_tradnl"/>
        </w:rPr>
        <w:t>.</w:t>
      </w:r>
      <w:r w:rsidR="008A796E" w:rsidRPr="0040093D">
        <w:rPr>
          <w:rFonts w:ascii="Arial" w:eastAsia="Calibri" w:hAnsi="Arial" w:cs="Arial"/>
          <w:color w:val="000000" w:themeColor="text1"/>
          <w:sz w:val="22"/>
          <w:lang w:val="es-ES_tradnl"/>
        </w:rPr>
        <w:t xml:space="preserve"> </w:t>
      </w:r>
      <w:r w:rsidR="00F87E29" w:rsidRPr="0040093D">
        <w:rPr>
          <w:rFonts w:ascii="Arial" w:eastAsia="Calibri" w:hAnsi="Arial" w:cs="Arial"/>
          <w:color w:val="000000" w:themeColor="text1"/>
          <w:sz w:val="22"/>
          <w:lang w:val="es-ES_tradnl"/>
        </w:rPr>
        <w:t xml:space="preserve"> </w:t>
      </w:r>
    </w:p>
    <w:p w14:paraId="68FF06DC" w14:textId="3119C3D6" w:rsidR="002D5A1B" w:rsidRPr="0040093D" w:rsidRDefault="002D5A1B" w:rsidP="002E055C">
      <w:pPr>
        <w:spacing w:line="276" w:lineRule="auto"/>
        <w:jc w:val="both"/>
        <w:rPr>
          <w:rFonts w:ascii="Arial" w:hAnsi="Arial" w:cs="Arial"/>
          <w:color w:val="000000" w:themeColor="text1"/>
          <w:sz w:val="22"/>
          <w:lang w:val="es-ES_tradnl"/>
        </w:rPr>
      </w:pPr>
      <w:r w:rsidRPr="0040093D">
        <w:rPr>
          <w:rFonts w:ascii="Arial" w:eastAsia="Calibri" w:hAnsi="Arial" w:cs="Arial"/>
          <w:color w:val="000000" w:themeColor="text1"/>
          <w:sz w:val="22"/>
          <w:lang w:val="es-ES_tradnl"/>
        </w:rPr>
        <w:tab/>
      </w:r>
      <w:bookmarkStart w:id="6" w:name="_Hlk35433708"/>
      <w:r w:rsidRPr="0040093D">
        <w:rPr>
          <w:rFonts w:ascii="Arial" w:hAnsi="Arial" w:cs="Arial"/>
          <w:color w:val="000000" w:themeColor="text1"/>
          <w:sz w:val="22"/>
          <w:lang w:val="es-ES_tradnl"/>
        </w:rPr>
        <w:t xml:space="preserve">En reciente oportunidad esta Subdirección expidió el Concepto CU─060 de 2020 en respuesta a las consultas con radicado </w:t>
      </w:r>
      <w:r w:rsidRPr="0040093D">
        <w:rPr>
          <w:rFonts w:ascii="Arial" w:eastAsia="Calibri" w:hAnsi="Arial" w:cs="Arial"/>
          <w:color w:val="000000" w:themeColor="text1"/>
          <w:sz w:val="22"/>
          <w:lang w:val="es-ES_tradnl"/>
        </w:rPr>
        <w:t xml:space="preserve">4202012000000282 y 4202012000000283, </w:t>
      </w:r>
      <w:r w:rsidR="003D0DE5" w:rsidRPr="0040093D">
        <w:rPr>
          <w:rFonts w:ascii="Arial" w:hAnsi="Arial" w:cs="Arial"/>
          <w:color w:val="000000" w:themeColor="text1"/>
          <w:sz w:val="22"/>
          <w:lang w:val="es-ES_tradnl"/>
        </w:rPr>
        <w:t>donde se</w:t>
      </w:r>
      <w:r w:rsidRPr="0040093D">
        <w:rPr>
          <w:rFonts w:ascii="Arial" w:hAnsi="Arial" w:cs="Arial"/>
          <w:color w:val="000000" w:themeColor="text1"/>
          <w:sz w:val="22"/>
          <w:lang w:val="es-ES_tradnl"/>
        </w:rPr>
        <w:t xml:space="preserve"> unificó su criterio sobre el alcance de la regla de la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contenida actualmente en el artículo 5 de la Ley 1150 de 2007</w:t>
      </w:r>
      <w:bookmarkEnd w:id="6"/>
      <w:r w:rsidRPr="0040093D">
        <w:rPr>
          <w:rFonts w:ascii="Arial" w:hAnsi="Arial" w:cs="Arial"/>
          <w:color w:val="000000" w:themeColor="text1"/>
          <w:sz w:val="22"/>
          <w:lang w:val="es-ES_tradnl"/>
        </w:rPr>
        <w:t xml:space="preserve">. Al respecto, la postura que se reitera en el presente concepto es la siguiente: por regla general, i) la falta de entrega o </w:t>
      </w:r>
      <w:proofErr w:type="spellStart"/>
      <w:r w:rsidRPr="0040093D">
        <w:rPr>
          <w:rFonts w:ascii="Arial" w:hAnsi="Arial" w:cs="Arial"/>
          <w:color w:val="000000" w:themeColor="text1"/>
          <w:sz w:val="22"/>
          <w:lang w:val="es-ES_tradnl"/>
        </w:rPr>
        <w:t>ii</w:t>
      </w:r>
      <w:proofErr w:type="spellEnd"/>
      <w:r w:rsidRPr="0040093D">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xml:space="preserve">, es decir, en la prohibición de permitir la entrega de la garantía de seriedad de la oferta no aportada con la propuesta y de valer la acreditación de circunstancias ocurridas con posterioridad al cierre del proceso. </w:t>
      </w:r>
    </w:p>
    <w:p w14:paraId="1AB7168B" w14:textId="24CE8398" w:rsidR="002D5A1B" w:rsidRPr="0040093D" w:rsidRDefault="002D5A1B" w:rsidP="002E055C">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xml:space="preserve">. De igual forma, en los conceptos con radicados No. 4201912000006711 del 12 de noviembre de 2019 y 4201912000006496 del 15 de noviembre de 2019 reiteró el desarrollo normativo y jurisprudencial para subsanar los errores de los documentos presentados en la oferta. </w:t>
      </w:r>
      <w:r w:rsidR="002E055C" w:rsidRPr="0040093D">
        <w:rPr>
          <w:rFonts w:ascii="Arial" w:hAnsi="Arial" w:cs="Arial"/>
          <w:color w:val="000000" w:themeColor="text1"/>
          <w:sz w:val="22"/>
          <w:lang w:val="es-ES_tradnl"/>
        </w:rPr>
        <w:t xml:space="preserve">Igualmente, </w:t>
      </w:r>
      <w:r w:rsidR="002E055C" w:rsidRPr="0040093D">
        <w:rPr>
          <w:rFonts w:ascii="Arial" w:eastAsia="Calibri" w:hAnsi="Arial" w:cs="Arial"/>
          <w:color w:val="000000" w:themeColor="text1"/>
          <w:sz w:val="22"/>
          <w:lang w:val="es-ES_tradnl"/>
        </w:rPr>
        <w:t>esta Subdirección expidió el Concepto con radicado 4201912000005683 de 2019, en el que se explicó el contexto normativo de las firmas manuscritas electrónicas y digitales</w:t>
      </w:r>
      <w:r w:rsidR="002E055C" w:rsidRPr="0040093D">
        <w:rPr>
          <w:rFonts w:ascii="Arial" w:hAnsi="Arial" w:cs="Arial"/>
          <w:color w:val="000000" w:themeColor="text1"/>
          <w:sz w:val="22"/>
          <w:lang w:val="es-ES_tradnl"/>
        </w:rPr>
        <w:t xml:space="preserve"> </w:t>
      </w:r>
      <w:r w:rsidRPr="0040093D">
        <w:rPr>
          <w:rFonts w:ascii="Arial" w:hAnsi="Arial" w:cs="Arial"/>
          <w:color w:val="000000" w:themeColor="text1"/>
          <w:sz w:val="22"/>
          <w:lang w:val="es-ES_tradnl"/>
        </w:rPr>
        <w:t xml:space="preserve">La tesis propuesta en estos conceptos se expone a continuación: </w:t>
      </w:r>
    </w:p>
    <w:p w14:paraId="582817E0" w14:textId="32E3FE2F" w:rsidR="00F1108B" w:rsidRPr="0040093D" w:rsidRDefault="00F87E29" w:rsidP="00F1108B">
      <w:pPr>
        <w:spacing w:line="276" w:lineRule="auto"/>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 </w:t>
      </w:r>
    </w:p>
    <w:p w14:paraId="039281DA" w14:textId="63A0BD9E" w:rsidR="0081766B" w:rsidRPr="0040093D" w:rsidRDefault="00F87E29" w:rsidP="0081766B">
      <w:pPr>
        <w:spacing w:line="276" w:lineRule="auto"/>
        <w:jc w:val="both"/>
        <w:rPr>
          <w:rFonts w:ascii="Arial" w:eastAsia="Calibri" w:hAnsi="Arial" w:cs="Arial"/>
          <w:b/>
          <w:bCs/>
          <w:color w:val="000000" w:themeColor="text1"/>
          <w:sz w:val="22"/>
          <w:lang w:val="es-ES_tradnl"/>
        </w:rPr>
      </w:pPr>
      <w:r w:rsidRPr="0040093D">
        <w:rPr>
          <w:rFonts w:ascii="Arial" w:eastAsia="Calibri" w:hAnsi="Arial" w:cs="Arial"/>
          <w:b/>
          <w:bCs/>
          <w:color w:val="000000" w:themeColor="text1"/>
          <w:sz w:val="22"/>
          <w:lang w:val="es-ES_tradnl"/>
        </w:rPr>
        <w:t>2.1. Reglas de subsanación de las ofert</w:t>
      </w:r>
      <w:r w:rsidR="00211388" w:rsidRPr="0040093D">
        <w:rPr>
          <w:rFonts w:ascii="Arial" w:eastAsia="Calibri" w:hAnsi="Arial" w:cs="Arial"/>
          <w:b/>
          <w:bCs/>
          <w:color w:val="000000" w:themeColor="text1"/>
          <w:sz w:val="22"/>
          <w:lang w:val="es-ES_tradnl"/>
        </w:rPr>
        <w:t>as: aplicación y restricciones</w:t>
      </w:r>
    </w:p>
    <w:p w14:paraId="268C42B7" w14:textId="77777777" w:rsidR="0081766B" w:rsidRPr="0040093D" w:rsidRDefault="0081766B" w:rsidP="0081766B">
      <w:pPr>
        <w:spacing w:line="276" w:lineRule="auto"/>
        <w:jc w:val="both"/>
        <w:rPr>
          <w:rFonts w:ascii="Arial" w:eastAsia="Calibri" w:hAnsi="Arial" w:cs="Arial"/>
          <w:color w:val="000000" w:themeColor="text1"/>
          <w:sz w:val="22"/>
          <w:lang w:val="es-ES_tradnl"/>
        </w:rPr>
      </w:pPr>
    </w:p>
    <w:p w14:paraId="160F6534" w14:textId="3E515888" w:rsidR="005F4481" w:rsidRPr="0040093D" w:rsidRDefault="005F4481" w:rsidP="002D5A1B">
      <w:pPr>
        <w:spacing w:before="120" w:after="120" w:line="276" w:lineRule="auto"/>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En un </w:t>
      </w:r>
      <w:r w:rsidRPr="0040093D">
        <w:rPr>
          <w:rFonts w:ascii="Arial" w:hAnsi="Arial" w:cs="Arial"/>
          <w:i/>
          <w:color w:val="000000" w:themeColor="text1"/>
          <w:sz w:val="22"/>
          <w:lang w:val="es-ES_tradnl"/>
        </w:rPr>
        <w:t>primer momento</w:t>
      </w:r>
      <w:r w:rsidRPr="0040093D">
        <w:rPr>
          <w:rFonts w:ascii="Arial" w:hAnsi="Arial" w:cs="Arial"/>
          <w:color w:val="000000" w:themeColor="text1"/>
          <w:sz w:val="22"/>
          <w:lang w:val="es-ES_tradnl"/>
        </w:rPr>
        <w:t xml:space="preserve">, antes de la </w:t>
      </w:r>
      <w:proofErr w:type="gramStart"/>
      <w:r w:rsidRPr="0040093D">
        <w:rPr>
          <w:rFonts w:ascii="Arial" w:hAnsi="Arial" w:cs="Arial"/>
          <w:color w:val="000000" w:themeColor="text1"/>
          <w:sz w:val="22"/>
          <w:lang w:val="es-ES_tradnl"/>
        </w:rPr>
        <w:t>entrada en vigencia</w:t>
      </w:r>
      <w:proofErr w:type="gramEnd"/>
      <w:r w:rsidRPr="0040093D">
        <w:rPr>
          <w:rFonts w:ascii="Arial" w:hAnsi="Arial" w:cs="Arial"/>
          <w:color w:val="000000" w:themeColor="text1"/>
          <w:sz w:val="22"/>
          <w:lang w:val="es-ES_tradnl"/>
        </w:rPr>
        <w:t xml:space="preserve"> de la Constitución Política de 1991, el régimen jurídico de la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894478E" w14:textId="64A23829" w:rsidR="005F4481" w:rsidRPr="0040093D" w:rsidRDefault="005F4481" w:rsidP="004F66BC">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En un </w:t>
      </w:r>
      <w:r w:rsidRPr="0040093D">
        <w:rPr>
          <w:rFonts w:ascii="Arial" w:hAnsi="Arial" w:cs="Arial"/>
          <w:i/>
          <w:color w:val="000000" w:themeColor="text1"/>
          <w:sz w:val="22"/>
          <w:lang w:val="es-ES_tradnl"/>
        </w:rPr>
        <w:t>segundo momento</w:t>
      </w:r>
      <w:r w:rsidRPr="0040093D">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r w:rsidR="004F66BC" w:rsidRPr="0040093D">
        <w:rPr>
          <w:rFonts w:ascii="Arial" w:hAnsi="Arial" w:cs="Arial"/>
          <w:color w:val="000000" w:themeColor="text1"/>
          <w:sz w:val="22"/>
          <w:lang w:val="es-ES_tradnl"/>
        </w:rPr>
        <w:t xml:space="preserve"> </w:t>
      </w:r>
      <w:r w:rsidRPr="0040093D">
        <w:rPr>
          <w:rFonts w:ascii="Arial" w:hAnsi="Arial" w:cs="Arial"/>
          <w:color w:val="000000" w:themeColor="text1"/>
          <w:sz w:val="22"/>
          <w:lang w:val="es-ES_tradnl"/>
        </w:rPr>
        <w:t xml:space="preserve">En este nuevo escenario constitucional, el numeral 15 del artículo 25 de la Ley 80 de 1993 dispuso lo siguiente: </w:t>
      </w:r>
    </w:p>
    <w:p w14:paraId="3B89C563" w14:textId="77777777" w:rsidR="005F4481" w:rsidRPr="0040093D" w:rsidRDefault="005F4481" w:rsidP="005F4481">
      <w:pPr>
        <w:spacing w:line="276" w:lineRule="auto"/>
        <w:jc w:val="both"/>
        <w:rPr>
          <w:rFonts w:ascii="Arial" w:hAnsi="Arial" w:cs="Arial"/>
          <w:color w:val="000000" w:themeColor="text1"/>
          <w:sz w:val="22"/>
          <w:lang w:val="es-ES_tradnl"/>
        </w:rPr>
      </w:pPr>
    </w:p>
    <w:p w14:paraId="2F6646A6" w14:textId="51BE38DD" w:rsidR="005F4481" w:rsidRPr="0040093D" w:rsidRDefault="004F66BC"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w:t>
      </w:r>
      <w:r w:rsidR="005F4481" w:rsidRPr="0040093D">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1B1266D" w14:textId="77777777"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 xml:space="preserve"> </w:t>
      </w:r>
    </w:p>
    <w:p w14:paraId="041BC817" w14:textId="09985FDD"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La ausencia de requisitos o la falta de documentos referentes a la futura contratación o al proponente, no necesarios para la comparación de propuestas, no servirá de título suficiente para el rechazo de los ofrecimientos hechos</w:t>
      </w:r>
      <w:r w:rsidR="004F66BC" w:rsidRPr="0040093D">
        <w:rPr>
          <w:rFonts w:ascii="Arial" w:hAnsi="Arial" w:cs="Arial"/>
          <w:color w:val="000000" w:themeColor="text1"/>
          <w:sz w:val="21"/>
          <w:szCs w:val="21"/>
          <w:lang w:val="es-ES_tradnl"/>
        </w:rPr>
        <w:t>»</w:t>
      </w:r>
      <w:r w:rsidRPr="0040093D">
        <w:rPr>
          <w:rFonts w:ascii="Arial" w:hAnsi="Arial" w:cs="Arial"/>
          <w:color w:val="000000" w:themeColor="text1"/>
          <w:sz w:val="21"/>
          <w:szCs w:val="21"/>
          <w:lang w:val="es-ES_tradnl"/>
        </w:rPr>
        <w:t xml:space="preserve">. </w:t>
      </w:r>
    </w:p>
    <w:p w14:paraId="38D7DF71" w14:textId="77777777" w:rsidR="005F4481" w:rsidRPr="0040093D" w:rsidRDefault="005F4481" w:rsidP="005F4481">
      <w:pPr>
        <w:spacing w:line="276" w:lineRule="auto"/>
        <w:jc w:val="both"/>
        <w:rPr>
          <w:rFonts w:ascii="Arial" w:hAnsi="Arial" w:cs="Arial"/>
          <w:b/>
          <w:color w:val="000000" w:themeColor="text1"/>
          <w:sz w:val="22"/>
          <w:lang w:val="es-ES_tradnl"/>
        </w:rPr>
      </w:pPr>
    </w:p>
    <w:p w14:paraId="43B996CE" w14:textId="77777777" w:rsidR="004F66BC" w:rsidRPr="0040093D" w:rsidRDefault="005F4481" w:rsidP="004F66BC">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Bajo el amparo de esta norma, el régimen jurídico de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40093D">
        <w:rPr>
          <w:rFonts w:ascii="Arial" w:hAnsi="Arial" w:cs="Arial"/>
          <w:i/>
          <w:color w:val="000000" w:themeColor="text1"/>
          <w:sz w:val="22"/>
          <w:lang w:val="es-ES_tradnl"/>
        </w:rPr>
        <w:t>necesarios para la comparación de propuestas</w:t>
      </w:r>
      <w:r w:rsidRPr="0040093D">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657663A7" w14:textId="41DB4450" w:rsidR="005F4481" w:rsidRPr="0040093D" w:rsidRDefault="005F4481" w:rsidP="004F66BC">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Esta norma debía leerse en conjunto con otras de la Ley 80 de 1993, particularmente con el artículo 30.7</w:t>
      </w:r>
      <w:r w:rsidRPr="0040093D">
        <w:rPr>
          <w:rStyle w:val="FootnoteReference"/>
          <w:rFonts w:ascii="Arial" w:hAnsi="Arial" w:cs="Arial"/>
          <w:color w:val="000000" w:themeColor="text1"/>
          <w:sz w:val="22"/>
          <w:lang w:val="es-ES_tradnl"/>
        </w:rPr>
        <w:footnoteReference w:id="2"/>
      </w:r>
      <w:r w:rsidRPr="0040093D">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40093D">
        <w:rPr>
          <w:rStyle w:val="FootnoteReference"/>
          <w:rFonts w:ascii="Arial" w:hAnsi="Arial" w:cs="Arial"/>
          <w:color w:val="000000" w:themeColor="text1"/>
          <w:sz w:val="22"/>
          <w:lang w:val="es-ES_tradnl"/>
        </w:rPr>
        <w:footnoteReference w:id="3"/>
      </w:r>
      <w:r w:rsidRPr="0040093D">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A partir de la lectura integrada de estas tres normas debía concluirse que con la Ley 80 de 1993 era posible subsanar las propuestas, y la omisión o el error en algún aspecto de </w:t>
      </w:r>
      <w:proofErr w:type="gramStart"/>
      <w:r w:rsidRPr="0040093D">
        <w:rPr>
          <w:rFonts w:ascii="Arial" w:hAnsi="Arial" w:cs="Arial"/>
          <w:color w:val="000000" w:themeColor="text1"/>
          <w:sz w:val="22"/>
          <w:lang w:val="es-ES_tradnl"/>
        </w:rPr>
        <w:t>la misma</w:t>
      </w:r>
      <w:proofErr w:type="gramEnd"/>
      <w:r w:rsidRPr="0040093D">
        <w:rPr>
          <w:rFonts w:ascii="Arial" w:hAnsi="Arial" w:cs="Arial"/>
          <w:color w:val="000000" w:themeColor="text1"/>
          <w:sz w:val="22"/>
          <w:lang w:val="es-ES_tradnl"/>
        </w:rPr>
        <w:t xml:space="preserve"> no podía llevar a su rechazo, sin antes verificar que lo omitido fuera un aspecto necesario para la comparación. </w:t>
      </w:r>
    </w:p>
    <w:p w14:paraId="09D9FCD3" w14:textId="77777777" w:rsidR="005F4481" w:rsidRPr="0040093D" w:rsidRDefault="005F4481" w:rsidP="005F4481">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En un </w:t>
      </w:r>
      <w:r w:rsidRPr="0040093D">
        <w:rPr>
          <w:rFonts w:ascii="Arial" w:hAnsi="Arial" w:cs="Arial"/>
          <w:i/>
          <w:color w:val="000000" w:themeColor="text1"/>
          <w:sz w:val="22"/>
          <w:lang w:val="es-ES_tradnl"/>
        </w:rPr>
        <w:t>tercer momento</w:t>
      </w:r>
      <w:r w:rsidRPr="0040093D">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0AC4E77F" w14:textId="77777777" w:rsidR="005F4481" w:rsidRPr="0040093D" w:rsidRDefault="005F4481" w:rsidP="005F4481">
      <w:pPr>
        <w:spacing w:line="276" w:lineRule="auto"/>
        <w:jc w:val="both"/>
        <w:rPr>
          <w:rFonts w:ascii="Arial" w:hAnsi="Arial" w:cs="Arial"/>
          <w:color w:val="000000" w:themeColor="text1"/>
          <w:sz w:val="22"/>
          <w:lang w:val="es-ES_tradnl"/>
        </w:rPr>
      </w:pPr>
    </w:p>
    <w:p w14:paraId="3EF1B97F" w14:textId="74727BCE" w:rsidR="005F4481" w:rsidRPr="0040093D" w:rsidRDefault="004F66BC" w:rsidP="005F4481">
      <w:pPr>
        <w:ind w:left="709" w:right="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w:t>
      </w:r>
      <w:r w:rsidR="005F4481" w:rsidRPr="0040093D">
        <w:rPr>
          <w:rFonts w:ascii="Arial" w:hAnsi="Arial" w:cs="Arial"/>
          <w:color w:val="000000" w:themeColor="text1"/>
          <w:sz w:val="22"/>
          <w:lang w:val="es-ES_tradnl"/>
        </w:rPr>
        <w:t xml:space="preserve">Parágrafo 1°. La ausencia de requisitos o la falta de documentos referentes a la futura </w:t>
      </w:r>
      <w:r w:rsidR="005F4481" w:rsidRPr="0040093D">
        <w:rPr>
          <w:rFonts w:ascii="Arial" w:hAnsi="Arial" w:cs="Arial"/>
          <w:color w:val="000000" w:themeColor="text1"/>
          <w:sz w:val="21"/>
          <w:szCs w:val="21"/>
          <w:lang w:val="es-ES_tradnl"/>
        </w:rPr>
        <w:t>contratación</w:t>
      </w:r>
      <w:r w:rsidR="005F4481" w:rsidRPr="0040093D">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005F4481" w:rsidRPr="0040093D">
        <w:rPr>
          <w:rFonts w:ascii="Arial" w:hAnsi="Arial" w:cs="Arial"/>
          <w:b/>
          <w:color w:val="000000" w:themeColor="text1"/>
          <w:sz w:val="22"/>
          <w:lang w:val="es-ES_tradnl"/>
        </w:rPr>
        <w:t xml:space="preserve">, </w:t>
      </w:r>
      <w:r w:rsidR="005F4481" w:rsidRPr="0040093D">
        <w:rPr>
          <w:rFonts w:ascii="Arial" w:hAnsi="Arial" w:cs="Arial"/>
          <w:color w:val="000000" w:themeColor="text1"/>
          <w:sz w:val="22"/>
          <w:lang w:val="es-ES_tradnl"/>
        </w:rPr>
        <w:t xml:space="preserve">todos aquellos requisitos de la propuesta que no afecten la asignación de </w:t>
      </w:r>
      <w:proofErr w:type="gramStart"/>
      <w:r w:rsidR="005F4481" w:rsidRPr="0040093D">
        <w:rPr>
          <w:rFonts w:ascii="Arial" w:hAnsi="Arial" w:cs="Arial"/>
          <w:color w:val="000000" w:themeColor="text1"/>
          <w:sz w:val="22"/>
          <w:lang w:val="es-ES_tradnl"/>
        </w:rPr>
        <w:t>puntaje,</w:t>
      </w:r>
      <w:proofErr w:type="gramEnd"/>
      <w:r w:rsidR="005F4481" w:rsidRPr="0040093D">
        <w:rPr>
          <w:rFonts w:ascii="Arial" w:hAnsi="Arial" w:cs="Arial"/>
          <w:color w:val="000000" w:themeColor="text1"/>
          <w:sz w:val="22"/>
          <w:lang w:val="es-ES_tradnl"/>
        </w:rPr>
        <w:t xml:space="preserve"> podrán ser solicitados por las entidades en cualquier momento, hasta la adjudicación. No </w:t>
      </w:r>
      <w:proofErr w:type="gramStart"/>
      <w:r w:rsidR="005F4481" w:rsidRPr="0040093D">
        <w:rPr>
          <w:rFonts w:ascii="Arial" w:hAnsi="Arial" w:cs="Arial"/>
          <w:color w:val="000000" w:themeColor="text1"/>
          <w:sz w:val="22"/>
          <w:lang w:val="es-ES_tradnl"/>
        </w:rPr>
        <w:t>obstante</w:t>
      </w:r>
      <w:proofErr w:type="gramEnd"/>
      <w:r w:rsidR="005F4481" w:rsidRPr="0040093D">
        <w:rPr>
          <w:rFonts w:ascii="Arial" w:hAnsi="Arial" w:cs="Arial"/>
          <w:color w:val="000000" w:themeColor="text1"/>
          <w:sz w:val="22"/>
          <w:lang w:val="es-ES_tradnl"/>
        </w:rPr>
        <w:t xml:space="preserve"> lo anterior, en aquellos procesos de selección en los que se utilice el mecanismo de subasta, deberán ser solicitados hasta el momento previo a su realización</w:t>
      </w:r>
      <w:r w:rsidRPr="0040093D">
        <w:rPr>
          <w:rFonts w:ascii="Arial" w:hAnsi="Arial" w:cs="Arial"/>
          <w:color w:val="000000" w:themeColor="text1"/>
          <w:sz w:val="22"/>
          <w:lang w:val="es-ES_tradnl"/>
        </w:rPr>
        <w:t>»</w:t>
      </w:r>
      <w:r w:rsidR="005F4481" w:rsidRPr="0040093D">
        <w:rPr>
          <w:rFonts w:ascii="Arial" w:hAnsi="Arial" w:cs="Arial"/>
          <w:color w:val="000000" w:themeColor="text1"/>
          <w:sz w:val="22"/>
          <w:lang w:val="es-ES_tradnl"/>
        </w:rPr>
        <w:t xml:space="preserve">. </w:t>
      </w:r>
    </w:p>
    <w:p w14:paraId="5A66061E" w14:textId="77777777" w:rsidR="005F4481" w:rsidRPr="0040093D" w:rsidRDefault="005F4481" w:rsidP="005F4481">
      <w:pPr>
        <w:spacing w:line="276" w:lineRule="auto"/>
        <w:jc w:val="both"/>
        <w:rPr>
          <w:rFonts w:ascii="Arial" w:hAnsi="Arial" w:cs="Arial"/>
          <w:b/>
          <w:color w:val="000000" w:themeColor="text1"/>
          <w:sz w:val="22"/>
          <w:lang w:val="es-ES_tradnl"/>
        </w:rPr>
      </w:pPr>
    </w:p>
    <w:p w14:paraId="1E1A80DD" w14:textId="3D2C0F79" w:rsidR="005F4481" w:rsidRPr="0040093D" w:rsidRDefault="005F4481" w:rsidP="004F66BC">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w:t>
      </w:r>
      <w:r w:rsidR="004F66BC" w:rsidRPr="0040093D">
        <w:rPr>
          <w:rFonts w:ascii="Arial" w:hAnsi="Arial" w:cs="Arial"/>
          <w:color w:val="000000" w:themeColor="text1"/>
          <w:sz w:val="22"/>
          <w:lang w:val="es-ES_tradnl"/>
        </w:rPr>
        <w:t>de esta norma</w:t>
      </w:r>
      <w:r w:rsidRPr="0040093D">
        <w:rPr>
          <w:rFonts w:ascii="Arial" w:hAnsi="Arial" w:cs="Arial"/>
          <w:color w:val="000000" w:themeColor="text1"/>
          <w:sz w:val="22"/>
          <w:lang w:val="es-ES_tradnl"/>
        </w:rPr>
        <w:t xml:space="preserve">,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14:paraId="79CE5CC6" w14:textId="77777777" w:rsidR="005F4481" w:rsidRPr="0040093D" w:rsidRDefault="005F4481" w:rsidP="005F4481">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40093D">
        <w:rPr>
          <w:rFonts w:ascii="Arial" w:hAnsi="Arial" w:cs="Arial"/>
          <w:i/>
          <w:color w:val="000000" w:themeColor="text1"/>
          <w:sz w:val="22"/>
          <w:lang w:val="es-ES_tradnl"/>
        </w:rPr>
        <w:t>en cualquier momento, hasta la adjudicación</w:t>
      </w:r>
      <w:r w:rsidRPr="0040093D">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7CCA047F" w14:textId="77777777" w:rsidR="005F4481" w:rsidRPr="0040093D" w:rsidRDefault="005F4481" w:rsidP="005F4481">
      <w:pPr>
        <w:spacing w:line="276" w:lineRule="auto"/>
        <w:jc w:val="both"/>
        <w:rPr>
          <w:rFonts w:ascii="Arial" w:hAnsi="Arial" w:cs="Arial"/>
          <w:color w:val="000000" w:themeColor="text1"/>
          <w:sz w:val="22"/>
          <w:lang w:val="es-ES_tradnl"/>
        </w:rPr>
      </w:pPr>
    </w:p>
    <w:p w14:paraId="6D1B83FB" w14:textId="4C8D6E79" w:rsidR="005F4481" w:rsidRPr="0040093D" w:rsidRDefault="004F66BC"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w:t>
      </w:r>
      <w:r w:rsidR="005F4481" w:rsidRPr="0040093D">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40093D">
        <w:rPr>
          <w:rFonts w:ascii="Arial" w:hAnsi="Arial" w:cs="Arial"/>
          <w:color w:val="000000" w:themeColor="text1"/>
          <w:sz w:val="21"/>
          <w:szCs w:val="21"/>
          <w:lang w:val="es-ES_tradnl"/>
        </w:rPr>
        <w:t>»</w:t>
      </w:r>
      <w:r w:rsidR="005F4481" w:rsidRPr="0040093D">
        <w:rPr>
          <w:rStyle w:val="FootnoteReference"/>
          <w:rFonts w:ascii="Arial" w:hAnsi="Arial" w:cs="Arial"/>
          <w:color w:val="000000" w:themeColor="text1"/>
          <w:sz w:val="21"/>
          <w:szCs w:val="21"/>
          <w:lang w:val="es-ES_tradnl"/>
        </w:rPr>
        <w:footnoteReference w:id="4"/>
      </w:r>
      <w:r w:rsidR="005F4481" w:rsidRPr="0040093D">
        <w:rPr>
          <w:rFonts w:ascii="Arial" w:hAnsi="Arial" w:cs="Arial"/>
          <w:color w:val="000000" w:themeColor="text1"/>
          <w:sz w:val="21"/>
          <w:szCs w:val="21"/>
          <w:lang w:val="es-ES_tradnl"/>
        </w:rPr>
        <w:t>.</w:t>
      </w:r>
    </w:p>
    <w:p w14:paraId="53A31A29" w14:textId="77777777" w:rsidR="005F4481" w:rsidRPr="0040093D" w:rsidRDefault="005F4481" w:rsidP="005F4481">
      <w:pPr>
        <w:spacing w:line="276" w:lineRule="auto"/>
        <w:jc w:val="both"/>
        <w:rPr>
          <w:rFonts w:ascii="Arial" w:hAnsi="Arial" w:cs="Arial"/>
          <w:b/>
          <w:color w:val="000000" w:themeColor="text1"/>
          <w:sz w:val="22"/>
          <w:lang w:val="es-ES_tradnl"/>
        </w:rPr>
      </w:pPr>
    </w:p>
    <w:p w14:paraId="332F78FA" w14:textId="77777777" w:rsidR="005F4481" w:rsidRPr="0040093D" w:rsidRDefault="005F4481" w:rsidP="005F4481">
      <w:pPr>
        <w:pStyle w:val="BodyText"/>
        <w:tabs>
          <w:tab w:val="left" w:pos="284"/>
        </w:tabs>
        <w:spacing w:after="0"/>
        <w:ind w:firstLine="709"/>
        <w:jc w:val="both"/>
        <w:rPr>
          <w:rFonts w:ascii="Arial" w:eastAsiaTheme="minorHAnsi" w:hAnsi="Arial" w:cs="Arial"/>
          <w:color w:val="000000" w:themeColor="text1"/>
          <w:lang w:val="es-ES_tradnl" w:eastAsia="en-US"/>
        </w:rPr>
      </w:pPr>
      <w:r w:rsidRPr="0040093D">
        <w:rPr>
          <w:rFonts w:ascii="Arial" w:eastAsiaTheme="minorHAnsi" w:hAnsi="Arial" w:cs="Arial"/>
          <w:color w:val="000000" w:themeColor="text1"/>
          <w:lang w:val="es-ES_tradnl" w:eastAsia="en-US"/>
        </w:rPr>
        <w:t xml:space="preserve">Esa interpretación fue compartida por la </w:t>
      </w:r>
      <w:r w:rsidRPr="0040093D">
        <w:rPr>
          <w:rFonts w:ascii="Arial" w:hAnsi="Arial" w:cs="Arial"/>
          <w:color w:val="000000" w:themeColor="text1"/>
          <w:lang w:val="es-ES_tradnl"/>
        </w:rPr>
        <w:t>Agencia Nacional de Contratación Pública – Colombia Compra Eficiente</w:t>
      </w:r>
      <w:r w:rsidRPr="0040093D">
        <w:rPr>
          <w:rFonts w:ascii="Arial" w:eastAsiaTheme="minorHAnsi" w:hAnsi="Arial" w:cs="Arial"/>
          <w:color w:val="000000" w:themeColor="text1"/>
          <w:lang w:val="es-ES_tradnl" w:eastAsia="en-US"/>
        </w:rPr>
        <w:t xml:space="preserve">, pues en la Circular Externa Única se precisó </w:t>
      </w:r>
      <w:proofErr w:type="gramStart"/>
      <w:r w:rsidRPr="0040093D">
        <w:rPr>
          <w:rFonts w:ascii="Arial" w:eastAsiaTheme="minorHAnsi" w:hAnsi="Arial" w:cs="Arial"/>
          <w:color w:val="000000" w:themeColor="text1"/>
          <w:lang w:val="es-ES_tradnl" w:eastAsia="en-US"/>
        </w:rPr>
        <w:t>que</w:t>
      </w:r>
      <w:proofErr w:type="gramEnd"/>
      <w:r w:rsidRPr="0040093D">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3F40DFBE" w14:textId="77777777" w:rsidR="005F4481" w:rsidRPr="0040093D" w:rsidRDefault="005F4481" w:rsidP="005F4481">
      <w:pPr>
        <w:pStyle w:val="BodyText"/>
        <w:tabs>
          <w:tab w:val="left" w:pos="284"/>
        </w:tabs>
        <w:spacing w:before="120" w:after="0"/>
        <w:ind w:firstLine="709"/>
        <w:jc w:val="both"/>
        <w:rPr>
          <w:rFonts w:ascii="Arial" w:eastAsiaTheme="minorHAnsi" w:hAnsi="Arial" w:cs="Arial"/>
          <w:color w:val="000000" w:themeColor="text1"/>
          <w:lang w:val="es-ES_tradnl" w:eastAsia="en-US"/>
        </w:rPr>
      </w:pPr>
      <w:r w:rsidRPr="0040093D">
        <w:rPr>
          <w:rFonts w:ascii="Arial" w:hAnsi="Arial" w:cs="Arial"/>
          <w:color w:val="000000" w:themeColor="text1"/>
          <w:lang w:val="es-ES_tradnl"/>
        </w:rPr>
        <w:t xml:space="preserve">En un </w:t>
      </w:r>
      <w:r w:rsidRPr="0040093D">
        <w:rPr>
          <w:rFonts w:ascii="Arial" w:hAnsi="Arial" w:cs="Arial"/>
          <w:i/>
          <w:color w:val="000000" w:themeColor="text1"/>
          <w:lang w:val="es-ES_tradnl"/>
        </w:rPr>
        <w:t>cuarto momento</w:t>
      </w:r>
      <w:r w:rsidRPr="0040093D">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36D45C75" w14:textId="77777777" w:rsidR="005F4481" w:rsidRPr="0040093D" w:rsidRDefault="005F4481" w:rsidP="005F4481">
      <w:pPr>
        <w:spacing w:line="276" w:lineRule="auto"/>
        <w:jc w:val="both"/>
        <w:rPr>
          <w:rFonts w:ascii="Arial" w:hAnsi="Arial" w:cs="Arial"/>
          <w:color w:val="000000" w:themeColor="text1"/>
          <w:sz w:val="22"/>
          <w:lang w:val="es-ES_tradnl"/>
        </w:rPr>
      </w:pPr>
    </w:p>
    <w:p w14:paraId="0BEBC594" w14:textId="77777777"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 xml:space="preserve">Artículo 5°. De la selección objetiva. </w:t>
      </w:r>
    </w:p>
    <w:p w14:paraId="6F0786C5" w14:textId="0FC39E98" w:rsidR="005F4481" w:rsidRPr="0040093D" w:rsidRDefault="003D0DE5"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w:t>
      </w:r>
      <w:r w:rsidR="005F4481" w:rsidRPr="0040093D">
        <w:rPr>
          <w:rFonts w:ascii="Arial" w:hAnsi="Arial" w:cs="Arial"/>
          <w:color w:val="000000" w:themeColor="text1"/>
          <w:sz w:val="21"/>
          <w:szCs w:val="21"/>
          <w:lang w:val="es-ES_tradnl"/>
        </w:rPr>
        <w:t xml:space="preserve">... </w:t>
      </w:r>
      <w:r w:rsidRPr="0040093D">
        <w:rPr>
          <w:rFonts w:ascii="Arial" w:hAnsi="Arial" w:cs="Arial"/>
          <w:color w:val="000000" w:themeColor="text1"/>
          <w:sz w:val="21"/>
          <w:szCs w:val="21"/>
          <w:lang w:val="es-ES_tradnl"/>
        </w:rPr>
        <w:t>]</w:t>
      </w:r>
    </w:p>
    <w:p w14:paraId="0ECA22C3" w14:textId="77777777" w:rsidR="005F4481" w:rsidRPr="0040093D" w:rsidRDefault="005F4481" w:rsidP="005F4481">
      <w:pPr>
        <w:ind w:left="709" w:right="709"/>
        <w:jc w:val="both"/>
        <w:rPr>
          <w:rFonts w:ascii="Arial" w:hAnsi="Arial" w:cs="Arial"/>
          <w:color w:val="000000" w:themeColor="text1"/>
          <w:sz w:val="21"/>
          <w:szCs w:val="21"/>
          <w:lang w:val="es-ES_tradnl"/>
        </w:rPr>
      </w:pPr>
    </w:p>
    <w:p w14:paraId="7BA45B98" w14:textId="77777777"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0093D">
        <w:rPr>
          <w:rFonts w:ascii="Arial" w:hAnsi="Arial" w:cs="Arial"/>
          <w:color w:val="000000" w:themeColor="text1"/>
          <w:sz w:val="21"/>
          <w:szCs w:val="21"/>
          <w:lang w:val="es-ES_tradnl"/>
        </w:rPr>
        <w:t>puntaje,</w:t>
      </w:r>
      <w:proofErr w:type="gramEnd"/>
      <w:r w:rsidRPr="0040093D">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B5ABE5E" w14:textId="77777777" w:rsidR="005F4481" w:rsidRPr="0040093D" w:rsidRDefault="005F4481" w:rsidP="005F4481">
      <w:pPr>
        <w:spacing w:line="276" w:lineRule="auto"/>
        <w:jc w:val="both"/>
        <w:rPr>
          <w:rFonts w:ascii="Arial" w:hAnsi="Arial" w:cs="Arial"/>
          <w:b/>
          <w:color w:val="000000" w:themeColor="text1"/>
          <w:sz w:val="22"/>
          <w:lang w:val="es-ES_tradnl"/>
        </w:rPr>
      </w:pPr>
    </w:p>
    <w:p w14:paraId="13460893" w14:textId="1376D775" w:rsidR="005F4481" w:rsidRPr="0040093D" w:rsidRDefault="005F4481" w:rsidP="005F4481">
      <w:pPr>
        <w:spacing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w:t>
      </w:r>
      <w:proofErr w:type="spellStart"/>
      <w:r w:rsidRPr="0040093D">
        <w:rPr>
          <w:rFonts w:ascii="Arial" w:hAnsi="Arial" w:cs="Arial"/>
          <w:color w:val="000000" w:themeColor="text1"/>
          <w:sz w:val="22"/>
          <w:lang w:val="es-ES_tradnl"/>
        </w:rPr>
        <w:t>ii</w:t>
      </w:r>
      <w:proofErr w:type="spellEnd"/>
      <w:r w:rsidRPr="0040093D">
        <w:rPr>
          <w:rFonts w:ascii="Arial" w:hAnsi="Arial" w:cs="Arial"/>
          <w:color w:val="000000" w:themeColor="text1"/>
          <w:sz w:val="22"/>
          <w:lang w:val="es-ES_tradnl"/>
        </w:rPr>
        <w:t xml:space="preserve">) mantiene el criterio aclaratorio de la Ley 1150 de 2007, según el cual todo lo que no afecte la asignación de puntaje puede subsanarse e </w:t>
      </w:r>
      <w:proofErr w:type="spellStart"/>
      <w:r w:rsidRPr="0040093D">
        <w:rPr>
          <w:rFonts w:ascii="Arial" w:hAnsi="Arial" w:cs="Arial"/>
          <w:color w:val="000000" w:themeColor="text1"/>
          <w:sz w:val="22"/>
          <w:lang w:val="es-ES_tradnl"/>
        </w:rPr>
        <w:t>iii</w:t>
      </w:r>
      <w:proofErr w:type="spellEnd"/>
      <w:r w:rsidRPr="0040093D">
        <w:rPr>
          <w:rFonts w:ascii="Arial" w:hAnsi="Arial" w:cs="Arial"/>
          <w:color w:val="000000" w:themeColor="text1"/>
          <w:sz w:val="22"/>
          <w:lang w:val="es-ES_tradnl"/>
        </w:rPr>
        <w:t xml:space="preserve">) introduce modificaciones en relación con </w:t>
      </w:r>
      <w:r w:rsidR="00475C5A" w:rsidRPr="0040093D">
        <w:rPr>
          <w:rFonts w:ascii="Arial" w:hAnsi="Arial" w:cs="Arial"/>
          <w:color w:val="000000" w:themeColor="text1"/>
          <w:sz w:val="22"/>
          <w:lang w:val="es-ES_tradnl"/>
        </w:rPr>
        <w:t>algunos</w:t>
      </w:r>
      <w:r w:rsidRPr="0040093D">
        <w:rPr>
          <w:rFonts w:ascii="Arial" w:hAnsi="Arial" w:cs="Arial"/>
          <w:color w:val="000000" w:themeColor="text1"/>
          <w:sz w:val="22"/>
          <w:lang w:val="es-ES_tradnl"/>
        </w:rPr>
        <w:t xml:space="preserve"> aspectos que se analizarán a continuación. </w:t>
      </w:r>
    </w:p>
    <w:p w14:paraId="00C39C97" w14:textId="77777777" w:rsidR="005F4481" w:rsidRPr="0040093D" w:rsidRDefault="005F4481" w:rsidP="005F4481">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40093D">
        <w:rPr>
          <w:rFonts w:ascii="Arial" w:eastAsia="Calibri" w:hAnsi="Arial" w:cs="Arial"/>
          <w:color w:val="000000" w:themeColor="text1"/>
          <w:sz w:val="22"/>
          <w:lang w:val="es-ES_tradnl"/>
        </w:rPr>
        <w:t>de selección a través del sistema de subasta</w:t>
      </w:r>
      <w:r w:rsidRPr="0040093D">
        <w:rPr>
          <w:rStyle w:val="FootnoteReference"/>
          <w:rFonts w:ascii="Arial" w:eastAsia="Calibri" w:hAnsi="Arial" w:cs="Arial"/>
          <w:color w:val="000000" w:themeColor="text1"/>
          <w:sz w:val="22"/>
          <w:lang w:val="es-ES_tradnl"/>
        </w:rPr>
        <w:footnoteReference w:id="5"/>
      </w:r>
      <w:r w:rsidRPr="0040093D">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1A73CDB9" w14:textId="1A397718" w:rsidR="005F4481" w:rsidRPr="0040093D" w:rsidRDefault="005F4481" w:rsidP="004F66BC">
      <w:pPr>
        <w:spacing w:before="120" w:after="120" w:line="276" w:lineRule="auto"/>
        <w:ind w:firstLine="709"/>
        <w:jc w:val="both"/>
        <w:rPr>
          <w:rFonts w:ascii="Arial" w:hAnsi="Arial" w:cs="Arial"/>
          <w:color w:val="000000" w:themeColor="text1"/>
          <w:sz w:val="22"/>
          <w:lang w:val="es-ES_tradnl"/>
        </w:rPr>
      </w:pPr>
      <w:r w:rsidRPr="0040093D">
        <w:rPr>
          <w:rFonts w:ascii="Arial" w:eastAsia="Calibri" w:hAnsi="Arial" w:cs="Arial"/>
          <w:color w:val="000000" w:themeColor="text1"/>
          <w:sz w:val="22"/>
          <w:lang w:val="es-ES_tradnl"/>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40093D">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40093D">
        <w:rPr>
          <w:rFonts w:ascii="Arial" w:hAnsi="Arial" w:cs="Arial"/>
          <w:color w:val="000000" w:themeColor="text1"/>
          <w:sz w:val="22"/>
          <w:lang w:val="es-ES_tradnl"/>
        </w:rPr>
        <w:t xml:space="preserve">”. </w:t>
      </w:r>
    </w:p>
    <w:p w14:paraId="67A7EC93" w14:textId="77777777" w:rsidR="005F4481" w:rsidRPr="0040093D" w:rsidRDefault="005F4481" w:rsidP="005F4481">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40093D">
        <w:rPr>
          <w:rFonts w:ascii="Arial" w:hAnsi="Arial" w:cs="Arial"/>
          <w:color w:val="000000" w:themeColor="text1"/>
          <w:sz w:val="22"/>
          <w:lang w:val="es-ES_tradnl"/>
        </w:rPr>
        <w:t>subsanabilidad</w:t>
      </w:r>
      <w:proofErr w:type="spellEnd"/>
      <w:r w:rsidRPr="0040093D">
        <w:rPr>
          <w:rFonts w:ascii="Arial" w:hAnsi="Arial" w:cs="Arial"/>
          <w:color w:val="000000" w:themeColor="text1"/>
          <w:sz w:val="22"/>
          <w:lang w:val="es-ES_tradnl"/>
        </w:rPr>
        <w:t xml:space="preserve"> de las ofertas. </w:t>
      </w:r>
      <w:r w:rsidRPr="0040093D">
        <w:rPr>
          <w:rFonts w:ascii="Arial" w:hAnsi="Arial" w:cs="Arial"/>
          <w:i/>
          <w:iCs/>
          <w:color w:val="000000" w:themeColor="text1"/>
          <w:sz w:val="22"/>
          <w:lang w:val="es-ES_tradnl"/>
        </w:rPr>
        <w:t>Primera</w:t>
      </w:r>
      <w:r w:rsidRPr="0040093D">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40093D">
        <w:rPr>
          <w:rFonts w:ascii="Arial" w:hAnsi="Arial" w:cs="Arial"/>
          <w:i/>
          <w:iCs/>
          <w:color w:val="000000" w:themeColor="text1"/>
          <w:sz w:val="22"/>
          <w:lang w:val="es-ES_tradnl"/>
        </w:rPr>
        <w:t>segunda</w:t>
      </w:r>
      <w:r w:rsidRPr="0040093D">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17192438" w14:textId="141DB616" w:rsidR="005F4481" w:rsidRPr="0040093D" w:rsidRDefault="005F4481" w:rsidP="004F66BC">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r w:rsidR="004F66BC" w:rsidRPr="0040093D">
        <w:rPr>
          <w:rFonts w:ascii="Arial" w:hAnsi="Arial" w:cs="Arial"/>
          <w:color w:val="000000" w:themeColor="text1"/>
          <w:sz w:val="22"/>
          <w:lang w:val="es-ES_tradnl"/>
        </w:rPr>
        <w:t xml:space="preserve"> </w:t>
      </w:r>
      <w:r w:rsidRPr="0040093D">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A8F42AC" w14:textId="77777777" w:rsidR="005F4481" w:rsidRPr="0040093D" w:rsidRDefault="005F4481" w:rsidP="005F4481">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24FDA185" w14:textId="77777777" w:rsidR="005F4481" w:rsidRPr="0040093D" w:rsidRDefault="005F4481" w:rsidP="005F4481">
      <w:pPr>
        <w:spacing w:before="120" w:after="120" w:line="276" w:lineRule="auto"/>
        <w:ind w:firstLine="709"/>
        <w:jc w:val="both"/>
        <w:rPr>
          <w:rFonts w:ascii="Arial" w:hAnsi="Arial" w:cs="Arial"/>
          <w:color w:val="000000" w:themeColor="text1"/>
          <w:sz w:val="22"/>
          <w:lang w:val="es-ES_tradnl"/>
        </w:rPr>
      </w:pPr>
      <w:r w:rsidRPr="0040093D">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3936B48C" w14:textId="52DF2E7A" w:rsidR="005F4481" w:rsidRPr="0040093D" w:rsidRDefault="005F4481" w:rsidP="004F66BC">
      <w:pPr>
        <w:spacing w:before="120" w:after="120" w:line="276" w:lineRule="auto"/>
        <w:ind w:firstLine="709"/>
        <w:jc w:val="both"/>
        <w:rPr>
          <w:rFonts w:ascii="Arial" w:hAnsi="Arial" w:cs="Arial"/>
          <w:color w:val="000000" w:themeColor="text1"/>
          <w:sz w:val="22"/>
          <w:lang w:val="es-ES_tradnl"/>
        </w:rPr>
      </w:pPr>
      <w:r w:rsidRPr="0040093D">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40093D">
        <w:rPr>
          <w:rFonts w:ascii="Arial" w:eastAsia="Calibri" w:hAnsi="Arial" w:cs="Arial"/>
          <w:i/>
          <w:iCs/>
          <w:color w:val="000000" w:themeColor="text1"/>
          <w:sz w:val="22"/>
          <w:lang w:val="es-ES_tradnl"/>
        </w:rPr>
        <w:t>«</w:t>
      </w:r>
      <w:r w:rsidRPr="0040093D">
        <w:rPr>
          <w:rFonts w:ascii="Arial" w:hAnsi="Arial" w:cs="Arial"/>
          <w:i/>
          <w:iCs/>
          <w:color w:val="000000" w:themeColor="text1"/>
          <w:sz w:val="22"/>
          <w:lang w:val="es-ES_tradnl"/>
        </w:rPr>
        <w:t>los proponentes no podrán acreditar circunstancias ocurridas con posterioridad al cierre del proceso»</w:t>
      </w:r>
      <w:r w:rsidRPr="0040093D">
        <w:rPr>
          <w:rFonts w:ascii="Arial" w:hAnsi="Arial" w:cs="Arial"/>
          <w:b/>
          <w:i/>
          <w:iCs/>
          <w:color w:val="000000" w:themeColor="text1"/>
          <w:sz w:val="22"/>
          <w:lang w:val="es-ES_tradnl"/>
        </w:rPr>
        <w:t>.</w:t>
      </w:r>
      <w:r w:rsidRPr="0040093D">
        <w:rPr>
          <w:rFonts w:ascii="Arial" w:hAnsi="Arial" w:cs="Arial"/>
          <w:b/>
          <w:color w:val="000000" w:themeColor="text1"/>
          <w:sz w:val="22"/>
          <w:lang w:val="es-ES_tradnl"/>
        </w:rPr>
        <w:t xml:space="preserve"> </w:t>
      </w:r>
      <w:r w:rsidRPr="0040093D">
        <w:rPr>
          <w:rFonts w:ascii="Arial" w:hAnsi="Arial" w:cs="Arial"/>
          <w:color w:val="000000" w:themeColor="text1"/>
          <w:sz w:val="22"/>
          <w:lang w:val="es-ES_tradnl"/>
        </w:rPr>
        <w:t xml:space="preserve">Lo anterior ofrece dos aspectos que merecen clarificación: </w:t>
      </w:r>
      <w:r w:rsidRPr="0040093D">
        <w:rPr>
          <w:rFonts w:ascii="Arial" w:hAnsi="Arial" w:cs="Arial"/>
          <w:i/>
          <w:iCs/>
          <w:color w:val="000000" w:themeColor="text1"/>
          <w:sz w:val="22"/>
          <w:lang w:val="es-ES_tradnl"/>
        </w:rPr>
        <w:t>primero</w:t>
      </w:r>
      <w:r w:rsidRPr="0040093D">
        <w:rPr>
          <w:rFonts w:ascii="Arial" w:hAnsi="Arial" w:cs="Arial"/>
          <w:color w:val="000000" w:themeColor="text1"/>
          <w:sz w:val="22"/>
          <w:lang w:val="es-ES_tradnl"/>
        </w:rPr>
        <w:t xml:space="preserve">, qué debe entenderse por circunstancias ocurridas con posterioridad; y </w:t>
      </w:r>
      <w:r w:rsidRPr="0040093D">
        <w:rPr>
          <w:rFonts w:ascii="Arial" w:hAnsi="Arial" w:cs="Arial"/>
          <w:i/>
          <w:iCs/>
          <w:color w:val="000000" w:themeColor="text1"/>
          <w:sz w:val="22"/>
          <w:lang w:val="es-ES_tradnl"/>
        </w:rPr>
        <w:t>segundo</w:t>
      </w:r>
      <w:r w:rsidRPr="0040093D">
        <w:rPr>
          <w:rFonts w:ascii="Arial" w:hAnsi="Arial" w:cs="Arial"/>
          <w:color w:val="000000" w:themeColor="text1"/>
          <w:sz w:val="22"/>
          <w:lang w:val="es-ES_tradnl"/>
        </w:rPr>
        <w:t>, qué es el cierre del proceso. La Sala de Consulta y Servicio Civil del Consejo de Estado ya había tenido la oportunidad de precisar estas expresiones, a propósito de un concepto en el que se refirió al artículo 10 del derogado Decreto 2474 de 2008</w:t>
      </w:r>
      <w:r w:rsidRPr="0040093D">
        <w:rPr>
          <w:rStyle w:val="FootnoteReference"/>
          <w:rFonts w:ascii="Arial" w:hAnsi="Arial" w:cs="Arial"/>
          <w:color w:val="000000" w:themeColor="text1"/>
          <w:sz w:val="22"/>
          <w:lang w:val="es-ES_tradnl"/>
        </w:rPr>
        <w:footnoteReference w:id="6"/>
      </w:r>
      <w:r w:rsidRPr="0040093D">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02B92AB1" w14:textId="77777777" w:rsidR="005F4481" w:rsidRPr="0040093D" w:rsidRDefault="005F4481" w:rsidP="005F4481">
      <w:pPr>
        <w:ind w:left="709" w:right="709"/>
        <w:jc w:val="both"/>
        <w:rPr>
          <w:rFonts w:ascii="Arial" w:hAnsi="Arial" w:cs="Arial"/>
          <w:color w:val="000000" w:themeColor="text1"/>
          <w:sz w:val="21"/>
          <w:szCs w:val="21"/>
          <w:lang w:val="es-ES_tradnl"/>
        </w:rPr>
      </w:pPr>
    </w:p>
    <w:p w14:paraId="14A774E3" w14:textId="51702C1F" w:rsidR="005F4481" w:rsidRPr="0040093D" w:rsidRDefault="00475C5A"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w:t>
      </w:r>
      <w:r w:rsidR="005F4481" w:rsidRPr="0040093D">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005F4481" w:rsidRPr="0040093D">
        <w:rPr>
          <w:rFonts w:ascii="Arial" w:hAnsi="Arial" w:cs="Arial"/>
          <w:color w:val="000000" w:themeColor="text1"/>
          <w:sz w:val="21"/>
          <w:szCs w:val="21"/>
          <w:lang w:val="es-ES_tradnl"/>
        </w:rPr>
        <w:t>subsanabilidad</w:t>
      </w:r>
      <w:proofErr w:type="spellEnd"/>
      <w:r w:rsidR="005F4481" w:rsidRPr="0040093D">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773BDEDD" w14:textId="77777777"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 </w:t>
      </w:r>
    </w:p>
    <w:p w14:paraId="4EE1B02E" w14:textId="5759854A" w:rsidR="005F4481" w:rsidRPr="0040093D" w:rsidRDefault="005F4481" w:rsidP="005F4481">
      <w:pPr>
        <w:ind w:left="709" w:right="709"/>
        <w:jc w:val="both"/>
        <w:rPr>
          <w:rFonts w:ascii="Arial" w:hAnsi="Arial" w:cs="Arial"/>
          <w:color w:val="000000" w:themeColor="text1"/>
          <w:sz w:val="21"/>
          <w:szCs w:val="21"/>
          <w:lang w:val="es-ES_tradnl"/>
        </w:rPr>
      </w:pPr>
      <w:r w:rsidRPr="0040093D">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40093D">
        <w:rPr>
          <w:rFonts w:ascii="Arial" w:hAnsi="Arial" w:cs="Arial"/>
          <w:color w:val="000000" w:themeColor="text1"/>
          <w:sz w:val="21"/>
          <w:szCs w:val="21"/>
          <w:lang w:val="es-ES_tradnl"/>
        </w:rPr>
        <w:t>la misma</w:t>
      </w:r>
      <w:proofErr w:type="gramEnd"/>
      <w:r w:rsidRPr="0040093D">
        <w:rPr>
          <w:rFonts w:ascii="Arial" w:hAnsi="Arial" w:cs="Arial"/>
          <w:color w:val="000000" w:themeColor="text1"/>
          <w:sz w:val="21"/>
          <w:szCs w:val="21"/>
          <w:lang w:val="es-ES_tradnl"/>
        </w:rPr>
        <w:t>,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00475C5A" w:rsidRPr="0040093D">
        <w:rPr>
          <w:rFonts w:ascii="Arial" w:hAnsi="Arial" w:cs="Arial"/>
          <w:color w:val="000000" w:themeColor="text1"/>
          <w:sz w:val="21"/>
          <w:szCs w:val="21"/>
          <w:lang w:val="es-ES_tradnl"/>
        </w:rPr>
        <w:t>»</w:t>
      </w:r>
      <w:r w:rsidRPr="0040093D">
        <w:rPr>
          <w:rStyle w:val="FootnoteReference"/>
          <w:rFonts w:ascii="Arial" w:hAnsi="Arial" w:cs="Arial"/>
          <w:color w:val="000000" w:themeColor="text1"/>
          <w:sz w:val="21"/>
          <w:szCs w:val="21"/>
          <w:lang w:val="es-ES_tradnl"/>
        </w:rPr>
        <w:footnoteReference w:id="7"/>
      </w:r>
      <w:r w:rsidRPr="0040093D">
        <w:rPr>
          <w:rFonts w:ascii="Arial" w:hAnsi="Arial" w:cs="Arial"/>
          <w:color w:val="000000" w:themeColor="text1"/>
          <w:sz w:val="21"/>
          <w:szCs w:val="21"/>
          <w:lang w:val="es-ES_tradnl"/>
        </w:rPr>
        <w:t>.</w:t>
      </w:r>
    </w:p>
    <w:p w14:paraId="4330C421" w14:textId="77777777" w:rsidR="005F4481" w:rsidRPr="0040093D" w:rsidRDefault="005F4481" w:rsidP="005F4481">
      <w:pPr>
        <w:spacing w:line="276" w:lineRule="auto"/>
        <w:jc w:val="both"/>
        <w:rPr>
          <w:rFonts w:ascii="Arial" w:hAnsi="Arial" w:cs="Arial"/>
          <w:color w:val="000000" w:themeColor="text1"/>
          <w:sz w:val="22"/>
          <w:lang w:val="es-ES_tradnl"/>
        </w:rPr>
      </w:pPr>
    </w:p>
    <w:p w14:paraId="40E103A6" w14:textId="77777777" w:rsidR="005F4481" w:rsidRPr="0040093D" w:rsidRDefault="005F4481" w:rsidP="005F4481">
      <w:pPr>
        <w:spacing w:line="276" w:lineRule="auto"/>
        <w:ind w:firstLine="709"/>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9C6DB97" w14:textId="5706D8E8" w:rsidR="005F4481" w:rsidRPr="0040093D" w:rsidRDefault="005F4481" w:rsidP="004F66BC">
      <w:pPr>
        <w:spacing w:before="120" w:after="120" w:line="276" w:lineRule="auto"/>
        <w:ind w:firstLine="709"/>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40093D">
        <w:rPr>
          <w:rFonts w:ascii="Arial" w:eastAsia="Calibri" w:hAnsi="Arial" w:cs="Arial"/>
          <w:color w:val="000000" w:themeColor="text1"/>
          <w:sz w:val="22"/>
          <w:lang w:val="es-ES_tradnl"/>
        </w:rPr>
        <w:t>subsanabilidad</w:t>
      </w:r>
      <w:proofErr w:type="spellEnd"/>
      <w:r w:rsidRPr="0040093D">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4CE2EFD8" w14:textId="77777777" w:rsidR="005F4481" w:rsidRPr="0040093D" w:rsidRDefault="005F4481" w:rsidP="005F4481">
      <w:pPr>
        <w:spacing w:before="120" w:after="120" w:line="276" w:lineRule="auto"/>
        <w:ind w:firstLine="709"/>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Es por ello </w:t>
      </w:r>
      <w:proofErr w:type="gramStart"/>
      <w:r w:rsidRPr="0040093D">
        <w:rPr>
          <w:rFonts w:ascii="Arial" w:eastAsia="Calibri" w:hAnsi="Arial" w:cs="Arial"/>
          <w:color w:val="000000" w:themeColor="text1"/>
          <w:sz w:val="22"/>
          <w:lang w:val="es-ES_tradnl"/>
        </w:rPr>
        <w:t>que</w:t>
      </w:r>
      <w:proofErr w:type="gramEnd"/>
      <w:r w:rsidRPr="0040093D">
        <w:rPr>
          <w:rFonts w:ascii="Arial" w:eastAsia="Calibri" w:hAnsi="Arial" w:cs="Arial"/>
          <w:color w:val="000000" w:themeColor="text1"/>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40093D">
        <w:rPr>
          <w:rFonts w:ascii="Arial" w:eastAsia="Calibri" w:hAnsi="Arial" w:cs="Arial"/>
          <w:color w:val="000000" w:themeColor="text1"/>
          <w:sz w:val="22"/>
          <w:vertAlign w:val="superscript"/>
          <w:lang w:val="es-ES_tradnl"/>
        </w:rPr>
        <w:footnoteReference w:id="8"/>
      </w:r>
      <w:r w:rsidRPr="0040093D">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39180FF4" w14:textId="77777777" w:rsidR="005F4481" w:rsidRPr="0040093D" w:rsidRDefault="005F4481" w:rsidP="005F4481">
      <w:pPr>
        <w:spacing w:before="120" w:after="120" w:line="276" w:lineRule="auto"/>
        <w:ind w:firstLine="709"/>
        <w:jc w:val="both"/>
        <w:rPr>
          <w:rFonts w:ascii="Arial" w:eastAsia="Calibri" w:hAnsi="Arial" w:cs="Arial"/>
          <w:color w:val="000000" w:themeColor="text1"/>
          <w:sz w:val="22"/>
        </w:rPr>
      </w:pPr>
      <w:r w:rsidRPr="0040093D">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40093D">
        <w:rPr>
          <w:rFonts w:ascii="Arial" w:eastAsia="Calibri"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40093D">
        <w:rPr>
          <w:rFonts w:ascii="Arial" w:eastAsia="Calibri" w:hAnsi="Arial" w:cs="Arial"/>
          <w:color w:val="000000" w:themeColor="text1"/>
          <w:sz w:val="22"/>
        </w:rPr>
        <w:t>subsanabilidad</w:t>
      </w:r>
      <w:proofErr w:type="spellEnd"/>
      <w:r w:rsidRPr="0040093D">
        <w:rPr>
          <w:rFonts w:ascii="Arial" w:eastAsia="Calibri" w:hAnsi="Arial"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6B28DF5A" w14:textId="77777777" w:rsidR="005F4481" w:rsidRPr="0040093D" w:rsidRDefault="005F4481" w:rsidP="005F4481">
      <w:pPr>
        <w:spacing w:before="120" w:after="120" w:line="276" w:lineRule="auto"/>
        <w:ind w:firstLine="709"/>
        <w:jc w:val="both"/>
        <w:rPr>
          <w:rFonts w:ascii="Arial" w:eastAsia="Calibri" w:hAnsi="Arial" w:cs="Arial"/>
          <w:color w:val="000000" w:themeColor="text1"/>
          <w:sz w:val="22"/>
          <w:lang w:val="es-CO"/>
        </w:rPr>
      </w:pPr>
      <w:r w:rsidRPr="0040093D">
        <w:rPr>
          <w:rFonts w:ascii="Arial" w:eastAsia="Calibri" w:hAnsi="Arial" w:cs="Arial"/>
          <w:color w:val="000000" w:themeColor="text1"/>
          <w:sz w:val="22"/>
        </w:rPr>
        <w:t xml:space="preserve">Una reiteración de la postura de esta Subdirección, según la cual la </w:t>
      </w:r>
      <w:proofErr w:type="spellStart"/>
      <w:r w:rsidRPr="0040093D">
        <w:rPr>
          <w:rFonts w:ascii="Arial" w:eastAsia="Calibri" w:hAnsi="Arial" w:cs="Arial"/>
          <w:color w:val="000000" w:themeColor="text1"/>
          <w:sz w:val="22"/>
        </w:rPr>
        <w:t>subsanabilidad</w:t>
      </w:r>
      <w:proofErr w:type="spellEnd"/>
      <w:r w:rsidRPr="0040093D">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758D2BDD" w14:textId="3CC4B226" w:rsidR="004F66BC" w:rsidRPr="0040093D" w:rsidRDefault="005F4481" w:rsidP="004F66BC">
      <w:pPr>
        <w:spacing w:before="120" w:after="120" w:line="276" w:lineRule="auto"/>
        <w:ind w:firstLine="709"/>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40093D">
        <w:rPr>
          <w:rFonts w:ascii="Arial" w:eastAsia="Calibri" w:hAnsi="Arial" w:cs="Arial"/>
          <w:iCs/>
          <w:color w:val="000000" w:themeColor="text1"/>
          <w:sz w:val="22"/>
          <w:lang w:val="es-ES_tradnl"/>
        </w:rPr>
        <w:t>documento o información</w:t>
      </w:r>
      <w:r w:rsidRPr="0040093D">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r w:rsidR="004F66BC" w:rsidRPr="0040093D">
        <w:rPr>
          <w:rFonts w:ascii="Arial" w:eastAsia="Calibri" w:hAnsi="Arial" w:cs="Arial"/>
          <w:color w:val="000000" w:themeColor="text1"/>
          <w:sz w:val="22"/>
          <w:lang w:val="es-ES_tradnl"/>
        </w:rPr>
        <w:t>Adicionalmente,</w:t>
      </w:r>
      <w:r w:rsidR="00475C5A" w:rsidRPr="0040093D">
        <w:rPr>
          <w:rFonts w:ascii="Arial" w:eastAsia="Calibri" w:hAnsi="Arial" w:cs="Arial"/>
          <w:color w:val="000000" w:themeColor="text1"/>
          <w:sz w:val="22"/>
          <w:lang w:val="es-ES_tradnl"/>
        </w:rPr>
        <w:t xml:space="preserve"> otro cambio relevante radica en que</w:t>
      </w:r>
      <w:r w:rsidR="004F66BC" w:rsidRPr="0040093D">
        <w:rPr>
          <w:rFonts w:ascii="Arial" w:eastAsia="Calibri" w:hAnsi="Arial" w:cs="Arial"/>
          <w:color w:val="000000" w:themeColor="text1"/>
          <w:sz w:val="22"/>
          <w:lang w:val="es-ES_tradnl"/>
        </w:rPr>
        <w:t xml:space="preserve"> e</w:t>
      </w:r>
      <w:r w:rsidRPr="0040093D">
        <w:rPr>
          <w:rFonts w:ascii="Arial" w:eastAsia="Calibri" w:hAnsi="Arial" w:cs="Arial"/>
          <w:color w:val="000000" w:themeColor="text1"/>
          <w:sz w:val="22"/>
          <w:lang w:val="es-ES_tradnl"/>
        </w:rPr>
        <w:t xml:space="preserve">l parágrafo 3 del artículo 5 de la Ley 1882 de 2018 determinó, de manera expresa, que «la no entrega de la garantía de seriedad junto con la propuesta no será subsanable y será causal de rechazo de </w:t>
      </w:r>
      <w:proofErr w:type="gramStart"/>
      <w:r w:rsidRPr="0040093D">
        <w:rPr>
          <w:rFonts w:ascii="Arial" w:eastAsia="Calibri" w:hAnsi="Arial" w:cs="Arial"/>
          <w:color w:val="000000" w:themeColor="text1"/>
          <w:sz w:val="22"/>
          <w:lang w:val="es-ES_tradnl"/>
        </w:rPr>
        <w:t>la misma</w:t>
      </w:r>
      <w:proofErr w:type="gramEnd"/>
      <w:r w:rsidRPr="0040093D">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p>
    <w:p w14:paraId="012C44A6" w14:textId="3239DC59" w:rsidR="0081766B" w:rsidRPr="0040093D" w:rsidRDefault="005F4481" w:rsidP="004F66BC">
      <w:pPr>
        <w:spacing w:before="120" w:after="120" w:line="276" w:lineRule="auto"/>
        <w:ind w:firstLine="709"/>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En resumen</w:t>
      </w:r>
      <w:bookmarkStart w:id="7" w:name="_Hlk35428616"/>
      <w:r w:rsidR="00211388" w:rsidRPr="0040093D">
        <w:rPr>
          <w:rFonts w:ascii="Arial" w:eastAsia="Calibri" w:hAnsi="Arial" w:cs="Arial"/>
          <w:color w:val="000000" w:themeColor="text1"/>
          <w:sz w:val="22"/>
          <w:lang w:val="es-ES_tradnl"/>
        </w:rPr>
        <w:t xml:space="preserve">, 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permitir, por regla general, que los oferentes aporten o corrijan aquella información relacionada con tales requisitos de participación, de manera que no </w:t>
      </w:r>
      <w:r w:rsidR="00B203C9" w:rsidRPr="0040093D">
        <w:rPr>
          <w:rFonts w:ascii="Arial" w:eastAsia="Calibri" w:hAnsi="Arial" w:cs="Arial"/>
          <w:color w:val="000000" w:themeColor="text1"/>
          <w:sz w:val="22"/>
          <w:lang w:val="es-ES_tradnl"/>
        </w:rPr>
        <w:t>se rechace</w:t>
      </w:r>
      <w:r w:rsidR="00211388" w:rsidRPr="0040093D">
        <w:rPr>
          <w:rFonts w:ascii="Arial" w:eastAsia="Calibri" w:hAnsi="Arial" w:cs="Arial"/>
          <w:color w:val="000000" w:themeColor="text1"/>
          <w:sz w:val="22"/>
          <w:lang w:val="es-ES_tradnl"/>
        </w:rPr>
        <w:t xml:space="preserve"> de plano de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00211388" w:rsidRPr="0040093D">
        <w:rPr>
          <w:rFonts w:ascii="Arial" w:eastAsia="Calibri" w:hAnsi="Arial" w:cs="Arial"/>
          <w:color w:val="000000" w:themeColor="text1"/>
          <w:sz w:val="22"/>
          <w:lang w:val="es-ES_tradnl"/>
        </w:rPr>
        <w:t>subsanabilidad</w:t>
      </w:r>
      <w:proofErr w:type="spellEnd"/>
      <w:r w:rsidR="00211388" w:rsidRPr="0040093D">
        <w:rPr>
          <w:rFonts w:ascii="Arial" w:eastAsia="Calibri" w:hAnsi="Arial" w:cs="Arial"/>
          <w:color w:val="000000" w:themeColor="text1"/>
          <w:sz w:val="22"/>
          <w:lang w:val="es-ES_tradnl"/>
        </w:rPr>
        <w:t xml:space="preserve"> de las ofertas debe interpretarse como una regla general en relación con la falta de entrega o con los defectos de los requisitos habilitantes.</w:t>
      </w:r>
      <w:bookmarkEnd w:id="7"/>
      <w:r w:rsidR="00211388" w:rsidRPr="0040093D">
        <w:rPr>
          <w:rFonts w:ascii="Arial" w:eastAsia="Calibri" w:hAnsi="Arial" w:cs="Arial"/>
          <w:color w:val="000000" w:themeColor="text1"/>
          <w:sz w:val="22"/>
          <w:lang w:val="es-ES_tradnl"/>
        </w:rPr>
        <w:t xml:space="preserve"> Sin</w:t>
      </w:r>
      <w:r w:rsidR="009715D4" w:rsidRPr="0040093D">
        <w:rPr>
          <w:rFonts w:ascii="Arial" w:eastAsia="Calibri" w:hAnsi="Arial" w:cs="Arial"/>
          <w:color w:val="000000" w:themeColor="text1"/>
          <w:sz w:val="22"/>
          <w:lang w:val="es-ES_tradnl"/>
        </w:rPr>
        <w:t xml:space="preserve"> embargo, el fondo de la cuestión supone precisar si en los documentos tipo para la licitación de obra pública de</w:t>
      </w:r>
      <w:r w:rsidR="00933333" w:rsidRPr="0040093D">
        <w:rPr>
          <w:rFonts w:ascii="Arial" w:eastAsia="Calibri" w:hAnsi="Arial" w:cs="Arial"/>
          <w:color w:val="000000" w:themeColor="text1"/>
          <w:sz w:val="22"/>
          <w:lang w:val="es-ES_tradnl"/>
        </w:rPr>
        <w:t xml:space="preserve"> infraestructura de</w:t>
      </w:r>
      <w:r w:rsidR="009715D4" w:rsidRPr="0040093D">
        <w:rPr>
          <w:rFonts w:ascii="Arial" w:eastAsia="Calibri" w:hAnsi="Arial" w:cs="Arial"/>
          <w:color w:val="000000" w:themeColor="text1"/>
          <w:sz w:val="22"/>
          <w:lang w:val="es-ES_tradnl"/>
        </w:rPr>
        <w:t xml:space="preserve"> transporte</w:t>
      </w:r>
      <w:r w:rsidR="00933333" w:rsidRPr="0040093D">
        <w:rPr>
          <w:rFonts w:ascii="Arial" w:eastAsia="Calibri" w:hAnsi="Arial" w:cs="Arial"/>
          <w:color w:val="000000" w:themeColor="text1"/>
          <w:sz w:val="22"/>
          <w:lang w:val="es-ES_tradnl"/>
        </w:rPr>
        <w:t xml:space="preserve">, </w:t>
      </w:r>
      <w:r w:rsidR="007441A2" w:rsidRPr="0040093D">
        <w:rPr>
          <w:rFonts w:ascii="Arial" w:eastAsia="Calibri" w:hAnsi="Arial" w:cs="Arial"/>
          <w:color w:val="000000" w:themeColor="text1"/>
          <w:sz w:val="22"/>
          <w:lang w:val="es-ES_tradnl"/>
        </w:rPr>
        <w:t>especialmente para aquellos cuya publicidad se realiza a través de SECOP I,</w:t>
      </w:r>
      <w:r w:rsidR="009715D4" w:rsidRPr="0040093D">
        <w:rPr>
          <w:rFonts w:ascii="Arial" w:eastAsia="Calibri" w:hAnsi="Arial" w:cs="Arial"/>
          <w:color w:val="000000" w:themeColor="text1"/>
          <w:sz w:val="22"/>
          <w:lang w:val="es-ES_tradnl"/>
        </w:rPr>
        <w:t xml:space="preserve"> es posible subsan</w:t>
      </w:r>
      <w:r w:rsidR="00B203C9" w:rsidRPr="0040093D">
        <w:rPr>
          <w:rFonts w:ascii="Arial" w:eastAsia="Calibri" w:hAnsi="Arial" w:cs="Arial"/>
          <w:color w:val="000000" w:themeColor="text1"/>
          <w:sz w:val="22"/>
          <w:lang w:val="es-ES_tradnl"/>
        </w:rPr>
        <w:t>ar</w:t>
      </w:r>
      <w:r w:rsidR="009715D4" w:rsidRPr="0040093D">
        <w:rPr>
          <w:rFonts w:ascii="Arial" w:eastAsia="Calibri" w:hAnsi="Arial" w:cs="Arial"/>
          <w:color w:val="000000" w:themeColor="text1"/>
          <w:sz w:val="22"/>
          <w:lang w:val="es-ES_tradnl"/>
        </w:rPr>
        <w:t xml:space="preserve"> las propuestas a través de medios electrónicos, tema que se analizará en el siguiente apartado. </w:t>
      </w:r>
      <w:r w:rsidR="00211388" w:rsidRPr="0040093D">
        <w:rPr>
          <w:rFonts w:ascii="Arial" w:eastAsia="Calibri" w:hAnsi="Arial" w:cs="Arial"/>
          <w:color w:val="000000" w:themeColor="text1"/>
          <w:sz w:val="22"/>
          <w:lang w:val="es-ES_tradnl"/>
        </w:rPr>
        <w:t xml:space="preserve"> </w:t>
      </w:r>
    </w:p>
    <w:p w14:paraId="6C3C6091" w14:textId="77777777" w:rsidR="00F1108B" w:rsidRPr="0040093D" w:rsidRDefault="00F1108B" w:rsidP="00F1108B">
      <w:pPr>
        <w:spacing w:line="276" w:lineRule="auto"/>
        <w:jc w:val="both"/>
        <w:rPr>
          <w:rFonts w:ascii="Arial" w:eastAsia="Calibri" w:hAnsi="Arial" w:cs="Arial"/>
          <w:color w:val="000000" w:themeColor="text1"/>
          <w:sz w:val="22"/>
          <w:lang w:val="es-CO"/>
        </w:rPr>
      </w:pPr>
    </w:p>
    <w:p w14:paraId="635192B6" w14:textId="30CF4259" w:rsidR="00F1108B" w:rsidRPr="0040093D" w:rsidRDefault="00F1108B" w:rsidP="00F1108B">
      <w:pPr>
        <w:spacing w:line="276" w:lineRule="auto"/>
        <w:jc w:val="both"/>
        <w:rPr>
          <w:rFonts w:ascii="Arial" w:eastAsia="Calibri" w:hAnsi="Arial" w:cs="Arial"/>
          <w:b/>
          <w:bCs/>
          <w:color w:val="000000" w:themeColor="text1"/>
          <w:sz w:val="22"/>
          <w:lang w:val="es-ES_tradnl"/>
        </w:rPr>
      </w:pPr>
      <w:r w:rsidRPr="0040093D">
        <w:rPr>
          <w:rFonts w:ascii="Arial" w:eastAsia="Calibri" w:hAnsi="Arial" w:cs="Arial"/>
          <w:b/>
          <w:bCs/>
          <w:color w:val="000000" w:themeColor="text1"/>
          <w:sz w:val="22"/>
          <w:lang w:val="es-ES_tradnl"/>
        </w:rPr>
        <w:t xml:space="preserve">2.2. </w:t>
      </w:r>
      <w:r w:rsidR="00A668BA" w:rsidRPr="0040093D">
        <w:rPr>
          <w:rFonts w:ascii="Arial" w:eastAsia="Calibri" w:hAnsi="Arial" w:cs="Arial"/>
          <w:b/>
          <w:bCs/>
          <w:color w:val="000000" w:themeColor="text1"/>
          <w:sz w:val="22"/>
          <w:lang w:val="es-ES_tradnl"/>
        </w:rPr>
        <w:t xml:space="preserve">Medios electrónicos en la subsanación de las propuestas para los procesos de </w:t>
      </w:r>
      <w:r w:rsidR="007441A2" w:rsidRPr="0040093D">
        <w:rPr>
          <w:rFonts w:ascii="Arial" w:eastAsia="Calibri" w:hAnsi="Arial" w:cs="Arial"/>
          <w:b/>
          <w:bCs/>
          <w:color w:val="000000" w:themeColor="text1"/>
          <w:sz w:val="22"/>
          <w:lang w:val="es-ES_tradnl"/>
        </w:rPr>
        <w:t>selección</w:t>
      </w:r>
      <w:r w:rsidR="00A668BA" w:rsidRPr="0040093D">
        <w:rPr>
          <w:rFonts w:ascii="Arial" w:eastAsia="Calibri" w:hAnsi="Arial" w:cs="Arial"/>
          <w:b/>
          <w:bCs/>
          <w:color w:val="000000" w:themeColor="text1"/>
          <w:sz w:val="22"/>
          <w:lang w:val="es-ES_tradnl"/>
        </w:rPr>
        <w:t xml:space="preserve"> sometidos a documentos tipo</w:t>
      </w:r>
      <w:r w:rsidR="007441A2" w:rsidRPr="0040093D">
        <w:rPr>
          <w:rFonts w:ascii="Arial" w:eastAsia="Calibri" w:hAnsi="Arial" w:cs="Arial"/>
          <w:b/>
          <w:bCs/>
          <w:color w:val="000000" w:themeColor="text1"/>
          <w:sz w:val="22"/>
          <w:lang w:val="es-ES_tradnl"/>
        </w:rPr>
        <w:t xml:space="preserve"> en el SECOP I</w:t>
      </w:r>
    </w:p>
    <w:p w14:paraId="4B7629A8" w14:textId="77777777" w:rsidR="00F1108B" w:rsidRPr="0040093D" w:rsidRDefault="00F1108B" w:rsidP="00F1108B">
      <w:pPr>
        <w:spacing w:line="276" w:lineRule="auto"/>
        <w:jc w:val="both"/>
        <w:rPr>
          <w:rFonts w:ascii="Arial" w:eastAsia="Calibri" w:hAnsi="Arial" w:cs="Arial"/>
          <w:color w:val="000000" w:themeColor="text1"/>
          <w:sz w:val="22"/>
          <w:lang w:val="es-ES_tradnl"/>
        </w:rPr>
      </w:pPr>
    </w:p>
    <w:p w14:paraId="0C507D25" w14:textId="1BF69EAE" w:rsidR="008D69B1" w:rsidRPr="0040093D" w:rsidRDefault="00933333" w:rsidP="00F1108B">
      <w:pPr>
        <w:spacing w:line="276" w:lineRule="auto"/>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Teniendo en cuenta la fecha </w:t>
      </w:r>
      <w:r w:rsidR="00A8043B" w:rsidRPr="0040093D">
        <w:rPr>
          <w:rFonts w:ascii="Arial" w:eastAsia="Calibri" w:hAnsi="Arial" w:cs="Arial"/>
          <w:color w:val="000000" w:themeColor="text1"/>
          <w:sz w:val="22"/>
          <w:lang w:val="es-ES_tradnl"/>
        </w:rPr>
        <w:t>de</w:t>
      </w:r>
      <w:r w:rsidRPr="0040093D">
        <w:rPr>
          <w:rFonts w:ascii="Arial" w:eastAsia="Calibri" w:hAnsi="Arial" w:cs="Arial"/>
          <w:color w:val="000000" w:themeColor="text1"/>
          <w:sz w:val="22"/>
          <w:lang w:val="es-ES_tradnl"/>
        </w:rPr>
        <w:t xml:space="preserve"> la consulta, las inquietudes planteadas se responderán conforme a lo previsto en la </w:t>
      </w:r>
      <w:r w:rsidR="00A426F3" w:rsidRPr="0040093D">
        <w:rPr>
          <w:rFonts w:ascii="Arial" w:eastAsia="Calibri" w:hAnsi="Arial" w:cs="Arial"/>
          <w:color w:val="000000" w:themeColor="text1"/>
          <w:sz w:val="22"/>
          <w:lang w:val="es-ES_tradnl"/>
        </w:rPr>
        <w:t>V</w:t>
      </w:r>
      <w:r w:rsidRPr="0040093D">
        <w:rPr>
          <w:rFonts w:ascii="Arial" w:eastAsia="Calibri" w:hAnsi="Arial" w:cs="Arial"/>
          <w:color w:val="000000" w:themeColor="text1"/>
          <w:sz w:val="22"/>
          <w:lang w:val="es-ES_tradnl"/>
        </w:rPr>
        <w:t>ersión 1</w:t>
      </w:r>
      <w:r w:rsidR="007441A2" w:rsidRPr="0040093D">
        <w:rPr>
          <w:rFonts w:ascii="Arial" w:eastAsia="Calibri" w:hAnsi="Arial" w:cs="Arial"/>
          <w:color w:val="000000" w:themeColor="text1"/>
          <w:sz w:val="22"/>
          <w:lang w:val="es-ES_tradnl"/>
        </w:rPr>
        <w:t xml:space="preserve"> de</w:t>
      </w:r>
      <w:r w:rsidRPr="0040093D">
        <w:rPr>
          <w:rFonts w:ascii="Arial" w:eastAsia="Calibri" w:hAnsi="Arial" w:cs="Arial"/>
          <w:color w:val="000000" w:themeColor="text1"/>
          <w:sz w:val="22"/>
          <w:lang w:val="es-ES_tradnl"/>
        </w:rPr>
        <w:t xml:space="preserve"> </w:t>
      </w:r>
      <w:r w:rsidR="007441A2" w:rsidRPr="0040093D">
        <w:rPr>
          <w:rFonts w:ascii="Arial" w:eastAsia="Calibri" w:hAnsi="Arial" w:cs="Arial"/>
          <w:color w:val="000000" w:themeColor="text1"/>
          <w:sz w:val="22"/>
          <w:lang w:val="es-ES_tradnl"/>
        </w:rPr>
        <w:t xml:space="preserve">los documentos tipo para la licitación de obra pública de infraestructura de transporte, </w:t>
      </w:r>
      <w:bookmarkStart w:id="8" w:name="_Hlk34776965"/>
      <w:r w:rsidR="007441A2" w:rsidRPr="0040093D">
        <w:rPr>
          <w:rFonts w:ascii="Arial" w:eastAsia="Calibri" w:hAnsi="Arial" w:cs="Arial"/>
          <w:color w:val="000000" w:themeColor="text1"/>
          <w:sz w:val="22"/>
          <w:lang w:val="es-ES_tradnl"/>
        </w:rPr>
        <w:t xml:space="preserve">los cuales fueron </w:t>
      </w:r>
      <w:r w:rsidR="00A426F3" w:rsidRPr="0040093D">
        <w:rPr>
          <w:rFonts w:ascii="Arial" w:eastAsia="Calibri" w:hAnsi="Arial" w:cs="Arial"/>
          <w:color w:val="000000" w:themeColor="text1"/>
          <w:sz w:val="22"/>
          <w:lang w:val="es-ES_tradnl"/>
        </w:rPr>
        <w:t>adoptados</w:t>
      </w:r>
      <w:r w:rsidR="007441A2" w:rsidRPr="0040093D">
        <w:rPr>
          <w:rFonts w:ascii="Arial" w:eastAsia="Calibri" w:hAnsi="Arial" w:cs="Arial"/>
          <w:color w:val="000000" w:themeColor="text1"/>
          <w:sz w:val="22"/>
          <w:lang w:val="es-ES_tradnl"/>
        </w:rPr>
        <w:t xml:space="preserve"> a través de la Resolución No. 1798 del 1º de abril de 2019</w:t>
      </w:r>
      <w:r w:rsidR="008D69B1" w:rsidRPr="0040093D">
        <w:rPr>
          <w:rFonts w:ascii="Arial" w:eastAsia="Calibri" w:hAnsi="Arial" w:cs="Arial"/>
          <w:color w:val="000000" w:themeColor="text1"/>
          <w:sz w:val="22"/>
          <w:lang w:val="es-ES_tradnl"/>
        </w:rPr>
        <w:t xml:space="preserve">. </w:t>
      </w:r>
      <w:r w:rsidR="007B6EC8" w:rsidRPr="0040093D">
        <w:rPr>
          <w:rFonts w:ascii="Arial" w:eastAsia="Calibri" w:hAnsi="Arial" w:cs="Arial"/>
          <w:color w:val="000000" w:themeColor="text1"/>
          <w:sz w:val="22"/>
          <w:lang w:val="es-ES_tradnl"/>
        </w:rPr>
        <w:t xml:space="preserve">Para estos efectos, el </w:t>
      </w:r>
      <w:r w:rsidR="00BA1382" w:rsidRPr="0040093D">
        <w:rPr>
          <w:rFonts w:ascii="Arial" w:eastAsia="Calibri" w:hAnsi="Arial" w:cs="Arial"/>
          <w:color w:val="000000" w:themeColor="text1"/>
          <w:sz w:val="22"/>
          <w:lang w:val="es-ES_tradnl"/>
        </w:rPr>
        <w:t xml:space="preserve">numeral 1.6 del </w:t>
      </w:r>
      <w:r w:rsidR="007B6EC8" w:rsidRPr="0040093D">
        <w:rPr>
          <w:rFonts w:ascii="Arial" w:eastAsia="Calibri" w:hAnsi="Arial" w:cs="Arial"/>
          <w:color w:val="000000" w:themeColor="text1"/>
          <w:sz w:val="22"/>
          <w:lang w:val="es-ES_tradnl"/>
        </w:rPr>
        <w:t>pliego establece lo siguiente:</w:t>
      </w:r>
    </w:p>
    <w:bookmarkEnd w:id="8"/>
    <w:p w14:paraId="235DEC12" w14:textId="7EB53323" w:rsidR="007B6EC8" w:rsidRPr="0040093D" w:rsidRDefault="007B6EC8" w:rsidP="00213A1F">
      <w:pPr>
        <w:spacing w:line="276" w:lineRule="auto"/>
        <w:jc w:val="both"/>
        <w:rPr>
          <w:rFonts w:ascii="Arial" w:eastAsia="Calibri" w:hAnsi="Arial" w:cs="Arial"/>
          <w:color w:val="000000" w:themeColor="text1"/>
          <w:sz w:val="22"/>
          <w:lang w:val="es-ES_tradnl"/>
        </w:rPr>
      </w:pPr>
    </w:p>
    <w:p w14:paraId="447F3ADA" w14:textId="70C71BB8" w:rsidR="00BA1382" w:rsidRPr="0040093D" w:rsidRDefault="00BA1382" w:rsidP="00BA1382">
      <w:pPr>
        <w:ind w:left="709" w:right="709"/>
        <w:jc w:val="both"/>
        <w:rPr>
          <w:rFonts w:ascii="Arial" w:eastAsia="Calibri" w:hAnsi="Arial" w:cs="Arial"/>
          <w:color w:val="000000" w:themeColor="text1"/>
          <w:sz w:val="21"/>
          <w:szCs w:val="21"/>
          <w:lang w:val="es-ES_tradnl"/>
        </w:rPr>
      </w:pPr>
      <w:r w:rsidRPr="0040093D">
        <w:rPr>
          <w:rFonts w:ascii="Arial" w:eastAsia="Calibri" w:hAnsi="Arial" w:cs="Arial"/>
          <w:color w:val="000000" w:themeColor="text1"/>
          <w:sz w:val="21"/>
          <w:szCs w:val="21"/>
          <w:lang w:val="es-ES_tradnl"/>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05AEC494" w14:textId="77777777" w:rsidR="00BA1382" w:rsidRPr="0040093D" w:rsidRDefault="00BA1382" w:rsidP="00BA1382">
      <w:pPr>
        <w:ind w:left="709" w:right="709"/>
        <w:jc w:val="both"/>
        <w:rPr>
          <w:rFonts w:ascii="Arial" w:eastAsia="Calibri" w:hAnsi="Arial" w:cs="Arial"/>
          <w:color w:val="000000" w:themeColor="text1"/>
          <w:sz w:val="21"/>
          <w:szCs w:val="21"/>
          <w:lang w:val="es-ES_tradnl"/>
        </w:rPr>
      </w:pPr>
    </w:p>
    <w:p w14:paraId="6001948F" w14:textId="26B1E207" w:rsidR="00BA1382" w:rsidRPr="0040093D" w:rsidRDefault="00BA1382" w:rsidP="00BA1382">
      <w:pPr>
        <w:ind w:left="709" w:right="709"/>
        <w:jc w:val="both"/>
        <w:rPr>
          <w:rFonts w:ascii="Arial" w:eastAsia="Calibri" w:hAnsi="Arial" w:cs="Arial"/>
          <w:color w:val="000000" w:themeColor="text1"/>
          <w:sz w:val="21"/>
          <w:szCs w:val="21"/>
          <w:lang w:val="es-ES_tradnl"/>
        </w:rPr>
      </w:pPr>
      <w:bookmarkStart w:id="9" w:name="_Hlk34774743"/>
      <w:r w:rsidRPr="0040093D">
        <w:rPr>
          <w:rFonts w:ascii="Arial" w:eastAsia="Calibri" w:hAnsi="Arial" w:cs="Arial"/>
          <w:color w:val="000000" w:themeColor="text1"/>
          <w:sz w:val="21"/>
          <w:szCs w:val="21"/>
          <w:lang w:val="es-ES_tradnl"/>
        </w:rPr>
        <w:t>En caso de ser necesario, la Entidad deberá solicitar a los Proponentes, las aclaraciones, precisiones o solicitud de documentos que puedan ser subsanables. No obstante, los Proponentes no podrán completar, adicionar, modificar o mejorar sus propuestas</w:t>
      </w:r>
      <w:bookmarkEnd w:id="9"/>
      <w:r w:rsidRPr="0040093D">
        <w:rPr>
          <w:rFonts w:ascii="Arial" w:eastAsia="Calibri" w:hAnsi="Arial" w:cs="Arial"/>
          <w:color w:val="000000" w:themeColor="text1"/>
          <w:sz w:val="21"/>
          <w:szCs w:val="21"/>
          <w:lang w:val="es-ES_tradnl"/>
        </w:rPr>
        <w:t>».</w:t>
      </w:r>
    </w:p>
    <w:p w14:paraId="1CB812C5" w14:textId="77777777" w:rsidR="00BA1382" w:rsidRPr="0040093D" w:rsidRDefault="00BA1382" w:rsidP="00BA1382">
      <w:pPr>
        <w:ind w:left="709" w:right="709"/>
        <w:jc w:val="both"/>
        <w:rPr>
          <w:rFonts w:ascii="Arial" w:eastAsia="Calibri" w:hAnsi="Arial" w:cs="Arial"/>
          <w:color w:val="000000" w:themeColor="text1"/>
          <w:sz w:val="21"/>
          <w:szCs w:val="21"/>
          <w:lang w:val="es-ES_tradnl"/>
        </w:rPr>
      </w:pPr>
    </w:p>
    <w:p w14:paraId="37AD2A36" w14:textId="51972F5F" w:rsidR="00BA1382" w:rsidRPr="0040093D" w:rsidRDefault="00BA1382" w:rsidP="00BA1382">
      <w:pPr>
        <w:ind w:left="709" w:right="709"/>
        <w:jc w:val="both"/>
        <w:rPr>
          <w:rFonts w:ascii="Arial" w:eastAsia="Calibri" w:hAnsi="Arial" w:cs="Arial"/>
          <w:color w:val="000000" w:themeColor="text1"/>
          <w:sz w:val="21"/>
          <w:szCs w:val="21"/>
          <w:lang w:val="es-ES_tradnl"/>
        </w:rPr>
      </w:pPr>
      <w:bookmarkStart w:id="10" w:name="_Hlk34774275"/>
      <w:r w:rsidRPr="0040093D">
        <w:rPr>
          <w:rFonts w:ascii="Arial" w:eastAsia="Calibri" w:hAnsi="Arial" w:cs="Arial"/>
          <w:color w:val="000000" w:themeColor="text1"/>
          <w:sz w:val="21"/>
          <w:szCs w:val="21"/>
          <w:lang w:val="es-ES_tradnl"/>
        </w:rPr>
        <w:t>Los Proponentes deberán allegar las aclaraciones o documentos requeridos hasta el término de traslado del informe de evaluación</w:t>
      </w:r>
      <w:bookmarkEnd w:id="10"/>
      <w:r w:rsidRPr="0040093D">
        <w:rPr>
          <w:rFonts w:ascii="Arial" w:eastAsia="Calibri" w:hAnsi="Arial" w:cs="Arial"/>
          <w:color w:val="000000" w:themeColor="text1"/>
          <w:sz w:val="21"/>
          <w:szCs w:val="21"/>
          <w:lang w:val="es-ES_tradnl"/>
        </w:rPr>
        <w:t xml:space="preserve">. </w:t>
      </w:r>
    </w:p>
    <w:p w14:paraId="5CB4E176" w14:textId="77777777" w:rsidR="00BA1382" w:rsidRPr="0040093D" w:rsidRDefault="00BA1382" w:rsidP="00BA1382">
      <w:pPr>
        <w:ind w:left="709" w:right="709"/>
        <w:jc w:val="both"/>
        <w:rPr>
          <w:rFonts w:ascii="Arial" w:eastAsia="Calibri" w:hAnsi="Arial" w:cs="Arial"/>
          <w:color w:val="000000" w:themeColor="text1"/>
          <w:sz w:val="21"/>
          <w:szCs w:val="21"/>
          <w:lang w:val="es-ES_tradnl"/>
        </w:rPr>
      </w:pPr>
    </w:p>
    <w:p w14:paraId="0939218D" w14:textId="35DEA76A" w:rsidR="00BA1382" w:rsidRPr="0040093D" w:rsidRDefault="00BA1382" w:rsidP="00BA1382">
      <w:pPr>
        <w:ind w:left="709" w:right="709"/>
        <w:jc w:val="both"/>
        <w:rPr>
          <w:rFonts w:ascii="Arial" w:eastAsia="Calibri" w:hAnsi="Arial" w:cs="Arial"/>
          <w:color w:val="000000" w:themeColor="text1"/>
          <w:sz w:val="21"/>
          <w:szCs w:val="21"/>
          <w:lang w:val="es-ES_tradnl"/>
        </w:rPr>
      </w:pPr>
      <w:r w:rsidRPr="0040093D">
        <w:rPr>
          <w:rFonts w:ascii="Arial" w:eastAsia="Calibri" w:hAnsi="Arial" w:cs="Arial"/>
          <w:color w:val="000000" w:themeColor="text1"/>
          <w:sz w:val="21"/>
          <w:szCs w:val="21"/>
          <w:lang w:val="es-ES_tradnl"/>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14:paraId="223A5A2A" w14:textId="77777777" w:rsidR="00BA1382" w:rsidRPr="0040093D" w:rsidRDefault="00BA1382" w:rsidP="00BA1382">
      <w:pPr>
        <w:ind w:left="709" w:right="709"/>
        <w:jc w:val="both"/>
        <w:rPr>
          <w:rFonts w:ascii="Arial" w:eastAsia="Calibri" w:hAnsi="Arial" w:cs="Arial"/>
          <w:color w:val="000000" w:themeColor="text1"/>
          <w:sz w:val="21"/>
          <w:szCs w:val="21"/>
          <w:lang w:val="es-ES_tradnl"/>
        </w:rPr>
      </w:pPr>
    </w:p>
    <w:p w14:paraId="6FC8E015" w14:textId="39C9597C" w:rsidR="00BA1382" w:rsidRPr="0040093D" w:rsidRDefault="00BA1382" w:rsidP="00BA1382">
      <w:pPr>
        <w:ind w:left="709" w:right="709"/>
        <w:jc w:val="both"/>
        <w:rPr>
          <w:rFonts w:ascii="Arial" w:eastAsia="Calibri" w:hAnsi="Arial" w:cs="Arial"/>
          <w:color w:val="000000" w:themeColor="text1"/>
          <w:sz w:val="21"/>
          <w:szCs w:val="21"/>
          <w:lang w:val="es-ES_tradnl"/>
        </w:rPr>
      </w:pPr>
      <w:r w:rsidRPr="0040093D">
        <w:rPr>
          <w:rFonts w:ascii="Arial" w:eastAsia="Calibri" w:hAnsi="Arial" w:cs="Arial"/>
          <w:color w:val="000000" w:themeColor="text1"/>
          <w:sz w:val="21"/>
          <w:szCs w:val="21"/>
          <w:lang w:val="es-ES_tradnl"/>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4DEAD107" w14:textId="77777777" w:rsidR="008A796E" w:rsidRPr="0040093D" w:rsidRDefault="008A796E" w:rsidP="00BA1382">
      <w:pPr>
        <w:ind w:left="709" w:right="709"/>
        <w:jc w:val="both"/>
        <w:rPr>
          <w:rFonts w:ascii="Arial" w:eastAsia="Calibri" w:hAnsi="Arial" w:cs="Arial"/>
          <w:color w:val="000000" w:themeColor="text1"/>
          <w:sz w:val="21"/>
          <w:szCs w:val="21"/>
          <w:lang w:val="es-ES_tradnl"/>
        </w:rPr>
      </w:pPr>
    </w:p>
    <w:p w14:paraId="2D8B568B" w14:textId="217F566F" w:rsidR="00BA1382" w:rsidRPr="0040093D" w:rsidRDefault="00BA1382" w:rsidP="00BA1382">
      <w:pPr>
        <w:ind w:left="709" w:right="709"/>
        <w:jc w:val="both"/>
        <w:rPr>
          <w:rFonts w:ascii="Arial" w:eastAsia="Calibri" w:hAnsi="Arial" w:cs="Arial"/>
          <w:color w:val="000000" w:themeColor="text1"/>
          <w:sz w:val="21"/>
          <w:szCs w:val="21"/>
          <w:lang w:val="es-ES_tradnl"/>
        </w:rPr>
      </w:pPr>
      <w:r w:rsidRPr="0040093D">
        <w:rPr>
          <w:rFonts w:ascii="Arial" w:eastAsia="Calibri" w:hAnsi="Arial" w:cs="Arial"/>
          <w:color w:val="000000" w:themeColor="text1"/>
          <w:sz w:val="21"/>
          <w:szCs w:val="21"/>
          <w:lang w:val="es-ES_tradnl"/>
        </w:rPr>
        <w:t>En virtud del principio de Buena Fe, los Proponentes que presenten observaciones al proceso o a las ofertas y conductas de los demás oferentes deberán justificar y demostrar la procedencia y oportunidad de estas.</w:t>
      </w:r>
    </w:p>
    <w:p w14:paraId="3ED9FD20" w14:textId="77777777" w:rsidR="00BA1382" w:rsidRPr="0040093D" w:rsidRDefault="00BA1382" w:rsidP="00BA1382">
      <w:pPr>
        <w:spacing w:line="276" w:lineRule="auto"/>
        <w:jc w:val="both"/>
        <w:rPr>
          <w:rFonts w:ascii="Arial" w:eastAsia="Calibri" w:hAnsi="Arial" w:cs="Arial"/>
          <w:color w:val="000000" w:themeColor="text1"/>
          <w:sz w:val="22"/>
          <w:lang w:val="es-ES_tradnl"/>
        </w:rPr>
      </w:pPr>
    </w:p>
    <w:p w14:paraId="7D970F5C" w14:textId="4677CE8B" w:rsidR="007473B9" w:rsidRPr="0040093D" w:rsidRDefault="00331932" w:rsidP="007473B9">
      <w:pPr>
        <w:spacing w:line="276" w:lineRule="auto"/>
        <w:ind w:firstLine="708"/>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A partir de</w:t>
      </w:r>
      <w:r w:rsidR="000C639D" w:rsidRPr="0040093D">
        <w:rPr>
          <w:rFonts w:ascii="Arial" w:eastAsia="Calibri" w:hAnsi="Arial" w:cs="Arial"/>
          <w:color w:val="000000" w:themeColor="text1"/>
          <w:sz w:val="22"/>
          <w:lang w:val="es-ES_tradnl"/>
        </w:rPr>
        <w:t xml:space="preserve"> una </w:t>
      </w:r>
      <w:r w:rsidR="000C639D" w:rsidRPr="0040093D">
        <w:rPr>
          <w:rFonts w:ascii="Arial" w:eastAsia="Calibri" w:hAnsi="Arial" w:cs="Arial"/>
          <w:i/>
          <w:color w:val="000000" w:themeColor="text1"/>
          <w:sz w:val="22"/>
          <w:lang w:val="es-ES_tradnl"/>
        </w:rPr>
        <w:t>interpretación estricta</w:t>
      </w:r>
      <w:r w:rsidR="008A796E" w:rsidRPr="0040093D">
        <w:rPr>
          <w:rFonts w:ascii="Arial" w:eastAsia="Calibri" w:hAnsi="Arial" w:cs="Arial"/>
          <w:color w:val="000000" w:themeColor="text1"/>
          <w:sz w:val="22"/>
          <w:lang w:val="es-ES_tradnl"/>
        </w:rPr>
        <w:t>,</w:t>
      </w:r>
      <w:r w:rsidR="00E109DD" w:rsidRPr="0040093D">
        <w:rPr>
          <w:rFonts w:ascii="Arial" w:eastAsia="Calibri" w:hAnsi="Arial" w:cs="Arial"/>
          <w:color w:val="000000" w:themeColor="text1"/>
          <w:sz w:val="22"/>
          <w:lang w:val="es-ES_tradnl"/>
        </w:rPr>
        <w:t xml:space="preserve"> </w:t>
      </w:r>
      <w:r w:rsidR="00BA1382" w:rsidRPr="0040093D">
        <w:rPr>
          <w:rFonts w:ascii="Arial" w:eastAsia="Calibri" w:hAnsi="Arial" w:cs="Arial"/>
          <w:color w:val="000000" w:themeColor="text1"/>
          <w:sz w:val="22"/>
          <w:lang w:val="es-ES_tradnl"/>
        </w:rPr>
        <w:t>el pliego no estableció expresamente la posibilidad de subsanar documentos habilitantes por medio de correo electrónico</w:t>
      </w:r>
      <w:r w:rsidRPr="0040093D">
        <w:rPr>
          <w:rFonts w:ascii="Arial" w:eastAsia="Calibri" w:hAnsi="Arial" w:cs="Arial"/>
          <w:color w:val="000000" w:themeColor="text1"/>
          <w:sz w:val="22"/>
          <w:lang w:val="es-ES_tradnl"/>
        </w:rPr>
        <w:t>,</w:t>
      </w:r>
      <w:r w:rsidR="00BA1382" w:rsidRPr="0040093D">
        <w:rPr>
          <w:rFonts w:ascii="Arial" w:eastAsia="Calibri" w:hAnsi="Arial" w:cs="Arial"/>
          <w:color w:val="000000" w:themeColor="text1"/>
          <w:sz w:val="22"/>
          <w:lang w:val="es-ES_tradnl"/>
        </w:rPr>
        <w:t xml:space="preserve"> razón por la cual, </w:t>
      </w:r>
      <w:r w:rsidR="00D75E99" w:rsidRPr="0040093D">
        <w:rPr>
          <w:rFonts w:ascii="Arial" w:eastAsia="Calibri" w:hAnsi="Arial" w:cs="Arial"/>
          <w:color w:val="000000" w:themeColor="text1"/>
          <w:sz w:val="22"/>
          <w:lang w:val="es-ES_tradnl"/>
        </w:rPr>
        <w:t>como sucede con la entrega de los documentos que conforman la</w:t>
      </w:r>
      <w:r w:rsidR="00BA1382" w:rsidRPr="0040093D">
        <w:rPr>
          <w:rFonts w:ascii="Arial" w:eastAsia="Calibri" w:hAnsi="Arial" w:cs="Arial"/>
          <w:color w:val="000000" w:themeColor="text1"/>
          <w:sz w:val="22"/>
          <w:lang w:val="es-ES_tradnl"/>
        </w:rPr>
        <w:t xml:space="preserve"> propuesta, </w:t>
      </w:r>
      <w:r w:rsidR="008A796E" w:rsidRPr="0040093D">
        <w:rPr>
          <w:rFonts w:ascii="Arial" w:eastAsia="Calibri" w:hAnsi="Arial" w:cs="Arial"/>
          <w:color w:val="000000" w:themeColor="text1"/>
          <w:sz w:val="22"/>
          <w:lang w:val="es-ES_tradnl"/>
        </w:rPr>
        <w:t xml:space="preserve">deberían </w:t>
      </w:r>
      <w:r w:rsidR="00AD6236" w:rsidRPr="0040093D">
        <w:rPr>
          <w:rFonts w:ascii="Arial" w:eastAsia="Calibri" w:hAnsi="Arial" w:cs="Arial"/>
          <w:color w:val="000000" w:themeColor="text1"/>
          <w:sz w:val="22"/>
          <w:lang w:val="es-ES_tradnl"/>
        </w:rPr>
        <w:t>enviarse</w:t>
      </w:r>
      <w:r w:rsidR="00BA1382" w:rsidRPr="0040093D">
        <w:rPr>
          <w:rFonts w:ascii="Arial" w:eastAsia="Calibri" w:hAnsi="Arial" w:cs="Arial"/>
          <w:color w:val="000000" w:themeColor="text1"/>
          <w:sz w:val="22"/>
          <w:lang w:val="es-ES_tradnl"/>
        </w:rPr>
        <w:t xml:space="preserve"> físicamente a la entidad</w:t>
      </w:r>
      <w:r w:rsidR="00AF26CF" w:rsidRPr="0040093D">
        <w:rPr>
          <w:rFonts w:ascii="Arial" w:eastAsia="Calibri" w:hAnsi="Arial" w:cs="Arial"/>
          <w:color w:val="000000" w:themeColor="text1"/>
          <w:sz w:val="22"/>
          <w:lang w:val="es-ES_tradnl"/>
        </w:rPr>
        <w:t xml:space="preserve">. Esta precisión </w:t>
      </w:r>
      <w:r w:rsidR="008A796E" w:rsidRPr="0040093D">
        <w:rPr>
          <w:rFonts w:ascii="Arial" w:eastAsia="Calibri" w:hAnsi="Arial" w:cs="Arial"/>
          <w:color w:val="000000" w:themeColor="text1"/>
          <w:sz w:val="22"/>
          <w:lang w:val="es-ES_tradnl"/>
        </w:rPr>
        <w:t>sería</w:t>
      </w:r>
      <w:r w:rsidR="00AF26CF" w:rsidRPr="0040093D">
        <w:rPr>
          <w:rFonts w:ascii="Arial" w:eastAsia="Calibri" w:hAnsi="Arial" w:cs="Arial"/>
          <w:color w:val="000000" w:themeColor="text1"/>
          <w:sz w:val="22"/>
          <w:lang w:val="es-ES_tradnl"/>
        </w:rPr>
        <w:t xml:space="preserve"> importante para quienes realizan la publicidad del proceso de selección a través del SECOP I, ya que el numeral 2.3 del pliego señala que «Para las Entidades que utilicen SECOP II la presentación de la oferta deberá adaptarse a las condiciones de la plataforma y no será posible presentar documentos en físico».</w:t>
      </w:r>
      <w:r w:rsidR="00BA1382" w:rsidRPr="0040093D">
        <w:rPr>
          <w:rFonts w:ascii="Arial" w:eastAsia="Calibri" w:hAnsi="Arial" w:cs="Arial"/>
          <w:color w:val="000000" w:themeColor="text1"/>
          <w:sz w:val="22"/>
          <w:lang w:val="es-ES_tradnl"/>
        </w:rPr>
        <w:t xml:space="preserve"> </w:t>
      </w:r>
      <w:r w:rsidR="00773BC8" w:rsidRPr="0040093D">
        <w:rPr>
          <w:rFonts w:ascii="Arial" w:eastAsia="Calibri" w:hAnsi="Arial" w:cs="Arial"/>
          <w:color w:val="000000" w:themeColor="text1"/>
          <w:sz w:val="22"/>
          <w:lang w:val="es-ES_tradnl"/>
        </w:rPr>
        <w:t>De esta manera</w:t>
      </w:r>
      <w:r w:rsidR="00D75E99" w:rsidRPr="0040093D">
        <w:rPr>
          <w:rFonts w:ascii="Arial" w:eastAsia="Calibri" w:hAnsi="Arial" w:cs="Arial"/>
          <w:color w:val="000000" w:themeColor="text1"/>
          <w:sz w:val="22"/>
          <w:lang w:val="es-ES_tradnl"/>
        </w:rPr>
        <w:t>, conforme al numeral 1.3</w:t>
      </w:r>
      <w:r w:rsidR="008E7D6E" w:rsidRPr="0040093D">
        <w:rPr>
          <w:rFonts w:ascii="Arial" w:eastAsia="Calibri" w:hAnsi="Arial" w:cs="Arial"/>
          <w:color w:val="000000" w:themeColor="text1"/>
          <w:sz w:val="22"/>
          <w:lang w:val="es-ES_tradnl"/>
        </w:rPr>
        <w:t xml:space="preserve"> del pliego</w:t>
      </w:r>
      <w:r w:rsidR="00D75E99" w:rsidRPr="0040093D">
        <w:rPr>
          <w:rFonts w:ascii="Arial" w:eastAsia="Calibri" w:hAnsi="Arial" w:cs="Arial"/>
          <w:color w:val="000000" w:themeColor="text1"/>
          <w:sz w:val="22"/>
          <w:lang w:val="es-ES_tradnl"/>
        </w:rPr>
        <w:t>, la utilización de estos medios se restringiría</w:t>
      </w:r>
      <w:r w:rsidR="00773BC8" w:rsidRPr="0040093D">
        <w:rPr>
          <w:rFonts w:ascii="Arial" w:eastAsia="Calibri" w:hAnsi="Arial" w:cs="Arial"/>
          <w:color w:val="000000" w:themeColor="text1"/>
          <w:sz w:val="22"/>
          <w:lang w:val="es-ES_tradnl"/>
        </w:rPr>
        <w:t xml:space="preserve"> únicamente</w:t>
      </w:r>
      <w:r w:rsidR="00D75E99" w:rsidRPr="0040093D">
        <w:rPr>
          <w:rFonts w:ascii="Arial" w:eastAsia="Calibri" w:hAnsi="Arial" w:cs="Arial"/>
          <w:color w:val="000000" w:themeColor="text1"/>
          <w:sz w:val="22"/>
          <w:lang w:val="es-ES_tradnl"/>
        </w:rPr>
        <w:t xml:space="preserve"> a la realización de observaciones al proceso de selección.</w:t>
      </w:r>
      <w:r w:rsidR="00DC0954" w:rsidRPr="0040093D">
        <w:rPr>
          <w:rFonts w:ascii="Arial" w:eastAsia="Calibri" w:hAnsi="Arial" w:cs="Arial"/>
          <w:color w:val="000000" w:themeColor="text1"/>
          <w:sz w:val="22"/>
          <w:lang w:val="es-ES_tradnl"/>
        </w:rPr>
        <w:t xml:space="preserve"> </w:t>
      </w:r>
      <w:r w:rsidR="0033092C" w:rsidRPr="0040093D">
        <w:rPr>
          <w:rFonts w:ascii="Arial" w:eastAsia="Calibri" w:hAnsi="Arial" w:cs="Arial"/>
          <w:color w:val="000000" w:themeColor="text1"/>
          <w:sz w:val="22"/>
          <w:lang w:val="es-ES_tradnl"/>
        </w:rPr>
        <w:t>No obstante</w:t>
      </w:r>
      <w:r w:rsidR="008E7D6E" w:rsidRPr="0040093D">
        <w:rPr>
          <w:rFonts w:ascii="Arial" w:eastAsia="Calibri" w:hAnsi="Arial" w:cs="Arial"/>
          <w:color w:val="000000" w:themeColor="text1"/>
          <w:sz w:val="22"/>
          <w:lang w:val="es-ES_tradnl"/>
        </w:rPr>
        <w:t>,</w:t>
      </w:r>
      <w:r w:rsidR="000C639D" w:rsidRPr="0040093D">
        <w:rPr>
          <w:rFonts w:ascii="Arial" w:eastAsia="Calibri" w:hAnsi="Arial" w:cs="Arial"/>
          <w:color w:val="000000" w:themeColor="text1"/>
          <w:sz w:val="22"/>
          <w:lang w:val="es-ES_tradnl"/>
        </w:rPr>
        <w:t xml:space="preserve"> </w:t>
      </w:r>
      <w:bookmarkStart w:id="11" w:name="_Hlk35431478"/>
      <w:r w:rsidR="000C639D" w:rsidRPr="0040093D">
        <w:rPr>
          <w:rFonts w:ascii="Arial" w:eastAsia="Calibri" w:hAnsi="Arial" w:cs="Arial"/>
          <w:color w:val="000000" w:themeColor="text1"/>
          <w:sz w:val="22"/>
          <w:lang w:val="es-ES_tradnl"/>
        </w:rPr>
        <w:t xml:space="preserve">una </w:t>
      </w:r>
      <w:r w:rsidR="000C639D" w:rsidRPr="0040093D">
        <w:rPr>
          <w:rFonts w:ascii="Arial" w:eastAsia="Calibri" w:hAnsi="Arial" w:cs="Arial"/>
          <w:i/>
          <w:color w:val="000000" w:themeColor="text1"/>
          <w:sz w:val="22"/>
          <w:lang w:val="es-ES_tradnl"/>
        </w:rPr>
        <w:t>interpretación sistemática</w:t>
      </w:r>
      <w:r w:rsidR="004808DE" w:rsidRPr="0040093D">
        <w:rPr>
          <w:rFonts w:ascii="Arial" w:eastAsia="Calibri" w:hAnsi="Arial" w:cs="Arial"/>
          <w:color w:val="000000" w:themeColor="text1"/>
          <w:sz w:val="22"/>
          <w:lang w:val="es-ES_tradnl"/>
        </w:rPr>
        <w:t xml:space="preserve"> </w:t>
      </w:r>
      <w:r w:rsidR="00AD6236" w:rsidRPr="0040093D">
        <w:rPr>
          <w:rFonts w:ascii="Arial" w:eastAsia="Calibri" w:hAnsi="Arial" w:cs="Arial"/>
          <w:color w:val="000000" w:themeColor="text1"/>
          <w:sz w:val="22"/>
          <w:lang w:val="es-ES_tradnl"/>
        </w:rPr>
        <w:t>apoya</w:t>
      </w:r>
      <w:r w:rsidR="008E7D6E" w:rsidRPr="0040093D">
        <w:rPr>
          <w:rFonts w:ascii="Arial" w:eastAsia="Calibri" w:hAnsi="Arial" w:cs="Arial"/>
          <w:color w:val="000000" w:themeColor="text1"/>
          <w:sz w:val="22"/>
          <w:lang w:val="es-ES_tradnl"/>
        </w:rPr>
        <w:t xml:space="preserve"> la posibilidad de subsanar electrónicamente los requisitos habilitantes, pues </w:t>
      </w:r>
      <w:r w:rsidR="00E109DD" w:rsidRPr="0040093D">
        <w:rPr>
          <w:rFonts w:ascii="Arial" w:eastAsia="Calibri" w:hAnsi="Arial" w:cs="Arial"/>
          <w:color w:val="000000" w:themeColor="text1"/>
          <w:sz w:val="22"/>
          <w:lang w:val="es-ES_tradnl"/>
        </w:rPr>
        <w:t>–más allá</w:t>
      </w:r>
      <w:r w:rsidR="008E7D6E" w:rsidRPr="0040093D">
        <w:rPr>
          <w:rFonts w:ascii="Arial" w:eastAsia="Calibri" w:hAnsi="Arial" w:cs="Arial"/>
          <w:color w:val="000000" w:themeColor="text1"/>
          <w:sz w:val="22"/>
          <w:lang w:val="es-ES_tradnl"/>
        </w:rPr>
        <w:t xml:space="preserve"> de la</w:t>
      </w:r>
      <w:r w:rsidR="0033092C" w:rsidRPr="0040093D">
        <w:rPr>
          <w:rFonts w:ascii="Arial" w:eastAsia="Calibri" w:hAnsi="Arial" w:cs="Arial"/>
          <w:color w:val="000000" w:themeColor="text1"/>
          <w:sz w:val="22"/>
          <w:lang w:val="es-ES_tradnl"/>
        </w:rPr>
        <w:t xml:space="preserve"> </w:t>
      </w:r>
      <w:r w:rsidR="0033092C" w:rsidRPr="0040093D">
        <w:rPr>
          <w:rFonts w:ascii="Arial" w:eastAsia="Calibri" w:hAnsi="Arial" w:cs="Arial"/>
          <w:i/>
          <w:color w:val="000000" w:themeColor="text1"/>
          <w:sz w:val="22"/>
          <w:lang w:val="es-ES_tradnl"/>
        </w:rPr>
        <w:t xml:space="preserve">interpretación estricta </w:t>
      </w:r>
      <w:r w:rsidR="0033092C" w:rsidRPr="0040093D">
        <w:rPr>
          <w:rFonts w:ascii="Arial" w:eastAsia="Calibri" w:hAnsi="Arial" w:cs="Arial"/>
          <w:iCs/>
          <w:color w:val="000000" w:themeColor="text1"/>
          <w:sz w:val="22"/>
          <w:lang w:val="es-ES_tradnl"/>
        </w:rPr>
        <w:t>del pliego tipo</w:t>
      </w:r>
      <w:r w:rsidR="00E109DD" w:rsidRPr="0040093D">
        <w:rPr>
          <w:rFonts w:ascii="Arial" w:eastAsia="Calibri" w:hAnsi="Arial" w:cs="Arial"/>
          <w:color w:val="000000" w:themeColor="text1"/>
          <w:sz w:val="22"/>
          <w:lang w:val="es-ES_tradnl"/>
        </w:rPr>
        <w:t>– estos documentos</w:t>
      </w:r>
      <w:r w:rsidR="008E7D6E" w:rsidRPr="0040093D">
        <w:rPr>
          <w:rFonts w:ascii="Arial" w:eastAsia="Calibri" w:hAnsi="Arial" w:cs="Arial"/>
          <w:color w:val="000000" w:themeColor="text1"/>
          <w:sz w:val="22"/>
          <w:lang w:val="es-ES_tradnl"/>
        </w:rPr>
        <w:t xml:space="preserve"> deben integrarse con las</w:t>
      </w:r>
      <w:r w:rsidR="00E109DD" w:rsidRPr="0040093D">
        <w:rPr>
          <w:rFonts w:ascii="Arial" w:eastAsia="Calibri" w:hAnsi="Arial" w:cs="Arial"/>
          <w:color w:val="000000" w:themeColor="text1"/>
          <w:sz w:val="22"/>
          <w:lang w:val="es-ES_tradnl"/>
        </w:rPr>
        <w:t xml:space="preserve"> demás</w:t>
      </w:r>
      <w:r w:rsidR="008E7D6E" w:rsidRPr="0040093D">
        <w:rPr>
          <w:rFonts w:ascii="Arial" w:eastAsia="Calibri" w:hAnsi="Arial" w:cs="Arial"/>
          <w:color w:val="000000" w:themeColor="text1"/>
          <w:sz w:val="22"/>
          <w:lang w:val="es-ES_tradnl"/>
        </w:rPr>
        <w:t xml:space="preserve"> normas que regulan la materia. </w:t>
      </w:r>
      <w:r w:rsidR="007473B9" w:rsidRPr="0040093D">
        <w:rPr>
          <w:rFonts w:ascii="Arial" w:eastAsia="Calibri" w:hAnsi="Arial" w:cs="Arial"/>
          <w:color w:val="000000" w:themeColor="text1"/>
          <w:sz w:val="22"/>
          <w:lang w:val="es-ES_tradnl"/>
        </w:rPr>
        <w:t>No en vano la Corte Constitucional entiende que:</w:t>
      </w:r>
    </w:p>
    <w:p w14:paraId="265F0D87" w14:textId="77777777" w:rsidR="00D422DB" w:rsidRPr="0040093D" w:rsidRDefault="00D422DB" w:rsidP="007473B9">
      <w:pPr>
        <w:spacing w:line="276" w:lineRule="auto"/>
        <w:ind w:firstLine="708"/>
        <w:jc w:val="both"/>
        <w:rPr>
          <w:rFonts w:ascii="Arial" w:eastAsia="Calibri" w:hAnsi="Arial" w:cs="Arial"/>
          <w:color w:val="000000" w:themeColor="text1"/>
          <w:sz w:val="22"/>
          <w:lang w:val="es-ES_tradnl"/>
        </w:rPr>
      </w:pPr>
    </w:p>
    <w:p w14:paraId="1C50F29F" w14:textId="52B5B105" w:rsidR="007473B9" w:rsidRPr="0040093D" w:rsidRDefault="007473B9" w:rsidP="007473B9">
      <w:pPr>
        <w:ind w:left="709" w:right="709"/>
        <w:jc w:val="both"/>
        <w:rPr>
          <w:rFonts w:ascii="Arial" w:eastAsia="Calibri" w:hAnsi="Arial" w:cs="Arial"/>
          <w:color w:val="000000" w:themeColor="text1"/>
          <w:sz w:val="21"/>
          <w:szCs w:val="21"/>
          <w:lang w:val="es-ES_tradnl"/>
        </w:rPr>
      </w:pPr>
      <w:r w:rsidRPr="0040093D">
        <w:rPr>
          <w:rFonts w:ascii="Arial" w:eastAsia="Calibri" w:hAnsi="Arial" w:cs="Arial"/>
          <w:color w:val="000000" w:themeColor="text1"/>
          <w:sz w:val="21"/>
          <w:szCs w:val="21"/>
          <w:lang w:val="es-ES_tradnl"/>
        </w:rPr>
        <w:t xml:space="preserve">«[…] las normas que regulen el intercambio electrónico de informaciones a través de sistemas </w:t>
      </w:r>
      <w:proofErr w:type="gramStart"/>
      <w:r w:rsidRPr="0040093D">
        <w:rPr>
          <w:rFonts w:ascii="Arial" w:eastAsia="Calibri" w:hAnsi="Arial" w:cs="Arial"/>
          <w:color w:val="000000" w:themeColor="text1"/>
          <w:sz w:val="21"/>
          <w:szCs w:val="21"/>
          <w:lang w:val="es-ES_tradnl"/>
        </w:rPr>
        <w:t>electrónicos,</w:t>
      </w:r>
      <w:proofErr w:type="gramEnd"/>
      <w:r w:rsidRPr="0040093D">
        <w:rPr>
          <w:rFonts w:ascii="Arial" w:eastAsia="Calibri" w:hAnsi="Arial" w:cs="Arial"/>
          <w:color w:val="000000" w:themeColor="text1"/>
          <w:sz w:val="21"/>
          <w:szCs w:val="21"/>
          <w:lang w:val="es-ES_tradnl"/>
        </w:rPr>
        <w:t xml:space="preserve"> responden a la necesidad ineludible de actualizar los regímenes jurídicos al avance de las tecnologías de la información.  Así, la incorporación de sistemas automatizados de información en las diferentes instancias de la actuación del Estado y de los particulares, exige un marco normativo que responda eficazmente “a las exigencias planteadas por la creciente globalización de los asuntos pues, es indudable que los avances tecnológicos en materia de intercambio electrónico de datos ha propiciado el desarrollo de esta tendencia en todos los órdenes, lo cual, desde luego, implica hacer las adecuaciones en los regímenes que sean necesarias para que estén acordes con las transformaciones que han tenido lugar en la organización social, económica y empresarial, a nivel mundial, regional, local, nacional, social y aún personal»</w:t>
      </w:r>
      <w:r w:rsidRPr="0040093D">
        <w:rPr>
          <w:rStyle w:val="FootnoteReference"/>
          <w:rFonts w:ascii="Arial" w:eastAsia="Calibri" w:hAnsi="Arial" w:cs="Arial"/>
          <w:color w:val="000000" w:themeColor="text1"/>
          <w:sz w:val="21"/>
          <w:szCs w:val="21"/>
          <w:lang w:val="es-ES_tradnl"/>
        </w:rPr>
        <w:footnoteReference w:id="9"/>
      </w:r>
      <w:r w:rsidRPr="0040093D">
        <w:rPr>
          <w:rFonts w:ascii="Arial" w:eastAsia="Calibri" w:hAnsi="Arial" w:cs="Arial"/>
          <w:color w:val="000000" w:themeColor="text1"/>
          <w:sz w:val="21"/>
          <w:szCs w:val="21"/>
          <w:lang w:val="es-ES_tradnl"/>
        </w:rPr>
        <w:t>.</w:t>
      </w:r>
    </w:p>
    <w:p w14:paraId="3AA03D35" w14:textId="77777777" w:rsidR="007473B9" w:rsidRPr="0040093D" w:rsidRDefault="007473B9" w:rsidP="007473B9">
      <w:pPr>
        <w:spacing w:line="276" w:lineRule="auto"/>
        <w:jc w:val="both"/>
        <w:rPr>
          <w:rFonts w:ascii="Arial" w:eastAsia="Calibri" w:hAnsi="Arial" w:cs="Arial"/>
          <w:color w:val="000000" w:themeColor="text1"/>
          <w:sz w:val="22"/>
          <w:lang w:val="es-ES_tradnl"/>
        </w:rPr>
      </w:pPr>
    </w:p>
    <w:p w14:paraId="1C522712" w14:textId="1FBC9282" w:rsidR="007473B9" w:rsidRPr="0040093D" w:rsidRDefault="00E109DD" w:rsidP="00F368FF">
      <w:pPr>
        <w:spacing w:line="276" w:lineRule="auto"/>
        <w:ind w:firstLine="708"/>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Para estos efectos,</w:t>
      </w:r>
      <w:r w:rsidR="00FA015F" w:rsidRPr="0040093D">
        <w:rPr>
          <w:rFonts w:ascii="Arial" w:eastAsia="Calibri" w:hAnsi="Arial" w:cs="Arial"/>
          <w:color w:val="000000" w:themeColor="text1"/>
          <w:sz w:val="22"/>
          <w:lang w:val="es-ES_tradnl"/>
        </w:rPr>
        <w:t xml:space="preserve"> el inciso 1 del artículo 25 del Decreto-Ley 2150 de 1995 –modificado por el artículo 10 de la Ley 962 de 2005– dispone que «</w:t>
      </w:r>
      <w:r w:rsidR="00A31C3E" w:rsidRPr="0040093D">
        <w:rPr>
          <w:rFonts w:ascii="Arial" w:eastAsia="Calibri" w:hAnsi="Arial" w:cs="Arial"/>
          <w:color w:val="000000" w:themeColor="text1"/>
          <w:sz w:val="22"/>
          <w:lang w:val="es-ES_tradnl"/>
        </w:rPr>
        <w:t>Las entidades de la Administración Pública deberán facilitar la recepción y envío de documentos, propuestas o solicitudes y sus respectivas respuestas por medio de correo certificado y por correo electrónico». Adicionalmente,</w:t>
      </w:r>
      <w:r w:rsidRPr="0040093D">
        <w:rPr>
          <w:rFonts w:ascii="Arial" w:eastAsia="Calibri" w:hAnsi="Arial" w:cs="Arial"/>
          <w:color w:val="000000" w:themeColor="text1"/>
          <w:sz w:val="22"/>
          <w:lang w:val="es-ES_tradnl"/>
        </w:rPr>
        <w:t xml:space="preserve"> la Ley 527 de 1999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008E7D6E" w:rsidRPr="0040093D">
        <w:rPr>
          <w:rFonts w:ascii="Arial" w:eastAsia="Calibri" w:hAnsi="Arial" w:cs="Arial"/>
          <w:color w:val="000000" w:themeColor="text1"/>
          <w:sz w:val="22"/>
          <w:lang w:val="es-ES_tradnl"/>
        </w:rPr>
        <w:t xml:space="preserve"> </w:t>
      </w:r>
      <w:r w:rsidR="00AD6236" w:rsidRPr="0040093D">
        <w:rPr>
          <w:rFonts w:ascii="Arial" w:eastAsia="Calibri" w:hAnsi="Arial" w:cs="Arial"/>
          <w:color w:val="000000" w:themeColor="text1"/>
          <w:sz w:val="22"/>
          <w:lang w:val="es-ES_tradnl"/>
        </w:rPr>
        <w:t>–</w:t>
      </w:r>
      <w:r w:rsidRPr="0040093D">
        <w:rPr>
          <w:rFonts w:ascii="Arial" w:eastAsia="Calibri" w:hAnsi="Arial" w:cs="Arial"/>
          <w:color w:val="000000" w:themeColor="text1"/>
          <w:sz w:val="22"/>
          <w:lang w:val="es-ES_tradnl"/>
        </w:rPr>
        <w:t>literal a) del artículo 2</w:t>
      </w:r>
      <w:r w:rsidR="00AD6236" w:rsidRPr="0040093D">
        <w:rPr>
          <w:rFonts w:ascii="Arial" w:eastAsia="Calibri" w:hAnsi="Arial" w:cs="Arial"/>
          <w:color w:val="000000" w:themeColor="text1"/>
          <w:sz w:val="22"/>
          <w:lang w:val="es-ES_tradnl"/>
        </w:rPr>
        <w:t>–</w:t>
      </w:r>
      <w:r w:rsidRPr="0040093D">
        <w:rPr>
          <w:rFonts w:ascii="Arial" w:eastAsia="Calibri" w:hAnsi="Arial" w:cs="Arial"/>
          <w:color w:val="000000" w:themeColor="text1"/>
          <w:sz w:val="22"/>
          <w:lang w:val="es-ES_tradnl"/>
        </w:rPr>
        <w:t>,</w:t>
      </w:r>
      <w:r w:rsidR="00745035" w:rsidRPr="0040093D">
        <w:rPr>
          <w:rFonts w:ascii="Arial" w:eastAsia="Calibri" w:hAnsi="Arial" w:cs="Arial"/>
          <w:color w:val="000000" w:themeColor="text1"/>
          <w:sz w:val="22"/>
          <w:lang w:val="es-ES_tradnl"/>
        </w:rPr>
        <w:t xml:space="preserve"> con el fin de disponer que no se negarán efectos jurídicos a la información por el solo hecho de que se allegue en esta forma </w:t>
      </w:r>
      <w:r w:rsidR="00AD6236" w:rsidRPr="0040093D">
        <w:rPr>
          <w:rFonts w:ascii="Arial" w:eastAsia="Calibri" w:hAnsi="Arial" w:cs="Arial"/>
          <w:color w:val="000000" w:themeColor="text1"/>
          <w:sz w:val="22"/>
          <w:lang w:val="es-ES_tradnl"/>
        </w:rPr>
        <w:t>–</w:t>
      </w:r>
      <w:r w:rsidR="00745035" w:rsidRPr="0040093D">
        <w:rPr>
          <w:rFonts w:ascii="Arial" w:eastAsia="Calibri" w:hAnsi="Arial" w:cs="Arial"/>
          <w:color w:val="000000" w:themeColor="text1"/>
          <w:sz w:val="22"/>
          <w:lang w:val="es-ES_tradnl"/>
        </w:rPr>
        <w:t>artículo 8</w:t>
      </w:r>
      <w:r w:rsidR="00AD6236" w:rsidRPr="0040093D">
        <w:rPr>
          <w:rFonts w:ascii="Arial" w:eastAsia="Calibri" w:hAnsi="Arial" w:cs="Arial"/>
          <w:color w:val="000000" w:themeColor="text1"/>
          <w:sz w:val="22"/>
          <w:lang w:val="es-ES_tradnl"/>
        </w:rPr>
        <w:t>–</w:t>
      </w:r>
      <w:r w:rsidR="00745035" w:rsidRPr="0040093D">
        <w:rPr>
          <w:rFonts w:ascii="Arial" w:eastAsia="Calibri" w:hAnsi="Arial" w:cs="Arial"/>
          <w:color w:val="000000" w:themeColor="text1"/>
          <w:sz w:val="22"/>
          <w:lang w:val="es-ES_tradnl"/>
        </w:rPr>
        <w:t>.</w:t>
      </w:r>
      <w:r w:rsidR="00FB6738" w:rsidRPr="0040093D">
        <w:rPr>
          <w:rFonts w:ascii="Arial" w:eastAsia="Calibri" w:hAnsi="Arial" w:cs="Arial"/>
          <w:color w:val="000000" w:themeColor="text1"/>
          <w:sz w:val="22"/>
          <w:lang w:val="es-ES_tradnl"/>
        </w:rPr>
        <w:t xml:space="preserve"> </w:t>
      </w:r>
    </w:p>
    <w:p w14:paraId="46B1B9D4" w14:textId="77777777" w:rsidR="00331932" w:rsidRPr="0040093D" w:rsidRDefault="00FB6738" w:rsidP="00331932">
      <w:pPr>
        <w:spacing w:line="276" w:lineRule="auto"/>
        <w:ind w:firstLine="708"/>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 xml:space="preserve">Así mismo, teniendo en cuenta la remisión del artículo 77 de la Ley 80 de 1993 </w:t>
      </w:r>
      <w:r w:rsidR="00AA7416" w:rsidRPr="0040093D">
        <w:rPr>
          <w:rFonts w:ascii="Arial" w:eastAsia="Calibri" w:hAnsi="Arial" w:cs="Arial"/>
          <w:color w:val="000000" w:themeColor="text1"/>
          <w:sz w:val="22"/>
          <w:lang w:val="es-ES_tradnl"/>
        </w:rPr>
        <w:t>al CPACA, el a</w:t>
      </w:r>
      <w:r w:rsidR="00EE0253" w:rsidRPr="0040093D">
        <w:rPr>
          <w:rFonts w:ascii="Arial" w:eastAsia="Calibri" w:hAnsi="Arial" w:cs="Arial"/>
          <w:color w:val="000000" w:themeColor="text1"/>
          <w:sz w:val="22"/>
          <w:lang w:val="es-ES_tradnl"/>
        </w:rPr>
        <w:t>rtículo 53 de la Ley 1437 de 201</w:t>
      </w:r>
      <w:r w:rsidR="00AA7416" w:rsidRPr="0040093D">
        <w:rPr>
          <w:rFonts w:ascii="Arial" w:eastAsia="Calibri" w:hAnsi="Arial" w:cs="Arial"/>
          <w:color w:val="000000" w:themeColor="text1"/>
          <w:sz w:val="22"/>
          <w:lang w:val="es-ES_tradnl"/>
        </w:rPr>
        <w:t xml:space="preserve">1 </w:t>
      </w:r>
      <w:r w:rsidRPr="0040093D">
        <w:rPr>
          <w:rFonts w:ascii="Arial" w:eastAsia="Calibri" w:hAnsi="Arial" w:cs="Arial"/>
          <w:color w:val="000000" w:themeColor="text1"/>
          <w:sz w:val="22"/>
          <w:lang w:val="es-ES_tradnl"/>
        </w:rPr>
        <w:t>dispone que «</w:t>
      </w:r>
      <w:r w:rsidR="00C920E2" w:rsidRPr="0040093D">
        <w:rPr>
          <w:rFonts w:ascii="Arial" w:eastAsia="Calibri" w:hAnsi="Arial" w:cs="Arial"/>
          <w:color w:val="000000" w:themeColor="text1"/>
          <w:sz w:val="22"/>
          <w:lang w:val="es-ES_tradnl"/>
        </w:rPr>
        <w:t xml:space="preserve">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 </w:t>
      </w:r>
      <w:r w:rsidRPr="0040093D">
        <w:rPr>
          <w:rFonts w:ascii="Arial" w:eastAsia="Calibri" w:hAnsi="Arial" w:cs="Arial"/>
          <w:color w:val="000000" w:themeColor="text1"/>
          <w:sz w:val="22"/>
          <w:lang w:val="es-ES_tradnl"/>
        </w:rPr>
        <w:t>En cuanto sean compatibles con la naturaleza de los procedimientos administrativos, se aplicarán las disposiciones de la Ley 527 de 1999 y las normas que la sustituyan, adicionen o modifiquen».</w:t>
      </w:r>
      <w:r w:rsidR="00745035" w:rsidRPr="0040093D">
        <w:rPr>
          <w:rFonts w:ascii="Arial" w:eastAsia="Calibri" w:hAnsi="Arial" w:cs="Arial"/>
          <w:color w:val="000000" w:themeColor="text1"/>
          <w:sz w:val="22"/>
          <w:lang w:val="es-ES_tradnl"/>
        </w:rPr>
        <w:t xml:space="preserve"> Por lo demás, el inciso 1º del artículo 3 de la Ley 1150 de 2007 prescribe lo siguiente: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w:t>
      </w:r>
      <w:bookmarkEnd w:id="11"/>
      <w:r w:rsidR="00331932" w:rsidRPr="0040093D">
        <w:rPr>
          <w:rFonts w:ascii="Arial" w:eastAsia="Calibri" w:hAnsi="Arial" w:cs="Arial"/>
          <w:color w:val="000000" w:themeColor="text1"/>
          <w:sz w:val="22"/>
          <w:lang w:val="es-ES_tradnl"/>
        </w:rPr>
        <w:t>.</w:t>
      </w:r>
    </w:p>
    <w:p w14:paraId="7EFD9823" w14:textId="2B32C3F9" w:rsidR="007473B9" w:rsidRPr="0040093D" w:rsidRDefault="00F368FF" w:rsidP="00331932">
      <w:pPr>
        <w:spacing w:line="276" w:lineRule="auto"/>
        <w:ind w:firstLine="708"/>
        <w:jc w:val="both"/>
        <w:rPr>
          <w:rFonts w:ascii="Arial" w:eastAsia="Calibri" w:hAnsi="Arial" w:cs="Arial"/>
          <w:color w:val="000000" w:themeColor="text1"/>
          <w:sz w:val="22"/>
          <w:lang w:val="es-ES_tradnl"/>
        </w:rPr>
      </w:pPr>
      <w:bookmarkStart w:id="12" w:name="_Hlk35975500"/>
      <w:r w:rsidRPr="0040093D">
        <w:rPr>
          <w:rFonts w:ascii="Arial" w:eastAsia="Calibri" w:hAnsi="Arial" w:cs="Arial"/>
          <w:color w:val="000000" w:themeColor="text1"/>
          <w:sz w:val="22"/>
          <w:lang w:val="es-ES_tradnl"/>
        </w:rPr>
        <w:t xml:space="preserve">En consecuencia, la utilización de los medios </w:t>
      </w:r>
      <w:r w:rsidR="0031720A" w:rsidRPr="0040093D">
        <w:rPr>
          <w:rFonts w:ascii="Arial" w:eastAsia="Calibri" w:hAnsi="Arial" w:cs="Arial"/>
          <w:color w:val="000000" w:themeColor="text1"/>
          <w:sz w:val="22"/>
          <w:lang w:val="es-ES_tradnl"/>
        </w:rPr>
        <w:t>digitales</w:t>
      </w:r>
      <w:r w:rsidRPr="0040093D">
        <w:rPr>
          <w:rFonts w:ascii="Arial" w:eastAsia="Calibri" w:hAnsi="Arial" w:cs="Arial"/>
          <w:color w:val="000000" w:themeColor="text1"/>
          <w:sz w:val="22"/>
          <w:lang w:val="es-ES_tradnl"/>
        </w:rPr>
        <w:t xml:space="preserve"> </w:t>
      </w:r>
      <w:r w:rsidR="007B4828" w:rsidRPr="0040093D">
        <w:rPr>
          <w:rFonts w:ascii="Arial" w:eastAsia="Calibri" w:hAnsi="Arial" w:cs="Arial"/>
          <w:color w:val="000000" w:themeColor="text1"/>
          <w:sz w:val="22"/>
          <w:lang w:val="es-ES_tradnl"/>
        </w:rPr>
        <w:t>se extiende a los pliegos tipo, pues –aunque la posibilidad no se regule de forma expresa– se interpretan armónicamente con las disposiciones anteriormente citadas</w:t>
      </w:r>
      <w:bookmarkEnd w:id="12"/>
      <w:r w:rsidR="007B4828" w:rsidRPr="0040093D">
        <w:rPr>
          <w:rFonts w:ascii="Arial" w:eastAsia="Calibri" w:hAnsi="Arial" w:cs="Arial"/>
          <w:color w:val="000000" w:themeColor="text1"/>
          <w:sz w:val="22"/>
          <w:lang w:val="es-ES_tradnl"/>
        </w:rPr>
        <w:t>. No obstante, la valides de la subsanación por correo electrónico está condicionada por el cumplimiento de una serie de requisitos que se explicaran en el próximo apartado.</w:t>
      </w:r>
    </w:p>
    <w:p w14:paraId="3C6AEE84" w14:textId="77777777" w:rsidR="00136BF7" w:rsidRPr="0040093D" w:rsidRDefault="00136BF7" w:rsidP="00136BF7">
      <w:pPr>
        <w:spacing w:line="276" w:lineRule="auto"/>
        <w:jc w:val="both"/>
        <w:rPr>
          <w:rFonts w:ascii="Arial" w:eastAsia="Calibri" w:hAnsi="Arial" w:cs="Arial"/>
          <w:color w:val="000000" w:themeColor="text1"/>
          <w:sz w:val="22"/>
          <w:lang w:val="es-ES_tradnl"/>
        </w:rPr>
      </w:pPr>
    </w:p>
    <w:p w14:paraId="28FE5ACC" w14:textId="2679267D" w:rsidR="008C45BD" w:rsidRPr="0040093D" w:rsidRDefault="00136BF7" w:rsidP="00136BF7">
      <w:pPr>
        <w:spacing w:line="276" w:lineRule="auto"/>
        <w:jc w:val="both"/>
        <w:rPr>
          <w:rFonts w:ascii="Arial" w:eastAsia="Calibri" w:hAnsi="Arial" w:cs="Arial"/>
          <w:color w:val="000000" w:themeColor="text1"/>
          <w:sz w:val="22"/>
          <w:lang w:val="es-ES_tradnl"/>
        </w:rPr>
      </w:pPr>
      <w:r w:rsidRPr="0040093D">
        <w:rPr>
          <w:rFonts w:ascii="Arial" w:eastAsia="Calibri" w:hAnsi="Arial" w:cs="Arial"/>
          <w:b/>
          <w:bCs/>
          <w:color w:val="000000" w:themeColor="text1"/>
          <w:sz w:val="22"/>
          <w:lang w:val="es-ES_tradnl"/>
        </w:rPr>
        <w:t xml:space="preserve">2.3. </w:t>
      </w:r>
      <w:r w:rsidR="006811C9" w:rsidRPr="0040093D">
        <w:rPr>
          <w:rFonts w:ascii="Arial" w:eastAsia="Calibri" w:hAnsi="Arial" w:cs="Arial"/>
          <w:b/>
          <w:bCs/>
          <w:color w:val="000000" w:themeColor="text1"/>
          <w:sz w:val="22"/>
          <w:lang w:val="es-ES_tradnl"/>
        </w:rPr>
        <w:t>Requisitos de las f</w:t>
      </w:r>
      <w:r w:rsidR="00AF5D53" w:rsidRPr="0040093D">
        <w:rPr>
          <w:rFonts w:ascii="Arial" w:eastAsia="Calibri" w:hAnsi="Arial" w:cs="Arial"/>
          <w:b/>
          <w:bCs/>
          <w:color w:val="000000" w:themeColor="text1"/>
          <w:sz w:val="22"/>
          <w:lang w:val="es-ES_tradnl"/>
        </w:rPr>
        <w:t>irma</w:t>
      </w:r>
      <w:r w:rsidR="006811C9" w:rsidRPr="0040093D">
        <w:rPr>
          <w:rFonts w:ascii="Arial" w:eastAsia="Calibri" w:hAnsi="Arial" w:cs="Arial"/>
          <w:b/>
          <w:bCs/>
          <w:color w:val="000000" w:themeColor="text1"/>
          <w:sz w:val="22"/>
          <w:lang w:val="es-ES_tradnl"/>
        </w:rPr>
        <w:t>s</w:t>
      </w:r>
      <w:r w:rsidR="00AF5D53" w:rsidRPr="0040093D">
        <w:rPr>
          <w:rFonts w:ascii="Arial" w:eastAsia="Calibri" w:hAnsi="Arial" w:cs="Arial"/>
          <w:b/>
          <w:bCs/>
          <w:color w:val="000000" w:themeColor="text1"/>
          <w:sz w:val="22"/>
          <w:lang w:val="es-ES_tradnl"/>
        </w:rPr>
        <w:t xml:space="preserve"> manuscrita</w:t>
      </w:r>
      <w:r w:rsidR="006811C9" w:rsidRPr="0040093D">
        <w:rPr>
          <w:rFonts w:ascii="Arial" w:eastAsia="Calibri" w:hAnsi="Arial" w:cs="Arial"/>
          <w:b/>
          <w:bCs/>
          <w:color w:val="000000" w:themeColor="text1"/>
          <w:sz w:val="22"/>
          <w:lang w:val="es-ES_tradnl"/>
        </w:rPr>
        <w:t xml:space="preserve">s, electrónicas y digitales </w:t>
      </w:r>
      <w:r w:rsidR="00AF5D53" w:rsidRPr="0040093D">
        <w:rPr>
          <w:rFonts w:ascii="Arial" w:eastAsia="Calibri" w:hAnsi="Arial" w:cs="Arial"/>
          <w:b/>
          <w:bCs/>
          <w:color w:val="000000" w:themeColor="text1"/>
          <w:sz w:val="22"/>
          <w:lang w:val="es-ES_tradnl"/>
        </w:rPr>
        <w:t xml:space="preserve"> </w:t>
      </w:r>
    </w:p>
    <w:p w14:paraId="0A224367" w14:textId="77777777" w:rsidR="008C45BD" w:rsidRPr="0040093D" w:rsidRDefault="008C45BD" w:rsidP="00136BF7">
      <w:pPr>
        <w:spacing w:line="276" w:lineRule="auto"/>
        <w:jc w:val="both"/>
        <w:rPr>
          <w:rFonts w:ascii="Arial" w:eastAsia="Calibri" w:hAnsi="Arial" w:cs="Arial"/>
          <w:color w:val="000000" w:themeColor="text1"/>
          <w:sz w:val="22"/>
          <w:lang w:val="es-ES_tradnl"/>
        </w:rPr>
      </w:pPr>
    </w:p>
    <w:p w14:paraId="24F4713C" w14:textId="36575833" w:rsidR="00551598" w:rsidRPr="0040093D" w:rsidRDefault="00AF5D53" w:rsidP="00551598">
      <w:pPr>
        <w:spacing w:line="276" w:lineRule="auto"/>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En reciente oportunidad esta Subdirección expidió el Concepto con radicado 4201912000005683</w:t>
      </w:r>
      <w:r w:rsidR="002E055C" w:rsidRPr="0040093D">
        <w:rPr>
          <w:rFonts w:ascii="Arial" w:eastAsia="Calibri" w:hAnsi="Arial" w:cs="Arial"/>
          <w:color w:val="000000" w:themeColor="text1"/>
          <w:sz w:val="22"/>
          <w:lang w:val="es-ES_tradnl"/>
        </w:rPr>
        <w:t xml:space="preserve"> de 2019</w:t>
      </w:r>
      <w:r w:rsidRPr="0040093D">
        <w:rPr>
          <w:rFonts w:ascii="Arial" w:eastAsia="Calibri" w:hAnsi="Arial" w:cs="Arial"/>
          <w:color w:val="000000" w:themeColor="text1"/>
          <w:sz w:val="22"/>
          <w:lang w:val="es-ES_tradnl"/>
        </w:rPr>
        <w:t>, en el que se explicó el contexto normativo de las firmas</w:t>
      </w:r>
      <w:r w:rsidR="006811C9" w:rsidRPr="0040093D">
        <w:rPr>
          <w:rFonts w:ascii="Arial" w:eastAsia="Calibri" w:hAnsi="Arial" w:cs="Arial"/>
          <w:color w:val="000000" w:themeColor="text1"/>
          <w:sz w:val="22"/>
          <w:lang w:val="es-ES_tradnl"/>
        </w:rPr>
        <w:t xml:space="preserve"> manuscritas</w:t>
      </w:r>
      <w:r w:rsidRPr="0040093D">
        <w:rPr>
          <w:rFonts w:ascii="Arial" w:eastAsia="Calibri" w:hAnsi="Arial" w:cs="Arial"/>
          <w:color w:val="000000" w:themeColor="text1"/>
          <w:sz w:val="22"/>
          <w:lang w:val="es-ES_tradnl"/>
        </w:rPr>
        <w:t xml:space="preserve"> electrónicas</w:t>
      </w:r>
      <w:r w:rsidR="006811C9" w:rsidRPr="0040093D">
        <w:rPr>
          <w:rFonts w:ascii="Arial" w:eastAsia="Calibri" w:hAnsi="Arial" w:cs="Arial"/>
          <w:color w:val="000000" w:themeColor="text1"/>
          <w:sz w:val="22"/>
          <w:lang w:val="es-ES_tradnl"/>
        </w:rPr>
        <w:t xml:space="preserve"> y</w:t>
      </w:r>
      <w:r w:rsidRPr="0040093D">
        <w:rPr>
          <w:rFonts w:ascii="Arial" w:eastAsia="Calibri" w:hAnsi="Arial" w:cs="Arial"/>
          <w:color w:val="000000" w:themeColor="text1"/>
          <w:sz w:val="22"/>
          <w:lang w:val="es-ES_tradnl"/>
        </w:rPr>
        <w:t xml:space="preserve"> digitales</w:t>
      </w:r>
      <w:r w:rsidR="006811C9" w:rsidRPr="0040093D">
        <w:rPr>
          <w:rFonts w:ascii="Arial" w:eastAsia="Calibri" w:hAnsi="Arial" w:cs="Arial"/>
          <w:color w:val="000000" w:themeColor="text1"/>
          <w:sz w:val="22"/>
          <w:lang w:val="es-ES_tradnl"/>
        </w:rPr>
        <w:t xml:space="preserve">. Al respecto, 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r w:rsidRPr="0040093D">
        <w:rPr>
          <w:rFonts w:ascii="Arial" w:eastAsia="Calibri" w:hAnsi="Arial" w:cs="Arial"/>
          <w:color w:val="000000" w:themeColor="text1"/>
          <w:sz w:val="22"/>
          <w:lang w:val="es-ES_tradnl"/>
        </w:rPr>
        <w:t xml:space="preserve"> </w:t>
      </w:r>
      <w:bookmarkStart w:id="13" w:name="_Hlk35441008"/>
      <w:r w:rsidR="006811C9" w:rsidRPr="0040093D">
        <w:rPr>
          <w:rFonts w:ascii="Arial" w:eastAsia="Calibri" w:hAnsi="Arial" w:cs="Arial"/>
          <w:color w:val="000000" w:themeColor="text1"/>
          <w:sz w:val="22"/>
          <w:lang w:val="es-ES_tradnl"/>
        </w:rPr>
        <w:t>Dentro de</w:t>
      </w:r>
      <w:r w:rsidR="003D6B8F" w:rsidRPr="0040093D">
        <w:rPr>
          <w:rFonts w:ascii="Arial" w:eastAsia="Calibri" w:hAnsi="Arial" w:cs="Arial"/>
          <w:color w:val="000000" w:themeColor="text1"/>
          <w:sz w:val="22"/>
          <w:lang w:val="es-ES_tradnl"/>
        </w:rPr>
        <w:t>l</w:t>
      </w:r>
      <w:r w:rsidR="006811C9" w:rsidRPr="0040093D">
        <w:rPr>
          <w:rFonts w:ascii="Arial" w:eastAsia="Calibri" w:hAnsi="Arial" w:cs="Arial"/>
          <w:color w:val="000000" w:themeColor="text1"/>
          <w:sz w:val="22"/>
          <w:lang w:val="es-ES_tradnl"/>
        </w:rPr>
        <w:t xml:space="preserve"> concepto general, la </w:t>
      </w:r>
      <w:r w:rsidR="006811C9" w:rsidRPr="0040093D">
        <w:rPr>
          <w:rFonts w:ascii="Arial" w:eastAsia="Calibri" w:hAnsi="Arial" w:cs="Arial"/>
          <w:i/>
          <w:iCs/>
          <w:color w:val="000000" w:themeColor="text1"/>
          <w:sz w:val="22"/>
          <w:lang w:val="es-ES_tradnl"/>
        </w:rPr>
        <w:t>firma manuscrita</w:t>
      </w:r>
      <w:r w:rsidR="006811C9" w:rsidRPr="0040093D">
        <w:rPr>
          <w:rFonts w:ascii="Arial" w:eastAsia="Calibri" w:hAnsi="Arial" w:cs="Arial"/>
          <w:color w:val="000000" w:themeColor="text1"/>
          <w:sz w:val="22"/>
          <w:lang w:val="es-ES_tradnl"/>
        </w:rPr>
        <w:t xml:space="preserve"> </w:t>
      </w:r>
      <w:r w:rsidR="006811C9" w:rsidRPr="0040093D">
        <w:rPr>
          <w:rFonts w:ascii="Arial" w:eastAsia="Calibri" w:hAnsi="Arial" w:cs="Arial"/>
          <w:color w:val="000000" w:themeColor="text1"/>
          <w:sz w:val="22"/>
        </w:rPr>
        <w:t>es «</w:t>
      </w:r>
      <w:r w:rsidR="00730CD6" w:rsidRPr="0040093D">
        <w:rPr>
          <w:rFonts w:ascii="Arial" w:eastAsia="Calibri" w:hAnsi="Arial" w:cs="Arial"/>
          <w:color w:val="000000" w:themeColor="text1"/>
          <w:sz w:val="22"/>
        </w:rPr>
        <w:t xml:space="preserve">[…] </w:t>
      </w:r>
      <w:r w:rsidR="006811C9" w:rsidRPr="0040093D">
        <w:rPr>
          <w:rFonts w:ascii="Arial" w:eastAsia="Calibri" w:hAnsi="Arial" w:cs="Arial"/>
          <w:color w:val="000000" w:themeColor="text1"/>
          <w:sz w:val="22"/>
        </w:rPr>
        <w:t>un rasgo o signo impuesto del puño y letra de una persona, con el cual, de forma general y reiterada</w:t>
      </w:r>
      <w:r w:rsidR="003D6B8F" w:rsidRPr="0040093D">
        <w:rPr>
          <w:rFonts w:ascii="Arial" w:eastAsia="Calibri" w:hAnsi="Arial" w:cs="Arial"/>
          <w:color w:val="000000" w:themeColor="text1"/>
          <w:sz w:val="22"/>
        </w:rPr>
        <w:t>,</w:t>
      </w:r>
      <w:r w:rsidR="006811C9" w:rsidRPr="0040093D">
        <w:rPr>
          <w:rFonts w:ascii="Arial" w:eastAsia="Calibri" w:hAnsi="Arial" w:cs="Arial"/>
          <w:color w:val="000000" w:themeColor="text1"/>
          <w:sz w:val="22"/>
        </w:rPr>
        <w:t xml:space="preserve"> se compromete con el contenido de los documentos que la consignan</w:t>
      </w:r>
      <w:r w:rsidR="00730CD6" w:rsidRPr="0040093D">
        <w:rPr>
          <w:rFonts w:ascii="Arial" w:eastAsia="Calibri" w:hAnsi="Arial" w:cs="Arial"/>
          <w:color w:val="000000" w:themeColor="text1"/>
          <w:sz w:val="22"/>
        </w:rPr>
        <w:t>, o da fe de que lo allí registrado obedece a la realidad</w:t>
      </w:r>
      <w:r w:rsidR="006811C9" w:rsidRPr="0040093D">
        <w:rPr>
          <w:rFonts w:ascii="Arial" w:eastAsia="Calibri" w:hAnsi="Arial" w:cs="Arial"/>
          <w:color w:val="000000" w:themeColor="text1"/>
          <w:sz w:val="22"/>
        </w:rPr>
        <w:t>»</w:t>
      </w:r>
      <w:r w:rsidR="006811C9" w:rsidRPr="0040093D">
        <w:rPr>
          <w:rStyle w:val="FootnoteReference"/>
          <w:rFonts w:ascii="Arial" w:eastAsia="Calibri" w:hAnsi="Arial" w:cs="Arial"/>
          <w:color w:val="000000" w:themeColor="text1"/>
          <w:sz w:val="22"/>
        </w:rPr>
        <w:footnoteReference w:id="10"/>
      </w:r>
      <w:r w:rsidR="006811C9" w:rsidRPr="0040093D">
        <w:rPr>
          <w:rFonts w:ascii="Arial" w:eastAsia="Calibri" w:hAnsi="Arial" w:cs="Arial"/>
          <w:color w:val="000000" w:themeColor="text1"/>
          <w:sz w:val="22"/>
        </w:rPr>
        <w:t>.</w:t>
      </w:r>
      <w:r w:rsidR="00730CD6" w:rsidRPr="0040093D">
        <w:rPr>
          <w:rFonts w:ascii="Arial" w:eastAsia="Calibri" w:hAnsi="Arial" w:cs="Arial"/>
          <w:color w:val="000000" w:themeColor="text1"/>
          <w:sz w:val="22"/>
        </w:rPr>
        <w:t xml:space="preserve"> </w:t>
      </w:r>
    </w:p>
    <w:p w14:paraId="6E3BE313" w14:textId="7A1275AF" w:rsidR="007B6C64" w:rsidRPr="0040093D" w:rsidRDefault="00551598" w:rsidP="007B6C64">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Por otra parte</w:t>
      </w:r>
      <w:r w:rsidR="00730CD6" w:rsidRPr="0040093D">
        <w:rPr>
          <w:rFonts w:ascii="Arial" w:eastAsia="Calibri" w:hAnsi="Arial" w:cs="Arial"/>
          <w:color w:val="000000" w:themeColor="text1"/>
          <w:sz w:val="22"/>
        </w:rPr>
        <w:t xml:space="preserve">, </w:t>
      </w:r>
      <w:r w:rsidR="007B6C64" w:rsidRPr="0040093D">
        <w:rPr>
          <w:rFonts w:ascii="Arial" w:eastAsia="Calibri" w:hAnsi="Arial" w:cs="Arial"/>
          <w:color w:val="000000" w:themeColor="text1"/>
          <w:sz w:val="22"/>
        </w:rPr>
        <w:t xml:space="preserve">frente </w:t>
      </w:r>
      <w:r w:rsidR="003D6B8F" w:rsidRPr="0040093D">
        <w:rPr>
          <w:rFonts w:ascii="Arial" w:eastAsia="Calibri" w:hAnsi="Arial" w:cs="Arial"/>
          <w:color w:val="000000" w:themeColor="text1"/>
          <w:sz w:val="22"/>
        </w:rPr>
        <w:t xml:space="preserve">a </w:t>
      </w:r>
      <w:r w:rsidR="007B6C64" w:rsidRPr="0040093D">
        <w:rPr>
          <w:rFonts w:ascii="Arial" w:eastAsia="Calibri" w:hAnsi="Arial" w:cs="Arial"/>
          <w:color w:val="000000" w:themeColor="text1"/>
          <w:sz w:val="22"/>
        </w:rPr>
        <w:t xml:space="preserve">la </w:t>
      </w:r>
      <w:r w:rsidR="007B6C64" w:rsidRPr="0040093D">
        <w:rPr>
          <w:rFonts w:ascii="Arial" w:eastAsia="Calibri" w:hAnsi="Arial" w:cs="Arial"/>
          <w:i/>
          <w:iCs/>
          <w:color w:val="000000" w:themeColor="text1"/>
          <w:sz w:val="22"/>
        </w:rPr>
        <w:t>firma electrónica</w:t>
      </w:r>
      <w:r w:rsidR="007B6C64" w:rsidRPr="0040093D">
        <w:rPr>
          <w:rFonts w:ascii="Arial" w:eastAsia="Calibri" w:hAnsi="Arial" w:cs="Arial"/>
          <w:color w:val="000000" w:themeColor="text1"/>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007B6C64" w:rsidRPr="0040093D">
        <w:rPr>
          <w:rFonts w:ascii="Arial" w:eastAsia="Calibri" w:hAnsi="Arial" w:cs="Arial"/>
          <w:color w:val="000000" w:themeColor="text1"/>
          <w:sz w:val="22"/>
        </w:rPr>
        <w:t>ii</w:t>
      </w:r>
      <w:proofErr w:type="spellEnd"/>
      <w:r w:rsidR="007B6C64" w:rsidRPr="0040093D">
        <w:rPr>
          <w:rFonts w:ascii="Arial" w:eastAsia="Calibri" w:hAnsi="Arial" w:cs="Arial"/>
          <w:color w:val="000000" w:themeColor="text1"/>
          <w:sz w:val="22"/>
        </w:rPr>
        <w:t xml:space="preserve">) asegurar que el documento firmado es exactamente el mismo que el original y </w:t>
      </w:r>
      <w:proofErr w:type="spellStart"/>
      <w:r w:rsidR="007B6C64" w:rsidRPr="0040093D">
        <w:rPr>
          <w:rFonts w:ascii="Arial" w:eastAsia="Calibri" w:hAnsi="Arial" w:cs="Arial"/>
          <w:color w:val="000000" w:themeColor="text1"/>
          <w:sz w:val="22"/>
        </w:rPr>
        <w:t>iii</w:t>
      </w:r>
      <w:proofErr w:type="spellEnd"/>
      <w:r w:rsidR="007B6C64" w:rsidRPr="0040093D">
        <w:rPr>
          <w:rFonts w:ascii="Arial" w:eastAsia="Calibri" w:hAnsi="Arial" w:cs="Arial"/>
          <w:color w:val="000000" w:themeColor="text1"/>
          <w:sz w:val="22"/>
        </w:rPr>
        <w:t xml:space="preserve">) asegurar que los datos que utiliza el firmante para realizar la firma son únicos y exclusivos. </w:t>
      </w:r>
    </w:p>
    <w:p w14:paraId="7544CD57" w14:textId="399F882A" w:rsidR="00551598" w:rsidRPr="0040093D" w:rsidRDefault="007B6C64" w:rsidP="00551598">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Finalmente, </w:t>
      </w:r>
      <w:r w:rsidR="00730CD6" w:rsidRPr="0040093D">
        <w:rPr>
          <w:rFonts w:ascii="Arial" w:eastAsia="Calibri" w:hAnsi="Arial" w:cs="Arial"/>
          <w:color w:val="000000" w:themeColor="text1"/>
          <w:sz w:val="22"/>
        </w:rPr>
        <w:t xml:space="preserve">el artículo 2 de la Ley 527 de 1999 define la </w:t>
      </w:r>
      <w:r w:rsidR="00730CD6" w:rsidRPr="0040093D">
        <w:rPr>
          <w:rFonts w:ascii="Arial" w:eastAsia="Calibri" w:hAnsi="Arial" w:cs="Arial"/>
          <w:i/>
          <w:iCs/>
          <w:color w:val="000000" w:themeColor="text1"/>
          <w:sz w:val="22"/>
        </w:rPr>
        <w:t>firma digital</w:t>
      </w:r>
      <w:r w:rsidR="00730CD6" w:rsidRPr="0040093D">
        <w:rPr>
          <w:rFonts w:ascii="Arial" w:eastAsia="Calibri" w:hAnsi="Arial" w:cs="Arial"/>
          <w:color w:val="000000" w:themeColor="text1"/>
          <w:sz w:val="22"/>
        </w:rPr>
        <w:t xml:space="preserve"> como un valor </w:t>
      </w:r>
      <w:r w:rsidR="00914C3F" w:rsidRPr="0040093D">
        <w:rPr>
          <w:rFonts w:ascii="Arial" w:eastAsia="Calibri" w:hAnsi="Arial" w:cs="Arial"/>
          <w:color w:val="000000" w:themeColor="text1"/>
          <w:sz w:val="22"/>
        </w:rPr>
        <w:t>numérico</w:t>
      </w:r>
      <w:r w:rsidR="00730CD6" w:rsidRPr="0040093D">
        <w:rPr>
          <w:rFonts w:ascii="Arial" w:eastAsia="Calibri" w:hAnsi="Arial" w:cs="Arial"/>
          <w:color w:val="000000" w:themeColor="text1"/>
          <w:sz w:val="22"/>
        </w:rPr>
        <w:t xml:space="preserve">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730CD6" w:rsidRPr="0040093D">
        <w:rPr>
          <w:rStyle w:val="FootnoteReference"/>
          <w:rFonts w:ascii="Arial" w:eastAsia="Calibri" w:hAnsi="Arial" w:cs="Arial"/>
          <w:color w:val="000000" w:themeColor="text1"/>
          <w:sz w:val="22"/>
        </w:rPr>
        <w:footnoteReference w:id="11"/>
      </w:r>
      <w:r w:rsidR="00730CD6" w:rsidRPr="0040093D">
        <w:rPr>
          <w:rFonts w:ascii="Arial" w:eastAsia="Calibri" w:hAnsi="Arial" w:cs="Arial"/>
          <w:color w:val="000000" w:themeColor="text1"/>
          <w:sz w:val="22"/>
        </w:rPr>
        <w:t>. Además, esta normativa prevé que podrán emitir certificados en relación con las firmas digitales las entidades de certificación</w:t>
      </w:r>
      <w:r w:rsidR="00730CD6" w:rsidRPr="0040093D">
        <w:rPr>
          <w:rStyle w:val="FootnoteReference"/>
          <w:rFonts w:ascii="Arial" w:eastAsia="Calibri" w:hAnsi="Arial" w:cs="Arial"/>
          <w:color w:val="000000" w:themeColor="text1"/>
          <w:sz w:val="22"/>
        </w:rPr>
        <w:footnoteReference w:id="12"/>
      </w:r>
      <w:r w:rsidR="00730CD6" w:rsidRPr="0040093D">
        <w:rPr>
          <w:rFonts w:ascii="Arial" w:eastAsia="Calibri" w:hAnsi="Arial" w:cs="Arial"/>
          <w:color w:val="000000" w:themeColor="text1"/>
          <w:sz w:val="22"/>
        </w:rPr>
        <w:t>.</w:t>
      </w:r>
      <w:r w:rsidR="00551598" w:rsidRPr="0040093D">
        <w:rPr>
          <w:rFonts w:ascii="Arial" w:eastAsia="Calibri" w:hAnsi="Arial" w:cs="Arial"/>
          <w:color w:val="000000" w:themeColor="text1"/>
          <w:sz w:val="22"/>
        </w:rPr>
        <w:t xml:space="preserve"> </w:t>
      </w:r>
    </w:p>
    <w:bookmarkEnd w:id="13"/>
    <w:p w14:paraId="5FBBF315" w14:textId="4A7F2950" w:rsidR="007B6C64" w:rsidRPr="0040093D" w:rsidRDefault="007B6C64" w:rsidP="00551598">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El Documento </w:t>
      </w:r>
      <w:proofErr w:type="spellStart"/>
      <w:r w:rsidRPr="0040093D">
        <w:rPr>
          <w:rFonts w:ascii="Arial" w:eastAsia="Calibri" w:hAnsi="Arial" w:cs="Arial"/>
          <w:color w:val="000000" w:themeColor="text1"/>
          <w:sz w:val="22"/>
        </w:rPr>
        <w:t>Compes</w:t>
      </w:r>
      <w:proofErr w:type="spellEnd"/>
      <w:r w:rsidRPr="0040093D">
        <w:rPr>
          <w:rFonts w:ascii="Arial" w:eastAsia="Calibri" w:hAnsi="Arial" w:cs="Arial"/>
          <w:color w:val="000000" w:themeColor="text1"/>
          <w:sz w:val="22"/>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Pr="0040093D">
        <w:rPr>
          <w:rFonts w:ascii="Arial" w:eastAsia="Calibri" w:hAnsi="Arial" w:cs="Arial"/>
          <w:color w:val="000000" w:themeColor="text1"/>
          <w:sz w:val="22"/>
        </w:rPr>
        <w:t>del mismo</w:t>
      </w:r>
      <w:proofErr w:type="gramEnd"/>
      <w:r w:rsidRPr="0040093D">
        <w:rPr>
          <w:rFonts w:ascii="Arial" w:eastAsia="Calibri" w:hAnsi="Arial" w:cs="Arial"/>
          <w:color w:val="000000" w:themeColor="text1"/>
          <w:sz w:val="22"/>
        </w:rPr>
        <w:t xml:space="preserve">,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77E5319A" w14:textId="77777777" w:rsidR="00867512" w:rsidRPr="0040093D" w:rsidRDefault="00CE3E14" w:rsidP="00867512">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40093D">
        <w:rPr>
          <w:rFonts w:ascii="Arial" w:eastAsia="Calibri" w:hAnsi="Arial" w:cs="Arial"/>
          <w:color w:val="000000" w:themeColor="text1"/>
          <w:sz w:val="22"/>
        </w:rPr>
        <w:t>ii</w:t>
      </w:r>
      <w:proofErr w:type="spellEnd"/>
      <w:r w:rsidRPr="0040093D">
        <w:rPr>
          <w:rFonts w:ascii="Arial" w:eastAsia="Calibri" w:hAnsi="Arial" w:cs="Arial"/>
          <w:color w:val="000000" w:themeColor="text1"/>
          <w:sz w:val="22"/>
        </w:rPr>
        <w:t>) el método es tanto confiable como apropiado para el propósito por el cual el mensaje fue generado o comunicado. Debido a que la firma electrónica se genera por un mensaje de datos deberá cumplir los requisitos explicados anteriormente.</w:t>
      </w:r>
      <w:r w:rsidR="00FF4D11" w:rsidRPr="0040093D">
        <w:rPr>
          <w:rFonts w:ascii="Arial" w:eastAsia="Calibri" w:hAnsi="Arial" w:cs="Arial"/>
          <w:color w:val="000000" w:themeColor="text1"/>
          <w:sz w:val="22"/>
        </w:rPr>
        <w:t xml:space="preserve"> </w:t>
      </w:r>
      <w:r w:rsidR="001F4773" w:rsidRPr="0040093D">
        <w:rPr>
          <w:rFonts w:ascii="Arial" w:eastAsia="Calibri" w:hAnsi="Arial" w:cs="Arial"/>
          <w:color w:val="000000" w:themeColor="text1"/>
          <w:sz w:val="22"/>
        </w:rPr>
        <w:t xml:space="preserve">Dentro de este marco, es necesario distinguir dos (2) situaciones: i) el documento original tiene la firma manuscrita y luego se escaneó para enviarlo a la entidad estatal por correo electrónico y </w:t>
      </w:r>
      <w:proofErr w:type="spellStart"/>
      <w:r w:rsidR="001F4773" w:rsidRPr="0040093D">
        <w:rPr>
          <w:rFonts w:ascii="Arial" w:eastAsia="Calibri" w:hAnsi="Arial" w:cs="Arial"/>
          <w:color w:val="000000" w:themeColor="text1"/>
          <w:sz w:val="22"/>
        </w:rPr>
        <w:t>ii</w:t>
      </w:r>
      <w:proofErr w:type="spellEnd"/>
      <w:r w:rsidR="001F4773" w:rsidRPr="0040093D">
        <w:rPr>
          <w:rFonts w:ascii="Arial" w:eastAsia="Calibri" w:hAnsi="Arial" w:cs="Arial"/>
          <w:color w:val="000000" w:themeColor="text1"/>
          <w:sz w:val="22"/>
        </w:rPr>
        <w:t xml:space="preserve">) </w:t>
      </w:r>
      <w:bookmarkStart w:id="14" w:name="_Hlk35438181"/>
      <w:r w:rsidR="001F4773" w:rsidRPr="0040093D">
        <w:rPr>
          <w:rFonts w:ascii="Arial" w:eastAsia="Calibri" w:hAnsi="Arial" w:cs="Arial"/>
          <w:color w:val="000000" w:themeColor="text1"/>
          <w:sz w:val="22"/>
        </w:rPr>
        <w:t>el documento tiene una imagen con la firma y se adjunta como archivo para enviarlo a la entidad</w:t>
      </w:r>
      <w:bookmarkEnd w:id="14"/>
      <w:r w:rsidR="001F4773" w:rsidRPr="0040093D">
        <w:rPr>
          <w:rFonts w:ascii="Arial" w:eastAsia="Calibri" w:hAnsi="Arial" w:cs="Arial"/>
          <w:color w:val="000000" w:themeColor="text1"/>
          <w:sz w:val="22"/>
        </w:rPr>
        <w:t xml:space="preserve">. </w:t>
      </w:r>
    </w:p>
    <w:p w14:paraId="2364AD62" w14:textId="17FB6673" w:rsidR="00FF4D11" w:rsidRPr="0040093D" w:rsidRDefault="00FF4D11" w:rsidP="00867512">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En el </w:t>
      </w:r>
      <w:r w:rsidRPr="0040093D">
        <w:rPr>
          <w:rFonts w:ascii="Arial" w:eastAsia="Calibri" w:hAnsi="Arial" w:cs="Arial"/>
          <w:i/>
          <w:iCs/>
          <w:color w:val="000000" w:themeColor="text1"/>
          <w:sz w:val="22"/>
        </w:rPr>
        <w:t>primer supuesto</w:t>
      </w:r>
      <w:r w:rsidRPr="0040093D">
        <w:rPr>
          <w:rFonts w:ascii="Arial" w:eastAsia="Calibri" w:hAnsi="Arial" w:cs="Arial"/>
          <w:color w:val="000000" w:themeColor="text1"/>
          <w:sz w:val="22"/>
        </w:rPr>
        <w:t>, es válido el documento con firma manuscrita que se escan</w:t>
      </w:r>
      <w:r w:rsidR="00867512" w:rsidRPr="0040093D">
        <w:rPr>
          <w:rFonts w:ascii="Arial" w:eastAsia="Calibri" w:hAnsi="Arial" w:cs="Arial"/>
          <w:color w:val="000000" w:themeColor="text1"/>
          <w:sz w:val="22"/>
        </w:rPr>
        <w:t>ea posteriormente</w:t>
      </w:r>
      <w:r w:rsidRPr="0040093D">
        <w:rPr>
          <w:rFonts w:ascii="Arial" w:eastAsia="Calibri" w:hAnsi="Arial" w:cs="Arial"/>
          <w:color w:val="000000" w:themeColor="text1"/>
          <w:sz w:val="22"/>
        </w:rPr>
        <w:t xml:space="preserve"> para enviar</w:t>
      </w:r>
      <w:r w:rsidR="00867512" w:rsidRPr="0040093D">
        <w:rPr>
          <w:rFonts w:ascii="Arial" w:eastAsia="Calibri" w:hAnsi="Arial" w:cs="Arial"/>
          <w:color w:val="000000" w:themeColor="text1"/>
          <w:sz w:val="22"/>
        </w:rPr>
        <w:t>lo</w:t>
      </w:r>
      <w:r w:rsidRPr="0040093D">
        <w:rPr>
          <w:rFonts w:ascii="Arial" w:eastAsia="Calibri" w:hAnsi="Arial" w:cs="Arial"/>
          <w:color w:val="000000" w:themeColor="text1"/>
          <w:sz w:val="22"/>
        </w:rPr>
        <w:t xml:space="preserve"> a la entidad estatal, pues </w:t>
      </w:r>
      <w:r w:rsidR="00867512" w:rsidRPr="0040093D">
        <w:rPr>
          <w:rFonts w:ascii="Arial" w:eastAsia="Calibri" w:hAnsi="Arial" w:cs="Arial"/>
          <w:color w:val="000000" w:themeColor="text1"/>
          <w:sz w:val="22"/>
        </w:rPr>
        <w:t>aquel está firmado</w:t>
      </w:r>
      <w:r w:rsidRPr="0040093D">
        <w:rPr>
          <w:rFonts w:ascii="Arial" w:eastAsia="Calibri" w:hAnsi="Arial" w:cs="Arial"/>
          <w:color w:val="000000" w:themeColor="text1"/>
          <w:sz w:val="22"/>
        </w:rPr>
        <w:t xml:space="preserve"> con el puño y letra de </w:t>
      </w:r>
      <w:r w:rsidR="00867512" w:rsidRPr="0040093D">
        <w:rPr>
          <w:rFonts w:ascii="Arial" w:eastAsia="Calibri" w:hAnsi="Arial" w:cs="Arial"/>
          <w:color w:val="000000" w:themeColor="text1"/>
          <w:sz w:val="22"/>
        </w:rPr>
        <w:t>la</w:t>
      </w:r>
      <w:r w:rsidRPr="0040093D">
        <w:rPr>
          <w:rFonts w:ascii="Arial" w:eastAsia="Calibri" w:hAnsi="Arial" w:cs="Arial"/>
          <w:color w:val="000000" w:themeColor="text1"/>
          <w:sz w:val="22"/>
        </w:rPr>
        <w:t xml:space="preserve"> persona que </w:t>
      </w:r>
      <w:r w:rsidR="00867512" w:rsidRPr="0040093D">
        <w:rPr>
          <w:rFonts w:ascii="Arial" w:eastAsia="Calibri" w:hAnsi="Arial" w:cs="Arial"/>
          <w:color w:val="000000" w:themeColor="text1"/>
          <w:sz w:val="22"/>
        </w:rPr>
        <w:t>lo suscribe</w:t>
      </w:r>
      <w:r w:rsidRPr="0040093D">
        <w:rPr>
          <w:rFonts w:ascii="Arial" w:eastAsia="Calibri" w:hAnsi="Arial" w:cs="Arial"/>
          <w:color w:val="000000" w:themeColor="text1"/>
          <w:sz w:val="22"/>
        </w:rPr>
        <w:t>; razón por la cual el hecho</w:t>
      </w:r>
      <w:r w:rsidR="003D6B8F" w:rsidRPr="0040093D">
        <w:rPr>
          <w:rFonts w:ascii="Arial" w:eastAsia="Calibri" w:hAnsi="Arial" w:cs="Arial"/>
          <w:color w:val="000000" w:themeColor="text1"/>
          <w:sz w:val="22"/>
        </w:rPr>
        <w:t xml:space="preserve"> de</w:t>
      </w:r>
      <w:r w:rsidRPr="0040093D">
        <w:rPr>
          <w:rFonts w:ascii="Arial" w:eastAsia="Calibri" w:hAnsi="Arial" w:cs="Arial"/>
          <w:color w:val="000000" w:themeColor="text1"/>
          <w:sz w:val="22"/>
        </w:rPr>
        <w:t xml:space="preserve"> que se escanee para enviarlo por correo electrónico no es un motivo para rechazar su presentación, ya que</w:t>
      </w:r>
      <w:r w:rsidR="00867512" w:rsidRPr="0040093D">
        <w:rPr>
          <w:rFonts w:ascii="Arial" w:eastAsia="Calibri" w:hAnsi="Arial" w:cs="Arial"/>
          <w:color w:val="000000" w:themeColor="text1"/>
          <w:sz w:val="22"/>
        </w:rPr>
        <w:t xml:space="preserve"> el pliego tipo</w:t>
      </w:r>
      <w:r w:rsidRPr="0040093D">
        <w:rPr>
          <w:rFonts w:ascii="Arial" w:eastAsia="Calibri" w:hAnsi="Arial" w:cs="Arial"/>
          <w:color w:val="000000" w:themeColor="text1"/>
          <w:sz w:val="22"/>
        </w:rPr>
        <w:t xml:space="preserve"> requiere </w:t>
      </w:r>
      <w:r w:rsidR="00867512" w:rsidRPr="0040093D">
        <w:rPr>
          <w:rFonts w:ascii="Arial" w:eastAsia="Calibri" w:hAnsi="Arial" w:cs="Arial"/>
          <w:color w:val="000000" w:themeColor="text1"/>
          <w:sz w:val="22"/>
        </w:rPr>
        <w:t>que los documentos</w:t>
      </w:r>
      <w:r w:rsidR="008850EB" w:rsidRPr="0040093D">
        <w:rPr>
          <w:rFonts w:ascii="Arial" w:eastAsia="Calibri" w:hAnsi="Arial" w:cs="Arial"/>
          <w:color w:val="000000" w:themeColor="text1"/>
          <w:sz w:val="22"/>
        </w:rPr>
        <w:t xml:space="preserve"> de la oferta</w:t>
      </w:r>
      <w:r w:rsidR="00867512" w:rsidRPr="0040093D">
        <w:rPr>
          <w:rFonts w:ascii="Arial" w:eastAsia="Calibri" w:hAnsi="Arial" w:cs="Arial"/>
          <w:color w:val="000000" w:themeColor="text1"/>
          <w:sz w:val="22"/>
        </w:rPr>
        <w:t xml:space="preserve"> estén firmados, no que se presenten en original. </w:t>
      </w:r>
      <w:r w:rsidR="008850EB" w:rsidRPr="0040093D">
        <w:rPr>
          <w:rFonts w:ascii="Arial" w:eastAsia="Calibri" w:hAnsi="Arial" w:cs="Arial"/>
          <w:color w:val="000000" w:themeColor="text1"/>
          <w:sz w:val="22"/>
        </w:rPr>
        <w:t>De acuerdo con el artículo 246 del Código General del Proceso, las copias tendrán el mismo valor probatorio del original, salvo cuando por disposición legal sea necesaria la presentación del original o de una determinada copia</w:t>
      </w:r>
      <w:r w:rsidR="008850EB" w:rsidRPr="0040093D">
        <w:rPr>
          <w:rStyle w:val="FootnoteReference"/>
          <w:rFonts w:ascii="Arial" w:eastAsia="Calibri" w:hAnsi="Arial" w:cs="Arial"/>
          <w:color w:val="000000" w:themeColor="text1"/>
          <w:sz w:val="22"/>
        </w:rPr>
        <w:footnoteReference w:id="13"/>
      </w:r>
      <w:r w:rsidR="008850EB" w:rsidRPr="0040093D">
        <w:rPr>
          <w:rFonts w:ascii="Arial" w:eastAsia="Calibri" w:hAnsi="Arial" w:cs="Arial"/>
          <w:color w:val="000000" w:themeColor="text1"/>
          <w:sz w:val="22"/>
        </w:rPr>
        <w:t>. Conforme a lo anterior, si el oferente envía el documento que con firma manuscrita y luego lo escanea para enviarlo por correo electrónico, éste será válido, toda vez que, la normativa no exige que se tenga que enviar el documento en original sino sólo que tenga la firma que quien lo suscribe.</w:t>
      </w:r>
    </w:p>
    <w:p w14:paraId="1D4B258A" w14:textId="7F67D705" w:rsidR="00AB358D" w:rsidRPr="0040093D" w:rsidRDefault="008850EB" w:rsidP="00AB358D">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En el </w:t>
      </w:r>
      <w:r w:rsidRPr="0040093D">
        <w:rPr>
          <w:rFonts w:ascii="Arial" w:eastAsia="Calibri" w:hAnsi="Arial" w:cs="Arial"/>
          <w:i/>
          <w:iCs/>
          <w:color w:val="000000" w:themeColor="text1"/>
          <w:sz w:val="22"/>
        </w:rPr>
        <w:t>segundo supuesto</w:t>
      </w:r>
      <w:r w:rsidRPr="0040093D">
        <w:rPr>
          <w:rFonts w:ascii="Arial" w:eastAsia="Calibri" w:hAnsi="Arial" w:cs="Arial"/>
          <w:color w:val="000000" w:themeColor="text1"/>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527 de 1999 regula la firma digital como un valor </w:t>
      </w:r>
      <w:r w:rsidR="00DE4105" w:rsidRPr="0040093D">
        <w:rPr>
          <w:rFonts w:ascii="Arial" w:eastAsia="Calibri" w:hAnsi="Arial" w:cs="Arial"/>
          <w:color w:val="000000" w:themeColor="text1"/>
          <w:sz w:val="22"/>
        </w:rPr>
        <w:t>numérico</w:t>
      </w:r>
      <w:r w:rsidRPr="0040093D">
        <w:rPr>
          <w:rFonts w:ascii="Arial" w:eastAsia="Calibri" w:hAnsi="Arial" w:cs="Arial"/>
          <w:color w:val="000000" w:themeColor="text1"/>
          <w:sz w:val="22"/>
        </w:rPr>
        <w:t xml:space="preserve">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w:t>
      </w:r>
      <w:r w:rsidR="00AB358D" w:rsidRPr="0040093D">
        <w:rPr>
          <w:rFonts w:ascii="Arial" w:eastAsia="Calibri" w:hAnsi="Arial" w:cs="Arial"/>
          <w:color w:val="000000" w:themeColor="text1"/>
          <w:sz w:val="22"/>
        </w:rPr>
        <w:t xml:space="preserve"> Por otro lado, tratándose de una firma electrónica, la entidad deberá verificar i) la identidad del firmante, </w:t>
      </w:r>
      <w:proofErr w:type="spellStart"/>
      <w:r w:rsidR="00AB358D" w:rsidRPr="0040093D">
        <w:rPr>
          <w:rFonts w:ascii="Arial" w:eastAsia="Calibri" w:hAnsi="Arial" w:cs="Arial"/>
          <w:color w:val="000000" w:themeColor="text1"/>
          <w:sz w:val="22"/>
        </w:rPr>
        <w:t>ii</w:t>
      </w:r>
      <w:proofErr w:type="spellEnd"/>
      <w:r w:rsidR="00AB358D" w:rsidRPr="0040093D">
        <w:rPr>
          <w:rFonts w:ascii="Arial" w:eastAsia="Calibri" w:hAnsi="Arial" w:cs="Arial"/>
          <w:color w:val="000000" w:themeColor="text1"/>
          <w:sz w:val="22"/>
        </w:rPr>
        <w:t xml:space="preserve">) que el documento firmado es exactamente el mismo que el original y </w:t>
      </w:r>
      <w:proofErr w:type="spellStart"/>
      <w:r w:rsidR="00AB358D" w:rsidRPr="0040093D">
        <w:rPr>
          <w:rFonts w:ascii="Arial" w:eastAsia="Calibri" w:hAnsi="Arial" w:cs="Arial"/>
          <w:color w:val="000000" w:themeColor="text1"/>
          <w:sz w:val="22"/>
        </w:rPr>
        <w:t>iii</w:t>
      </w:r>
      <w:proofErr w:type="spellEnd"/>
      <w:r w:rsidR="00AB358D" w:rsidRPr="0040093D">
        <w:rPr>
          <w:rFonts w:ascii="Arial" w:eastAsia="Calibri" w:hAnsi="Arial" w:cs="Arial"/>
          <w:color w:val="000000" w:themeColor="text1"/>
          <w:sz w:val="22"/>
        </w:rPr>
        <w:t xml:space="preserve">) los datos que utiliza el firmante para realizar la firma son únicos y exclusivos. </w:t>
      </w:r>
    </w:p>
    <w:p w14:paraId="47FB1F76" w14:textId="161F715C" w:rsidR="00AB358D" w:rsidRPr="0040093D" w:rsidRDefault="00AB358D" w:rsidP="00AB358D">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w:t>
      </w:r>
      <w:r w:rsidR="00DE4105"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en el caso de la firma electrónica es necesario probar dichos elementos, a más de la trazabilidad, disponibilidad y el demostrar que se trata el mecanismo confiable y apropiable.</w:t>
      </w:r>
    </w:p>
    <w:p w14:paraId="4EFF9A47" w14:textId="7A214DCD" w:rsidR="00AB358D" w:rsidRPr="0040093D" w:rsidRDefault="00AB358D" w:rsidP="00AB358D">
      <w:pPr>
        <w:spacing w:line="276" w:lineRule="auto"/>
        <w:ind w:firstLine="708"/>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En conclusión, </w:t>
      </w:r>
      <w:bookmarkStart w:id="15" w:name="_Hlk35440381"/>
      <w:bookmarkStart w:id="16" w:name="_Hlk35440547"/>
      <w:r w:rsidRPr="0040093D">
        <w:rPr>
          <w:rFonts w:ascii="Arial" w:eastAsia="Calibri" w:hAnsi="Arial" w:cs="Arial"/>
          <w:color w:val="000000" w:themeColor="text1"/>
          <w:sz w:val="22"/>
        </w:rPr>
        <w:t xml:space="preserve">para que </w:t>
      </w:r>
      <w:r w:rsidR="00E630C0" w:rsidRPr="0040093D">
        <w:rPr>
          <w:rFonts w:ascii="Arial" w:eastAsia="Calibri" w:hAnsi="Arial" w:cs="Arial"/>
          <w:color w:val="000000" w:themeColor="text1"/>
          <w:sz w:val="22"/>
        </w:rPr>
        <w:t>un</w:t>
      </w:r>
      <w:r w:rsidRPr="0040093D">
        <w:rPr>
          <w:rFonts w:ascii="Arial" w:eastAsia="Calibri" w:hAnsi="Arial" w:cs="Arial"/>
          <w:color w:val="000000" w:themeColor="text1"/>
          <w:sz w:val="22"/>
        </w:rPr>
        <w:t xml:space="preserve"> documento con la imagen de una firma sea válido, la entidad estatal deberá determinar</w:t>
      </w:r>
      <w:r w:rsidR="00DE4105" w:rsidRPr="0040093D">
        <w:rPr>
          <w:rFonts w:ascii="Arial" w:eastAsia="Calibri" w:hAnsi="Arial" w:cs="Arial"/>
          <w:color w:val="000000" w:themeColor="text1"/>
          <w:sz w:val="22"/>
        </w:rPr>
        <w:t xml:space="preserve"> si</w:t>
      </w:r>
      <w:r w:rsidRPr="0040093D">
        <w:rPr>
          <w:rFonts w:ascii="Arial" w:eastAsia="Calibri" w:hAnsi="Arial" w:cs="Arial"/>
          <w:color w:val="000000" w:themeColor="text1"/>
          <w:sz w:val="22"/>
        </w:rPr>
        <w:t xml:space="preserve"> cumple los requisitos de una firma digital o electrónica. Si no cumple los requisitos se entiende que el documento no se presentó con firma</w:t>
      </w:r>
      <w:r w:rsidR="00E630C0" w:rsidRPr="0040093D">
        <w:rPr>
          <w:rFonts w:ascii="Arial" w:eastAsia="Calibri" w:hAnsi="Arial" w:cs="Arial"/>
          <w:color w:val="000000" w:themeColor="text1"/>
          <w:sz w:val="22"/>
        </w:rPr>
        <w:t xml:space="preserve"> alguna</w:t>
      </w:r>
      <w:r w:rsidRPr="0040093D">
        <w:rPr>
          <w:rFonts w:ascii="Arial" w:eastAsia="Calibri" w:hAnsi="Arial" w:cs="Arial"/>
          <w:color w:val="000000" w:themeColor="text1"/>
          <w:sz w:val="22"/>
        </w:rPr>
        <w:t xml:space="preserve"> y, por lo tanto, la entidad podrá rechazarlo si no </w:t>
      </w:r>
      <w:r w:rsidR="00E630C0" w:rsidRPr="0040093D">
        <w:rPr>
          <w:rFonts w:ascii="Arial" w:eastAsia="Calibri" w:hAnsi="Arial" w:cs="Arial"/>
          <w:color w:val="000000" w:themeColor="text1"/>
          <w:sz w:val="22"/>
        </w:rPr>
        <w:t xml:space="preserve">se </w:t>
      </w:r>
      <w:r w:rsidRPr="0040093D">
        <w:rPr>
          <w:rFonts w:ascii="Arial" w:eastAsia="Calibri" w:hAnsi="Arial" w:cs="Arial"/>
          <w:color w:val="000000" w:themeColor="text1"/>
          <w:sz w:val="22"/>
        </w:rPr>
        <w:t xml:space="preserve">subsanó el documento durante el término del traslado del informe de evaluación. Si el proponente aporta el documento </w:t>
      </w:r>
      <w:r w:rsidR="0088107D" w:rsidRPr="0040093D">
        <w:rPr>
          <w:rFonts w:ascii="Arial" w:eastAsia="Calibri" w:hAnsi="Arial" w:cs="Arial"/>
          <w:color w:val="000000" w:themeColor="text1"/>
          <w:sz w:val="22"/>
        </w:rPr>
        <w:t>con firma manuscrita</w:t>
      </w:r>
      <w:r w:rsidRPr="0040093D">
        <w:rPr>
          <w:rFonts w:ascii="Arial" w:eastAsia="Calibri" w:hAnsi="Arial" w:cs="Arial"/>
          <w:color w:val="000000" w:themeColor="text1"/>
          <w:sz w:val="22"/>
        </w:rPr>
        <w:t xml:space="preserve"> y </w:t>
      </w:r>
      <w:r w:rsidR="00E630C0" w:rsidRPr="0040093D">
        <w:rPr>
          <w:rFonts w:ascii="Arial" w:eastAsia="Calibri" w:hAnsi="Arial" w:cs="Arial"/>
          <w:color w:val="000000" w:themeColor="text1"/>
          <w:sz w:val="22"/>
        </w:rPr>
        <w:t>lo</w:t>
      </w:r>
      <w:r w:rsidRPr="0040093D">
        <w:rPr>
          <w:rFonts w:ascii="Arial" w:eastAsia="Calibri" w:hAnsi="Arial" w:cs="Arial"/>
          <w:color w:val="000000" w:themeColor="text1"/>
          <w:sz w:val="22"/>
        </w:rPr>
        <w:t xml:space="preserve"> escanea para enviarlo a la entidad estatal</w:t>
      </w:r>
      <w:r w:rsidR="0088107D"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deberá </w:t>
      </w:r>
      <w:r w:rsidR="0088107D" w:rsidRPr="0040093D">
        <w:rPr>
          <w:rFonts w:ascii="Arial" w:eastAsia="Calibri" w:hAnsi="Arial" w:cs="Arial"/>
          <w:color w:val="000000" w:themeColor="text1"/>
          <w:sz w:val="22"/>
        </w:rPr>
        <w:t>considerarse</w:t>
      </w:r>
      <w:r w:rsidRPr="0040093D">
        <w:rPr>
          <w:rFonts w:ascii="Arial" w:eastAsia="Calibri" w:hAnsi="Arial" w:cs="Arial"/>
          <w:color w:val="000000" w:themeColor="text1"/>
          <w:sz w:val="22"/>
        </w:rPr>
        <w:t xml:space="preserve"> como válido, porque estos documentos son una copia simple del original y tiene</w:t>
      </w:r>
      <w:r w:rsidR="0088107D" w:rsidRPr="0040093D">
        <w:rPr>
          <w:rFonts w:ascii="Arial" w:eastAsia="Calibri" w:hAnsi="Arial" w:cs="Arial"/>
          <w:color w:val="000000" w:themeColor="text1"/>
          <w:sz w:val="22"/>
        </w:rPr>
        <w:t>n</w:t>
      </w:r>
      <w:r w:rsidRPr="0040093D">
        <w:rPr>
          <w:rFonts w:ascii="Arial" w:eastAsia="Calibri" w:hAnsi="Arial" w:cs="Arial"/>
          <w:color w:val="000000" w:themeColor="text1"/>
          <w:sz w:val="22"/>
        </w:rPr>
        <w:t xml:space="preserve"> validez</w:t>
      </w:r>
      <w:r w:rsidR="0088107D" w:rsidRPr="0040093D">
        <w:rPr>
          <w:rFonts w:ascii="Arial" w:eastAsia="Calibri" w:hAnsi="Arial" w:cs="Arial"/>
          <w:color w:val="000000" w:themeColor="text1"/>
          <w:sz w:val="22"/>
        </w:rPr>
        <w:t xml:space="preserve">, máxime cuando </w:t>
      </w:r>
      <w:r w:rsidRPr="0040093D">
        <w:rPr>
          <w:rFonts w:ascii="Arial" w:eastAsia="Calibri" w:hAnsi="Arial" w:cs="Arial"/>
          <w:color w:val="000000" w:themeColor="text1"/>
          <w:sz w:val="22"/>
        </w:rPr>
        <w:t xml:space="preserve">en el </w:t>
      </w:r>
      <w:r w:rsidR="00D422DB" w:rsidRPr="0040093D">
        <w:rPr>
          <w:rFonts w:ascii="Arial" w:eastAsia="Calibri" w:hAnsi="Arial" w:cs="Arial"/>
          <w:color w:val="000000" w:themeColor="text1"/>
          <w:sz w:val="22"/>
        </w:rPr>
        <w:t>«</w:t>
      </w:r>
      <w:r w:rsidRPr="0040093D">
        <w:rPr>
          <w:rFonts w:ascii="Arial" w:eastAsia="Calibri" w:hAnsi="Arial" w:cs="Arial"/>
          <w:color w:val="000000" w:themeColor="text1"/>
          <w:sz w:val="22"/>
        </w:rPr>
        <w:t>Documento Base</w:t>
      </w:r>
      <w:r w:rsidR="00D422DB"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o </w:t>
      </w:r>
      <w:r w:rsidR="00D422DB" w:rsidRPr="0040093D">
        <w:rPr>
          <w:rFonts w:ascii="Arial" w:eastAsia="Calibri" w:hAnsi="Arial" w:cs="Arial"/>
          <w:color w:val="000000" w:themeColor="text1"/>
          <w:sz w:val="22"/>
        </w:rPr>
        <w:t>«</w:t>
      </w:r>
      <w:r w:rsidRPr="0040093D">
        <w:rPr>
          <w:rFonts w:ascii="Arial" w:eastAsia="Calibri" w:hAnsi="Arial" w:cs="Arial"/>
          <w:color w:val="000000" w:themeColor="text1"/>
          <w:sz w:val="22"/>
        </w:rPr>
        <w:t>Pliego Tipo</w:t>
      </w:r>
      <w:r w:rsidR="00D422DB"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no se exige que se presente</w:t>
      </w:r>
      <w:r w:rsidR="00D422DB" w:rsidRPr="0040093D">
        <w:rPr>
          <w:rFonts w:ascii="Arial" w:eastAsia="Calibri" w:hAnsi="Arial" w:cs="Arial"/>
          <w:color w:val="000000" w:themeColor="text1"/>
          <w:sz w:val="22"/>
        </w:rPr>
        <w:t>n</w:t>
      </w:r>
      <w:r w:rsidRPr="0040093D">
        <w:rPr>
          <w:rFonts w:ascii="Arial" w:eastAsia="Calibri" w:hAnsi="Arial" w:cs="Arial"/>
          <w:color w:val="000000" w:themeColor="text1"/>
          <w:sz w:val="22"/>
        </w:rPr>
        <w:t xml:space="preserve"> </w:t>
      </w:r>
      <w:r w:rsidR="00D422DB" w:rsidRPr="0040093D">
        <w:rPr>
          <w:rFonts w:ascii="Arial" w:eastAsia="Calibri" w:hAnsi="Arial" w:cs="Arial"/>
          <w:color w:val="000000" w:themeColor="text1"/>
          <w:sz w:val="22"/>
        </w:rPr>
        <w:t>documentos</w:t>
      </w:r>
      <w:r w:rsidRPr="0040093D">
        <w:rPr>
          <w:rFonts w:ascii="Arial" w:eastAsia="Calibri" w:hAnsi="Arial" w:cs="Arial"/>
          <w:color w:val="000000" w:themeColor="text1"/>
          <w:sz w:val="22"/>
        </w:rPr>
        <w:t xml:space="preserve"> en físico</w:t>
      </w:r>
      <w:r w:rsidR="0088107D" w:rsidRPr="0040093D">
        <w:rPr>
          <w:rFonts w:ascii="Arial" w:eastAsia="Calibri" w:hAnsi="Arial" w:cs="Arial"/>
          <w:color w:val="000000" w:themeColor="text1"/>
          <w:sz w:val="22"/>
        </w:rPr>
        <w:t>, sino debidamente firmado</w:t>
      </w:r>
      <w:r w:rsidR="00D422DB" w:rsidRPr="0040093D">
        <w:rPr>
          <w:rFonts w:ascii="Arial" w:eastAsia="Calibri" w:hAnsi="Arial" w:cs="Arial"/>
          <w:color w:val="000000" w:themeColor="text1"/>
          <w:sz w:val="22"/>
        </w:rPr>
        <w:t>s</w:t>
      </w:r>
      <w:r w:rsidR="0088107D" w:rsidRPr="0040093D">
        <w:rPr>
          <w:rFonts w:ascii="Arial" w:eastAsia="Calibri" w:hAnsi="Arial" w:cs="Arial"/>
          <w:color w:val="000000" w:themeColor="text1"/>
          <w:sz w:val="22"/>
        </w:rPr>
        <w:t xml:space="preserve"> por quien corresponda</w:t>
      </w:r>
      <w:r w:rsidRPr="0040093D">
        <w:rPr>
          <w:rFonts w:ascii="Arial" w:eastAsia="Calibri" w:hAnsi="Arial" w:cs="Arial"/>
          <w:color w:val="000000" w:themeColor="text1"/>
          <w:sz w:val="22"/>
        </w:rPr>
        <w:t xml:space="preserve">. </w:t>
      </w:r>
      <w:bookmarkEnd w:id="15"/>
    </w:p>
    <w:bookmarkEnd w:id="16"/>
    <w:p w14:paraId="5025A54E" w14:textId="3918D618" w:rsidR="00F1108B" w:rsidRPr="0040093D" w:rsidRDefault="00F1108B" w:rsidP="00D31C6A">
      <w:pPr>
        <w:spacing w:before="120" w:line="276" w:lineRule="auto"/>
        <w:ind w:firstLine="708"/>
        <w:jc w:val="both"/>
        <w:rPr>
          <w:rFonts w:ascii="Arial" w:eastAsia="Calibri" w:hAnsi="Arial" w:cs="Arial"/>
          <w:color w:val="000000" w:themeColor="text1"/>
          <w:sz w:val="22"/>
          <w:lang w:val="es-ES_tradnl"/>
        </w:rPr>
      </w:pPr>
      <w:r w:rsidRPr="0040093D">
        <w:rPr>
          <w:rFonts w:ascii="Arial" w:eastAsia="Calibri" w:hAnsi="Arial" w:cs="Arial"/>
          <w:color w:val="000000" w:themeColor="text1"/>
          <w:sz w:val="22"/>
          <w:lang w:val="es-ES_tradnl"/>
        </w:rPr>
        <w:t>Con fundamento en las anteriores consideraciones, se contestarán las preguntas formuladas en la consulta.</w:t>
      </w:r>
    </w:p>
    <w:p w14:paraId="4F43922D" w14:textId="77777777" w:rsidR="00F1108B" w:rsidRPr="0040093D" w:rsidRDefault="00F1108B" w:rsidP="00F1108B">
      <w:pPr>
        <w:pStyle w:val="ListParagraph"/>
        <w:tabs>
          <w:tab w:val="left" w:pos="284"/>
        </w:tabs>
        <w:spacing w:line="276" w:lineRule="auto"/>
        <w:ind w:left="0"/>
        <w:jc w:val="both"/>
        <w:rPr>
          <w:rFonts w:ascii="Arial" w:eastAsia="Calibri" w:hAnsi="Arial" w:cs="Arial"/>
          <w:b/>
          <w:color w:val="000000" w:themeColor="text1"/>
          <w:sz w:val="22"/>
        </w:rPr>
      </w:pPr>
    </w:p>
    <w:p w14:paraId="6E4BB750" w14:textId="77777777" w:rsidR="00F1108B" w:rsidRPr="0040093D" w:rsidRDefault="00F1108B" w:rsidP="00F1108B">
      <w:pPr>
        <w:pStyle w:val="ListParagraph"/>
        <w:tabs>
          <w:tab w:val="left" w:pos="284"/>
        </w:tabs>
        <w:spacing w:line="276" w:lineRule="auto"/>
        <w:ind w:left="0"/>
        <w:jc w:val="both"/>
        <w:rPr>
          <w:rFonts w:ascii="Arial" w:eastAsia="Calibri" w:hAnsi="Arial" w:cs="Arial"/>
          <w:color w:val="000000" w:themeColor="text1"/>
          <w:sz w:val="22"/>
        </w:rPr>
      </w:pPr>
      <w:r w:rsidRPr="0040093D">
        <w:rPr>
          <w:rFonts w:ascii="Arial" w:eastAsia="Calibri" w:hAnsi="Arial" w:cs="Arial"/>
          <w:b/>
          <w:color w:val="000000" w:themeColor="text1"/>
          <w:sz w:val="22"/>
        </w:rPr>
        <w:t>3. Respuestas</w:t>
      </w:r>
    </w:p>
    <w:p w14:paraId="69C478A3" w14:textId="77777777" w:rsidR="00F1108B" w:rsidRPr="0040093D" w:rsidRDefault="00F1108B" w:rsidP="00F1108B">
      <w:pPr>
        <w:tabs>
          <w:tab w:val="left" w:pos="426"/>
        </w:tabs>
        <w:spacing w:line="276" w:lineRule="auto"/>
        <w:jc w:val="both"/>
        <w:rPr>
          <w:rFonts w:ascii="Arial" w:eastAsia="Calibri" w:hAnsi="Arial" w:cs="Arial"/>
          <w:color w:val="000000" w:themeColor="text1"/>
          <w:sz w:val="22"/>
        </w:rPr>
      </w:pPr>
    </w:p>
    <w:p w14:paraId="3154F9BB" w14:textId="747F27D0" w:rsidR="00F1108B" w:rsidRPr="0040093D" w:rsidRDefault="0033092C" w:rsidP="00397FF0">
      <w:pPr>
        <w:tabs>
          <w:tab w:val="left" w:pos="426"/>
        </w:tabs>
        <w:spacing w:line="276" w:lineRule="auto"/>
        <w:ind w:left="709" w:right="709"/>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i) ¿En </w:t>
      </w:r>
      <w:r w:rsidR="00161F1C" w:rsidRPr="0040093D">
        <w:rPr>
          <w:rFonts w:ascii="Arial" w:eastAsia="Calibri" w:hAnsi="Arial" w:cs="Arial"/>
          <w:color w:val="000000" w:themeColor="text1"/>
          <w:sz w:val="22"/>
        </w:rPr>
        <w:t xml:space="preserve">un </w:t>
      </w:r>
      <w:r w:rsidRPr="0040093D">
        <w:rPr>
          <w:rFonts w:ascii="Arial" w:eastAsia="Calibri" w:hAnsi="Arial" w:cs="Arial"/>
          <w:color w:val="000000" w:themeColor="text1"/>
          <w:sz w:val="22"/>
        </w:rPr>
        <w:t xml:space="preserve">proceso tramitado </w:t>
      </w:r>
      <w:r w:rsidR="00161F1C" w:rsidRPr="0040093D">
        <w:rPr>
          <w:rFonts w:ascii="Arial" w:eastAsia="Calibri" w:hAnsi="Arial" w:cs="Arial"/>
          <w:color w:val="000000" w:themeColor="text1"/>
          <w:sz w:val="22"/>
        </w:rPr>
        <w:t>con</w:t>
      </w:r>
      <w:r w:rsidRPr="0040093D">
        <w:rPr>
          <w:rFonts w:ascii="Arial" w:eastAsia="Calibri" w:hAnsi="Arial" w:cs="Arial"/>
          <w:color w:val="000000" w:themeColor="text1"/>
          <w:sz w:val="22"/>
        </w:rPr>
        <w:t xml:space="preserve"> pliego tipo</w:t>
      </w:r>
      <w:r w:rsidR="00161F1C"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en el SECOP I, los documentos para subsanar la oferta y que harán parte de </w:t>
      </w:r>
      <w:proofErr w:type="gramStart"/>
      <w:r w:rsidRPr="0040093D">
        <w:rPr>
          <w:rFonts w:ascii="Arial" w:eastAsia="Calibri" w:hAnsi="Arial" w:cs="Arial"/>
          <w:color w:val="000000" w:themeColor="text1"/>
          <w:sz w:val="22"/>
        </w:rPr>
        <w:t>la misma</w:t>
      </w:r>
      <w:proofErr w:type="gramEnd"/>
      <w:r w:rsidRPr="0040093D">
        <w:rPr>
          <w:rFonts w:ascii="Arial" w:eastAsia="Calibri" w:hAnsi="Arial" w:cs="Arial"/>
          <w:color w:val="000000" w:themeColor="text1"/>
          <w:sz w:val="22"/>
        </w:rPr>
        <w:t xml:space="preserve"> pueden </w:t>
      </w:r>
      <w:r w:rsidR="00161F1C" w:rsidRPr="0040093D">
        <w:rPr>
          <w:rFonts w:ascii="Arial" w:eastAsia="Calibri" w:hAnsi="Arial" w:cs="Arial"/>
          <w:color w:val="000000" w:themeColor="text1"/>
          <w:sz w:val="22"/>
        </w:rPr>
        <w:t>enviarse</w:t>
      </w:r>
      <w:r w:rsidRPr="0040093D">
        <w:rPr>
          <w:rFonts w:ascii="Arial" w:eastAsia="Calibri" w:hAnsi="Arial" w:cs="Arial"/>
          <w:color w:val="000000" w:themeColor="text1"/>
          <w:sz w:val="22"/>
        </w:rPr>
        <w:t xml:space="preserve"> por correo electrónico?</w:t>
      </w:r>
      <w:r w:rsidR="00F1108B" w:rsidRPr="0040093D">
        <w:rPr>
          <w:rFonts w:ascii="Arial" w:eastAsia="Calibri" w:hAnsi="Arial" w:cs="Arial"/>
          <w:color w:val="000000" w:themeColor="text1"/>
          <w:sz w:val="22"/>
        </w:rPr>
        <w:t xml:space="preserve"> </w:t>
      </w:r>
    </w:p>
    <w:p w14:paraId="538587C4" w14:textId="55F3664D" w:rsidR="00C32017" w:rsidRPr="0040093D" w:rsidRDefault="00C32017" w:rsidP="00397FF0">
      <w:pPr>
        <w:tabs>
          <w:tab w:val="left" w:pos="426"/>
        </w:tabs>
        <w:spacing w:line="276" w:lineRule="auto"/>
        <w:ind w:left="709" w:right="709"/>
        <w:jc w:val="both"/>
        <w:rPr>
          <w:rFonts w:ascii="Arial" w:eastAsia="Calibri" w:hAnsi="Arial" w:cs="Arial"/>
          <w:color w:val="000000" w:themeColor="text1"/>
          <w:sz w:val="22"/>
        </w:rPr>
      </w:pPr>
    </w:p>
    <w:p w14:paraId="75A8746E" w14:textId="5F70869C"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En la medida </w:t>
      </w:r>
      <w:r w:rsidR="00DE4105" w:rsidRPr="0040093D">
        <w:rPr>
          <w:rFonts w:ascii="Arial" w:eastAsia="Calibri" w:hAnsi="Arial" w:cs="Arial"/>
          <w:color w:val="000000" w:themeColor="text1"/>
          <w:sz w:val="22"/>
        </w:rPr>
        <w:t xml:space="preserve">en </w:t>
      </w:r>
      <w:r w:rsidRPr="0040093D">
        <w:rPr>
          <w:rFonts w:ascii="Arial" w:eastAsia="Calibri" w:hAnsi="Arial" w:cs="Arial"/>
          <w:color w:val="000000" w:themeColor="text1"/>
          <w:sz w:val="22"/>
        </w:rPr>
        <w:t>que las normas que regulan la contratación estatal permiten la subsanación de las propuestas a través de mensajes de datos, se incluye la posibilidad de remitirla a través de correo electrónico, pues es una especie de aquellos. Esto se debe que los pliegos tipo no se deben interpretar aisladamente; todo lo contrario, es necesario integrarlos con el resto del ordenamiento jurídico, especialmente con la</w:t>
      </w:r>
      <w:r w:rsidR="00DE4105" w:rsidRPr="0040093D">
        <w:rPr>
          <w:rFonts w:ascii="Arial" w:eastAsia="Calibri" w:hAnsi="Arial" w:cs="Arial"/>
          <w:color w:val="000000" w:themeColor="text1"/>
          <w:sz w:val="22"/>
        </w:rPr>
        <w:t>s</w:t>
      </w:r>
      <w:r w:rsidRPr="0040093D">
        <w:rPr>
          <w:rFonts w:ascii="Arial" w:eastAsia="Calibri" w:hAnsi="Arial" w:cs="Arial"/>
          <w:color w:val="000000" w:themeColor="text1"/>
          <w:sz w:val="22"/>
        </w:rPr>
        <w:t xml:space="preserve"> Ley</w:t>
      </w:r>
      <w:r w:rsidR="00DE4105" w:rsidRPr="0040093D">
        <w:rPr>
          <w:rFonts w:ascii="Arial" w:eastAsia="Calibri" w:hAnsi="Arial" w:cs="Arial"/>
          <w:color w:val="000000" w:themeColor="text1"/>
          <w:sz w:val="22"/>
        </w:rPr>
        <w:t>es</w:t>
      </w:r>
      <w:r w:rsidRPr="0040093D">
        <w:rPr>
          <w:rFonts w:ascii="Arial" w:eastAsia="Calibri" w:hAnsi="Arial" w:cs="Arial"/>
          <w:color w:val="000000" w:themeColor="text1"/>
          <w:sz w:val="22"/>
        </w:rPr>
        <w:t xml:space="preserve"> 80 de 1993, 527 de 1999</w:t>
      </w:r>
      <w:r w:rsidR="0088107D" w:rsidRPr="0040093D">
        <w:rPr>
          <w:rFonts w:ascii="Arial" w:eastAsia="Calibri" w:hAnsi="Arial" w:cs="Arial"/>
          <w:color w:val="000000" w:themeColor="text1"/>
          <w:sz w:val="22"/>
        </w:rPr>
        <w:t xml:space="preserve">, 962 de 2005, </w:t>
      </w:r>
      <w:r w:rsidRPr="0040093D">
        <w:rPr>
          <w:rFonts w:ascii="Arial" w:eastAsia="Calibri" w:hAnsi="Arial" w:cs="Arial"/>
          <w:color w:val="000000" w:themeColor="text1"/>
          <w:sz w:val="22"/>
        </w:rPr>
        <w:t>1150 de 2007 y 1437 de 2011, donde se permite utiliza</w:t>
      </w:r>
      <w:r w:rsidR="00DE4105" w:rsidRPr="0040093D">
        <w:rPr>
          <w:rFonts w:ascii="Arial" w:eastAsia="Calibri" w:hAnsi="Arial" w:cs="Arial"/>
          <w:color w:val="000000" w:themeColor="text1"/>
          <w:sz w:val="22"/>
        </w:rPr>
        <w:t xml:space="preserve">r </w:t>
      </w:r>
      <w:r w:rsidRPr="0040093D">
        <w:rPr>
          <w:rFonts w:ascii="Arial" w:eastAsia="Calibri" w:hAnsi="Arial" w:cs="Arial"/>
          <w:color w:val="000000" w:themeColor="text1"/>
          <w:sz w:val="22"/>
        </w:rPr>
        <w:t>estos mecanismos.</w:t>
      </w:r>
    </w:p>
    <w:p w14:paraId="20ECF370" w14:textId="77777777" w:rsidR="00161F1C" w:rsidRPr="0040093D" w:rsidRDefault="00161F1C" w:rsidP="00397FF0">
      <w:pPr>
        <w:tabs>
          <w:tab w:val="left" w:pos="426"/>
        </w:tabs>
        <w:spacing w:line="276" w:lineRule="auto"/>
        <w:ind w:left="709" w:right="709"/>
        <w:jc w:val="both"/>
        <w:rPr>
          <w:rFonts w:ascii="Arial" w:eastAsia="Calibri" w:hAnsi="Arial" w:cs="Arial"/>
          <w:color w:val="000000" w:themeColor="text1"/>
          <w:sz w:val="22"/>
        </w:rPr>
      </w:pPr>
    </w:p>
    <w:p w14:paraId="55319A8D" w14:textId="7FB7A7CA" w:rsidR="00C32017" w:rsidRPr="0040093D" w:rsidRDefault="00C32017" w:rsidP="00397FF0">
      <w:pPr>
        <w:tabs>
          <w:tab w:val="left" w:pos="426"/>
        </w:tabs>
        <w:spacing w:line="276" w:lineRule="auto"/>
        <w:ind w:left="709" w:right="709"/>
        <w:jc w:val="both"/>
        <w:rPr>
          <w:rFonts w:ascii="Arial" w:eastAsia="Calibri" w:hAnsi="Arial" w:cs="Arial"/>
          <w:color w:val="000000" w:themeColor="text1"/>
          <w:sz w:val="22"/>
        </w:rPr>
      </w:pPr>
      <w:proofErr w:type="spellStart"/>
      <w:r w:rsidRPr="0040093D">
        <w:rPr>
          <w:rFonts w:ascii="Arial" w:eastAsia="Calibri" w:hAnsi="Arial" w:cs="Arial"/>
          <w:color w:val="000000" w:themeColor="text1"/>
          <w:sz w:val="22"/>
        </w:rPr>
        <w:t>ii</w:t>
      </w:r>
      <w:proofErr w:type="spellEnd"/>
      <w:r w:rsidRPr="0040093D">
        <w:rPr>
          <w:rFonts w:ascii="Arial" w:eastAsia="Calibri" w:hAnsi="Arial" w:cs="Arial"/>
          <w:color w:val="000000" w:themeColor="text1"/>
          <w:sz w:val="22"/>
        </w:rPr>
        <w:t xml:space="preserve">) En caso afirmativo, ¿la entidad debe imprimir los documentos </w:t>
      </w:r>
      <w:r w:rsidR="00161F1C" w:rsidRPr="0040093D">
        <w:rPr>
          <w:rFonts w:ascii="Arial" w:eastAsia="Calibri" w:hAnsi="Arial" w:cs="Arial"/>
          <w:color w:val="000000" w:themeColor="text1"/>
          <w:sz w:val="22"/>
        </w:rPr>
        <w:t>–</w:t>
      </w:r>
      <w:r w:rsidRPr="0040093D">
        <w:rPr>
          <w:rFonts w:ascii="Arial" w:eastAsia="Calibri" w:hAnsi="Arial" w:cs="Arial"/>
          <w:color w:val="000000" w:themeColor="text1"/>
          <w:sz w:val="22"/>
        </w:rPr>
        <w:t>sin importar el volumen</w:t>
      </w:r>
      <w:r w:rsidR="00161F1C" w:rsidRPr="0040093D">
        <w:rPr>
          <w:rFonts w:ascii="Arial" w:eastAsia="Calibri" w:hAnsi="Arial" w:cs="Arial"/>
          <w:color w:val="000000" w:themeColor="text1"/>
          <w:sz w:val="22"/>
        </w:rPr>
        <w:t>–</w:t>
      </w:r>
      <w:r w:rsidRPr="0040093D">
        <w:rPr>
          <w:rFonts w:ascii="Arial" w:eastAsia="Calibri" w:hAnsi="Arial" w:cs="Arial"/>
          <w:color w:val="000000" w:themeColor="text1"/>
          <w:sz w:val="22"/>
        </w:rPr>
        <w:t xml:space="preserve"> y anexarlos al expediente?; </w:t>
      </w:r>
    </w:p>
    <w:p w14:paraId="3A953216" w14:textId="08AF427F"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p>
    <w:p w14:paraId="4696C712" w14:textId="54C7F447"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En tal caso, la entidad deberá imprimirlos y anexarlos al expediente, dado que la plataforma de SECOP I –a diferencia de SECOP II– no es transaccional y, por tanto, es necesario dejar constancia de la subsanación en el expediente del proceso contractual. </w:t>
      </w:r>
    </w:p>
    <w:p w14:paraId="01DD6EEA" w14:textId="77777777"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p>
    <w:p w14:paraId="6CA9405E" w14:textId="790C21DB" w:rsidR="00C32017" w:rsidRPr="0040093D" w:rsidRDefault="00C32017" w:rsidP="00397FF0">
      <w:pPr>
        <w:tabs>
          <w:tab w:val="left" w:pos="426"/>
        </w:tabs>
        <w:spacing w:line="276" w:lineRule="auto"/>
        <w:ind w:left="709" w:right="709"/>
        <w:jc w:val="both"/>
        <w:rPr>
          <w:rFonts w:ascii="Arial" w:eastAsia="Calibri" w:hAnsi="Arial" w:cs="Arial"/>
          <w:color w:val="000000" w:themeColor="text1"/>
          <w:sz w:val="22"/>
        </w:rPr>
      </w:pPr>
      <w:proofErr w:type="spellStart"/>
      <w:r w:rsidRPr="0040093D">
        <w:rPr>
          <w:rFonts w:ascii="Arial" w:eastAsia="Calibri" w:hAnsi="Arial" w:cs="Arial"/>
          <w:color w:val="000000" w:themeColor="text1"/>
          <w:sz w:val="22"/>
        </w:rPr>
        <w:t>iii</w:t>
      </w:r>
      <w:proofErr w:type="spellEnd"/>
      <w:r w:rsidRPr="0040093D">
        <w:rPr>
          <w:rFonts w:ascii="Arial" w:eastAsia="Calibri" w:hAnsi="Arial" w:cs="Arial"/>
          <w:color w:val="000000" w:themeColor="text1"/>
          <w:sz w:val="22"/>
        </w:rPr>
        <w:t xml:space="preserve">) En caso afirmativo, ¿los documentos que requieren firma manuscrita, como la carta de presentación de la propuesta, pueden ser tenidos como válidos </w:t>
      </w:r>
      <w:r w:rsidR="00161F1C" w:rsidRPr="0040093D">
        <w:rPr>
          <w:rFonts w:ascii="Arial" w:eastAsia="Calibri" w:hAnsi="Arial" w:cs="Arial"/>
          <w:color w:val="000000" w:themeColor="text1"/>
          <w:sz w:val="22"/>
        </w:rPr>
        <w:t>en caso de enviarse</w:t>
      </w:r>
      <w:r w:rsidRPr="0040093D">
        <w:rPr>
          <w:rFonts w:ascii="Arial" w:eastAsia="Calibri" w:hAnsi="Arial" w:cs="Arial"/>
          <w:color w:val="000000" w:themeColor="text1"/>
          <w:sz w:val="22"/>
        </w:rPr>
        <w:t xml:space="preserve"> por correo electrónico?</w:t>
      </w:r>
    </w:p>
    <w:p w14:paraId="77B000A9" w14:textId="39C8CD90"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p>
    <w:p w14:paraId="6782E1E8" w14:textId="6C469839"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r w:rsidRPr="0040093D">
        <w:rPr>
          <w:rFonts w:ascii="Arial" w:eastAsia="Calibri" w:hAnsi="Arial" w:cs="Arial"/>
          <w:color w:val="000000" w:themeColor="text1"/>
          <w:sz w:val="22"/>
        </w:rPr>
        <w:t xml:space="preserve">Conforme a lo analizado en el apartado 2.3 </w:t>
      </w:r>
      <w:r w:rsidR="00DE4105" w:rsidRPr="0040093D">
        <w:rPr>
          <w:rFonts w:ascii="Arial" w:eastAsia="Calibri" w:hAnsi="Arial" w:cs="Arial"/>
          <w:color w:val="000000" w:themeColor="text1"/>
          <w:sz w:val="22"/>
        </w:rPr>
        <w:t>de este</w:t>
      </w:r>
      <w:r w:rsidRPr="0040093D">
        <w:rPr>
          <w:rFonts w:ascii="Arial" w:eastAsia="Calibri" w:hAnsi="Arial" w:cs="Arial"/>
          <w:color w:val="000000" w:themeColor="text1"/>
          <w:sz w:val="22"/>
        </w:rPr>
        <w:t xml:space="preserve"> concepto, </w:t>
      </w:r>
      <w:r w:rsidR="00007750" w:rsidRPr="0040093D">
        <w:rPr>
          <w:rFonts w:ascii="Arial" w:eastAsia="Calibri" w:hAnsi="Arial" w:cs="Arial"/>
          <w:color w:val="000000" w:themeColor="text1"/>
          <w:sz w:val="22"/>
        </w:rPr>
        <w:t xml:space="preserve">si el documento tiene firma manuscrita y se escanea para enviarlo a la entidad estatal, éste es completamente válido porque es una copia simple del original que está firmado. Por su parte, </w:t>
      </w:r>
      <w:r w:rsidR="00DE4105" w:rsidRPr="0040093D">
        <w:rPr>
          <w:rFonts w:ascii="Arial" w:eastAsia="Calibri" w:hAnsi="Arial" w:cs="Arial"/>
          <w:color w:val="000000" w:themeColor="text1"/>
          <w:sz w:val="22"/>
        </w:rPr>
        <w:t xml:space="preserve">si </w:t>
      </w:r>
      <w:r w:rsidR="00007750" w:rsidRPr="0040093D">
        <w:rPr>
          <w:rFonts w:ascii="Arial" w:eastAsia="Calibri" w:hAnsi="Arial" w:cs="Arial"/>
          <w:color w:val="000000" w:themeColor="text1"/>
          <w:sz w:val="22"/>
        </w:rPr>
        <w:t>el documento está firmado por medio de una imagen, será válido únicamente si cumple los requisitos de las firmas electrónicas y digitales, conforme a lo dispuesto en la Ley 527 de 1999. De lo contrario, se entenderá que el documento no tiene firma y, por lo tanto, se podrá rechazar la oferta, si la subsanación del documento no se realiza durante el traslado del informe de evaluación.</w:t>
      </w:r>
    </w:p>
    <w:p w14:paraId="7B1411FF" w14:textId="77777777" w:rsidR="00C32017" w:rsidRPr="0040093D" w:rsidRDefault="00C32017" w:rsidP="00161F1C">
      <w:pPr>
        <w:tabs>
          <w:tab w:val="left" w:pos="426"/>
        </w:tabs>
        <w:spacing w:line="276" w:lineRule="auto"/>
        <w:ind w:right="709"/>
        <w:jc w:val="both"/>
        <w:rPr>
          <w:rFonts w:ascii="Arial" w:eastAsia="Calibri" w:hAnsi="Arial" w:cs="Arial"/>
          <w:color w:val="000000" w:themeColor="text1"/>
          <w:sz w:val="22"/>
        </w:rPr>
      </w:pPr>
    </w:p>
    <w:p w14:paraId="431D377D" w14:textId="14680861" w:rsidR="00C32017" w:rsidRPr="0040093D" w:rsidRDefault="00C32017" w:rsidP="00397FF0">
      <w:pPr>
        <w:tabs>
          <w:tab w:val="left" w:pos="426"/>
        </w:tabs>
        <w:spacing w:line="276" w:lineRule="auto"/>
        <w:ind w:left="709" w:right="709"/>
        <w:jc w:val="both"/>
        <w:rPr>
          <w:rFonts w:ascii="Arial" w:eastAsia="Calibri" w:hAnsi="Arial" w:cs="Arial"/>
          <w:color w:val="000000" w:themeColor="text1"/>
          <w:sz w:val="22"/>
        </w:rPr>
      </w:pPr>
      <w:proofErr w:type="spellStart"/>
      <w:r w:rsidRPr="0040093D">
        <w:rPr>
          <w:rFonts w:ascii="Arial" w:eastAsia="Calibri" w:hAnsi="Arial" w:cs="Arial"/>
          <w:color w:val="000000" w:themeColor="text1"/>
          <w:sz w:val="22"/>
        </w:rPr>
        <w:t>iv</w:t>
      </w:r>
      <w:proofErr w:type="spellEnd"/>
      <w:r w:rsidRPr="0040093D">
        <w:rPr>
          <w:rFonts w:ascii="Arial" w:eastAsia="Calibri" w:hAnsi="Arial" w:cs="Arial"/>
          <w:color w:val="000000" w:themeColor="text1"/>
          <w:sz w:val="22"/>
        </w:rPr>
        <w:t>) En caso afirmativo, ¿el término para subsanar debe contarse hasta la última hora laboral de la entidad o debe contarse hasta la media noche del respectivo día?</w:t>
      </w:r>
    </w:p>
    <w:p w14:paraId="7ADBC866" w14:textId="5CA3F4C7"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p>
    <w:p w14:paraId="18F25CB9" w14:textId="58CDC102"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r w:rsidRPr="0040093D">
        <w:rPr>
          <w:rFonts w:ascii="Arial" w:eastAsia="Calibri" w:hAnsi="Arial" w:cs="Arial"/>
          <w:color w:val="000000" w:themeColor="text1"/>
          <w:sz w:val="22"/>
        </w:rPr>
        <w:t>En lo que respecta a la oportunidad, tal y como señala el precitado numeral 1.6 del pliego tipo, «[…] la Entidad deberá solicitar a los Proponentes, las aclaraciones, precisiones o solicitud de documentos que puedan ser subsanables […]» y «[…] deberán allegar las aclaraciones o documentos requeridos hasta el término de traslado del informe de evaluación», lo cual implica que si el oferente no realiza la subsanación física en el horario laboral de la entidad, podrá remitir la información faltante antes de la media noche, toda vez que se encuentra dentro del término previsto en el cronograma del proceso de selección.</w:t>
      </w:r>
    </w:p>
    <w:p w14:paraId="6F9DFE54" w14:textId="77777777" w:rsidR="00161F1C" w:rsidRPr="0040093D" w:rsidRDefault="00161F1C" w:rsidP="00161F1C">
      <w:pPr>
        <w:tabs>
          <w:tab w:val="left" w:pos="426"/>
        </w:tabs>
        <w:spacing w:line="276" w:lineRule="auto"/>
        <w:ind w:right="709"/>
        <w:jc w:val="both"/>
        <w:rPr>
          <w:rFonts w:ascii="Arial" w:eastAsia="Calibri" w:hAnsi="Arial" w:cs="Arial"/>
          <w:color w:val="000000" w:themeColor="text1"/>
          <w:sz w:val="22"/>
        </w:rPr>
      </w:pPr>
    </w:p>
    <w:p w14:paraId="11622E72" w14:textId="25C8DD10" w:rsidR="006908DB" w:rsidRPr="0040093D" w:rsidRDefault="00D93726" w:rsidP="000D2563">
      <w:pPr>
        <w:tabs>
          <w:tab w:val="left" w:pos="426"/>
        </w:tabs>
        <w:spacing w:line="276" w:lineRule="auto"/>
        <w:ind w:left="709" w:right="709"/>
        <w:jc w:val="both"/>
        <w:rPr>
          <w:rFonts w:ascii="Arial" w:eastAsia="Calibri" w:hAnsi="Arial" w:cs="Arial"/>
          <w:color w:val="000000" w:themeColor="text1"/>
          <w:sz w:val="22"/>
        </w:rPr>
      </w:pPr>
      <w:r w:rsidRPr="0040093D">
        <w:rPr>
          <w:rFonts w:ascii="Arial" w:eastAsia="Calibri" w:hAnsi="Arial" w:cs="Arial"/>
          <w:color w:val="000000" w:themeColor="text1"/>
          <w:sz w:val="22"/>
        </w:rPr>
        <w:t>v) ¿La entidad podría disponer sobre los mecanismos para subsanar la oferta, indicando si se realiza física o electrónicamente?</w:t>
      </w:r>
    </w:p>
    <w:p w14:paraId="25D5867B" w14:textId="77777777" w:rsidR="000D2563" w:rsidRPr="0040093D" w:rsidRDefault="000D2563" w:rsidP="000D2563">
      <w:pPr>
        <w:tabs>
          <w:tab w:val="left" w:pos="426"/>
        </w:tabs>
        <w:spacing w:line="276" w:lineRule="auto"/>
        <w:ind w:left="709" w:right="709"/>
        <w:jc w:val="both"/>
        <w:rPr>
          <w:rFonts w:ascii="Arial" w:eastAsia="Calibri" w:hAnsi="Arial" w:cs="Arial"/>
          <w:color w:val="000000" w:themeColor="text1"/>
          <w:sz w:val="22"/>
        </w:rPr>
      </w:pPr>
    </w:p>
    <w:p w14:paraId="60ECB3F7" w14:textId="05864209" w:rsidR="004861B4" w:rsidRPr="0040093D" w:rsidRDefault="000D2563" w:rsidP="004861B4">
      <w:pPr>
        <w:tabs>
          <w:tab w:val="left" w:pos="709"/>
        </w:tabs>
        <w:spacing w:before="120" w:line="276" w:lineRule="auto"/>
        <w:jc w:val="both"/>
        <w:rPr>
          <w:rFonts w:ascii="Arial" w:eastAsia="Calibri" w:hAnsi="Arial" w:cs="Arial"/>
          <w:color w:val="000000" w:themeColor="text1"/>
          <w:sz w:val="22"/>
        </w:rPr>
      </w:pPr>
      <w:r w:rsidRPr="0040093D">
        <w:rPr>
          <w:rFonts w:ascii="Arial" w:eastAsia="Calibri" w:hAnsi="Arial" w:cs="Arial"/>
          <w:color w:val="000000" w:themeColor="text1"/>
          <w:sz w:val="22"/>
        </w:rPr>
        <w:t>D</w:t>
      </w:r>
      <w:r w:rsidR="00D93726" w:rsidRPr="0040093D">
        <w:rPr>
          <w:rFonts w:ascii="Arial" w:eastAsia="Calibri" w:hAnsi="Arial" w:cs="Arial"/>
          <w:color w:val="000000" w:themeColor="text1"/>
          <w:sz w:val="22"/>
        </w:rPr>
        <w:t xml:space="preserve">ado que el artículo 5 de la </w:t>
      </w:r>
      <w:r w:rsidR="00D93726" w:rsidRPr="0040093D">
        <w:rPr>
          <w:rFonts w:ascii="Arial" w:eastAsia="Calibri" w:hAnsi="Arial" w:cs="Arial"/>
          <w:color w:val="000000" w:themeColor="text1"/>
          <w:sz w:val="22"/>
          <w:lang w:val="es-ES_tradnl"/>
        </w:rPr>
        <w:t>Ley 529 de 1999 dispone que «No se negarán efectos jurídicos, validez o fuerza obligatoria a todo tipo de información por la sola razón de que esté en forma de mensaje de datos» y que tanto la Ley 80 de 1993 como la Ley 1150 de 2007 se remiten a la misma</w:t>
      </w:r>
      <w:r w:rsidR="00BF7C52" w:rsidRPr="0040093D">
        <w:rPr>
          <w:rFonts w:ascii="Arial" w:eastAsia="Calibri" w:hAnsi="Arial" w:cs="Arial"/>
          <w:color w:val="000000" w:themeColor="text1"/>
          <w:sz w:val="22"/>
          <w:lang w:val="es-ES_tradnl"/>
        </w:rPr>
        <w:t xml:space="preserve"> disposición</w:t>
      </w:r>
      <w:r w:rsidR="00D93726" w:rsidRPr="0040093D">
        <w:rPr>
          <w:rFonts w:ascii="Arial" w:eastAsia="Calibri" w:hAnsi="Arial" w:cs="Arial"/>
          <w:color w:val="000000" w:themeColor="text1"/>
          <w:sz w:val="22"/>
          <w:lang w:val="es-ES_tradnl"/>
        </w:rPr>
        <w:t>, no es posible que a través de los pliegos tipo se prohíba la subsanación de la documentación faltante</w:t>
      </w:r>
      <w:r w:rsidR="004861B4" w:rsidRPr="0040093D">
        <w:rPr>
          <w:rFonts w:ascii="Arial" w:eastAsia="Calibri" w:hAnsi="Arial" w:cs="Arial"/>
          <w:color w:val="000000" w:themeColor="text1"/>
          <w:sz w:val="22"/>
          <w:lang w:val="es-ES_tradnl"/>
        </w:rPr>
        <w:t xml:space="preserve"> a través de mensajes de datos, pues la entidad sólo puede diligenciar los aspectos incluidos en corchetes y resaltado gris. </w:t>
      </w:r>
      <w:r w:rsidR="00BF7C52" w:rsidRPr="0040093D">
        <w:rPr>
          <w:rFonts w:ascii="Arial" w:eastAsia="Calibri" w:hAnsi="Arial" w:cs="Arial"/>
          <w:color w:val="000000" w:themeColor="text1"/>
          <w:sz w:val="22"/>
          <w:lang w:val="es-ES_tradnl"/>
        </w:rPr>
        <w:t>Por ello</w:t>
      </w:r>
      <w:r w:rsidR="004861B4" w:rsidRPr="0040093D">
        <w:rPr>
          <w:rFonts w:ascii="Arial" w:eastAsia="Calibri" w:hAnsi="Arial" w:cs="Arial"/>
          <w:color w:val="000000" w:themeColor="text1"/>
          <w:sz w:val="22"/>
          <w:lang w:val="es-ES_tradnl"/>
        </w:rPr>
        <w:t xml:space="preserve">, en la medida </w:t>
      </w:r>
      <w:r w:rsidR="00DE4105" w:rsidRPr="0040093D">
        <w:rPr>
          <w:rFonts w:ascii="Arial" w:eastAsia="Calibri" w:hAnsi="Arial" w:cs="Arial"/>
          <w:color w:val="000000" w:themeColor="text1"/>
          <w:sz w:val="22"/>
          <w:lang w:val="es-ES_tradnl"/>
        </w:rPr>
        <w:t xml:space="preserve">en </w:t>
      </w:r>
      <w:r w:rsidR="004861B4" w:rsidRPr="0040093D">
        <w:rPr>
          <w:rFonts w:ascii="Arial" w:eastAsia="Calibri" w:hAnsi="Arial" w:cs="Arial"/>
          <w:color w:val="000000" w:themeColor="text1"/>
          <w:sz w:val="22"/>
        </w:rPr>
        <w:t xml:space="preserve">que estos documentos tipo </w:t>
      </w:r>
      <w:r w:rsidR="00BF7C52" w:rsidRPr="0040093D">
        <w:rPr>
          <w:rFonts w:ascii="Arial" w:eastAsia="Calibri" w:hAnsi="Arial" w:cs="Arial"/>
          <w:color w:val="000000" w:themeColor="text1"/>
          <w:sz w:val="22"/>
        </w:rPr>
        <w:t xml:space="preserve">también </w:t>
      </w:r>
      <w:r w:rsidR="004861B4" w:rsidRPr="0040093D">
        <w:rPr>
          <w:rFonts w:ascii="Arial" w:eastAsia="Calibri" w:hAnsi="Arial" w:cs="Arial"/>
          <w:color w:val="000000" w:themeColor="text1"/>
          <w:sz w:val="22"/>
        </w:rPr>
        <w:t>están sometidos a las normas</w:t>
      </w:r>
      <w:r w:rsidR="00BF7C52" w:rsidRPr="0040093D">
        <w:rPr>
          <w:rFonts w:ascii="Arial" w:eastAsia="Calibri" w:hAnsi="Arial" w:cs="Arial"/>
          <w:color w:val="000000" w:themeColor="text1"/>
          <w:sz w:val="22"/>
        </w:rPr>
        <w:t xml:space="preserve"> de contratación</w:t>
      </w:r>
      <w:r w:rsidR="004861B4" w:rsidRPr="0040093D">
        <w:rPr>
          <w:rFonts w:ascii="Arial" w:eastAsia="Calibri" w:hAnsi="Arial" w:cs="Arial"/>
          <w:color w:val="000000" w:themeColor="text1"/>
          <w:sz w:val="22"/>
        </w:rPr>
        <w:t xml:space="preserve"> que les sirven de fundamento, </w:t>
      </w:r>
      <w:r w:rsidR="00BF7C52" w:rsidRPr="0040093D">
        <w:rPr>
          <w:rFonts w:ascii="Arial" w:eastAsia="Calibri" w:hAnsi="Arial" w:cs="Arial"/>
          <w:color w:val="000000" w:themeColor="text1"/>
          <w:sz w:val="22"/>
        </w:rPr>
        <w:t xml:space="preserve">esta Subdirección concluye </w:t>
      </w:r>
      <w:r w:rsidR="00AC2A0B" w:rsidRPr="0040093D">
        <w:rPr>
          <w:rFonts w:ascii="Arial" w:eastAsia="Calibri" w:hAnsi="Arial" w:cs="Arial"/>
          <w:color w:val="000000" w:themeColor="text1"/>
          <w:sz w:val="22"/>
        </w:rPr>
        <w:t xml:space="preserve">que </w:t>
      </w:r>
      <w:r w:rsidR="004861B4" w:rsidRPr="0040093D">
        <w:rPr>
          <w:rFonts w:ascii="Arial" w:eastAsia="Calibri" w:hAnsi="Arial" w:cs="Arial"/>
          <w:color w:val="000000" w:themeColor="text1"/>
          <w:sz w:val="22"/>
        </w:rPr>
        <w:t xml:space="preserve">es posible </w:t>
      </w:r>
      <w:r w:rsidR="00BF7C52" w:rsidRPr="0040093D">
        <w:rPr>
          <w:rFonts w:ascii="Arial" w:eastAsia="Calibri" w:hAnsi="Arial" w:cs="Arial"/>
          <w:color w:val="000000" w:themeColor="text1"/>
          <w:sz w:val="22"/>
        </w:rPr>
        <w:t>subsanar tanto</w:t>
      </w:r>
      <w:r w:rsidR="004861B4" w:rsidRPr="0040093D">
        <w:rPr>
          <w:rFonts w:ascii="Arial" w:eastAsia="Calibri" w:hAnsi="Arial" w:cs="Arial"/>
          <w:color w:val="000000" w:themeColor="text1"/>
          <w:sz w:val="22"/>
        </w:rPr>
        <w:t xml:space="preserve"> </w:t>
      </w:r>
      <w:r w:rsidR="00AC2A0B" w:rsidRPr="0040093D">
        <w:rPr>
          <w:rFonts w:ascii="Arial" w:eastAsia="Calibri" w:hAnsi="Arial" w:cs="Arial"/>
          <w:color w:val="000000" w:themeColor="text1"/>
          <w:sz w:val="22"/>
        </w:rPr>
        <w:t>física como electrónicamente</w:t>
      </w:r>
      <w:r w:rsidR="00BF7C52" w:rsidRPr="0040093D">
        <w:rPr>
          <w:rFonts w:ascii="Arial" w:eastAsia="Calibri" w:hAnsi="Arial" w:cs="Arial"/>
          <w:color w:val="000000" w:themeColor="text1"/>
          <w:sz w:val="22"/>
        </w:rPr>
        <w:t>.</w:t>
      </w:r>
    </w:p>
    <w:p w14:paraId="64EF8EDB" w14:textId="0AA00C38" w:rsidR="00BF7C52" w:rsidRPr="0040093D" w:rsidRDefault="00BF7C52" w:rsidP="004861B4">
      <w:pPr>
        <w:tabs>
          <w:tab w:val="left" w:pos="709"/>
        </w:tabs>
        <w:spacing w:before="120" w:line="276" w:lineRule="auto"/>
        <w:jc w:val="both"/>
        <w:rPr>
          <w:rFonts w:ascii="Arial" w:eastAsia="Calibri" w:hAnsi="Arial" w:cs="Arial"/>
          <w:color w:val="000000" w:themeColor="text1"/>
          <w:sz w:val="22"/>
        </w:rPr>
      </w:pPr>
      <w:r w:rsidRPr="0040093D">
        <w:rPr>
          <w:rFonts w:ascii="Arial" w:eastAsia="Calibri" w:hAnsi="Arial" w:cs="Arial"/>
          <w:color w:val="000000" w:themeColor="text1"/>
          <w:sz w:val="22"/>
        </w:rPr>
        <w:tab/>
      </w:r>
      <w:r w:rsidR="00E630C0" w:rsidRPr="0040093D">
        <w:rPr>
          <w:rFonts w:ascii="Arial" w:eastAsia="Calibri" w:hAnsi="Arial" w:cs="Arial"/>
          <w:color w:val="000000" w:themeColor="text1"/>
          <w:sz w:val="22"/>
        </w:rPr>
        <w:t>Al margen de lo anterior</w:t>
      </w:r>
      <w:r w:rsidRPr="0040093D">
        <w:rPr>
          <w:rFonts w:ascii="Arial" w:eastAsia="Calibri" w:hAnsi="Arial" w:cs="Arial"/>
          <w:color w:val="000000" w:themeColor="text1"/>
          <w:sz w:val="22"/>
        </w:rPr>
        <w:t xml:space="preserve">, se informa al peticionario que estas cuestiones fueron resueltas en la </w:t>
      </w:r>
      <w:r w:rsidR="000D2563" w:rsidRPr="0040093D">
        <w:rPr>
          <w:rFonts w:ascii="Arial" w:eastAsia="Calibri" w:hAnsi="Arial" w:cs="Arial"/>
          <w:color w:val="000000" w:themeColor="text1"/>
          <w:sz w:val="22"/>
        </w:rPr>
        <w:t>V</w:t>
      </w:r>
      <w:r w:rsidRPr="0040093D">
        <w:rPr>
          <w:rFonts w:ascii="Arial" w:eastAsia="Calibri" w:hAnsi="Arial" w:cs="Arial"/>
          <w:color w:val="000000" w:themeColor="text1"/>
          <w:sz w:val="22"/>
        </w:rPr>
        <w:t xml:space="preserve">ersión 2 de </w:t>
      </w:r>
      <w:r w:rsidRPr="0040093D">
        <w:rPr>
          <w:rFonts w:ascii="Arial" w:eastAsia="Calibri" w:hAnsi="Arial" w:cs="Arial"/>
          <w:color w:val="000000" w:themeColor="text1"/>
          <w:sz w:val="22"/>
          <w:lang w:val="es-ES_tradnl"/>
        </w:rPr>
        <w:t>los documentos tipo para la licitación de obra pública de infraestructura de transporte</w:t>
      </w:r>
      <w:r w:rsidRPr="0040093D">
        <w:rPr>
          <w:rFonts w:ascii="Arial" w:eastAsia="Calibri" w:hAnsi="Arial" w:cs="Arial"/>
          <w:color w:val="000000" w:themeColor="text1"/>
          <w:sz w:val="22"/>
        </w:rPr>
        <w:t xml:space="preserve">, los cuales fueron </w:t>
      </w:r>
      <w:r w:rsidR="000D2563" w:rsidRPr="0040093D">
        <w:rPr>
          <w:rFonts w:ascii="Arial" w:eastAsia="Calibri" w:hAnsi="Arial" w:cs="Arial"/>
          <w:color w:val="000000" w:themeColor="text1"/>
          <w:sz w:val="22"/>
        </w:rPr>
        <w:t>adoptados</w:t>
      </w:r>
      <w:r w:rsidRPr="0040093D">
        <w:rPr>
          <w:rFonts w:ascii="Arial" w:eastAsia="Calibri" w:hAnsi="Arial" w:cs="Arial"/>
          <w:color w:val="000000" w:themeColor="text1"/>
          <w:sz w:val="22"/>
        </w:rPr>
        <w:t xml:space="preserve"> a través de la Resolución No. 045 del 14 de febrero de 2020. Para estos efectos,</w:t>
      </w:r>
      <w:r w:rsidR="0095780A" w:rsidRPr="0040093D">
        <w:rPr>
          <w:rFonts w:ascii="Arial" w:eastAsia="Calibri" w:hAnsi="Arial" w:cs="Arial"/>
          <w:color w:val="000000" w:themeColor="text1"/>
          <w:sz w:val="22"/>
        </w:rPr>
        <w:t xml:space="preserve"> en lo pertinente,</w:t>
      </w:r>
      <w:r w:rsidRPr="0040093D">
        <w:rPr>
          <w:rFonts w:ascii="Arial" w:eastAsia="Calibri" w:hAnsi="Arial" w:cs="Arial"/>
          <w:color w:val="000000" w:themeColor="text1"/>
          <w:sz w:val="22"/>
        </w:rPr>
        <w:t xml:space="preserve"> el numeral 1.6 del pliego establece lo siguiente:</w:t>
      </w:r>
      <w:r w:rsidR="009953AD" w:rsidRPr="0040093D">
        <w:rPr>
          <w:rFonts w:ascii="Arial" w:eastAsia="Calibri" w:hAnsi="Arial" w:cs="Arial"/>
          <w:color w:val="000000" w:themeColor="text1"/>
          <w:sz w:val="22"/>
        </w:rPr>
        <w:t xml:space="preserve"> «</w:t>
      </w:r>
      <w:r w:rsidR="000D2563" w:rsidRPr="0040093D">
        <w:rPr>
          <w:rFonts w:ascii="Arial" w:eastAsia="Calibri" w:hAnsi="Arial" w:cs="Arial"/>
          <w:color w:val="000000" w:themeColor="text1"/>
          <w:sz w:val="22"/>
        </w:rPr>
        <w:t xml:space="preserve">[…] </w:t>
      </w:r>
      <w:r w:rsidR="009953AD" w:rsidRPr="0040093D">
        <w:rPr>
          <w:rFonts w:ascii="Arial" w:eastAsia="Calibri" w:hAnsi="Arial" w:cs="Arial"/>
          <w:color w:val="000000" w:themeColor="text1"/>
          <w:sz w:val="22"/>
        </w:rPr>
        <w:t>En los procesos adelantados en el SECOP I, las subsanaciones, explicaciones y aclaraciones se presentarán por cualquier medio: en físico, entre las horas de atención al público; o por correo electrónico hasta las 23:59 p. m. del día establecido en el cronograma. Los adelantados en el SECOP II se subsanarán por medio de mensajes, en la forma prevista en la plataforma</w:t>
      </w:r>
      <w:r w:rsidR="000D2563" w:rsidRPr="0040093D">
        <w:rPr>
          <w:rFonts w:ascii="Arial" w:eastAsia="Calibri" w:hAnsi="Arial" w:cs="Arial"/>
          <w:color w:val="000000" w:themeColor="text1"/>
          <w:sz w:val="22"/>
        </w:rPr>
        <w:t xml:space="preserve"> […]</w:t>
      </w:r>
      <w:r w:rsidR="009953AD" w:rsidRPr="0040093D">
        <w:rPr>
          <w:rFonts w:ascii="Arial" w:eastAsia="Calibri" w:hAnsi="Arial" w:cs="Arial"/>
          <w:color w:val="000000" w:themeColor="text1"/>
          <w:sz w:val="22"/>
        </w:rPr>
        <w:t>».</w:t>
      </w:r>
    </w:p>
    <w:p w14:paraId="3901759E" w14:textId="77777777" w:rsidR="00AC2A0B" w:rsidRPr="0040093D" w:rsidRDefault="00AC2A0B" w:rsidP="004861B4">
      <w:pPr>
        <w:tabs>
          <w:tab w:val="left" w:pos="709"/>
        </w:tabs>
        <w:spacing w:before="120" w:line="276" w:lineRule="auto"/>
        <w:jc w:val="both"/>
        <w:rPr>
          <w:rFonts w:ascii="Arial" w:eastAsia="Calibri" w:hAnsi="Arial" w:cs="Arial"/>
          <w:color w:val="000000" w:themeColor="text1"/>
          <w:sz w:val="22"/>
        </w:rPr>
      </w:pPr>
    </w:p>
    <w:p w14:paraId="7CC88A7D" w14:textId="77777777" w:rsidR="00F1108B" w:rsidRPr="0040093D" w:rsidRDefault="00F1108B" w:rsidP="00397FF0">
      <w:pPr>
        <w:spacing w:before="120" w:line="276" w:lineRule="auto"/>
        <w:ind w:firstLine="709"/>
        <w:jc w:val="both"/>
        <w:rPr>
          <w:rFonts w:ascii="Arial" w:eastAsia="Calibri" w:hAnsi="Arial" w:cs="Arial"/>
          <w:color w:val="000000" w:themeColor="text1"/>
          <w:sz w:val="22"/>
        </w:rPr>
      </w:pPr>
      <w:r w:rsidRPr="0040093D">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40093D" w:rsidRDefault="00A37FB6" w:rsidP="00D01760">
      <w:pPr>
        <w:spacing w:line="276" w:lineRule="auto"/>
        <w:jc w:val="both"/>
        <w:rPr>
          <w:rFonts w:ascii="Arial" w:eastAsia="Calibri" w:hAnsi="Arial" w:cs="Arial"/>
          <w:color w:val="000000" w:themeColor="text1"/>
          <w:sz w:val="22"/>
        </w:rPr>
      </w:pPr>
    </w:p>
    <w:p w14:paraId="0F8C901F" w14:textId="77777777" w:rsidR="00A37FB6" w:rsidRPr="0040093D" w:rsidRDefault="00A37FB6" w:rsidP="00D01760">
      <w:pPr>
        <w:jc w:val="both"/>
        <w:rPr>
          <w:rFonts w:ascii="Arial" w:eastAsia="Calibri" w:hAnsi="Arial" w:cs="Arial"/>
          <w:color w:val="000000" w:themeColor="text1"/>
          <w:sz w:val="22"/>
        </w:rPr>
      </w:pPr>
      <w:r w:rsidRPr="0040093D">
        <w:rPr>
          <w:noProof/>
          <w:color w:val="000000" w:themeColor="text1"/>
          <w:lang w:val="es-ES" w:eastAsia="es-E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40093D" w:rsidRDefault="00A37FB6" w:rsidP="00D01760">
      <w:pPr>
        <w:rPr>
          <w:rFonts w:ascii="Arial" w:eastAsia="Times New Roman" w:hAnsi="Arial" w:cs="Arial"/>
          <w:color w:val="000000" w:themeColor="text1"/>
          <w:sz w:val="22"/>
          <w:lang w:eastAsia="es-CO"/>
        </w:rPr>
      </w:pPr>
      <w:r w:rsidRPr="0040093D">
        <w:rPr>
          <w:rFonts w:ascii="Arial" w:eastAsia="Times New Roman" w:hAnsi="Arial" w:cs="Arial"/>
          <w:color w:val="000000" w:themeColor="text1"/>
          <w:sz w:val="22"/>
          <w:lang w:eastAsia="es-CO"/>
        </w:rPr>
        <w:t>Atentamente,</w:t>
      </w:r>
    </w:p>
    <w:p w14:paraId="57DD1EBD" w14:textId="136610B0" w:rsidR="00746E08" w:rsidRDefault="007F0B79" w:rsidP="00746E08">
      <w:pPr>
        <w:jc w:val="center"/>
        <w:rPr>
          <w:rFonts w:ascii="Arial" w:eastAsia="Times New Roman" w:hAnsi="Arial" w:cs="Arial"/>
          <w:color w:val="000000" w:themeColor="text1"/>
          <w:sz w:val="18"/>
          <w:szCs w:val="20"/>
          <w:lang w:eastAsia="es-CO"/>
        </w:rPr>
      </w:pPr>
      <w:r>
        <w:rPr>
          <w:noProof/>
        </w:rPr>
        <w:drawing>
          <wp:inline distT="0" distB="0" distL="0" distR="0" wp14:anchorId="2D7338F5" wp14:editId="3941AADA">
            <wp:extent cx="2773045" cy="988695"/>
            <wp:effectExtent l="0" t="0" r="0" b="0"/>
            <wp:docPr id="140374255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D9AF0E6" w14:textId="77777777" w:rsidR="007F0B79" w:rsidRPr="0040093D" w:rsidRDefault="007F0B79" w:rsidP="00746E08">
      <w:pPr>
        <w:jc w:val="center"/>
        <w:rPr>
          <w:rFonts w:ascii="Arial" w:eastAsia="Times New Roman" w:hAnsi="Arial" w:cs="Arial"/>
          <w:color w:val="000000" w:themeColor="text1"/>
          <w:sz w:val="18"/>
          <w:szCs w:val="20"/>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093D" w:rsidRPr="0040093D" w14:paraId="469202AF" w14:textId="77777777" w:rsidTr="003432C8">
        <w:trPr>
          <w:trHeight w:val="315"/>
        </w:trPr>
        <w:tc>
          <w:tcPr>
            <w:tcW w:w="812" w:type="dxa"/>
            <w:vAlign w:val="center"/>
            <w:hideMark/>
          </w:tcPr>
          <w:p w14:paraId="3F62A0B3" w14:textId="77777777" w:rsidR="00746E08" w:rsidRPr="0040093D" w:rsidRDefault="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60EE00D9" w:rsidR="00746E08" w:rsidRPr="0040093D" w:rsidRDefault="00A668BA">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 xml:space="preserve">Juan David Montoya Penagos </w:t>
            </w:r>
          </w:p>
        </w:tc>
      </w:tr>
      <w:tr w:rsidR="0040093D" w:rsidRPr="0040093D" w14:paraId="10BC78E8" w14:textId="77777777" w:rsidTr="003432C8">
        <w:trPr>
          <w:trHeight w:val="330"/>
        </w:trPr>
        <w:tc>
          <w:tcPr>
            <w:tcW w:w="812" w:type="dxa"/>
            <w:vAlign w:val="center"/>
            <w:hideMark/>
          </w:tcPr>
          <w:p w14:paraId="6A7DBF66" w14:textId="77777777" w:rsidR="00746E08" w:rsidRPr="0040093D" w:rsidRDefault="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40093D" w:rsidRDefault="00746E08" w:rsidP="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Fabián Gonzalo Marín Cortés</w:t>
            </w:r>
          </w:p>
          <w:p w14:paraId="19E8BD8D" w14:textId="69868F8E" w:rsidR="00746E08" w:rsidRPr="0040093D" w:rsidRDefault="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Subdirector de Gestión Contractual</w:t>
            </w:r>
          </w:p>
        </w:tc>
      </w:tr>
      <w:tr w:rsidR="00746E08" w:rsidRPr="0040093D" w14:paraId="50741B38" w14:textId="77777777" w:rsidTr="003432C8">
        <w:trPr>
          <w:trHeight w:val="300"/>
        </w:trPr>
        <w:tc>
          <w:tcPr>
            <w:tcW w:w="812" w:type="dxa"/>
            <w:vAlign w:val="center"/>
            <w:hideMark/>
          </w:tcPr>
          <w:p w14:paraId="297715FA" w14:textId="77777777" w:rsidR="00746E08" w:rsidRPr="0040093D" w:rsidRDefault="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0093D" w:rsidRDefault="00746E08" w:rsidP="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Fabián Gonzalo Marín Cortés</w:t>
            </w:r>
          </w:p>
          <w:p w14:paraId="17847B1F" w14:textId="71EB0D70" w:rsidR="00746E08" w:rsidRPr="0040093D" w:rsidRDefault="00746E08">
            <w:pPr>
              <w:rPr>
                <w:rFonts w:ascii="Arial" w:eastAsia="Times New Roman" w:hAnsi="Arial" w:cs="Arial"/>
                <w:color w:val="000000" w:themeColor="text1"/>
                <w:sz w:val="16"/>
                <w:szCs w:val="16"/>
                <w:lang w:eastAsia="es-ES"/>
              </w:rPr>
            </w:pPr>
            <w:r w:rsidRPr="0040093D">
              <w:rPr>
                <w:rFonts w:ascii="Arial" w:eastAsia="Times New Roman" w:hAnsi="Arial" w:cs="Arial"/>
                <w:color w:val="000000" w:themeColor="text1"/>
                <w:sz w:val="16"/>
                <w:szCs w:val="16"/>
                <w:lang w:eastAsia="es-ES"/>
              </w:rPr>
              <w:t>Subdirector de Gestión Contractual</w:t>
            </w:r>
          </w:p>
        </w:tc>
      </w:tr>
    </w:tbl>
    <w:p w14:paraId="35B56F46" w14:textId="77777777" w:rsidR="00746E08" w:rsidRPr="0040093D" w:rsidRDefault="00746E08" w:rsidP="00746E08">
      <w:pPr>
        <w:rPr>
          <w:rFonts w:ascii="Arial" w:eastAsia="Times New Roman" w:hAnsi="Arial" w:cs="Arial"/>
          <w:color w:val="000000" w:themeColor="text1"/>
          <w:sz w:val="16"/>
          <w:szCs w:val="16"/>
          <w:lang w:eastAsia="es-ES"/>
        </w:rPr>
      </w:pPr>
    </w:p>
    <w:sectPr w:rsidR="00746E08" w:rsidRPr="0040093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143AE" w14:textId="77777777" w:rsidR="000D084D" w:rsidRDefault="000D084D">
      <w:r>
        <w:separator/>
      </w:r>
    </w:p>
  </w:endnote>
  <w:endnote w:type="continuationSeparator" w:id="0">
    <w:p w14:paraId="1E845A48" w14:textId="77777777" w:rsidR="000D084D" w:rsidRDefault="000D084D">
      <w:r>
        <w:continuationSeparator/>
      </w:r>
    </w:p>
  </w:endnote>
  <w:endnote w:type="continuationNotice" w:id="1">
    <w:p w14:paraId="6A7AB3D7" w14:textId="77777777" w:rsidR="000721F1" w:rsidRDefault="00072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AB358D" w:rsidRDefault="00AB358D" w:rsidP="00322937">
    <w:pPr>
      <w:pStyle w:val="NoSpacing"/>
      <w:jc w:val="right"/>
      <w:rPr>
        <w:rFonts w:ascii="Arial" w:hAnsi="Arial" w:cs="Arial"/>
        <w:sz w:val="18"/>
        <w:szCs w:val="18"/>
      </w:rPr>
    </w:pPr>
  </w:p>
  <w:p w14:paraId="7A3785F3" w14:textId="2EF28465" w:rsidR="00AB358D" w:rsidRPr="008217B7" w:rsidRDefault="00AB358D" w:rsidP="00FE42ED">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AB358D" w:rsidRDefault="12A4054A" w:rsidP="00322937">
    <w:pPr>
      <w:pStyle w:val="Footer"/>
      <w:jc w:val="center"/>
      <w:rPr>
        <w:lang w:val="es-ES"/>
      </w:rPr>
    </w:pPr>
    <w:r>
      <w:rPr>
        <w:noProof/>
      </w:rPr>
      <w:drawing>
        <wp:inline distT="0" distB="0" distL="0" distR="0" wp14:anchorId="608B196D" wp14:editId="38CF8C67">
          <wp:extent cx="3700130" cy="519139"/>
          <wp:effectExtent l="0" t="0" r="0" b="0"/>
          <wp:docPr id="5038204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B358D" w:rsidRDefault="00AB358D" w:rsidP="007B0854">
    <w:pPr>
      <w:pStyle w:val="Footer"/>
      <w:jc w:val="center"/>
      <w:rPr>
        <w:lang w:val="es-ES"/>
      </w:rPr>
    </w:pPr>
  </w:p>
  <w:p w14:paraId="6C0EFC49" w14:textId="77777777" w:rsidR="00AB358D" w:rsidRPr="007B0854" w:rsidRDefault="00AB358D" w:rsidP="007B0854">
    <w:pPr>
      <w:pStyle w:val="Footer"/>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84F56" w14:textId="77777777" w:rsidR="000D084D" w:rsidRDefault="000D084D">
      <w:r>
        <w:separator/>
      </w:r>
    </w:p>
  </w:footnote>
  <w:footnote w:type="continuationSeparator" w:id="0">
    <w:p w14:paraId="4C982EF2" w14:textId="77777777" w:rsidR="000D084D" w:rsidRDefault="000D084D">
      <w:r>
        <w:continuationSeparator/>
      </w:r>
    </w:p>
  </w:footnote>
  <w:footnote w:type="continuationNotice" w:id="1">
    <w:p w14:paraId="0B0965FB" w14:textId="77777777" w:rsidR="000721F1" w:rsidRDefault="000721F1"/>
  </w:footnote>
  <w:footnote w:id="2">
    <w:p w14:paraId="16A90F3C" w14:textId="64D5B0CB" w:rsidR="00AB358D" w:rsidRDefault="00AB358D" w:rsidP="00475C5A">
      <w:pPr>
        <w:pStyle w:val="FootnoteText"/>
        <w:ind w:firstLine="709"/>
        <w:jc w:val="both"/>
        <w:rPr>
          <w:rFonts w:ascii="Arial" w:hAnsi="Arial" w:cs="Arial"/>
          <w:color w:val="404040" w:themeColor="text1" w:themeTint="BF"/>
          <w:sz w:val="19"/>
          <w:szCs w:val="19"/>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4EC4E15" w14:textId="77777777" w:rsidR="009E2391" w:rsidRPr="00475C5A" w:rsidRDefault="009E2391" w:rsidP="00475C5A">
      <w:pPr>
        <w:pStyle w:val="FootnoteText"/>
        <w:ind w:firstLine="709"/>
        <w:jc w:val="both"/>
        <w:rPr>
          <w:rFonts w:ascii="Arial" w:hAnsi="Arial" w:cs="Arial"/>
          <w:color w:val="404040" w:themeColor="text1" w:themeTint="BF"/>
          <w:sz w:val="19"/>
          <w:szCs w:val="19"/>
        </w:rPr>
      </w:pPr>
    </w:p>
  </w:footnote>
  <w:footnote w:id="3">
    <w:p w14:paraId="6EBA2CD0" w14:textId="77777777" w:rsidR="00AB358D" w:rsidRPr="00160401" w:rsidRDefault="00AB358D" w:rsidP="005F4481">
      <w:pPr>
        <w:pStyle w:val="FootnoteText"/>
        <w:ind w:firstLine="709"/>
        <w:jc w:val="both"/>
        <w:rPr>
          <w:rFonts w:ascii="Arial" w:hAnsi="Arial" w:cs="Arial"/>
          <w:color w:val="404040" w:themeColor="text1" w:themeTint="BF"/>
          <w:sz w:val="19"/>
          <w:szCs w:val="19"/>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4">
    <w:p w14:paraId="7756145B" w14:textId="33918FB7" w:rsidR="00AB358D" w:rsidRPr="00160401" w:rsidRDefault="00AB358D" w:rsidP="005F4481">
      <w:pPr>
        <w:pStyle w:val="FootnoteText"/>
        <w:ind w:firstLine="709"/>
        <w:jc w:val="both"/>
        <w:rPr>
          <w:rFonts w:ascii="Arial" w:hAnsi="Arial" w:cs="Arial"/>
          <w:color w:val="404040" w:themeColor="text1" w:themeTint="BF"/>
          <w:sz w:val="19"/>
          <w:szCs w:val="19"/>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CONSEJO DE ESTADO. Sección Tercera</w:t>
      </w:r>
      <w:r>
        <w:rPr>
          <w:rFonts w:ascii="Arial" w:hAnsi="Arial" w:cs="Arial"/>
          <w:color w:val="404040" w:themeColor="text1" w:themeTint="BF"/>
          <w:sz w:val="19"/>
          <w:szCs w:val="19"/>
        </w:rPr>
        <w:t>.</w:t>
      </w:r>
      <w:r w:rsidRPr="00160401">
        <w:rPr>
          <w:rFonts w:ascii="Arial" w:hAnsi="Arial" w:cs="Arial"/>
          <w:color w:val="404040" w:themeColor="text1" w:themeTint="BF"/>
          <w:sz w:val="19"/>
          <w:szCs w:val="19"/>
        </w:rPr>
        <w:t xml:space="preserve"> Subsección C. Sentencia del 26 de febrero de 2014. Rad. 25.804</w:t>
      </w:r>
      <w:r>
        <w:rPr>
          <w:rFonts w:ascii="Arial" w:hAnsi="Arial" w:cs="Arial"/>
          <w:color w:val="404040" w:themeColor="text1" w:themeTint="BF"/>
          <w:sz w:val="19"/>
          <w:szCs w:val="19"/>
        </w:rPr>
        <w:t xml:space="preserve">. </w:t>
      </w:r>
      <w:r w:rsidRPr="00160401">
        <w:rPr>
          <w:rFonts w:ascii="Arial" w:hAnsi="Arial" w:cs="Arial"/>
          <w:color w:val="404040" w:themeColor="text1" w:themeTint="BF"/>
          <w:sz w:val="19"/>
          <w:szCs w:val="19"/>
        </w:rPr>
        <w:t>C.P. Enrique Gil Botero</w:t>
      </w:r>
      <w:r>
        <w:rPr>
          <w:rFonts w:ascii="Arial" w:hAnsi="Arial" w:cs="Arial"/>
          <w:color w:val="404040" w:themeColor="text1" w:themeTint="BF"/>
          <w:sz w:val="19"/>
          <w:szCs w:val="19"/>
        </w:rPr>
        <w:t>.</w:t>
      </w:r>
      <w:r w:rsidRPr="00160401">
        <w:rPr>
          <w:rFonts w:ascii="Arial" w:hAnsi="Arial" w:cs="Arial"/>
          <w:color w:val="404040" w:themeColor="text1" w:themeTint="BF"/>
          <w:sz w:val="19"/>
          <w:szCs w:val="19"/>
        </w:rPr>
        <w:t xml:space="preserve"> </w:t>
      </w:r>
    </w:p>
  </w:footnote>
  <w:footnote w:id="5">
    <w:p w14:paraId="3C57DD5F" w14:textId="77777777" w:rsidR="00AB358D" w:rsidRPr="00160401" w:rsidRDefault="00AB358D" w:rsidP="005F4481">
      <w:pPr>
        <w:pStyle w:val="FootnoteText"/>
        <w:ind w:firstLine="709"/>
        <w:jc w:val="both"/>
        <w:rPr>
          <w:rFonts w:ascii="Arial" w:hAnsi="Arial" w:cs="Arial"/>
          <w:color w:val="404040" w:themeColor="text1" w:themeTint="BF"/>
          <w:sz w:val="19"/>
          <w:szCs w:val="19"/>
          <w:lang w:val="es-CO"/>
        </w:rPr>
      </w:pPr>
      <w:r w:rsidRPr="00160401">
        <w:rPr>
          <w:rStyle w:val="FootnoteReference"/>
          <w:rFonts w:ascii="Arial" w:hAnsi="Arial" w:cs="Arial"/>
          <w:color w:val="404040" w:themeColor="text1" w:themeTint="BF"/>
          <w:sz w:val="19"/>
          <w:szCs w:val="19"/>
        </w:rPr>
        <w:footnoteRef/>
      </w:r>
      <w:r w:rsidRPr="00160401">
        <w:rPr>
          <w:rStyle w:val="FootnoteReference"/>
          <w:rFonts w:ascii="Arial" w:hAnsi="Arial" w:cs="Arial"/>
          <w:color w:val="404040" w:themeColor="text1" w:themeTint="BF"/>
          <w:sz w:val="19"/>
          <w:szCs w:val="19"/>
        </w:rPr>
        <w:t xml:space="preserve"> </w:t>
      </w:r>
      <w:r w:rsidRPr="00160401">
        <w:rPr>
          <w:rFonts w:ascii="Arial" w:hAnsi="Arial" w:cs="Arial"/>
          <w:color w:val="404040" w:themeColor="text1" w:themeTint="BF"/>
          <w:sz w:val="19"/>
          <w:szCs w:val="19"/>
          <w:lang w:val="es-CO"/>
        </w:rPr>
        <w:t>Ley 1150 de 2007, artículo 5, parágrafo 4°: «</w:t>
      </w:r>
      <w:r w:rsidRPr="00160401">
        <w:rPr>
          <w:rFonts w:ascii="Arial" w:hAnsi="Arial" w:cs="Arial"/>
          <w:color w:val="404040" w:themeColor="text1" w:themeTint="BF"/>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6">
    <w:p w14:paraId="4BB59FF8" w14:textId="11C6C9B5" w:rsidR="009E2391" w:rsidRPr="00160401" w:rsidRDefault="00AB358D" w:rsidP="009E2391">
      <w:pPr>
        <w:ind w:firstLine="709"/>
        <w:jc w:val="both"/>
        <w:rPr>
          <w:rFonts w:ascii="Arial" w:hAnsi="Arial" w:cs="Arial"/>
          <w:color w:val="404040" w:themeColor="text1" w:themeTint="BF"/>
          <w:sz w:val="19"/>
          <w:szCs w:val="19"/>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160401">
          <w:rPr>
            <w:rFonts w:ascii="Arial" w:hAnsi="Arial" w:cs="Arial"/>
            <w:color w:val="404040" w:themeColor="text1" w:themeTint="BF"/>
            <w:sz w:val="19"/>
            <w:szCs w:val="19"/>
          </w:rPr>
          <w:t>Ley 1150 de 2007</w:t>
        </w:r>
      </w:hyperlink>
      <w:r w:rsidRPr="00160401">
        <w:rPr>
          <w:rFonts w:ascii="Arial" w:hAnsi="Arial" w:cs="Arial"/>
          <w:color w:val="404040" w:themeColor="text1" w:themeTint="BF"/>
          <w:sz w:val="19"/>
          <w:szCs w:val="19"/>
        </w:rPr>
        <w:t> y en el presente decreto.</w:t>
      </w:r>
    </w:p>
    <w:p w14:paraId="1A46DDC9" w14:textId="77777777" w:rsidR="00AB358D" w:rsidRPr="00160401" w:rsidRDefault="00AB358D" w:rsidP="005F4481">
      <w:pPr>
        <w:ind w:firstLine="709"/>
        <w:jc w:val="both"/>
        <w:rPr>
          <w:rFonts w:ascii="Arial" w:hAnsi="Arial" w:cs="Arial"/>
          <w:color w:val="404040" w:themeColor="text1" w:themeTint="BF"/>
          <w:sz w:val="19"/>
          <w:szCs w:val="19"/>
        </w:rPr>
      </w:pPr>
      <w:r w:rsidRPr="00160401">
        <w:rPr>
          <w:rFonts w:ascii="Arial" w:hAnsi="Arial" w:cs="Arial"/>
          <w:color w:val="404040" w:themeColor="text1" w:themeTint="BF"/>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BB72709" w14:textId="77777777" w:rsidR="00AB358D" w:rsidRPr="00160401" w:rsidRDefault="00AB358D" w:rsidP="005F4481">
      <w:pPr>
        <w:ind w:firstLine="709"/>
        <w:jc w:val="both"/>
        <w:rPr>
          <w:rFonts w:ascii="Arial" w:hAnsi="Arial" w:cs="Arial"/>
          <w:color w:val="404040" w:themeColor="text1" w:themeTint="BF"/>
          <w:sz w:val="19"/>
          <w:szCs w:val="19"/>
        </w:rPr>
      </w:pPr>
      <w:r w:rsidRPr="00160401">
        <w:rPr>
          <w:rFonts w:ascii="Arial" w:hAnsi="Arial" w:cs="Arial"/>
          <w:color w:val="404040" w:themeColor="text1" w:themeTint="BF"/>
          <w:sz w:val="19"/>
          <w:szCs w:val="19"/>
        </w:rPr>
        <w:t>»Será rechazada la oferta del proponente que dentro del término previsto en el pliego o en la solicitud, no responda al requerimiento que le haga la entidad para subsanarla.</w:t>
      </w:r>
    </w:p>
    <w:p w14:paraId="2C6154E5" w14:textId="77777777" w:rsidR="00AB358D" w:rsidRPr="00160401" w:rsidRDefault="00AB358D" w:rsidP="005F4481">
      <w:pPr>
        <w:ind w:firstLine="709"/>
        <w:jc w:val="both"/>
        <w:rPr>
          <w:rFonts w:ascii="Arial" w:hAnsi="Arial" w:cs="Arial"/>
          <w:color w:val="404040" w:themeColor="text1" w:themeTint="BF"/>
          <w:sz w:val="19"/>
          <w:szCs w:val="19"/>
        </w:rPr>
      </w:pPr>
      <w:r w:rsidRPr="00160401">
        <w:rPr>
          <w:rFonts w:ascii="Arial" w:hAnsi="Arial" w:cs="Arial"/>
          <w:color w:val="404040" w:themeColor="text1" w:themeTint="BF"/>
          <w:sz w:val="19"/>
          <w:szCs w:val="19"/>
        </w:rPr>
        <w:t>»Cuando se utilice el mecanismo de subasta esta posibilidad deberá ejercerse hasta el momento previo a su realización, de conformidad con el artículo 22 del presente decreto.</w:t>
      </w:r>
    </w:p>
    <w:p w14:paraId="2D0299C1" w14:textId="77777777" w:rsidR="00AB358D" w:rsidRPr="00160401" w:rsidRDefault="00AB358D" w:rsidP="005F4481">
      <w:pPr>
        <w:ind w:firstLine="709"/>
        <w:jc w:val="both"/>
        <w:rPr>
          <w:rFonts w:ascii="Arial" w:hAnsi="Arial" w:cs="Arial"/>
          <w:color w:val="404040" w:themeColor="text1" w:themeTint="BF"/>
          <w:sz w:val="19"/>
          <w:szCs w:val="19"/>
        </w:rPr>
      </w:pPr>
      <w:r w:rsidRPr="00160401">
        <w:rPr>
          <w:rFonts w:ascii="Arial" w:hAnsi="Arial" w:cs="Arial"/>
          <w:color w:val="404040" w:themeColor="text1" w:themeTint="BF"/>
          <w:sz w:val="19"/>
          <w:szCs w:val="19"/>
        </w:rPr>
        <w:t xml:space="preserve">»En ningún caso la entidad podrá señalar taxativamente los requisitos o documentos subsanables o no subsanables en el pliego de condiciones, </w:t>
      </w:r>
      <w:r w:rsidRPr="00160401">
        <w:rPr>
          <w:rFonts w:ascii="Arial" w:hAnsi="Arial" w:cs="Arial"/>
          <w:bCs/>
          <w:i/>
          <w:iCs/>
          <w:color w:val="404040" w:themeColor="text1" w:themeTint="BF"/>
          <w:sz w:val="19"/>
          <w:szCs w:val="19"/>
        </w:rPr>
        <w:t>ni permitir que se subsane la falta de capacidad para presentar la oferta, ni que se acrediten circunstancias ocurridas con posterioridad al cierre del proceso</w:t>
      </w:r>
      <w:r w:rsidRPr="00160401">
        <w:rPr>
          <w:rFonts w:ascii="Arial" w:hAnsi="Arial" w:cs="Arial"/>
          <w:color w:val="404040" w:themeColor="text1" w:themeTint="BF"/>
          <w:sz w:val="19"/>
          <w:szCs w:val="19"/>
        </w:rPr>
        <w:t xml:space="preserve">». (Cursivas fuera de texto). </w:t>
      </w:r>
    </w:p>
    <w:p w14:paraId="57D13C4E" w14:textId="77777777" w:rsidR="00AB358D" w:rsidRPr="00160401" w:rsidRDefault="00AB358D" w:rsidP="005F4481">
      <w:pPr>
        <w:pStyle w:val="FootnoteText"/>
        <w:ind w:firstLine="709"/>
        <w:jc w:val="both"/>
        <w:rPr>
          <w:rFonts w:ascii="Arial" w:hAnsi="Arial" w:cs="Arial"/>
          <w:color w:val="404040" w:themeColor="text1" w:themeTint="BF"/>
          <w:sz w:val="19"/>
          <w:szCs w:val="19"/>
        </w:rPr>
      </w:pPr>
    </w:p>
  </w:footnote>
  <w:footnote w:id="7">
    <w:p w14:paraId="4AE7ED2C" w14:textId="1B3B5546" w:rsidR="00AB358D" w:rsidRPr="00475C5A" w:rsidRDefault="00AB358D" w:rsidP="00475C5A">
      <w:pPr>
        <w:pStyle w:val="FootnoteText"/>
        <w:ind w:firstLine="709"/>
        <w:jc w:val="both"/>
        <w:rPr>
          <w:rFonts w:ascii="Arial" w:hAnsi="Arial" w:cs="Arial"/>
          <w:color w:val="404040" w:themeColor="text1" w:themeTint="BF"/>
          <w:sz w:val="19"/>
          <w:szCs w:val="19"/>
          <w:lang w:val="es-CO"/>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w:t>
      </w:r>
      <w:r w:rsidRPr="00160401">
        <w:rPr>
          <w:rFonts w:ascii="Arial" w:hAnsi="Arial" w:cs="Arial"/>
          <w:color w:val="404040" w:themeColor="text1" w:themeTint="BF"/>
          <w:sz w:val="19"/>
          <w:szCs w:val="19"/>
          <w:lang w:val="es-CO"/>
        </w:rPr>
        <w:t>CONSEJO DE ESTADO</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 xml:space="preserve"> Sala de Consulta y Servicio Civil</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 xml:space="preserve"> </w:t>
      </w:r>
      <w:r>
        <w:rPr>
          <w:rFonts w:ascii="Arial" w:hAnsi="Arial" w:cs="Arial"/>
          <w:color w:val="404040" w:themeColor="text1" w:themeTint="BF"/>
          <w:sz w:val="19"/>
          <w:szCs w:val="19"/>
          <w:lang w:val="es-CO"/>
        </w:rPr>
        <w:t>C</w:t>
      </w:r>
      <w:r w:rsidRPr="00160401">
        <w:rPr>
          <w:rFonts w:ascii="Arial" w:hAnsi="Arial" w:cs="Arial"/>
          <w:color w:val="404040" w:themeColor="text1" w:themeTint="BF"/>
          <w:sz w:val="19"/>
          <w:szCs w:val="19"/>
          <w:lang w:val="es-CO"/>
        </w:rPr>
        <w:t>oncepto del 6 de noviembre de 2008. Rad.</w:t>
      </w:r>
      <w:r>
        <w:rPr>
          <w:rFonts w:ascii="Arial" w:hAnsi="Arial" w:cs="Arial"/>
          <w:color w:val="404040" w:themeColor="text1" w:themeTint="BF"/>
          <w:sz w:val="19"/>
          <w:szCs w:val="19"/>
          <w:lang w:val="es-CO"/>
        </w:rPr>
        <w:t xml:space="preserve"> </w:t>
      </w:r>
      <w:r w:rsidRPr="00160401">
        <w:rPr>
          <w:rFonts w:ascii="Arial" w:hAnsi="Arial" w:cs="Arial"/>
          <w:color w:val="404040" w:themeColor="text1" w:themeTint="BF"/>
          <w:sz w:val="19"/>
          <w:szCs w:val="19"/>
          <w:lang w:val="es-CO"/>
        </w:rPr>
        <w:t>1</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927.</w:t>
      </w:r>
      <w:r>
        <w:rPr>
          <w:rFonts w:ascii="Arial" w:hAnsi="Arial" w:cs="Arial"/>
          <w:color w:val="404040" w:themeColor="text1" w:themeTint="BF"/>
          <w:sz w:val="19"/>
          <w:szCs w:val="19"/>
          <w:lang w:val="es-CO"/>
        </w:rPr>
        <w:t xml:space="preserve"> </w:t>
      </w:r>
      <w:r w:rsidRPr="00160401">
        <w:rPr>
          <w:rFonts w:ascii="Arial" w:hAnsi="Arial" w:cs="Arial"/>
          <w:color w:val="404040" w:themeColor="text1" w:themeTint="BF"/>
          <w:sz w:val="19"/>
          <w:szCs w:val="19"/>
          <w:lang w:val="es-CO"/>
        </w:rPr>
        <w:t>C.P. William Zambrano Cetina.</w:t>
      </w:r>
    </w:p>
  </w:footnote>
  <w:footnote w:id="8">
    <w:p w14:paraId="4B22A9DF" w14:textId="6E839870" w:rsidR="00AB358D" w:rsidRPr="00160401" w:rsidRDefault="00AB358D" w:rsidP="005F4481">
      <w:pPr>
        <w:pStyle w:val="FootnoteText"/>
        <w:ind w:firstLine="709"/>
        <w:jc w:val="both"/>
        <w:rPr>
          <w:rFonts w:ascii="Arial" w:hAnsi="Arial" w:cs="Arial"/>
          <w:color w:val="404040" w:themeColor="text1" w:themeTint="BF"/>
          <w:sz w:val="19"/>
          <w:szCs w:val="19"/>
          <w:lang w:val="es-CO"/>
        </w:rPr>
      </w:pPr>
      <w:r w:rsidRPr="00160401">
        <w:rPr>
          <w:rStyle w:val="FootnoteReference"/>
          <w:rFonts w:ascii="Arial" w:hAnsi="Arial" w:cs="Arial"/>
          <w:color w:val="404040" w:themeColor="text1" w:themeTint="BF"/>
          <w:sz w:val="19"/>
          <w:szCs w:val="19"/>
        </w:rPr>
        <w:footnoteRef/>
      </w:r>
      <w:r w:rsidRPr="00160401">
        <w:rPr>
          <w:rFonts w:ascii="Arial" w:hAnsi="Arial" w:cs="Arial"/>
          <w:color w:val="404040" w:themeColor="text1" w:themeTint="BF"/>
          <w:sz w:val="19"/>
          <w:szCs w:val="19"/>
        </w:rPr>
        <w:t xml:space="preserve"> </w:t>
      </w:r>
      <w:r w:rsidRPr="00160401">
        <w:rPr>
          <w:rFonts w:ascii="Arial" w:hAnsi="Arial" w:cs="Arial"/>
          <w:color w:val="404040" w:themeColor="text1" w:themeTint="BF"/>
          <w:sz w:val="19"/>
          <w:szCs w:val="19"/>
          <w:lang w:val="es-CO"/>
        </w:rPr>
        <w:t>CONSEJO DE ESTADO</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 xml:space="preserve"> Sala de Consulta y Servicio Civil</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 xml:space="preserve"> </w:t>
      </w:r>
      <w:r>
        <w:rPr>
          <w:rFonts w:ascii="Arial" w:hAnsi="Arial" w:cs="Arial"/>
          <w:color w:val="404040" w:themeColor="text1" w:themeTint="BF"/>
          <w:sz w:val="19"/>
          <w:szCs w:val="19"/>
          <w:lang w:val="es-CO"/>
        </w:rPr>
        <w:t>C</w:t>
      </w:r>
      <w:r w:rsidRPr="00160401">
        <w:rPr>
          <w:rFonts w:ascii="Arial" w:hAnsi="Arial" w:cs="Arial"/>
          <w:color w:val="404040" w:themeColor="text1" w:themeTint="BF"/>
          <w:sz w:val="19"/>
          <w:szCs w:val="19"/>
          <w:lang w:val="es-CO"/>
        </w:rPr>
        <w:t>oncepto del 20 de mayo de 2010. Rad. 1</w:t>
      </w:r>
      <w:r>
        <w:rPr>
          <w:rFonts w:ascii="Arial" w:hAnsi="Arial" w:cs="Arial"/>
          <w:color w:val="404040" w:themeColor="text1" w:themeTint="BF"/>
          <w:sz w:val="19"/>
          <w:szCs w:val="19"/>
          <w:lang w:val="es-CO"/>
        </w:rPr>
        <w:t>.</w:t>
      </w:r>
      <w:r w:rsidRPr="00160401">
        <w:rPr>
          <w:rFonts w:ascii="Arial" w:hAnsi="Arial" w:cs="Arial"/>
          <w:color w:val="404040" w:themeColor="text1" w:themeTint="BF"/>
          <w:sz w:val="19"/>
          <w:szCs w:val="19"/>
          <w:lang w:val="es-CO"/>
        </w:rPr>
        <w:t>992.</w:t>
      </w:r>
      <w:r>
        <w:rPr>
          <w:rFonts w:ascii="Arial" w:hAnsi="Arial" w:cs="Arial"/>
          <w:color w:val="404040" w:themeColor="text1" w:themeTint="BF"/>
          <w:sz w:val="19"/>
          <w:szCs w:val="19"/>
          <w:lang w:val="es-CO"/>
        </w:rPr>
        <w:t xml:space="preserve"> </w:t>
      </w:r>
      <w:r w:rsidRPr="00160401">
        <w:rPr>
          <w:rFonts w:ascii="Arial" w:hAnsi="Arial" w:cs="Arial"/>
          <w:color w:val="404040" w:themeColor="text1" w:themeTint="BF"/>
          <w:sz w:val="19"/>
          <w:szCs w:val="19"/>
          <w:lang w:val="es-CO"/>
        </w:rPr>
        <w:t>C.P. Enrique José Arboleda Perdomo.</w:t>
      </w:r>
    </w:p>
    <w:p w14:paraId="0BDBB492" w14:textId="77777777" w:rsidR="00AB358D" w:rsidRPr="00160401" w:rsidRDefault="00AB358D" w:rsidP="005F4481">
      <w:pPr>
        <w:pStyle w:val="FootnoteText"/>
        <w:ind w:firstLine="709"/>
        <w:jc w:val="both"/>
        <w:rPr>
          <w:rFonts w:ascii="Arial" w:hAnsi="Arial" w:cs="Arial"/>
          <w:color w:val="404040" w:themeColor="text1" w:themeTint="BF"/>
          <w:sz w:val="19"/>
          <w:szCs w:val="19"/>
        </w:rPr>
      </w:pPr>
    </w:p>
  </w:footnote>
  <w:footnote w:id="9">
    <w:p w14:paraId="1F54FA5D" w14:textId="4F5618D7" w:rsidR="00AB358D" w:rsidRPr="00F368FF" w:rsidRDefault="00AB358D" w:rsidP="007473B9">
      <w:pPr>
        <w:pStyle w:val="FootnoteText"/>
        <w:ind w:firstLine="708"/>
        <w:jc w:val="both"/>
        <w:rPr>
          <w:rFonts w:ascii="Arial" w:hAnsi="Arial" w:cs="Arial"/>
          <w:color w:val="404040" w:themeColor="text1" w:themeTint="BF"/>
          <w:sz w:val="19"/>
          <w:szCs w:val="19"/>
          <w:lang w:val="es-CO"/>
        </w:rPr>
      </w:pPr>
      <w:r w:rsidRPr="007473B9">
        <w:rPr>
          <w:rStyle w:val="FootnoteReference"/>
          <w:rFonts w:ascii="Arial" w:hAnsi="Arial" w:cs="Arial"/>
          <w:color w:val="3C3C3C" w:themeColor="accent6" w:themeShade="40"/>
          <w:sz w:val="19"/>
          <w:szCs w:val="19"/>
        </w:rPr>
        <w:footnoteRef/>
      </w:r>
      <w:r w:rsidRPr="007473B9">
        <w:rPr>
          <w:rFonts w:ascii="Arial" w:hAnsi="Arial" w:cs="Arial"/>
          <w:color w:val="3C3C3C" w:themeColor="accent6" w:themeShade="40"/>
          <w:sz w:val="19"/>
          <w:szCs w:val="19"/>
        </w:rPr>
        <w:t xml:space="preserve"> </w:t>
      </w:r>
      <w:r w:rsidRPr="00F368FF">
        <w:rPr>
          <w:rFonts w:ascii="Arial" w:hAnsi="Arial" w:cs="Arial"/>
          <w:color w:val="404040" w:themeColor="text1" w:themeTint="BF"/>
          <w:sz w:val="19"/>
          <w:szCs w:val="19"/>
          <w:lang w:val="es-CO"/>
        </w:rPr>
        <w:t>CORTE CONSTITUCIONAL. Sentencia C-259 de 2008. M.P. Jaime Córdoba Triviño.</w:t>
      </w:r>
    </w:p>
  </w:footnote>
  <w:footnote w:id="10">
    <w:p w14:paraId="5D8397DD" w14:textId="6036F00E" w:rsidR="00AB358D" w:rsidRPr="00730CD6" w:rsidRDefault="00AB358D" w:rsidP="006811C9">
      <w:pPr>
        <w:pStyle w:val="FootnoteText"/>
        <w:ind w:firstLine="708"/>
        <w:rPr>
          <w:rFonts w:ascii="Arial" w:hAnsi="Arial" w:cs="Arial"/>
          <w:color w:val="404040" w:themeColor="text1" w:themeTint="BF"/>
          <w:sz w:val="19"/>
          <w:szCs w:val="19"/>
          <w:lang w:val="es-CO"/>
        </w:rPr>
      </w:pPr>
      <w:r>
        <w:rPr>
          <w:rStyle w:val="FootnoteReference"/>
        </w:rPr>
        <w:footnoteRef/>
      </w:r>
      <w:r>
        <w:t xml:space="preserve"> </w:t>
      </w:r>
      <w:r w:rsidRPr="00730CD6">
        <w:rPr>
          <w:rFonts w:ascii="Arial" w:hAnsi="Arial" w:cs="Arial"/>
          <w:color w:val="404040" w:themeColor="text1" w:themeTint="BF"/>
          <w:sz w:val="19"/>
          <w:szCs w:val="19"/>
          <w:lang w:val="es-CO"/>
        </w:rPr>
        <w:t>REMOLINA, Nelson y PEÑA, Lisandro De los títulos valores y de los valores en el contexto digital. Bogotá: Temis, 2011. p. 120.</w:t>
      </w:r>
    </w:p>
  </w:footnote>
  <w:footnote w:id="11">
    <w:p w14:paraId="5DC26ABF" w14:textId="0B60B7A2" w:rsidR="00AB358D" w:rsidRDefault="00AB358D" w:rsidP="00730CD6">
      <w:pPr>
        <w:pStyle w:val="FootnoteText"/>
        <w:ind w:firstLine="708"/>
        <w:jc w:val="both"/>
        <w:rPr>
          <w:rFonts w:ascii="Arial" w:hAnsi="Arial" w:cs="Arial"/>
          <w:color w:val="404040" w:themeColor="text1" w:themeTint="BF"/>
          <w:sz w:val="19"/>
          <w:szCs w:val="19"/>
          <w:lang w:val="es-CO"/>
        </w:rPr>
      </w:pPr>
      <w:r>
        <w:rPr>
          <w:rStyle w:val="FootnoteReference"/>
        </w:rPr>
        <w:footnoteRef/>
      </w:r>
      <w:r>
        <w:t xml:space="preserve"> </w:t>
      </w:r>
      <w:r w:rsidRPr="00730CD6">
        <w:rPr>
          <w:rFonts w:ascii="Arial" w:hAnsi="Arial" w:cs="Arial"/>
          <w:color w:val="404040" w:themeColor="text1" w:themeTint="BF"/>
          <w:sz w:val="19"/>
          <w:szCs w:val="19"/>
          <w:lang w:val="es-CO"/>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187185F7" w14:textId="77777777" w:rsidR="003D6B8F" w:rsidRPr="00730CD6" w:rsidRDefault="003D6B8F" w:rsidP="00730CD6">
      <w:pPr>
        <w:pStyle w:val="FootnoteText"/>
        <w:ind w:firstLine="708"/>
        <w:jc w:val="both"/>
        <w:rPr>
          <w:rFonts w:ascii="Arial" w:hAnsi="Arial" w:cs="Arial"/>
          <w:color w:val="4D4D4D"/>
          <w:sz w:val="19"/>
          <w:szCs w:val="19"/>
        </w:rPr>
      </w:pPr>
    </w:p>
  </w:footnote>
  <w:footnote w:id="12">
    <w:p w14:paraId="239955DB" w14:textId="65F3E90B" w:rsidR="00AB358D" w:rsidRPr="00730CD6" w:rsidRDefault="00AB358D" w:rsidP="00730CD6">
      <w:pPr>
        <w:pStyle w:val="FootnoteText"/>
        <w:ind w:firstLine="708"/>
        <w:jc w:val="both"/>
        <w:rPr>
          <w:rFonts w:ascii="Arial" w:hAnsi="Arial" w:cs="Arial"/>
          <w:color w:val="404040" w:themeColor="text1" w:themeTint="BF"/>
          <w:sz w:val="19"/>
          <w:szCs w:val="19"/>
          <w:lang w:val="es-CO"/>
        </w:rPr>
      </w:pPr>
      <w:r w:rsidRPr="00730CD6">
        <w:rPr>
          <w:rStyle w:val="FootnoteReference"/>
          <w:color w:val="4D4D4D"/>
          <w:sz w:val="19"/>
          <w:szCs w:val="19"/>
        </w:rPr>
        <w:footnoteRef/>
      </w:r>
      <w:r w:rsidRPr="00730CD6">
        <w:rPr>
          <w:color w:val="4D4D4D"/>
          <w:sz w:val="19"/>
          <w:szCs w:val="19"/>
        </w:rPr>
        <w:t xml:space="preserve"> </w:t>
      </w:r>
      <w:r w:rsidRPr="00730CD6">
        <w:rPr>
          <w:rFonts w:ascii="Arial" w:hAnsi="Arial" w:cs="Arial"/>
          <w:color w:val="404040" w:themeColor="text1" w:themeTint="BF"/>
          <w:sz w:val="19"/>
          <w:szCs w:val="19"/>
          <w:lang w:val="es-CO"/>
        </w:rPr>
        <w:t xml:space="preserve">Ley 527 de 1999: </w:t>
      </w:r>
      <w:r>
        <w:rPr>
          <w:rFonts w:ascii="Arial" w:hAnsi="Arial" w:cs="Arial"/>
          <w:color w:val="404040" w:themeColor="text1" w:themeTint="BF"/>
          <w:sz w:val="19"/>
          <w:szCs w:val="19"/>
          <w:lang w:val="es-CO"/>
        </w:rPr>
        <w:t>«</w:t>
      </w:r>
      <w:hyperlink r:id="rId2" w:anchor="vid/438970057/node/30" w:history="1">
        <w:r w:rsidRPr="00730CD6">
          <w:rPr>
            <w:rFonts w:ascii="Arial" w:hAnsi="Arial" w:cs="Arial"/>
            <w:color w:val="404040" w:themeColor="text1" w:themeTint="BF"/>
            <w:sz w:val="19"/>
            <w:szCs w:val="19"/>
            <w:lang w:val="es-CO"/>
          </w:rPr>
          <w:t>Artículo 30. Actividades de las entidades de certificación.</w:t>
        </w:r>
      </w:hyperlink>
      <w:r w:rsidRPr="00730CD6">
        <w:rPr>
          <w:rFonts w:ascii="Arial" w:hAnsi="Arial" w:cs="Arial"/>
          <w:color w:val="404040" w:themeColor="text1" w:themeTint="BF"/>
          <w:sz w:val="19"/>
          <w:szCs w:val="19"/>
          <w:lang w:val="es-CO"/>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r>
        <w:rPr>
          <w:rFonts w:ascii="Arial" w:hAnsi="Arial" w:cs="Arial"/>
          <w:color w:val="404040" w:themeColor="text1" w:themeTint="BF"/>
          <w:sz w:val="19"/>
          <w:szCs w:val="19"/>
          <w:lang w:val="es-CO"/>
        </w:rPr>
        <w:t>»</w:t>
      </w:r>
      <w:r w:rsidRPr="00730CD6">
        <w:rPr>
          <w:rFonts w:ascii="Arial" w:hAnsi="Arial" w:cs="Arial"/>
          <w:color w:val="404040" w:themeColor="text1" w:themeTint="BF"/>
          <w:sz w:val="19"/>
          <w:szCs w:val="19"/>
          <w:lang w:val="es-CO"/>
        </w:rPr>
        <w:t>.</w:t>
      </w:r>
    </w:p>
  </w:footnote>
  <w:footnote w:id="13">
    <w:p w14:paraId="1DF42D7D" w14:textId="77777777" w:rsidR="00AB358D" w:rsidRDefault="00AB358D" w:rsidP="008850EB">
      <w:pPr>
        <w:pStyle w:val="FootnoteText"/>
        <w:ind w:firstLine="708"/>
        <w:jc w:val="both"/>
        <w:rPr>
          <w:rFonts w:ascii="Arial" w:hAnsi="Arial" w:cs="Arial"/>
          <w:color w:val="4D4D4D"/>
          <w:sz w:val="18"/>
        </w:rPr>
      </w:pPr>
      <w:r>
        <w:rPr>
          <w:rStyle w:val="FootnoteReference"/>
        </w:rPr>
        <w:footnoteRef/>
      </w:r>
      <w:r>
        <w:t xml:space="preserve"> </w:t>
      </w:r>
      <w:r>
        <w:rPr>
          <w:rFonts w:ascii="Arial" w:hAnsi="Arial" w:cs="Arial"/>
          <w:color w:val="4D4D4D"/>
          <w:sz w:val="18"/>
        </w:rPr>
        <w:t>El artículo 246 de la Ley 1564 de 2012 dispone que «</w:t>
      </w:r>
      <w:r w:rsidRPr="00B211E2">
        <w:rPr>
          <w:rFonts w:ascii="Arial" w:hAnsi="Arial" w:cs="Arial"/>
          <w:color w:val="4D4D4D"/>
          <w:sz w:val="18"/>
        </w:rPr>
        <w:t>Las copias tendrán el mismo valor probatorio del original, salvo cuando por disposición legal sea necesaria la presentación del original o de una determinada copia.</w:t>
      </w:r>
      <w:r>
        <w:rPr>
          <w:rFonts w:ascii="Arial" w:hAnsi="Arial" w:cs="Arial"/>
          <w:color w:val="4D4D4D"/>
          <w:sz w:val="18"/>
        </w:rPr>
        <w:t xml:space="preserve"> </w:t>
      </w:r>
    </w:p>
    <w:p w14:paraId="413B4A36" w14:textId="7C13C832" w:rsidR="00AB358D" w:rsidRPr="00B211E2" w:rsidRDefault="00AB358D" w:rsidP="008850EB">
      <w:pPr>
        <w:pStyle w:val="FootnoteText"/>
        <w:ind w:firstLine="708"/>
        <w:jc w:val="both"/>
        <w:rPr>
          <w:rFonts w:ascii="Arial" w:hAnsi="Arial" w:cs="Arial"/>
          <w:color w:val="4D4D4D"/>
          <w:sz w:val="18"/>
        </w:rPr>
      </w:pPr>
      <w:r w:rsidRPr="00B211E2">
        <w:rPr>
          <w:rFonts w:ascii="Arial" w:hAnsi="Arial" w:cs="Arial"/>
          <w:color w:val="4D4D4D"/>
          <w:sz w:val="18"/>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r>
        <w:rPr>
          <w:rFonts w:ascii="Arial" w:hAnsi="Arial" w:cs="Arial"/>
          <w:color w:val="4D4D4D"/>
          <w:sz w:val="18"/>
        </w:rPr>
        <w:t>»</w:t>
      </w:r>
      <w:r w:rsidRPr="00B211E2">
        <w:rPr>
          <w:rFonts w:ascii="Arial" w:hAnsi="Arial" w:cs="Arial"/>
          <w:color w:val="4D4D4D"/>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AB358D" w:rsidRDefault="00AB358D">
    <w:pPr>
      <w:pStyle w:val="Header"/>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9D3"/>
    <w:rsid w:val="00007750"/>
    <w:rsid w:val="000721F1"/>
    <w:rsid w:val="00080ACD"/>
    <w:rsid w:val="00084B97"/>
    <w:rsid w:val="000942EB"/>
    <w:rsid w:val="000B103F"/>
    <w:rsid w:val="000B419B"/>
    <w:rsid w:val="000C639D"/>
    <w:rsid w:val="000D084D"/>
    <w:rsid w:val="000D0ED2"/>
    <w:rsid w:val="000D1678"/>
    <w:rsid w:val="000D2563"/>
    <w:rsid w:val="000F14E8"/>
    <w:rsid w:val="00103915"/>
    <w:rsid w:val="001051E5"/>
    <w:rsid w:val="00113705"/>
    <w:rsid w:val="00122B23"/>
    <w:rsid w:val="00125BED"/>
    <w:rsid w:val="00125C59"/>
    <w:rsid w:val="00127AF2"/>
    <w:rsid w:val="00136BF7"/>
    <w:rsid w:val="00137FFA"/>
    <w:rsid w:val="00160401"/>
    <w:rsid w:val="00161F1C"/>
    <w:rsid w:val="0016200B"/>
    <w:rsid w:val="001B0444"/>
    <w:rsid w:val="001B2456"/>
    <w:rsid w:val="001C3E5C"/>
    <w:rsid w:val="001F2356"/>
    <w:rsid w:val="001F4773"/>
    <w:rsid w:val="0020632A"/>
    <w:rsid w:val="002110EB"/>
    <w:rsid w:val="00211338"/>
    <w:rsid w:val="00211388"/>
    <w:rsid w:val="00213A1F"/>
    <w:rsid w:val="00234B84"/>
    <w:rsid w:val="00247712"/>
    <w:rsid w:val="00263A78"/>
    <w:rsid w:val="002A0AE3"/>
    <w:rsid w:val="002C4C0C"/>
    <w:rsid w:val="002C780A"/>
    <w:rsid w:val="002D5A1B"/>
    <w:rsid w:val="002E055C"/>
    <w:rsid w:val="002E1050"/>
    <w:rsid w:val="0030333F"/>
    <w:rsid w:val="003033BA"/>
    <w:rsid w:val="0031720A"/>
    <w:rsid w:val="00322937"/>
    <w:rsid w:val="00327A5C"/>
    <w:rsid w:val="0033092C"/>
    <w:rsid w:val="00331932"/>
    <w:rsid w:val="00336729"/>
    <w:rsid w:val="0034177C"/>
    <w:rsid w:val="003432C8"/>
    <w:rsid w:val="0034680A"/>
    <w:rsid w:val="00353DD5"/>
    <w:rsid w:val="00356742"/>
    <w:rsid w:val="00386456"/>
    <w:rsid w:val="00397FF0"/>
    <w:rsid w:val="003A0878"/>
    <w:rsid w:val="003A28BB"/>
    <w:rsid w:val="003A581E"/>
    <w:rsid w:val="003C1AF4"/>
    <w:rsid w:val="003C2AA4"/>
    <w:rsid w:val="003D0DE5"/>
    <w:rsid w:val="003D6B8F"/>
    <w:rsid w:val="0040093D"/>
    <w:rsid w:val="00413FFA"/>
    <w:rsid w:val="00423F9F"/>
    <w:rsid w:val="00434787"/>
    <w:rsid w:val="004422D6"/>
    <w:rsid w:val="0045271D"/>
    <w:rsid w:val="00452803"/>
    <w:rsid w:val="00455354"/>
    <w:rsid w:val="00462B10"/>
    <w:rsid w:val="00464030"/>
    <w:rsid w:val="00475C5A"/>
    <w:rsid w:val="004808DE"/>
    <w:rsid w:val="00482EC6"/>
    <w:rsid w:val="004861B4"/>
    <w:rsid w:val="0049241A"/>
    <w:rsid w:val="004A08D1"/>
    <w:rsid w:val="004A34D2"/>
    <w:rsid w:val="004C22F7"/>
    <w:rsid w:val="004D4BA1"/>
    <w:rsid w:val="004F66BC"/>
    <w:rsid w:val="0051074C"/>
    <w:rsid w:val="00512C4F"/>
    <w:rsid w:val="00513AF2"/>
    <w:rsid w:val="0054413A"/>
    <w:rsid w:val="0054485D"/>
    <w:rsid w:val="00551598"/>
    <w:rsid w:val="005564CA"/>
    <w:rsid w:val="0056182B"/>
    <w:rsid w:val="005657A8"/>
    <w:rsid w:val="005756AA"/>
    <w:rsid w:val="005813DE"/>
    <w:rsid w:val="005A1976"/>
    <w:rsid w:val="005A5A3D"/>
    <w:rsid w:val="005C5C52"/>
    <w:rsid w:val="005D51FA"/>
    <w:rsid w:val="005D791B"/>
    <w:rsid w:val="005F4481"/>
    <w:rsid w:val="00614817"/>
    <w:rsid w:val="00623AC2"/>
    <w:rsid w:val="00633DBF"/>
    <w:rsid w:val="00655371"/>
    <w:rsid w:val="00670B20"/>
    <w:rsid w:val="00676127"/>
    <w:rsid w:val="006811C9"/>
    <w:rsid w:val="006908DB"/>
    <w:rsid w:val="00697665"/>
    <w:rsid w:val="006A7CB5"/>
    <w:rsid w:val="006A7FD0"/>
    <w:rsid w:val="006D7687"/>
    <w:rsid w:val="006E0572"/>
    <w:rsid w:val="006E0D82"/>
    <w:rsid w:val="00705631"/>
    <w:rsid w:val="00715C29"/>
    <w:rsid w:val="00715EAA"/>
    <w:rsid w:val="00725AFD"/>
    <w:rsid w:val="00730CD6"/>
    <w:rsid w:val="00734BB2"/>
    <w:rsid w:val="00742DD2"/>
    <w:rsid w:val="007441A2"/>
    <w:rsid w:val="00745035"/>
    <w:rsid w:val="00746E08"/>
    <w:rsid w:val="007473B9"/>
    <w:rsid w:val="00747C96"/>
    <w:rsid w:val="0075094E"/>
    <w:rsid w:val="007522E8"/>
    <w:rsid w:val="0075647A"/>
    <w:rsid w:val="007634AD"/>
    <w:rsid w:val="00773BC8"/>
    <w:rsid w:val="00780F32"/>
    <w:rsid w:val="0078122E"/>
    <w:rsid w:val="0079381F"/>
    <w:rsid w:val="00795647"/>
    <w:rsid w:val="007B0854"/>
    <w:rsid w:val="007B4828"/>
    <w:rsid w:val="007B6C64"/>
    <w:rsid w:val="007B6EC8"/>
    <w:rsid w:val="007B7EA2"/>
    <w:rsid w:val="007C6339"/>
    <w:rsid w:val="007F0B79"/>
    <w:rsid w:val="007F22A0"/>
    <w:rsid w:val="007F6B46"/>
    <w:rsid w:val="007F72CB"/>
    <w:rsid w:val="007F785F"/>
    <w:rsid w:val="0081766B"/>
    <w:rsid w:val="008217B7"/>
    <w:rsid w:val="008236BE"/>
    <w:rsid w:val="0083119B"/>
    <w:rsid w:val="00836EAB"/>
    <w:rsid w:val="0085092D"/>
    <w:rsid w:val="00850F79"/>
    <w:rsid w:val="00867512"/>
    <w:rsid w:val="0088107D"/>
    <w:rsid w:val="008850EB"/>
    <w:rsid w:val="0089774F"/>
    <w:rsid w:val="008A796E"/>
    <w:rsid w:val="008C11F0"/>
    <w:rsid w:val="008C45BD"/>
    <w:rsid w:val="008D69B1"/>
    <w:rsid w:val="008E1C15"/>
    <w:rsid w:val="008E7D6E"/>
    <w:rsid w:val="008F538E"/>
    <w:rsid w:val="00902E5C"/>
    <w:rsid w:val="009032DE"/>
    <w:rsid w:val="009047C5"/>
    <w:rsid w:val="00914C3F"/>
    <w:rsid w:val="00933333"/>
    <w:rsid w:val="00937401"/>
    <w:rsid w:val="0095385A"/>
    <w:rsid w:val="0095780A"/>
    <w:rsid w:val="009715D4"/>
    <w:rsid w:val="0098427D"/>
    <w:rsid w:val="009865D5"/>
    <w:rsid w:val="00990345"/>
    <w:rsid w:val="009953AD"/>
    <w:rsid w:val="009C1B63"/>
    <w:rsid w:val="009E2391"/>
    <w:rsid w:val="009E61EA"/>
    <w:rsid w:val="009F59C2"/>
    <w:rsid w:val="00A0188B"/>
    <w:rsid w:val="00A041BC"/>
    <w:rsid w:val="00A10ACA"/>
    <w:rsid w:val="00A127D2"/>
    <w:rsid w:val="00A20264"/>
    <w:rsid w:val="00A24560"/>
    <w:rsid w:val="00A31C3E"/>
    <w:rsid w:val="00A34538"/>
    <w:rsid w:val="00A37FB6"/>
    <w:rsid w:val="00A426F3"/>
    <w:rsid w:val="00A431FE"/>
    <w:rsid w:val="00A53E79"/>
    <w:rsid w:val="00A668BA"/>
    <w:rsid w:val="00A8043B"/>
    <w:rsid w:val="00AA08E7"/>
    <w:rsid w:val="00AA442B"/>
    <w:rsid w:val="00AA669D"/>
    <w:rsid w:val="00AA7416"/>
    <w:rsid w:val="00AB358D"/>
    <w:rsid w:val="00AC2A0B"/>
    <w:rsid w:val="00AD6236"/>
    <w:rsid w:val="00AE25E8"/>
    <w:rsid w:val="00AF26CF"/>
    <w:rsid w:val="00AF5D53"/>
    <w:rsid w:val="00B05A55"/>
    <w:rsid w:val="00B06595"/>
    <w:rsid w:val="00B13EC0"/>
    <w:rsid w:val="00B14D32"/>
    <w:rsid w:val="00B20209"/>
    <w:rsid w:val="00B203C9"/>
    <w:rsid w:val="00B22E22"/>
    <w:rsid w:val="00B37BC5"/>
    <w:rsid w:val="00B43A0B"/>
    <w:rsid w:val="00B525CB"/>
    <w:rsid w:val="00B63872"/>
    <w:rsid w:val="00B63CB2"/>
    <w:rsid w:val="00B64EDB"/>
    <w:rsid w:val="00B724F6"/>
    <w:rsid w:val="00B7315F"/>
    <w:rsid w:val="00B91B8E"/>
    <w:rsid w:val="00BA1382"/>
    <w:rsid w:val="00BA22FC"/>
    <w:rsid w:val="00BA4771"/>
    <w:rsid w:val="00BC32CB"/>
    <w:rsid w:val="00BD78FE"/>
    <w:rsid w:val="00BF23A3"/>
    <w:rsid w:val="00BF7C52"/>
    <w:rsid w:val="00C165FC"/>
    <w:rsid w:val="00C32017"/>
    <w:rsid w:val="00C33D9C"/>
    <w:rsid w:val="00C419E3"/>
    <w:rsid w:val="00C41E6A"/>
    <w:rsid w:val="00C47171"/>
    <w:rsid w:val="00C63E99"/>
    <w:rsid w:val="00C920E2"/>
    <w:rsid w:val="00C93D8C"/>
    <w:rsid w:val="00CA7E7B"/>
    <w:rsid w:val="00CC00CD"/>
    <w:rsid w:val="00CC315F"/>
    <w:rsid w:val="00CE0566"/>
    <w:rsid w:val="00CE3E14"/>
    <w:rsid w:val="00CF4A4F"/>
    <w:rsid w:val="00D01760"/>
    <w:rsid w:val="00D10E7C"/>
    <w:rsid w:val="00D16E39"/>
    <w:rsid w:val="00D21BB5"/>
    <w:rsid w:val="00D223B6"/>
    <w:rsid w:val="00D26235"/>
    <w:rsid w:val="00D31C6A"/>
    <w:rsid w:val="00D32256"/>
    <w:rsid w:val="00D401BE"/>
    <w:rsid w:val="00D422DB"/>
    <w:rsid w:val="00D57940"/>
    <w:rsid w:val="00D60327"/>
    <w:rsid w:val="00D72E9D"/>
    <w:rsid w:val="00D75E99"/>
    <w:rsid w:val="00D82CE5"/>
    <w:rsid w:val="00D8342C"/>
    <w:rsid w:val="00D93726"/>
    <w:rsid w:val="00DA5AB1"/>
    <w:rsid w:val="00DB1AFF"/>
    <w:rsid w:val="00DC0954"/>
    <w:rsid w:val="00DC3A36"/>
    <w:rsid w:val="00DC62E5"/>
    <w:rsid w:val="00DD5EC6"/>
    <w:rsid w:val="00DD735D"/>
    <w:rsid w:val="00DE3119"/>
    <w:rsid w:val="00DE4105"/>
    <w:rsid w:val="00DF236B"/>
    <w:rsid w:val="00DF4451"/>
    <w:rsid w:val="00E027C5"/>
    <w:rsid w:val="00E109DD"/>
    <w:rsid w:val="00E13AB8"/>
    <w:rsid w:val="00E25CB3"/>
    <w:rsid w:val="00E33B62"/>
    <w:rsid w:val="00E36CEB"/>
    <w:rsid w:val="00E4143A"/>
    <w:rsid w:val="00E56090"/>
    <w:rsid w:val="00E565B9"/>
    <w:rsid w:val="00E630C0"/>
    <w:rsid w:val="00EC1CE7"/>
    <w:rsid w:val="00ED587F"/>
    <w:rsid w:val="00EE0253"/>
    <w:rsid w:val="00EE59B5"/>
    <w:rsid w:val="00F1108B"/>
    <w:rsid w:val="00F368FF"/>
    <w:rsid w:val="00F53818"/>
    <w:rsid w:val="00F561E3"/>
    <w:rsid w:val="00F84899"/>
    <w:rsid w:val="00F859F0"/>
    <w:rsid w:val="00F87E29"/>
    <w:rsid w:val="00FA015F"/>
    <w:rsid w:val="00FB27B7"/>
    <w:rsid w:val="00FB6738"/>
    <w:rsid w:val="00FC1196"/>
    <w:rsid w:val="00FC18DC"/>
    <w:rsid w:val="00FE141E"/>
    <w:rsid w:val="00FE42ED"/>
    <w:rsid w:val="00FE5C5A"/>
    <w:rsid w:val="00FF4D11"/>
    <w:rsid w:val="086A8793"/>
    <w:rsid w:val="0C8C5D1E"/>
    <w:rsid w:val="0F186B37"/>
    <w:rsid w:val="12A4054A"/>
    <w:rsid w:val="190F761A"/>
    <w:rsid w:val="24952355"/>
    <w:rsid w:val="2B8966E0"/>
    <w:rsid w:val="4524B973"/>
    <w:rsid w:val="6308E9A0"/>
    <w:rsid w:val="6BAC64D3"/>
    <w:rsid w:val="7A7D6AE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F0D9C430-7991-4D66-AEA0-C5D43D86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38"/>
    <w:pPr>
      <w:tabs>
        <w:tab w:val="center" w:pos="4419"/>
        <w:tab w:val="right" w:pos="8838"/>
      </w:tabs>
    </w:pPr>
  </w:style>
  <w:style w:type="character" w:customStyle="1" w:styleId="FooterChar">
    <w:name w:val="Footer Char"/>
    <w:basedOn w:val="DefaultParagraphFont"/>
    <w:link w:val="Footer"/>
    <w:uiPriority w:val="99"/>
    <w:rsid w:val="00A34538"/>
    <w:rPr>
      <w:sz w:val="24"/>
      <w:lang w:val="es-MX"/>
    </w:rPr>
  </w:style>
  <w:style w:type="paragraph" w:styleId="BalloonText">
    <w:name w:val="Balloon Text"/>
    <w:basedOn w:val="Normal"/>
    <w:link w:val="BalloonTextChar"/>
    <w:uiPriority w:val="99"/>
    <w:semiHidden/>
    <w:unhideWhenUsed/>
    <w:rsid w:val="00A34538"/>
    <w:rPr>
      <w:rFonts w:ascii="Tahoma" w:hAnsi="Tahoma" w:cs="Tahoma"/>
      <w:sz w:val="16"/>
      <w:szCs w:val="16"/>
    </w:rPr>
  </w:style>
  <w:style w:type="character" w:customStyle="1" w:styleId="BalloonTextChar">
    <w:name w:val="Balloon Text Char"/>
    <w:basedOn w:val="DefaultParagraphFont"/>
    <w:link w:val="BalloonText"/>
    <w:uiPriority w:val="99"/>
    <w:semiHidden/>
    <w:rsid w:val="00A34538"/>
    <w:rPr>
      <w:rFonts w:ascii="Tahoma" w:hAnsi="Tahoma" w:cs="Tahoma"/>
      <w:sz w:val="16"/>
      <w:szCs w:val="16"/>
      <w:lang w:val="es-MX"/>
    </w:rPr>
  </w:style>
  <w:style w:type="paragraph" w:styleId="Header">
    <w:name w:val="header"/>
    <w:basedOn w:val="Normal"/>
    <w:link w:val="HeaderChar"/>
    <w:uiPriority w:val="99"/>
    <w:unhideWhenUsed/>
    <w:rsid w:val="009047C5"/>
    <w:pPr>
      <w:tabs>
        <w:tab w:val="center" w:pos="4252"/>
        <w:tab w:val="right" w:pos="8504"/>
      </w:tabs>
    </w:pPr>
  </w:style>
  <w:style w:type="character" w:customStyle="1" w:styleId="HeaderChar">
    <w:name w:val="Header Char"/>
    <w:basedOn w:val="DefaultParagraphFont"/>
    <w:link w:val="Header"/>
    <w:uiPriority w:val="99"/>
    <w:rsid w:val="009047C5"/>
    <w:rPr>
      <w:sz w:val="24"/>
      <w:lang w:val="es-MX"/>
    </w:rPr>
  </w:style>
  <w:style w:type="table" w:styleId="TableGrid">
    <w:name w:val="Table Grid"/>
    <w:basedOn w:val="Table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047C5"/>
    <w:pPr>
      <w:ind w:left="720"/>
      <w:contextualSpacing/>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rPr>
      <w:sz w:val="20"/>
      <w:szCs w:val="20"/>
    </w:rPr>
  </w:style>
  <w:style w:type="character" w:customStyle="1" w:styleId="CommentTextChar">
    <w:name w:val="Comment Text Char"/>
    <w:basedOn w:val="DefaultParagraphFont"/>
    <w:link w:val="CommentText"/>
    <w:uiPriority w:val="99"/>
    <w:semiHidden/>
    <w:rsid w:val="00DA5AB1"/>
    <w:rPr>
      <w:sz w:val="20"/>
      <w:szCs w:val="20"/>
      <w:lang w:val="es-MX"/>
    </w:rPr>
  </w:style>
  <w:style w:type="paragraph" w:styleId="CommentSubject">
    <w:name w:val="annotation subject"/>
    <w:basedOn w:val="CommentText"/>
    <w:next w:val="CommentText"/>
    <w:link w:val="CommentSubjectChar"/>
    <w:uiPriority w:val="99"/>
    <w:semiHidden/>
    <w:unhideWhenUsed/>
    <w:rsid w:val="00DA5AB1"/>
    <w:rPr>
      <w:b/>
      <w:bCs/>
    </w:rPr>
  </w:style>
  <w:style w:type="character" w:customStyle="1" w:styleId="CommentSubjectChar">
    <w:name w:val="Comment Subject Char"/>
    <w:basedOn w:val="CommentTextChar"/>
    <w:link w:val="CommentSubject"/>
    <w:uiPriority w:val="99"/>
    <w:semiHidden/>
    <w:rsid w:val="00DA5AB1"/>
    <w:rPr>
      <w:b/>
      <w:bCs/>
      <w:sz w:val="20"/>
      <w:szCs w:val="20"/>
      <w:lang w:val="es-MX"/>
    </w:rPr>
  </w:style>
  <w:style w:type="character" w:styleId="Hyperlink">
    <w:name w:val="Hyperlink"/>
    <w:basedOn w:val="DefaultParagraphFont"/>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NoSpacing">
    <w:name w:val="No Spacing"/>
    <w:uiPriority w:val="1"/>
    <w:qFormat/>
    <w:rsid w:val="007B0854"/>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7B0854"/>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FootnoteTextChar"/>
    <w:uiPriority w:val="99"/>
    <w:unhideWhenUsed/>
    <w:qFormat/>
    <w:rsid w:val="007B0854"/>
    <w:rPr>
      <w:sz w:val="20"/>
      <w:szCs w:val="20"/>
    </w:rPr>
  </w:style>
  <w:style w:type="character" w:customStyle="1" w:styleId="TextonotapieCar1">
    <w:name w:val="Texto nota pie Car1"/>
    <w:basedOn w:val="DefaultParagraphFont"/>
    <w:uiPriority w:val="99"/>
    <w:semiHidden/>
    <w:rsid w:val="007B0854"/>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FootnoteReference">
    <w:name w:val="footnote reference"/>
    <w:aliases w:val="Ref. de nota al pie 2,Ref,de nota al pie,FC,Appel note de bas de p,f,4_G,16 Point,Superscript 6 Point,Texto nota al pie,Pie de Página,Texto de nota al pi,Nota de pie,Footnote Reference Char3,Texto nota pie Car2"/>
    <w:basedOn w:val="DefaultParagraphFont"/>
    <w:uiPriority w:val="99"/>
    <w:unhideWhenUsed/>
    <w:qFormat/>
    <w:rsid w:val="007B0854"/>
    <w:rPr>
      <w:vertAlign w:val="superscript"/>
    </w:rPr>
  </w:style>
  <w:style w:type="table" w:customStyle="1" w:styleId="Tablaconcuadrcula1">
    <w:name w:val="Tabla con cuadrícula1"/>
    <w:basedOn w:val="TableNormal"/>
    <w:next w:val="TableGrid"/>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1108B"/>
    <w:pPr>
      <w:spacing w:after="120" w:line="276" w:lineRule="auto"/>
    </w:pPr>
    <w:rPr>
      <w:rFonts w:eastAsiaTheme="minorEastAsia"/>
      <w:sz w:val="22"/>
      <w:lang w:val="es-CO" w:eastAsia="es-CO"/>
    </w:rPr>
  </w:style>
  <w:style w:type="character" w:customStyle="1" w:styleId="BodyTextChar">
    <w:name w:val="Body Text Char"/>
    <w:basedOn w:val="DefaultParagraphFont"/>
    <w:link w:val="BodyText"/>
    <w:uiPriority w:val="99"/>
    <w:rsid w:val="00F1108B"/>
    <w:rPr>
      <w:rFonts w:eastAsiaTheme="minorEastAsia"/>
      <w:lang w:eastAsia="es-CO"/>
    </w:rPr>
  </w:style>
  <w:style w:type="character" w:customStyle="1" w:styleId="Mencinsinresolver1">
    <w:name w:val="Mención sin resolver1"/>
    <w:basedOn w:val="DefaultParagraphFont"/>
    <w:uiPriority w:val="99"/>
    <w:semiHidden/>
    <w:unhideWhenUsed/>
    <w:rsid w:val="00247712"/>
    <w:rPr>
      <w:color w:val="605E5C"/>
      <w:shd w:val="clear" w:color="auto" w:fill="E1DFDD"/>
    </w:rPr>
  </w:style>
  <w:style w:type="paragraph" w:customStyle="1" w:styleId="Default">
    <w:name w:val="Default"/>
    <w:rsid w:val="00DC3A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2019-vlex-com.ez.urosario.edu.co/" TargetMode="External"/><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E006E-2E8D-4B21-A9F0-8A232C23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96E09BCA-FBA4-4AAA-94A9-7ED655594197}">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Respuesta%20a%20consultas.dotm</Template>
  <TotalTime>1</TotalTime>
  <Pages>1</Pages>
  <Words>7676</Words>
  <Characters>43758</Characters>
  <Application>Microsoft Office Word</Application>
  <DocSecurity>4</DocSecurity>
  <Lines>364</Lines>
  <Paragraphs>102</Paragraphs>
  <ScaleCrop>false</ScaleCrop>
  <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97</cp:revision>
  <cp:lastPrinted>2020-01-30T15:05:00Z</cp:lastPrinted>
  <dcterms:created xsi:type="dcterms:W3CDTF">2020-02-26T18:00:00Z</dcterms:created>
  <dcterms:modified xsi:type="dcterms:W3CDTF">2020-08-03T15:27:00Z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