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88B9D" w14:textId="1A7FF0F5" w:rsidR="00325DD3" w:rsidRPr="00325DD3" w:rsidRDefault="00325DD3" w:rsidP="00325DD3">
      <w:pPr>
        <w:jc w:val="right"/>
        <w:rPr>
          <w:rFonts w:ascii="Arial" w:hAnsi="Arial" w:cs="Arial"/>
          <w:b/>
          <w:color w:val="000000" w:themeColor="text1"/>
          <w:sz w:val="16"/>
          <w:szCs w:val="16"/>
          <w:lang w:eastAsia="es-ES"/>
        </w:rPr>
      </w:pPr>
      <w:bookmarkStart w:id="0" w:name="_Hlk28946138"/>
      <w:bookmarkStart w:id="1" w:name="_Hlk29548183"/>
      <w:r w:rsidRPr="00325DD3">
        <w:rPr>
          <w:rFonts w:ascii="Arial" w:hAnsi="Arial" w:cs="Arial"/>
          <w:b/>
          <w:color w:val="000000" w:themeColor="text1"/>
          <w:sz w:val="16"/>
          <w:szCs w:val="16"/>
          <w:lang w:eastAsia="es-ES"/>
        </w:rPr>
        <w:t>CCE-DES-FM-17</w:t>
      </w:r>
    </w:p>
    <w:p w14:paraId="394B9B14" w14:textId="77777777" w:rsidR="00325DD3" w:rsidRPr="00325DD3" w:rsidRDefault="00325DD3" w:rsidP="00325DD3">
      <w:pPr>
        <w:jc w:val="right"/>
        <w:rPr>
          <w:rFonts w:ascii="Arial" w:hAnsi="Arial" w:cs="Arial"/>
          <w:b/>
          <w:sz w:val="20"/>
          <w:szCs w:val="20"/>
        </w:rPr>
      </w:pPr>
    </w:p>
    <w:p w14:paraId="53C07C13" w14:textId="115C48D1" w:rsidR="006B6454" w:rsidRPr="00E70CD4" w:rsidRDefault="0060257A" w:rsidP="003349CA">
      <w:pPr>
        <w:jc w:val="both"/>
        <w:rPr>
          <w:rFonts w:ascii="Arial" w:hAnsi="Arial" w:cs="Arial"/>
          <w:sz w:val="22"/>
        </w:rPr>
      </w:pPr>
      <w:r w:rsidRPr="00E70CD4">
        <w:rPr>
          <w:rFonts w:ascii="Arial" w:hAnsi="Arial" w:cs="Arial"/>
          <w:b/>
          <w:sz w:val="22"/>
        </w:rPr>
        <w:t xml:space="preserve">EXPERIENCIA </w:t>
      </w:r>
      <w:r w:rsidR="004724B8">
        <w:rPr>
          <w:rFonts w:ascii="Arial" w:eastAsia="Calibri" w:hAnsi="Arial" w:cs="Arial"/>
          <w:b/>
          <w:color w:val="000000" w:themeColor="text1"/>
          <w:sz w:val="22"/>
        </w:rPr>
        <w:t>–</w:t>
      </w:r>
      <w:r w:rsidRPr="00E70CD4">
        <w:rPr>
          <w:rFonts w:ascii="Arial" w:eastAsia="Calibri" w:hAnsi="Arial" w:cs="Arial"/>
          <w:b/>
          <w:sz w:val="22"/>
        </w:rPr>
        <w:t xml:space="preserve"> </w:t>
      </w:r>
      <w:r w:rsidRPr="00E70CD4">
        <w:rPr>
          <w:rFonts w:ascii="Arial" w:hAnsi="Arial" w:cs="Arial"/>
          <w:b/>
          <w:sz w:val="22"/>
        </w:rPr>
        <w:t>A</w:t>
      </w:r>
      <w:r w:rsidR="006B6454" w:rsidRPr="00E70CD4">
        <w:rPr>
          <w:rFonts w:ascii="Arial" w:hAnsi="Arial" w:cs="Arial"/>
          <w:b/>
          <w:sz w:val="22"/>
        </w:rPr>
        <w:t>creditación</w:t>
      </w:r>
      <w:r w:rsidR="005C0B7B">
        <w:rPr>
          <w:rFonts w:ascii="Arial" w:hAnsi="Arial" w:cs="Arial"/>
          <w:b/>
          <w:sz w:val="22"/>
        </w:rPr>
        <w:t xml:space="preserve"> </w:t>
      </w:r>
      <w:r w:rsidR="005C0B7B">
        <w:rPr>
          <w:rFonts w:ascii="Arial" w:eastAsia="Calibri" w:hAnsi="Arial" w:cs="Arial"/>
          <w:b/>
          <w:color w:val="000000" w:themeColor="text1"/>
          <w:sz w:val="22"/>
        </w:rPr>
        <w:t xml:space="preserve">– Sociedad </w:t>
      </w:r>
      <w:r w:rsidR="00A23A67">
        <w:rPr>
          <w:rFonts w:ascii="Arial" w:eastAsia="Calibri" w:hAnsi="Arial" w:cs="Arial"/>
          <w:b/>
          <w:color w:val="000000" w:themeColor="text1"/>
          <w:sz w:val="22"/>
        </w:rPr>
        <w:t>con menos de 3 años de constituida – Registro único de proponentes</w:t>
      </w:r>
      <w:bookmarkStart w:id="2" w:name="_GoBack"/>
      <w:bookmarkEnd w:id="2"/>
      <w:r w:rsidR="005C0B7B">
        <w:rPr>
          <w:rFonts w:ascii="Arial" w:eastAsia="Calibri" w:hAnsi="Arial" w:cs="Arial"/>
          <w:b/>
          <w:color w:val="000000" w:themeColor="text1"/>
          <w:sz w:val="22"/>
        </w:rPr>
        <w:t xml:space="preserve"> – Cesación de efectos </w:t>
      </w:r>
    </w:p>
    <w:p w14:paraId="282E62D7" w14:textId="77777777" w:rsidR="0060257A" w:rsidRPr="00E70CD4" w:rsidRDefault="0060257A" w:rsidP="003349CA">
      <w:pPr>
        <w:jc w:val="both"/>
        <w:rPr>
          <w:rFonts w:ascii="Arial" w:hAnsi="Arial" w:cs="Arial"/>
          <w:sz w:val="21"/>
          <w:szCs w:val="21"/>
        </w:rPr>
      </w:pPr>
    </w:p>
    <w:p w14:paraId="62671DDB" w14:textId="77777777" w:rsidR="00BD6A7D" w:rsidRPr="00D732C6" w:rsidRDefault="00BD6A7D" w:rsidP="003349CA">
      <w:pPr>
        <w:jc w:val="both"/>
        <w:rPr>
          <w:rFonts w:ascii="Arial" w:hAnsi="Arial" w:cs="Arial"/>
          <w:sz w:val="20"/>
          <w:szCs w:val="20"/>
        </w:rPr>
      </w:pPr>
      <w:r w:rsidRPr="00D732C6">
        <w:rPr>
          <w:rFonts w:ascii="Arial" w:hAnsi="Arial" w:cs="Arial"/>
          <w:sz w:val="20"/>
          <w:szCs w:val="20"/>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69249CCB" w14:textId="77777777" w:rsidR="00F74BFB" w:rsidRPr="00E70CD4" w:rsidRDefault="00F74BFB" w:rsidP="003349CA">
      <w:pPr>
        <w:pStyle w:val="Prrafodelista"/>
        <w:ind w:left="0"/>
        <w:contextualSpacing w:val="0"/>
        <w:jc w:val="both"/>
        <w:rPr>
          <w:rFonts w:ascii="Arial" w:eastAsia="Calibri" w:hAnsi="Arial" w:cs="Arial"/>
          <w:sz w:val="20"/>
          <w:szCs w:val="20"/>
        </w:rPr>
      </w:pPr>
    </w:p>
    <w:p w14:paraId="3CA01926" w14:textId="5542EB2B" w:rsidR="00F74BFB" w:rsidRPr="00E70CD4" w:rsidRDefault="0060257A" w:rsidP="003349CA">
      <w:pPr>
        <w:pStyle w:val="Prrafodelista"/>
        <w:ind w:left="0"/>
        <w:contextualSpacing w:val="0"/>
        <w:jc w:val="both"/>
        <w:rPr>
          <w:rFonts w:ascii="Arial" w:eastAsia="Calibri" w:hAnsi="Arial" w:cs="Arial"/>
          <w:b/>
          <w:sz w:val="22"/>
        </w:rPr>
      </w:pPr>
      <w:r w:rsidRPr="00E70CD4">
        <w:rPr>
          <w:rFonts w:ascii="Arial" w:eastAsia="Calibri" w:hAnsi="Arial" w:cs="Arial"/>
          <w:b/>
          <w:sz w:val="22"/>
        </w:rPr>
        <w:t xml:space="preserve">EXPERIENCIA </w:t>
      </w:r>
      <w:r w:rsidR="004724B8">
        <w:rPr>
          <w:rFonts w:ascii="Arial" w:eastAsia="Calibri" w:hAnsi="Arial" w:cs="Arial"/>
          <w:b/>
          <w:color w:val="000000" w:themeColor="text1"/>
          <w:sz w:val="22"/>
        </w:rPr>
        <w:t>–</w:t>
      </w:r>
      <w:r w:rsidRPr="00E70CD4">
        <w:rPr>
          <w:rFonts w:ascii="Arial" w:eastAsia="Calibri" w:hAnsi="Arial" w:cs="Arial"/>
          <w:b/>
          <w:sz w:val="22"/>
        </w:rPr>
        <w:t xml:space="preserve"> </w:t>
      </w:r>
      <w:r w:rsidR="00527329">
        <w:rPr>
          <w:rFonts w:ascii="Arial" w:eastAsia="Calibri" w:hAnsi="Arial" w:cs="Arial"/>
          <w:b/>
          <w:sz w:val="22"/>
        </w:rPr>
        <w:t xml:space="preserve">Porcentaje </w:t>
      </w:r>
      <w:r w:rsidR="00527329">
        <w:rPr>
          <w:rFonts w:ascii="Arial" w:eastAsia="Calibri" w:hAnsi="Arial" w:cs="Arial"/>
          <w:b/>
          <w:color w:val="000000" w:themeColor="text1"/>
          <w:sz w:val="22"/>
        </w:rPr>
        <w:t>– L</w:t>
      </w:r>
      <w:r w:rsidR="00714BEC" w:rsidRPr="00E70CD4">
        <w:rPr>
          <w:rFonts w:ascii="Arial" w:eastAsia="Calibri" w:hAnsi="Arial" w:cs="Arial"/>
          <w:b/>
          <w:sz w:val="22"/>
        </w:rPr>
        <w:t xml:space="preserve">ímite </w:t>
      </w:r>
      <w:r w:rsidR="00F74BFB" w:rsidRPr="00E70CD4">
        <w:rPr>
          <w:rFonts w:ascii="Arial" w:eastAsia="Calibri" w:hAnsi="Arial" w:cs="Arial"/>
          <w:b/>
          <w:sz w:val="22"/>
        </w:rPr>
        <w:t xml:space="preserve">de </w:t>
      </w:r>
      <w:r w:rsidR="00527329">
        <w:rPr>
          <w:rFonts w:ascii="Arial" w:eastAsia="Calibri" w:hAnsi="Arial" w:cs="Arial"/>
          <w:b/>
          <w:sz w:val="22"/>
        </w:rPr>
        <w:t xml:space="preserve">transferencia </w:t>
      </w:r>
    </w:p>
    <w:p w14:paraId="1BF766CE" w14:textId="77777777" w:rsidR="0060257A" w:rsidRPr="00E70CD4" w:rsidRDefault="0060257A" w:rsidP="003349CA">
      <w:pPr>
        <w:pStyle w:val="Prrafodelista"/>
        <w:ind w:left="0"/>
        <w:contextualSpacing w:val="0"/>
        <w:jc w:val="both"/>
        <w:rPr>
          <w:rFonts w:ascii="Arial" w:eastAsia="Calibri" w:hAnsi="Arial" w:cs="Arial"/>
          <w:sz w:val="20"/>
          <w:szCs w:val="20"/>
        </w:rPr>
      </w:pPr>
    </w:p>
    <w:p w14:paraId="129D1511" w14:textId="77777777" w:rsidR="00377559" w:rsidRDefault="00714BEC" w:rsidP="00377559">
      <w:pPr>
        <w:spacing w:after="120"/>
        <w:jc w:val="both"/>
        <w:rPr>
          <w:rFonts w:ascii="Arial" w:hAnsi="Arial" w:cs="Arial"/>
          <w:sz w:val="20"/>
          <w:szCs w:val="20"/>
        </w:rPr>
      </w:pPr>
      <w:r w:rsidRPr="00D732C6">
        <w:rPr>
          <w:rFonts w:ascii="Arial" w:hAnsi="Arial" w:cs="Arial"/>
          <w:sz w:val="20"/>
          <w:szCs w:val="20"/>
        </w:rPr>
        <w:t>El</w:t>
      </w:r>
      <w:r w:rsidR="00F74BFB" w:rsidRPr="00D732C6">
        <w:rPr>
          <w:rFonts w:ascii="Arial" w:hAnsi="Arial" w:cs="Arial"/>
          <w:sz w:val="20"/>
          <w:szCs w:val="20"/>
        </w:rPr>
        <w:t xml:space="preserve"> numeral 2.5. del artículo 2.2.1.1.1.5.2. del Decreto 1082 de 2015 consagra, como se dijo, una prerrogativa para las sociedades nuevas, que busca fomentar la competencia de las mismas en el campo de la contratación estatal, sin establecer limitante alguna en relación con el porcentaje de experiencia de los socios que puede tran</w:t>
      </w:r>
      <w:r w:rsidR="006B6454" w:rsidRPr="00D732C6">
        <w:rPr>
          <w:rFonts w:ascii="Arial" w:hAnsi="Arial" w:cs="Arial"/>
          <w:sz w:val="20"/>
          <w:szCs w:val="20"/>
        </w:rPr>
        <w:t>s</w:t>
      </w:r>
      <w:r w:rsidR="00F74BFB" w:rsidRPr="00D732C6">
        <w:rPr>
          <w:rFonts w:ascii="Arial" w:hAnsi="Arial" w:cs="Arial"/>
          <w:sz w:val="20"/>
          <w:szCs w:val="20"/>
        </w:rPr>
        <w:t xml:space="preserve">ferirse a las personas jurídicas con experiencia de menos de 3 años. </w:t>
      </w:r>
    </w:p>
    <w:p w14:paraId="6A600E0C" w14:textId="4FA54B75" w:rsidR="00377559" w:rsidRDefault="00F74BFB" w:rsidP="00377559">
      <w:pPr>
        <w:jc w:val="both"/>
        <w:rPr>
          <w:rFonts w:ascii="Arial" w:hAnsi="Arial" w:cs="Arial"/>
          <w:sz w:val="20"/>
          <w:szCs w:val="20"/>
        </w:rPr>
      </w:pPr>
      <w:r w:rsidRPr="00D732C6">
        <w:rPr>
          <w:rFonts w:ascii="Arial" w:hAnsi="Arial" w:cs="Arial"/>
          <w:sz w:val="20"/>
          <w:szCs w:val="20"/>
        </w:rPr>
        <w:t xml:space="preserve">Por tanto, en atención al principio general de interpretación jurídica según el cual, donde el legislador no distingue no le es dado al interprete distinguir, la experiencia de los socios se trasmite en su totalidad a las personas jurídicas con experiencia menor a 3 años, sin consideración a los porcentajes de participación de cada uno de los socios. </w:t>
      </w:r>
    </w:p>
    <w:p w14:paraId="134CBA86" w14:textId="77777777" w:rsidR="00377559" w:rsidRDefault="00377559" w:rsidP="00377559">
      <w:pPr>
        <w:jc w:val="both"/>
        <w:rPr>
          <w:rFonts w:ascii="Arial" w:hAnsi="Arial" w:cs="Arial"/>
          <w:sz w:val="20"/>
          <w:szCs w:val="20"/>
        </w:rPr>
      </w:pPr>
    </w:p>
    <w:p w14:paraId="68035C82" w14:textId="151DAD50" w:rsidR="006B6454" w:rsidRPr="00E70CD4" w:rsidRDefault="0060257A" w:rsidP="00377559">
      <w:pPr>
        <w:jc w:val="both"/>
        <w:rPr>
          <w:rFonts w:ascii="Arial" w:eastAsia="Calibri" w:hAnsi="Arial" w:cs="Arial"/>
          <w:b/>
          <w:sz w:val="22"/>
        </w:rPr>
      </w:pPr>
      <w:r w:rsidRPr="00E70CD4">
        <w:rPr>
          <w:rFonts w:ascii="Arial" w:eastAsia="Calibri" w:hAnsi="Arial" w:cs="Arial"/>
          <w:b/>
          <w:sz w:val="22"/>
        </w:rPr>
        <w:t xml:space="preserve">EXPERIENCIA </w:t>
      </w:r>
      <w:r w:rsidR="004724B8">
        <w:rPr>
          <w:rFonts w:ascii="Arial" w:eastAsia="Calibri" w:hAnsi="Arial" w:cs="Arial"/>
          <w:b/>
          <w:color w:val="000000" w:themeColor="text1"/>
          <w:sz w:val="22"/>
        </w:rPr>
        <w:t>–</w:t>
      </w:r>
      <w:r w:rsidRPr="00E70CD4">
        <w:rPr>
          <w:rFonts w:ascii="Arial" w:eastAsia="Calibri" w:hAnsi="Arial" w:cs="Arial"/>
          <w:b/>
          <w:sz w:val="22"/>
        </w:rPr>
        <w:t xml:space="preserve"> </w:t>
      </w:r>
      <w:r w:rsidR="006B6454" w:rsidRPr="00E70CD4">
        <w:rPr>
          <w:rFonts w:ascii="Arial" w:eastAsia="Calibri" w:hAnsi="Arial" w:cs="Arial"/>
          <w:b/>
          <w:sz w:val="22"/>
        </w:rPr>
        <w:t>Evaluación</w:t>
      </w:r>
      <w:r w:rsidR="008705C1">
        <w:rPr>
          <w:rFonts w:ascii="Arial" w:eastAsia="Calibri" w:hAnsi="Arial" w:cs="Arial"/>
          <w:b/>
          <w:sz w:val="22"/>
        </w:rPr>
        <w:t xml:space="preserve"> </w:t>
      </w:r>
      <w:r w:rsidR="008705C1">
        <w:rPr>
          <w:rFonts w:ascii="Arial" w:eastAsia="Calibri" w:hAnsi="Arial" w:cs="Arial"/>
          <w:b/>
          <w:color w:val="000000" w:themeColor="text1"/>
          <w:sz w:val="22"/>
        </w:rPr>
        <w:t>–</w:t>
      </w:r>
      <w:r w:rsidR="006B6454" w:rsidRPr="00E70CD4">
        <w:rPr>
          <w:rFonts w:ascii="Arial" w:eastAsia="Calibri" w:hAnsi="Arial" w:cs="Arial"/>
          <w:b/>
          <w:sz w:val="22"/>
        </w:rPr>
        <w:t xml:space="preserve"> </w:t>
      </w:r>
      <w:r w:rsidR="008705C1">
        <w:rPr>
          <w:rFonts w:ascii="Arial" w:eastAsia="Calibri" w:hAnsi="Arial" w:cs="Arial"/>
          <w:b/>
          <w:sz w:val="22"/>
        </w:rPr>
        <w:t>E</w:t>
      </w:r>
      <w:r w:rsidR="006B6454" w:rsidRPr="00E70CD4">
        <w:rPr>
          <w:rFonts w:ascii="Arial" w:eastAsia="Calibri" w:hAnsi="Arial" w:cs="Arial"/>
          <w:b/>
          <w:sz w:val="22"/>
        </w:rPr>
        <w:t xml:space="preserve">ntidades públicas </w:t>
      </w:r>
    </w:p>
    <w:p w14:paraId="2535C121" w14:textId="77777777" w:rsidR="0060257A" w:rsidRPr="00E70CD4" w:rsidRDefault="0060257A" w:rsidP="003349CA">
      <w:pPr>
        <w:jc w:val="both"/>
        <w:rPr>
          <w:rFonts w:ascii="Arial" w:hAnsi="Arial" w:cs="Arial"/>
          <w:sz w:val="21"/>
          <w:szCs w:val="21"/>
        </w:rPr>
      </w:pPr>
    </w:p>
    <w:p w14:paraId="48186FD8" w14:textId="59F7278E" w:rsidR="006B6454" w:rsidRPr="00D732C6" w:rsidRDefault="006B6454" w:rsidP="003349CA">
      <w:pPr>
        <w:jc w:val="both"/>
        <w:rPr>
          <w:rFonts w:ascii="Arial" w:hAnsi="Arial" w:cs="Arial"/>
          <w:sz w:val="20"/>
          <w:szCs w:val="20"/>
        </w:rPr>
      </w:pPr>
      <w:r w:rsidRPr="00D732C6">
        <w:rPr>
          <w:rFonts w:ascii="Arial" w:hAnsi="Arial" w:cs="Arial"/>
          <w:sz w:val="20"/>
          <w:szCs w:val="20"/>
        </w:rPr>
        <w:t xml:space="preserve">De todo lo anterior, se puede concluir entonces que, la regla general es que la experiencia se acredita a través del RUP y en consecuencia, la evaluación de experiencia, como requisito habilitante, no puede ser evaluada nuevamente por la entidad pública contratante a partir de otros criterios distintos a los señalados en el Registro Único. Excepcionalmente, una entidad pública podrá verificar de forma directa la experiencia de los proponentes, pero solo cuando por las características del objeto del contrato se requiera, y para constatar requisitos adicionales a los contenidos en el registro. </w:t>
      </w:r>
    </w:p>
    <w:p w14:paraId="0B74F7F5" w14:textId="77777777" w:rsidR="0034177C" w:rsidRPr="0097734F" w:rsidRDefault="0034177C" w:rsidP="004724B8">
      <w:pPr>
        <w:jc w:val="both"/>
        <w:rPr>
          <w:rFonts w:ascii="Arial" w:hAnsi="Arial" w:cs="Arial"/>
          <w:sz w:val="20"/>
          <w:szCs w:val="20"/>
        </w:rPr>
      </w:pPr>
    </w:p>
    <w:p w14:paraId="590DA44B" w14:textId="77777777" w:rsidR="00E7101A" w:rsidRPr="0097734F" w:rsidRDefault="00E7101A" w:rsidP="00E7101A">
      <w:pPr>
        <w:pStyle w:val="Default"/>
        <w:rPr>
          <w:sz w:val="20"/>
          <w:szCs w:val="20"/>
        </w:rPr>
      </w:pPr>
    </w:p>
    <w:p w14:paraId="7B64C29C" w14:textId="79D65F3F" w:rsidR="00E7101A" w:rsidRDefault="00E7101A" w:rsidP="05F95F74">
      <w:pPr>
        <w:pStyle w:val="Default"/>
        <w:rPr>
          <w:rFonts w:eastAsia="Arial"/>
          <w:sz w:val="22"/>
          <w:szCs w:val="22"/>
        </w:rPr>
      </w:pPr>
      <w:r w:rsidRPr="05F95F74">
        <w:rPr>
          <w:rFonts w:eastAsia="Arial"/>
          <w:sz w:val="22"/>
          <w:szCs w:val="22"/>
        </w:rPr>
        <w:t xml:space="preserve">Bogotá D.C., </w:t>
      </w:r>
      <w:r w:rsidRPr="05F95F74">
        <w:rPr>
          <w:rFonts w:eastAsia="Arial"/>
          <w:b/>
          <w:bCs/>
          <w:sz w:val="22"/>
          <w:szCs w:val="22"/>
        </w:rPr>
        <w:t xml:space="preserve">16/03/2020 Hora 9:13:18s </w:t>
      </w:r>
    </w:p>
    <w:p w14:paraId="7E80B7C1" w14:textId="7A51330C" w:rsidR="00A37FB6" w:rsidRDefault="00E7101A" w:rsidP="05F95F74">
      <w:pPr>
        <w:tabs>
          <w:tab w:val="left" w:pos="3374"/>
        </w:tabs>
        <w:jc w:val="right"/>
        <w:rPr>
          <w:rFonts w:ascii="Arial" w:eastAsia="Arial" w:hAnsi="Arial" w:cs="Arial"/>
          <w:sz w:val="22"/>
        </w:rPr>
      </w:pPr>
      <w:r w:rsidRPr="05F95F74">
        <w:rPr>
          <w:rFonts w:ascii="Arial" w:eastAsia="Arial" w:hAnsi="Arial" w:cs="Arial"/>
          <w:b/>
          <w:bCs/>
          <w:sz w:val="22"/>
        </w:rPr>
        <w:t>N° Radicado: 2202013000001879</w:t>
      </w:r>
      <w:r w:rsidR="00A37FB6" w:rsidRPr="00E70CD4">
        <w:rPr>
          <w:rFonts w:ascii="Arial" w:eastAsia="Calibri" w:hAnsi="Arial" w:cs="Arial"/>
          <w:sz w:val="22"/>
        </w:rPr>
        <w:tab/>
      </w:r>
    </w:p>
    <w:p w14:paraId="18205836" w14:textId="370EE5AA" w:rsidR="00285C4F" w:rsidRDefault="00285C4F" w:rsidP="00E7101A">
      <w:pPr>
        <w:tabs>
          <w:tab w:val="left" w:pos="3374"/>
        </w:tabs>
        <w:jc w:val="right"/>
        <w:rPr>
          <w:rFonts w:ascii="Arial" w:eastAsia="Calibri" w:hAnsi="Arial" w:cs="Arial"/>
          <w:sz w:val="22"/>
        </w:rPr>
      </w:pPr>
    </w:p>
    <w:p w14:paraId="518D8F16" w14:textId="77777777" w:rsidR="006D742A" w:rsidRPr="00E70CD4" w:rsidRDefault="006D742A" w:rsidP="00E7101A">
      <w:pPr>
        <w:tabs>
          <w:tab w:val="left" w:pos="3374"/>
        </w:tabs>
        <w:jc w:val="right"/>
        <w:rPr>
          <w:rFonts w:ascii="Arial" w:eastAsia="Calibri" w:hAnsi="Arial" w:cs="Arial"/>
          <w:sz w:val="22"/>
        </w:rPr>
      </w:pPr>
    </w:p>
    <w:p w14:paraId="2B166DFC" w14:textId="6B8B0F2E" w:rsidR="00A37FB6" w:rsidRPr="00E70CD4" w:rsidRDefault="004141CB" w:rsidP="00D01760">
      <w:pPr>
        <w:rPr>
          <w:rFonts w:ascii="Arial" w:eastAsia="Calibri" w:hAnsi="Arial" w:cs="Arial"/>
          <w:sz w:val="22"/>
        </w:rPr>
      </w:pPr>
      <w:r w:rsidRPr="00E70CD4">
        <w:rPr>
          <w:rFonts w:ascii="Arial" w:eastAsia="Calibri" w:hAnsi="Arial" w:cs="Arial"/>
          <w:sz w:val="22"/>
        </w:rPr>
        <w:t>Señora</w:t>
      </w:r>
    </w:p>
    <w:p w14:paraId="16863497" w14:textId="2E951400" w:rsidR="00A37FB6" w:rsidRPr="00E70CD4" w:rsidRDefault="004141CB" w:rsidP="00D01760">
      <w:pPr>
        <w:rPr>
          <w:rFonts w:ascii="Arial" w:eastAsia="Calibri" w:hAnsi="Arial" w:cs="Arial"/>
          <w:b/>
          <w:sz w:val="22"/>
        </w:rPr>
      </w:pPr>
      <w:r w:rsidRPr="00E70CD4">
        <w:rPr>
          <w:rFonts w:ascii="Arial" w:eastAsia="Calibri" w:hAnsi="Arial" w:cs="Arial"/>
          <w:b/>
          <w:sz w:val="22"/>
        </w:rPr>
        <w:t>MELISSA FRANCO PORRAS</w:t>
      </w:r>
    </w:p>
    <w:p w14:paraId="359C48BE" w14:textId="415F36FA" w:rsidR="00A37FB6" w:rsidRDefault="00A37FB6" w:rsidP="00D01760">
      <w:pPr>
        <w:rPr>
          <w:rFonts w:ascii="Arial" w:eastAsia="Calibri" w:hAnsi="Arial" w:cs="Arial"/>
          <w:sz w:val="22"/>
        </w:rPr>
      </w:pPr>
      <w:r w:rsidRPr="00E70CD4">
        <w:rPr>
          <w:rFonts w:ascii="Arial" w:eastAsia="Calibri" w:hAnsi="Arial" w:cs="Arial"/>
          <w:sz w:val="22"/>
        </w:rPr>
        <w:t>Ciudad</w:t>
      </w:r>
    </w:p>
    <w:p w14:paraId="7CCCE644" w14:textId="77777777" w:rsidR="006D742A" w:rsidRPr="00E70CD4" w:rsidRDefault="006D742A" w:rsidP="00D01760">
      <w:pPr>
        <w:rPr>
          <w:rFonts w:ascii="Arial" w:eastAsia="Calibri" w:hAnsi="Arial" w:cs="Arial"/>
          <w:sz w:val="22"/>
        </w:rPr>
      </w:pPr>
    </w:p>
    <w:p w14:paraId="479F6A3A" w14:textId="3EB72126" w:rsidR="00A37FB6" w:rsidRDefault="004141CB" w:rsidP="00D01760">
      <w:pPr>
        <w:jc w:val="center"/>
        <w:rPr>
          <w:rFonts w:ascii="Arial" w:eastAsia="Calibri" w:hAnsi="Arial" w:cs="Arial"/>
          <w:b/>
          <w:sz w:val="22"/>
        </w:rPr>
      </w:pPr>
      <w:r w:rsidRPr="00E70CD4">
        <w:rPr>
          <w:rFonts w:ascii="Arial" w:eastAsia="Calibri" w:hAnsi="Arial" w:cs="Arial"/>
          <w:b/>
          <w:sz w:val="22"/>
        </w:rPr>
        <w:t>Concepto C ─ 025</w:t>
      </w:r>
      <w:r w:rsidR="00A37FB6" w:rsidRPr="00E70CD4">
        <w:rPr>
          <w:rFonts w:ascii="Arial" w:eastAsia="Calibri" w:hAnsi="Arial" w:cs="Arial"/>
          <w:b/>
          <w:sz w:val="22"/>
        </w:rPr>
        <w:t xml:space="preserve"> de 2020</w:t>
      </w:r>
    </w:p>
    <w:p w14:paraId="127F86B3" w14:textId="77777777" w:rsidR="006D742A" w:rsidRPr="00E70CD4" w:rsidRDefault="006D742A" w:rsidP="00D01760">
      <w:pPr>
        <w:jc w:val="center"/>
        <w:rPr>
          <w:rFonts w:ascii="Arial" w:eastAsia="Calibri" w:hAnsi="Arial" w:cs="Arial"/>
          <w:b/>
          <w:sz w:val="22"/>
        </w:rPr>
      </w:pPr>
    </w:p>
    <w:p w14:paraId="49BB1EAB" w14:textId="77777777" w:rsidR="00A37FB6" w:rsidRPr="00E70CD4" w:rsidRDefault="00A37FB6" w:rsidP="00D01760">
      <w:pPr>
        <w:rPr>
          <w:rFonts w:ascii="Arial" w:eastAsia="Calibri" w:hAnsi="Arial" w:cs="Arial"/>
          <w:sz w:val="22"/>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8"/>
        <w:gridCol w:w="6215"/>
      </w:tblGrid>
      <w:tr w:rsidR="009956B9" w:rsidRPr="00E70CD4" w14:paraId="20C2FA60" w14:textId="77777777" w:rsidTr="0054138E">
        <w:trPr>
          <w:trHeight w:val="802"/>
        </w:trPr>
        <w:tc>
          <w:tcPr>
            <w:tcW w:w="2618" w:type="dxa"/>
            <w:hideMark/>
          </w:tcPr>
          <w:p w14:paraId="2A9459AB" w14:textId="77777777" w:rsidR="00A37FB6" w:rsidRPr="00E70CD4" w:rsidRDefault="00A37FB6" w:rsidP="00D01760">
            <w:pPr>
              <w:rPr>
                <w:rFonts w:ascii="Arial" w:eastAsia="Calibri" w:hAnsi="Arial" w:cs="Arial"/>
                <w:sz w:val="22"/>
              </w:rPr>
            </w:pPr>
            <w:r w:rsidRPr="00E70CD4">
              <w:rPr>
                <w:rFonts w:ascii="Arial" w:eastAsia="Calibri" w:hAnsi="Arial" w:cs="Arial"/>
                <w:b/>
                <w:sz w:val="22"/>
              </w:rPr>
              <w:lastRenderedPageBreak/>
              <w:t>Temas:</w:t>
            </w:r>
            <w:r w:rsidRPr="00E70CD4">
              <w:rPr>
                <w:rFonts w:ascii="Arial" w:eastAsia="Calibri" w:hAnsi="Arial" w:cs="Arial"/>
                <w:sz w:val="22"/>
              </w:rPr>
              <w:t xml:space="preserve">           </w:t>
            </w:r>
          </w:p>
          <w:p w14:paraId="1840BCE8" w14:textId="77777777" w:rsidR="00A37FB6" w:rsidRPr="00E70CD4" w:rsidRDefault="00A37FB6" w:rsidP="00D01760">
            <w:pPr>
              <w:rPr>
                <w:rFonts w:ascii="Arial" w:eastAsia="Calibri" w:hAnsi="Arial" w:cs="Arial"/>
                <w:sz w:val="22"/>
              </w:rPr>
            </w:pPr>
            <w:r w:rsidRPr="00E70CD4">
              <w:rPr>
                <w:rFonts w:ascii="Arial" w:eastAsia="Calibri" w:hAnsi="Arial" w:cs="Arial"/>
                <w:sz w:val="22"/>
              </w:rPr>
              <w:t xml:space="preserve">                           </w:t>
            </w:r>
          </w:p>
        </w:tc>
        <w:tc>
          <w:tcPr>
            <w:tcW w:w="6215" w:type="dxa"/>
            <w:hideMark/>
          </w:tcPr>
          <w:p w14:paraId="069BC436" w14:textId="53C7E3EE" w:rsidR="00A37FB6" w:rsidRPr="00284288" w:rsidRDefault="004F3C32" w:rsidP="00F57741">
            <w:pPr>
              <w:jc w:val="both"/>
              <w:rPr>
                <w:rFonts w:ascii="Arial" w:eastAsia="Calibri" w:hAnsi="Arial" w:cs="Arial"/>
                <w:bCs/>
                <w:sz w:val="22"/>
              </w:rPr>
            </w:pPr>
            <w:r w:rsidRPr="00284288">
              <w:rPr>
                <w:rFonts w:ascii="Arial" w:hAnsi="Arial" w:cs="Arial"/>
                <w:bCs/>
                <w:sz w:val="22"/>
              </w:rPr>
              <w:t xml:space="preserve">EXPERIENCIA </w:t>
            </w:r>
            <w:r w:rsidRPr="00284288">
              <w:rPr>
                <w:rFonts w:ascii="Arial" w:eastAsia="Calibri" w:hAnsi="Arial" w:cs="Arial"/>
                <w:bCs/>
                <w:sz w:val="22"/>
              </w:rPr>
              <w:t xml:space="preserve">─ </w:t>
            </w:r>
            <w:r w:rsidRPr="00284288">
              <w:rPr>
                <w:rFonts w:ascii="Arial" w:hAnsi="Arial" w:cs="Arial"/>
                <w:bCs/>
                <w:sz w:val="22"/>
              </w:rPr>
              <w:t>Acreditación</w:t>
            </w:r>
            <w:r w:rsidR="00F57741">
              <w:rPr>
                <w:rFonts w:ascii="Arial" w:hAnsi="Arial" w:cs="Arial"/>
                <w:bCs/>
                <w:sz w:val="22"/>
              </w:rPr>
              <w:t xml:space="preserve"> </w:t>
            </w:r>
            <w:r w:rsidR="00F57741" w:rsidRPr="00F57741">
              <w:rPr>
                <w:rFonts w:ascii="Arial" w:hAnsi="Arial" w:cs="Arial"/>
                <w:bCs/>
                <w:sz w:val="22"/>
              </w:rPr>
              <w:t>– Sociedad constituida – menos a 3 años – RUP – Cesación de efectos</w:t>
            </w:r>
            <w:r w:rsidR="00F57741">
              <w:rPr>
                <w:rFonts w:ascii="Arial" w:eastAsia="Calibri" w:hAnsi="Arial" w:cs="Arial"/>
                <w:b/>
                <w:color w:val="000000" w:themeColor="text1"/>
                <w:sz w:val="22"/>
              </w:rPr>
              <w:t xml:space="preserve"> </w:t>
            </w:r>
            <w:r w:rsidR="00AA669D" w:rsidRPr="00284288">
              <w:rPr>
                <w:rFonts w:ascii="Arial" w:eastAsia="Calibri" w:hAnsi="Arial" w:cs="Arial"/>
                <w:bCs/>
                <w:sz w:val="22"/>
              </w:rPr>
              <w:t>/</w:t>
            </w:r>
            <w:r w:rsidRPr="00284288">
              <w:rPr>
                <w:rFonts w:ascii="Arial" w:eastAsia="Calibri" w:hAnsi="Arial" w:cs="Arial"/>
                <w:bCs/>
                <w:sz w:val="22"/>
              </w:rPr>
              <w:t xml:space="preserve"> EXPERIENCIA ─ </w:t>
            </w:r>
            <w:r w:rsidR="005C0B7B">
              <w:rPr>
                <w:rFonts w:ascii="Arial" w:eastAsia="Calibri" w:hAnsi="Arial" w:cs="Arial"/>
                <w:bCs/>
                <w:sz w:val="22"/>
              </w:rPr>
              <w:t>P</w:t>
            </w:r>
            <w:r w:rsidRPr="00284288">
              <w:rPr>
                <w:rFonts w:ascii="Arial" w:eastAsia="Calibri" w:hAnsi="Arial" w:cs="Arial"/>
                <w:bCs/>
                <w:sz w:val="22"/>
              </w:rPr>
              <w:t xml:space="preserve">orcentaje </w:t>
            </w:r>
            <w:r w:rsidR="005C0B7B" w:rsidRPr="00284288">
              <w:rPr>
                <w:rFonts w:ascii="Arial" w:eastAsia="Calibri" w:hAnsi="Arial" w:cs="Arial"/>
                <w:bCs/>
                <w:sz w:val="22"/>
              </w:rPr>
              <w:t>─</w:t>
            </w:r>
            <w:r w:rsidR="005C0B7B">
              <w:rPr>
                <w:rFonts w:ascii="Arial" w:eastAsia="Calibri" w:hAnsi="Arial" w:cs="Arial"/>
                <w:bCs/>
                <w:sz w:val="22"/>
              </w:rPr>
              <w:t xml:space="preserve"> L</w:t>
            </w:r>
            <w:r w:rsidRPr="00284288">
              <w:rPr>
                <w:rFonts w:ascii="Arial" w:eastAsia="Calibri" w:hAnsi="Arial" w:cs="Arial"/>
                <w:bCs/>
                <w:sz w:val="22"/>
              </w:rPr>
              <w:t>ímite d</w:t>
            </w:r>
            <w:r w:rsidR="005C0B7B">
              <w:rPr>
                <w:rFonts w:ascii="Arial" w:eastAsia="Calibri" w:hAnsi="Arial" w:cs="Arial"/>
                <w:bCs/>
                <w:sz w:val="22"/>
              </w:rPr>
              <w:t>e</w:t>
            </w:r>
            <w:r w:rsidRPr="00284288">
              <w:rPr>
                <w:rFonts w:ascii="Arial" w:eastAsia="Calibri" w:hAnsi="Arial" w:cs="Arial"/>
                <w:bCs/>
                <w:sz w:val="22"/>
              </w:rPr>
              <w:t xml:space="preserve"> transferir/ </w:t>
            </w:r>
            <w:r w:rsidR="005C0B7B" w:rsidRPr="00F57741">
              <w:rPr>
                <w:rFonts w:ascii="Arial" w:eastAsia="Calibri" w:hAnsi="Arial" w:cs="Arial"/>
                <w:bCs/>
                <w:sz w:val="22"/>
              </w:rPr>
              <w:t>EXPERIENCIA – Evaluación – Entidades</w:t>
            </w:r>
          </w:p>
        </w:tc>
      </w:tr>
      <w:tr w:rsidR="007D23CA" w:rsidRPr="00E70CD4" w14:paraId="62473A71" w14:textId="77777777" w:rsidTr="0054138E">
        <w:trPr>
          <w:trHeight w:val="262"/>
        </w:trPr>
        <w:tc>
          <w:tcPr>
            <w:tcW w:w="2618" w:type="dxa"/>
          </w:tcPr>
          <w:p w14:paraId="730BF589" w14:textId="77777777" w:rsidR="00A37FB6" w:rsidRPr="00E70CD4" w:rsidRDefault="00A37FB6" w:rsidP="00D01760">
            <w:pPr>
              <w:rPr>
                <w:rFonts w:ascii="Arial" w:eastAsia="Calibri" w:hAnsi="Arial" w:cs="Arial"/>
                <w:b/>
                <w:sz w:val="22"/>
              </w:rPr>
            </w:pPr>
            <w:r w:rsidRPr="00E70CD4">
              <w:rPr>
                <w:rFonts w:ascii="Arial" w:eastAsia="Calibri" w:hAnsi="Arial" w:cs="Arial"/>
                <w:b/>
                <w:sz w:val="22"/>
              </w:rPr>
              <w:t>Radicación:</w:t>
            </w:r>
            <w:r w:rsidRPr="00E70CD4">
              <w:rPr>
                <w:rFonts w:ascii="Arial" w:eastAsia="Calibri" w:hAnsi="Arial" w:cs="Arial"/>
                <w:sz w:val="22"/>
              </w:rPr>
              <w:t xml:space="preserve">                              </w:t>
            </w:r>
          </w:p>
        </w:tc>
        <w:tc>
          <w:tcPr>
            <w:tcW w:w="6215" w:type="dxa"/>
          </w:tcPr>
          <w:p w14:paraId="2CD77F9B" w14:textId="76D15DC3" w:rsidR="00A37FB6" w:rsidRPr="00E70CD4" w:rsidRDefault="00A37FB6" w:rsidP="004141CB">
            <w:pPr>
              <w:jc w:val="both"/>
              <w:rPr>
                <w:rFonts w:ascii="Arial" w:eastAsia="Calibri" w:hAnsi="Arial" w:cs="Arial"/>
                <w:sz w:val="22"/>
              </w:rPr>
            </w:pPr>
            <w:r w:rsidRPr="00E70CD4">
              <w:rPr>
                <w:rFonts w:ascii="Arial" w:eastAsia="Calibri" w:hAnsi="Arial" w:cs="Arial"/>
                <w:sz w:val="22"/>
              </w:rPr>
              <w:t>Respuesta a consulta # 42020</w:t>
            </w:r>
            <w:r w:rsidR="004141CB" w:rsidRPr="00E70CD4">
              <w:rPr>
                <w:rFonts w:ascii="Arial" w:eastAsia="Calibri" w:hAnsi="Arial" w:cs="Arial"/>
                <w:sz w:val="22"/>
              </w:rPr>
              <w:t>13000000798</w:t>
            </w:r>
          </w:p>
        </w:tc>
      </w:tr>
    </w:tbl>
    <w:p w14:paraId="3971911F" w14:textId="54D91911" w:rsidR="00284288" w:rsidRDefault="00284288" w:rsidP="00D01760">
      <w:pPr>
        <w:jc w:val="both"/>
        <w:rPr>
          <w:rFonts w:ascii="Arial" w:eastAsia="Calibri" w:hAnsi="Arial" w:cs="Arial"/>
          <w:sz w:val="22"/>
        </w:rPr>
      </w:pPr>
    </w:p>
    <w:p w14:paraId="27A393F8" w14:textId="77777777" w:rsidR="00284288" w:rsidRPr="00E70CD4" w:rsidRDefault="00284288" w:rsidP="00D01760">
      <w:pPr>
        <w:jc w:val="both"/>
        <w:rPr>
          <w:rFonts w:ascii="Arial" w:eastAsia="Calibri" w:hAnsi="Arial" w:cs="Arial"/>
          <w:sz w:val="22"/>
        </w:rPr>
      </w:pPr>
    </w:p>
    <w:p w14:paraId="6AEA1AE6" w14:textId="77777777" w:rsidR="00A37FB6" w:rsidRPr="00E70CD4" w:rsidRDefault="00A37FB6" w:rsidP="00D01760">
      <w:pPr>
        <w:rPr>
          <w:rFonts w:ascii="Arial" w:eastAsia="Calibri" w:hAnsi="Arial" w:cs="Arial"/>
          <w:sz w:val="22"/>
        </w:rPr>
      </w:pPr>
    </w:p>
    <w:p w14:paraId="3216C844" w14:textId="22C161BE" w:rsidR="00A37FB6" w:rsidRPr="00E70CD4" w:rsidRDefault="004141CB" w:rsidP="00D01760">
      <w:pPr>
        <w:rPr>
          <w:rFonts w:ascii="Arial" w:eastAsia="Calibri" w:hAnsi="Arial" w:cs="Arial"/>
          <w:sz w:val="22"/>
        </w:rPr>
      </w:pPr>
      <w:r w:rsidRPr="00E70CD4">
        <w:rPr>
          <w:rFonts w:ascii="Arial" w:eastAsia="Calibri" w:hAnsi="Arial" w:cs="Arial"/>
          <w:sz w:val="22"/>
        </w:rPr>
        <w:t>Estimada señora</w:t>
      </w:r>
      <w:r w:rsidR="00714BEC" w:rsidRPr="00E70CD4">
        <w:rPr>
          <w:rFonts w:ascii="Arial" w:eastAsia="Calibri" w:hAnsi="Arial" w:cs="Arial"/>
          <w:sz w:val="22"/>
        </w:rPr>
        <w:t xml:space="preserve"> Franco</w:t>
      </w:r>
      <w:r w:rsidR="004A02BA" w:rsidRPr="00E70CD4">
        <w:rPr>
          <w:rFonts w:ascii="Arial" w:eastAsia="Calibri" w:hAnsi="Arial" w:cs="Arial"/>
          <w:sz w:val="22"/>
        </w:rPr>
        <w:t>:</w:t>
      </w:r>
    </w:p>
    <w:p w14:paraId="2F0DA2F5" w14:textId="77777777" w:rsidR="00A37FB6" w:rsidRPr="00E70CD4" w:rsidRDefault="00A37FB6" w:rsidP="00D01760">
      <w:pPr>
        <w:rPr>
          <w:rFonts w:ascii="Arial" w:eastAsia="Calibri" w:hAnsi="Arial" w:cs="Arial"/>
          <w:sz w:val="22"/>
        </w:rPr>
      </w:pPr>
    </w:p>
    <w:p w14:paraId="39316B12" w14:textId="43F2FC9B" w:rsidR="00A37FB6" w:rsidRPr="00E70CD4" w:rsidRDefault="00A37FB6" w:rsidP="00D01760">
      <w:pPr>
        <w:spacing w:line="276" w:lineRule="auto"/>
        <w:ind w:right="49"/>
        <w:jc w:val="both"/>
        <w:rPr>
          <w:rFonts w:ascii="Arial" w:eastAsia="Calibri" w:hAnsi="Arial" w:cs="Arial"/>
          <w:sz w:val="22"/>
        </w:rPr>
      </w:pPr>
      <w:r w:rsidRPr="00E70CD4">
        <w:rPr>
          <w:rFonts w:ascii="Arial" w:eastAsia="Calibri" w:hAnsi="Arial" w:cs="Arial"/>
          <w:sz w:val="22"/>
        </w:rPr>
        <w:t xml:space="preserve">La Agencia Nacional de Contratación Pública ―Colombia Compra Eficiente― responde su consulta </w:t>
      </w:r>
      <w:r w:rsidR="004141CB" w:rsidRPr="00E70CD4">
        <w:rPr>
          <w:rFonts w:ascii="Arial" w:eastAsia="Calibri" w:hAnsi="Arial" w:cs="Arial"/>
          <w:sz w:val="22"/>
        </w:rPr>
        <w:t>del 4 de febrero de 2020</w:t>
      </w:r>
      <w:r w:rsidRPr="00E70CD4">
        <w:rPr>
          <w:rFonts w:ascii="Arial" w:eastAsia="Calibri" w:hAnsi="Arial" w:cs="Arial"/>
          <w:sz w:val="22"/>
        </w:rPr>
        <w:t xml:space="preserve">, en ejercicio de la competencia otorgada por el numeral 8 del artículo 11 y el numeral 5 del artículo 3 del Decreto Ley 4170 de 2011. </w:t>
      </w:r>
    </w:p>
    <w:p w14:paraId="37E551C1" w14:textId="77777777" w:rsidR="00A37FB6" w:rsidRPr="00E70CD4" w:rsidRDefault="00A37FB6" w:rsidP="00A51EC3">
      <w:pPr>
        <w:spacing w:line="276" w:lineRule="auto"/>
        <w:jc w:val="both"/>
        <w:rPr>
          <w:rFonts w:ascii="Arial" w:eastAsia="Calibri" w:hAnsi="Arial" w:cs="Arial"/>
          <w:sz w:val="22"/>
        </w:rPr>
      </w:pPr>
    </w:p>
    <w:p w14:paraId="737E2623" w14:textId="77777777" w:rsidR="00A37FB6" w:rsidRPr="00E70CD4" w:rsidRDefault="00A37FB6" w:rsidP="00A51EC3">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E70CD4">
        <w:rPr>
          <w:rFonts w:ascii="Arial" w:eastAsia="Calibri" w:hAnsi="Arial" w:cs="Arial"/>
          <w:b/>
          <w:sz w:val="22"/>
        </w:rPr>
        <w:t xml:space="preserve">Problemas planteados </w:t>
      </w:r>
    </w:p>
    <w:p w14:paraId="498A026D" w14:textId="77777777" w:rsidR="00A37FB6" w:rsidRPr="00E70CD4" w:rsidRDefault="00A37FB6" w:rsidP="00A51EC3">
      <w:pPr>
        <w:tabs>
          <w:tab w:val="left" w:pos="426"/>
        </w:tabs>
        <w:spacing w:line="276" w:lineRule="auto"/>
        <w:jc w:val="both"/>
        <w:rPr>
          <w:rFonts w:ascii="Arial" w:eastAsia="Calibri" w:hAnsi="Arial" w:cs="Arial"/>
          <w:b/>
          <w:sz w:val="22"/>
        </w:rPr>
      </w:pPr>
    </w:p>
    <w:p w14:paraId="4E8BF739" w14:textId="022DCDDE" w:rsidR="00A37FB6" w:rsidRPr="00E70CD4" w:rsidRDefault="00A37FB6" w:rsidP="00A51EC3">
      <w:pPr>
        <w:tabs>
          <w:tab w:val="left" w:pos="426"/>
        </w:tabs>
        <w:spacing w:line="276" w:lineRule="auto"/>
        <w:jc w:val="both"/>
        <w:rPr>
          <w:rFonts w:ascii="Arial" w:eastAsia="Calibri" w:hAnsi="Arial" w:cs="Arial"/>
          <w:sz w:val="22"/>
        </w:rPr>
      </w:pPr>
      <w:r w:rsidRPr="00E70CD4">
        <w:rPr>
          <w:rFonts w:ascii="Arial" w:eastAsia="Calibri" w:hAnsi="Arial" w:cs="Arial"/>
          <w:sz w:val="22"/>
        </w:rPr>
        <w:t>Usted realiza las siguientes preguntas: i) ¿</w:t>
      </w:r>
      <w:r w:rsidR="00126FEF" w:rsidRPr="00E70CD4">
        <w:rPr>
          <w:rFonts w:ascii="Arial" w:eastAsia="Calibri" w:hAnsi="Arial" w:cs="Arial"/>
          <w:sz w:val="22"/>
        </w:rPr>
        <w:t>la experiencia de los socios que se registra en el RUP de una sociedad nueva debe ser proporcional al porcentaje de participación que tengan cada uno de ellos en dicha sociedad?;</w:t>
      </w:r>
      <w:r w:rsidR="00FD098C" w:rsidRPr="00E70CD4">
        <w:rPr>
          <w:rFonts w:ascii="Arial" w:eastAsia="Calibri" w:hAnsi="Arial" w:cs="Arial"/>
          <w:sz w:val="22"/>
        </w:rPr>
        <w:t xml:space="preserve"> y</w:t>
      </w:r>
      <w:r w:rsidR="00126FEF" w:rsidRPr="00E70CD4">
        <w:rPr>
          <w:rFonts w:ascii="Arial" w:eastAsia="Calibri" w:hAnsi="Arial" w:cs="Arial"/>
          <w:sz w:val="22"/>
        </w:rPr>
        <w:t xml:space="preserve"> ii) cómo debe evaluarse esa experiencia por las entidades estatales</w:t>
      </w:r>
      <w:r w:rsidR="00A67D3C" w:rsidRPr="00E70CD4">
        <w:rPr>
          <w:rFonts w:ascii="Arial" w:eastAsia="Calibri" w:hAnsi="Arial" w:cs="Arial"/>
          <w:sz w:val="22"/>
        </w:rPr>
        <w:t>,</w:t>
      </w:r>
      <w:r w:rsidR="00FD098C" w:rsidRPr="00E70CD4">
        <w:rPr>
          <w:rFonts w:ascii="Arial" w:eastAsia="Calibri" w:hAnsi="Arial" w:cs="Arial"/>
          <w:sz w:val="22"/>
        </w:rPr>
        <w:t xml:space="preserve"> es decir, si la entidad puede determinar cómo evalúa la experiencia de los proponentes</w:t>
      </w:r>
      <w:r w:rsidR="00126FEF" w:rsidRPr="00E70CD4">
        <w:rPr>
          <w:rFonts w:ascii="Arial" w:eastAsia="Calibri" w:hAnsi="Arial" w:cs="Arial"/>
          <w:sz w:val="22"/>
        </w:rPr>
        <w:t>?</w:t>
      </w:r>
    </w:p>
    <w:p w14:paraId="6A982790" w14:textId="77777777" w:rsidR="00A37FB6" w:rsidRPr="00E70CD4" w:rsidRDefault="00A37FB6" w:rsidP="00A51EC3">
      <w:pPr>
        <w:tabs>
          <w:tab w:val="left" w:pos="426"/>
        </w:tabs>
        <w:spacing w:line="276" w:lineRule="auto"/>
        <w:jc w:val="both"/>
        <w:rPr>
          <w:rFonts w:ascii="Arial" w:eastAsia="Calibri" w:hAnsi="Arial" w:cs="Arial"/>
          <w:sz w:val="22"/>
        </w:rPr>
      </w:pPr>
    </w:p>
    <w:p w14:paraId="1463554F" w14:textId="7F31FD3C" w:rsidR="009F016F" w:rsidRDefault="00A37FB6" w:rsidP="00A51EC3">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E70CD4">
        <w:rPr>
          <w:rFonts w:ascii="Arial" w:eastAsia="Calibri" w:hAnsi="Arial" w:cs="Arial"/>
          <w:b/>
          <w:sz w:val="22"/>
        </w:rPr>
        <w:t>Consideraciones</w:t>
      </w:r>
      <w:bookmarkEnd w:id="0"/>
      <w:bookmarkEnd w:id="1"/>
    </w:p>
    <w:p w14:paraId="3BCCDF82" w14:textId="77777777" w:rsidR="00E70CD4" w:rsidRDefault="00E70CD4" w:rsidP="00E70CD4">
      <w:pPr>
        <w:pStyle w:val="Prrafodelista"/>
        <w:tabs>
          <w:tab w:val="left" w:pos="426"/>
        </w:tabs>
        <w:spacing w:line="276" w:lineRule="auto"/>
        <w:ind w:left="284"/>
        <w:jc w:val="both"/>
        <w:rPr>
          <w:rFonts w:ascii="Arial" w:eastAsia="Calibri" w:hAnsi="Arial" w:cs="Arial"/>
          <w:b/>
          <w:sz w:val="22"/>
        </w:rPr>
      </w:pPr>
    </w:p>
    <w:p w14:paraId="28421AA1" w14:textId="77777777" w:rsidR="00A51EC3" w:rsidRDefault="00E70CD4" w:rsidP="00A51EC3">
      <w:pPr>
        <w:tabs>
          <w:tab w:val="left" w:pos="426"/>
        </w:tabs>
        <w:spacing w:before="120" w:after="120" w:line="276" w:lineRule="auto"/>
        <w:jc w:val="both"/>
        <w:rPr>
          <w:rFonts w:ascii="Arial" w:eastAsia="Calibri" w:hAnsi="Arial" w:cs="Arial"/>
          <w:bCs/>
          <w:sz w:val="22"/>
        </w:rPr>
      </w:pPr>
      <w:r w:rsidRPr="00E70CD4">
        <w:rPr>
          <w:rFonts w:ascii="Arial" w:eastAsia="Calibri" w:hAnsi="Arial" w:cs="Arial"/>
          <w:bCs/>
          <w:sz w:val="22"/>
        </w:rPr>
        <w:t xml:space="preserve">La Agencia Nacional de Contratación Pública ― Colombia Compra Eficiente, en los conceptos con radicado Nos. </w:t>
      </w:r>
      <w:r>
        <w:rPr>
          <w:rFonts w:ascii="Arial" w:eastAsia="Calibri" w:hAnsi="Arial" w:cs="Arial"/>
          <w:bCs/>
          <w:sz w:val="22"/>
        </w:rPr>
        <w:t>4201912000007152 del 3 de noviembre de 2019</w:t>
      </w:r>
      <w:r w:rsidRPr="00E70CD4">
        <w:rPr>
          <w:rFonts w:ascii="Arial" w:eastAsia="Calibri" w:hAnsi="Arial" w:cs="Arial"/>
          <w:bCs/>
          <w:sz w:val="22"/>
        </w:rPr>
        <w:t xml:space="preserve"> y </w:t>
      </w:r>
      <w:r>
        <w:rPr>
          <w:rFonts w:ascii="Arial" w:eastAsia="Calibri" w:hAnsi="Arial" w:cs="Arial"/>
          <w:bCs/>
          <w:sz w:val="22"/>
        </w:rPr>
        <w:t>4201913000006797 del 3 de octubre de 201</w:t>
      </w:r>
      <w:r w:rsidR="004F3C32">
        <w:rPr>
          <w:rFonts w:ascii="Arial" w:eastAsia="Calibri" w:hAnsi="Arial" w:cs="Arial"/>
          <w:bCs/>
          <w:sz w:val="22"/>
        </w:rPr>
        <w:t>9</w:t>
      </w:r>
      <w:r w:rsidRPr="00E70CD4">
        <w:rPr>
          <w:rFonts w:ascii="Arial" w:eastAsia="Calibri" w:hAnsi="Arial" w:cs="Arial"/>
          <w:bCs/>
          <w:sz w:val="22"/>
        </w:rPr>
        <w:t xml:space="preserve"> </w:t>
      </w:r>
      <w:r w:rsidR="004F3C32">
        <w:rPr>
          <w:rFonts w:ascii="Arial" w:eastAsia="Calibri" w:hAnsi="Arial" w:cs="Arial"/>
          <w:bCs/>
          <w:sz w:val="22"/>
        </w:rPr>
        <w:t xml:space="preserve">se pronunció </w:t>
      </w:r>
      <w:r>
        <w:rPr>
          <w:rFonts w:ascii="Arial" w:eastAsia="Calibri" w:hAnsi="Arial" w:cs="Arial"/>
          <w:bCs/>
          <w:sz w:val="22"/>
        </w:rPr>
        <w:t>el alcance del numeral 2.5. del artículo 2.2.1.1.1.5.2 del Decreto 1082 de 2015.</w:t>
      </w:r>
    </w:p>
    <w:p w14:paraId="71B0587A" w14:textId="54BF4509" w:rsidR="004F3C32" w:rsidRDefault="00A51EC3" w:rsidP="00A51EC3">
      <w:pPr>
        <w:tabs>
          <w:tab w:val="left" w:pos="426"/>
        </w:tabs>
        <w:spacing w:before="120" w:after="120" w:line="276" w:lineRule="auto"/>
        <w:jc w:val="both"/>
        <w:rPr>
          <w:rFonts w:ascii="Arial" w:eastAsia="Calibri" w:hAnsi="Arial" w:cs="Arial"/>
          <w:bCs/>
          <w:sz w:val="22"/>
        </w:rPr>
      </w:pPr>
      <w:r>
        <w:rPr>
          <w:rFonts w:ascii="Arial" w:eastAsia="Calibri" w:hAnsi="Arial" w:cs="Arial"/>
          <w:bCs/>
          <w:sz w:val="22"/>
        </w:rPr>
        <w:tab/>
      </w:r>
      <w:r>
        <w:rPr>
          <w:rFonts w:ascii="Arial" w:eastAsia="Calibri" w:hAnsi="Arial" w:cs="Arial"/>
          <w:bCs/>
          <w:sz w:val="22"/>
        </w:rPr>
        <w:tab/>
      </w:r>
      <w:r w:rsidR="00E70CD4" w:rsidRPr="00E70CD4">
        <w:rPr>
          <w:rFonts w:ascii="Arial" w:eastAsia="Calibri" w:hAnsi="Arial" w:cs="Arial"/>
          <w:bCs/>
          <w:sz w:val="22"/>
        </w:rPr>
        <w:t xml:space="preserve">Para desarrollar los problemas planteados </w:t>
      </w:r>
      <w:r w:rsidR="004F3C32">
        <w:rPr>
          <w:rFonts w:ascii="Arial" w:eastAsia="Calibri" w:hAnsi="Arial" w:cs="Arial"/>
          <w:bCs/>
          <w:sz w:val="22"/>
        </w:rPr>
        <w:t>se estudiará, en primer lugar, la acreditación de experiencia de sociedades nuevas. En segundo lugar, se expondrán algunas consideraciones de Colombia Compra Eficiente respecto de la experiencia. Finalmente, se resolverá el supuesto planteado por el peticionario.</w:t>
      </w:r>
    </w:p>
    <w:p w14:paraId="48C85B90" w14:textId="77777777" w:rsidR="00A51EC3" w:rsidRPr="00E70CD4" w:rsidRDefault="00A51EC3" w:rsidP="00A51EC3">
      <w:pPr>
        <w:tabs>
          <w:tab w:val="left" w:pos="426"/>
        </w:tabs>
        <w:spacing w:line="276" w:lineRule="auto"/>
        <w:jc w:val="both"/>
        <w:rPr>
          <w:rFonts w:ascii="Arial" w:eastAsia="Calibri" w:hAnsi="Arial" w:cs="Arial"/>
          <w:bCs/>
          <w:sz w:val="22"/>
        </w:rPr>
      </w:pPr>
    </w:p>
    <w:p w14:paraId="3984991C" w14:textId="2B91EF28" w:rsidR="00126FEF" w:rsidRDefault="00126FEF" w:rsidP="00A51EC3">
      <w:pPr>
        <w:spacing w:line="276" w:lineRule="auto"/>
        <w:jc w:val="both"/>
        <w:rPr>
          <w:rFonts w:ascii="Arial" w:hAnsi="Arial" w:cs="Arial"/>
          <w:b/>
          <w:sz w:val="22"/>
        </w:rPr>
      </w:pPr>
      <w:r w:rsidRPr="00E70CD4">
        <w:rPr>
          <w:rFonts w:ascii="Arial" w:hAnsi="Arial" w:cs="Arial"/>
          <w:b/>
          <w:sz w:val="22"/>
        </w:rPr>
        <w:t xml:space="preserve">2.1. Acreditación de experiencia de sociedades nuevas </w:t>
      </w:r>
    </w:p>
    <w:p w14:paraId="1890890E" w14:textId="77777777" w:rsidR="004F3C32" w:rsidRPr="00E70CD4" w:rsidRDefault="004F3C32" w:rsidP="00A51EC3">
      <w:pPr>
        <w:spacing w:line="276" w:lineRule="auto"/>
        <w:jc w:val="both"/>
        <w:rPr>
          <w:rFonts w:ascii="Arial" w:hAnsi="Arial" w:cs="Arial"/>
          <w:b/>
          <w:sz w:val="22"/>
        </w:rPr>
      </w:pPr>
    </w:p>
    <w:p w14:paraId="2EF2A8F4" w14:textId="50C0E0B8" w:rsidR="00126FEF" w:rsidRPr="00E70CD4" w:rsidRDefault="00126FEF" w:rsidP="00A51EC3">
      <w:pPr>
        <w:spacing w:line="276" w:lineRule="auto"/>
        <w:jc w:val="both"/>
        <w:rPr>
          <w:rFonts w:ascii="Arial" w:hAnsi="Arial" w:cs="Arial"/>
          <w:sz w:val="22"/>
        </w:rPr>
      </w:pPr>
      <w:r w:rsidRPr="00E70CD4">
        <w:rPr>
          <w:rFonts w:ascii="Arial" w:hAnsi="Arial" w:cs="Arial"/>
          <w:sz w:val="22"/>
        </w:rPr>
        <w:t>La Agencia Nacional de Contratación Públ</w:t>
      </w:r>
      <w:r w:rsidR="007478F8" w:rsidRPr="00E70CD4">
        <w:rPr>
          <w:rFonts w:ascii="Arial" w:hAnsi="Arial" w:cs="Arial"/>
          <w:sz w:val="22"/>
        </w:rPr>
        <w:t>ica – Colombia Compra Eficiente</w:t>
      </w:r>
      <w:r w:rsidRPr="00E70CD4">
        <w:rPr>
          <w:rFonts w:ascii="Arial" w:hAnsi="Arial" w:cs="Arial"/>
          <w:sz w:val="22"/>
        </w:rPr>
        <w:t xml:space="preserve"> se pronunció en el concepto identificado con radicado No. 4201912000003636 del 20 de agosto de 2019, reiterado en l</w:t>
      </w:r>
      <w:r w:rsidR="00A67D3C" w:rsidRPr="00E70CD4">
        <w:rPr>
          <w:rFonts w:ascii="Arial" w:hAnsi="Arial" w:cs="Arial"/>
          <w:sz w:val="22"/>
        </w:rPr>
        <w:t>os</w:t>
      </w:r>
      <w:r w:rsidRPr="00E70CD4">
        <w:rPr>
          <w:rFonts w:ascii="Arial" w:hAnsi="Arial" w:cs="Arial"/>
          <w:sz w:val="22"/>
        </w:rPr>
        <w:t xml:space="preserve"> concepto</w:t>
      </w:r>
      <w:r w:rsidR="00A67D3C" w:rsidRPr="00E70CD4">
        <w:rPr>
          <w:rFonts w:ascii="Arial" w:hAnsi="Arial" w:cs="Arial"/>
          <w:sz w:val="22"/>
        </w:rPr>
        <w:t>s</w:t>
      </w:r>
      <w:r w:rsidRPr="00E70CD4">
        <w:rPr>
          <w:rFonts w:ascii="Arial" w:hAnsi="Arial" w:cs="Arial"/>
          <w:sz w:val="22"/>
        </w:rPr>
        <w:t xml:space="preserve"> con radicado</w:t>
      </w:r>
      <w:r w:rsidR="00A67D3C" w:rsidRPr="00E70CD4">
        <w:rPr>
          <w:rFonts w:ascii="Arial" w:hAnsi="Arial" w:cs="Arial"/>
          <w:sz w:val="22"/>
        </w:rPr>
        <w:t>s</w:t>
      </w:r>
      <w:r w:rsidRPr="00E70CD4">
        <w:rPr>
          <w:rFonts w:ascii="Arial" w:hAnsi="Arial" w:cs="Arial"/>
          <w:sz w:val="22"/>
        </w:rPr>
        <w:t xml:space="preserve"> No</w:t>
      </w:r>
      <w:r w:rsidR="00A67D3C" w:rsidRPr="00E70CD4">
        <w:rPr>
          <w:rFonts w:ascii="Arial" w:hAnsi="Arial" w:cs="Arial"/>
          <w:sz w:val="22"/>
        </w:rPr>
        <w:t>s</w:t>
      </w:r>
      <w:r w:rsidRPr="00E70CD4">
        <w:rPr>
          <w:rFonts w:ascii="Arial" w:hAnsi="Arial" w:cs="Arial"/>
          <w:sz w:val="22"/>
        </w:rPr>
        <w:t>. 4201912000004743 del 28 de agosto de 2019</w:t>
      </w:r>
      <w:r w:rsidR="00A67D3C" w:rsidRPr="00E70CD4">
        <w:rPr>
          <w:rFonts w:ascii="Arial" w:hAnsi="Arial" w:cs="Arial"/>
          <w:sz w:val="22"/>
        </w:rPr>
        <w:t xml:space="preserve">, </w:t>
      </w:r>
      <w:r w:rsidRPr="00E70CD4">
        <w:rPr>
          <w:rFonts w:ascii="Arial" w:hAnsi="Arial" w:cs="Arial"/>
          <w:sz w:val="22"/>
        </w:rPr>
        <w:t>4201913000006797 del 19 de noviembre de 2019</w:t>
      </w:r>
      <w:r w:rsidR="00A67D3C" w:rsidRPr="00E70CD4">
        <w:rPr>
          <w:rFonts w:ascii="Arial" w:hAnsi="Arial" w:cs="Arial"/>
          <w:sz w:val="22"/>
        </w:rPr>
        <w:t xml:space="preserve">, 4201913000006173, </w:t>
      </w:r>
      <w:r w:rsidR="00A67D3C" w:rsidRPr="00E70CD4">
        <w:rPr>
          <w:rFonts w:ascii="Arial" w:hAnsi="Arial" w:cs="Arial"/>
          <w:sz w:val="22"/>
        </w:rPr>
        <w:lastRenderedPageBreak/>
        <w:t>42019130000071</w:t>
      </w:r>
      <w:r w:rsidR="00E70CD4">
        <w:rPr>
          <w:rFonts w:ascii="Arial" w:hAnsi="Arial" w:cs="Arial"/>
          <w:sz w:val="22"/>
        </w:rPr>
        <w:t>32</w:t>
      </w:r>
      <w:r w:rsidR="00A67D3C" w:rsidRPr="00E70CD4">
        <w:rPr>
          <w:rFonts w:ascii="Arial" w:hAnsi="Arial" w:cs="Arial"/>
          <w:sz w:val="22"/>
        </w:rPr>
        <w:t xml:space="preserve"> del 17 de octubre de 2019, 42019120000071</w:t>
      </w:r>
      <w:r w:rsidR="00E70CD4">
        <w:rPr>
          <w:rFonts w:ascii="Arial" w:hAnsi="Arial" w:cs="Arial"/>
          <w:sz w:val="22"/>
        </w:rPr>
        <w:t>8</w:t>
      </w:r>
      <w:r w:rsidR="00A67D3C" w:rsidRPr="00E70CD4">
        <w:rPr>
          <w:rFonts w:ascii="Arial" w:hAnsi="Arial" w:cs="Arial"/>
          <w:sz w:val="22"/>
        </w:rPr>
        <w:t>2 del 18 de octubre de 2019</w:t>
      </w:r>
      <w:r w:rsidRPr="00E70CD4">
        <w:rPr>
          <w:rFonts w:ascii="Arial" w:hAnsi="Arial" w:cs="Arial"/>
          <w:sz w:val="22"/>
        </w:rPr>
        <w:t xml:space="preserve">, sobre la acreditación de </w:t>
      </w:r>
      <w:r w:rsidR="00405D38" w:rsidRPr="00E70CD4">
        <w:rPr>
          <w:rFonts w:ascii="Arial" w:hAnsi="Arial" w:cs="Arial"/>
          <w:sz w:val="22"/>
        </w:rPr>
        <w:t>la experiencia de las socieda</w:t>
      </w:r>
      <w:r w:rsidR="004A02BA" w:rsidRPr="00E70CD4">
        <w:rPr>
          <w:rFonts w:ascii="Arial" w:hAnsi="Arial" w:cs="Arial"/>
          <w:sz w:val="22"/>
        </w:rPr>
        <w:t>d</w:t>
      </w:r>
      <w:r w:rsidRPr="00E70CD4">
        <w:rPr>
          <w:rFonts w:ascii="Arial" w:hAnsi="Arial" w:cs="Arial"/>
          <w:sz w:val="22"/>
        </w:rPr>
        <w:t>es cuya con</w:t>
      </w:r>
      <w:r w:rsidR="009956B9" w:rsidRPr="00E70CD4">
        <w:rPr>
          <w:rFonts w:ascii="Arial" w:hAnsi="Arial" w:cs="Arial"/>
          <w:sz w:val="22"/>
        </w:rPr>
        <w:t>stitución es inferior a 3</w:t>
      </w:r>
      <w:r w:rsidRPr="00E70CD4">
        <w:rPr>
          <w:rFonts w:ascii="Arial" w:hAnsi="Arial" w:cs="Arial"/>
          <w:sz w:val="22"/>
        </w:rPr>
        <w:t xml:space="preserve"> años. La tesis propues</w:t>
      </w:r>
      <w:r w:rsidR="004A02BA" w:rsidRPr="00E70CD4">
        <w:rPr>
          <w:rFonts w:ascii="Arial" w:hAnsi="Arial" w:cs="Arial"/>
          <w:sz w:val="22"/>
        </w:rPr>
        <w:t xml:space="preserve">ta en estos conceptos </w:t>
      </w:r>
      <w:r w:rsidRPr="00E70CD4">
        <w:rPr>
          <w:rFonts w:ascii="Arial" w:hAnsi="Arial" w:cs="Arial"/>
          <w:sz w:val="22"/>
        </w:rPr>
        <w:t xml:space="preserve">se expone a continuación. </w:t>
      </w:r>
    </w:p>
    <w:p w14:paraId="70624678" w14:textId="77777777" w:rsidR="00A51EC3" w:rsidRDefault="00126FEF" w:rsidP="004A02BA">
      <w:pPr>
        <w:spacing w:before="120" w:after="120" w:line="276" w:lineRule="auto"/>
        <w:ind w:firstLine="708"/>
        <w:jc w:val="both"/>
        <w:rPr>
          <w:rFonts w:ascii="Arial" w:hAnsi="Arial" w:cs="Arial"/>
          <w:sz w:val="22"/>
        </w:rPr>
      </w:pPr>
      <w:r w:rsidRPr="00E70CD4">
        <w:rPr>
          <w:rFonts w:ascii="Arial" w:hAnsi="Arial" w:cs="Arial"/>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w:t>
      </w:r>
    </w:p>
    <w:p w14:paraId="2E48740E" w14:textId="3E58D14D" w:rsidR="00126FEF" w:rsidRPr="00E70CD4" w:rsidRDefault="00126FEF" w:rsidP="009B3787">
      <w:pPr>
        <w:spacing w:before="120" w:after="120" w:line="276" w:lineRule="auto"/>
        <w:jc w:val="both"/>
        <w:rPr>
          <w:rFonts w:ascii="Arial" w:hAnsi="Arial" w:cs="Arial"/>
          <w:sz w:val="22"/>
        </w:rPr>
      </w:pPr>
      <w:r w:rsidRPr="00E70CD4">
        <w:rPr>
          <w:rFonts w:ascii="Arial" w:hAnsi="Arial" w:cs="Arial"/>
          <w:sz w:val="22"/>
        </w:rPr>
        <w:t xml:space="preserve">participación en el proceso de selección y no otorgarán puntaje; con excepción del proceso de selección de consultores, donde es posible otorgar puntaje al criterio de experiencia. </w:t>
      </w:r>
    </w:p>
    <w:p w14:paraId="2C9907A4" w14:textId="77777777" w:rsidR="00126FEF" w:rsidRPr="00E70CD4" w:rsidRDefault="00126FEF" w:rsidP="004A02BA">
      <w:pPr>
        <w:spacing w:before="120" w:after="120" w:line="276" w:lineRule="auto"/>
        <w:ind w:firstLine="708"/>
        <w:jc w:val="both"/>
        <w:rPr>
          <w:rFonts w:ascii="Arial" w:hAnsi="Arial" w:cs="Arial"/>
          <w:sz w:val="22"/>
        </w:rPr>
      </w:pPr>
      <w:r w:rsidRPr="00E70CD4">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5C6EE28" w14:textId="39F7F3D1" w:rsidR="00126FEF" w:rsidRPr="00E70CD4" w:rsidRDefault="00126FEF" w:rsidP="00A51EC3">
      <w:pPr>
        <w:spacing w:before="120" w:after="120" w:line="276" w:lineRule="auto"/>
        <w:ind w:firstLine="708"/>
        <w:jc w:val="both"/>
        <w:rPr>
          <w:rFonts w:ascii="Arial" w:hAnsi="Arial" w:cs="Arial"/>
          <w:sz w:val="22"/>
        </w:rPr>
      </w:pPr>
      <w:r w:rsidRPr="00E70CD4">
        <w:rPr>
          <w:rFonts w:ascii="Arial" w:hAnsi="Arial" w:cs="Arial"/>
          <w:sz w:val="22"/>
        </w:rPr>
        <w:t xml:space="preserve">El Decreto 1082 de 2015, en el artículo 2.2.1.1.1.5.2, numeral 2.1, establece que </w:t>
      </w:r>
      <w:r w:rsidR="007478F8" w:rsidRPr="00E70CD4">
        <w:rPr>
          <w:rFonts w:ascii="Arial" w:hAnsi="Arial" w:cs="Arial"/>
          <w:sz w:val="22"/>
        </w:rPr>
        <w:t xml:space="preserve">si una persona natural </w:t>
      </w:r>
      <w:r w:rsidR="00F52337" w:rsidRPr="00E70CD4">
        <w:rPr>
          <w:rFonts w:ascii="Arial" w:hAnsi="Arial" w:cs="Arial"/>
          <w:sz w:val="22"/>
        </w:rPr>
        <w:t xml:space="preserve">se inscribe en el </w:t>
      </w:r>
      <w:r w:rsidR="009B3787">
        <w:rPr>
          <w:rFonts w:ascii="Arial" w:hAnsi="Arial" w:cs="Arial"/>
          <w:sz w:val="22"/>
        </w:rPr>
        <w:t xml:space="preserve">RUP </w:t>
      </w:r>
      <w:r w:rsidRPr="00E70CD4">
        <w:rPr>
          <w:rFonts w:ascii="Arial" w:hAnsi="Arial" w:cs="Arial"/>
          <w:sz w:val="22"/>
        </w:rPr>
        <w:t>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009B3787" w:rsidRPr="00E70CD4">
        <w:rPr>
          <w:rStyle w:val="Refdenotaalpie"/>
          <w:rFonts w:ascii="Arial" w:hAnsi="Arial" w:cs="Arial"/>
          <w:sz w:val="22"/>
        </w:rPr>
        <w:footnoteReference w:id="2"/>
      </w:r>
      <w:r w:rsidRPr="00E70CD4">
        <w:rPr>
          <w:rFonts w:ascii="Arial" w:hAnsi="Arial" w:cs="Arial"/>
          <w:sz w:val="22"/>
        </w:rPr>
        <w:t xml:space="preserve">.  </w:t>
      </w:r>
    </w:p>
    <w:p w14:paraId="59FFC067" w14:textId="0F0B539B" w:rsidR="00284288" w:rsidRDefault="00126FEF" w:rsidP="009B3787">
      <w:pPr>
        <w:spacing w:before="120" w:after="120" w:line="276" w:lineRule="auto"/>
        <w:ind w:firstLine="708"/>
        <w:jc w:val="both"/>
        <w:rPr>
          <w:rFonts w:ascii="Arial" w:hAnsi="Arial" w:cs="Arial"/>
          <w:sz w:val="22"/>
        </w:rPr>
      </w:pPr>
      <w:r w:rsidRPr="00E70CD4">
        <w:rPr>
          <w:rFonts w:ascii="Arial" w:hAnsi="Arial" w:cs="Arial"/>
          <w:sz w:val="22"/>
        </w:rPr>
        <w:t>El numeral 2.5</w:t>
      </w:r>
      <w:r w:rsidR="007478F8" w:rsidRPr="00E70CD4">
        <w:rPr>
          <w:rStyle w:val="Refdenotaalpie"/>
          <w:rFonts w:ascii="Arial" w:hAnsi="Arial" w:cs="Arial"/>
          <w:sz w:val="22"/>
        </w:rPr>
        <w:footnoteReference w:id="3"/>
      </w:r>
      <w:r w:rsidRPr="00E70CD4">
        <w:rPr>
          <w:rFonts w:ascii="Arial" w:hAnsi="Arial" w:cs="Arial"/>
          <w:sz w:val="22"/>
        </w:rPr>
        <w:t xml:space="preserve"> del mismo artículo señala que la persona jurídica se registrará aportando los certificados de la experiencia en la provisión de los bienes, obras y servicios </w:t>
      </w:r>
      <w:r w:rsidRPr="00E70CD4">
        <w:rPr>
          <w:rFonts w:ascii="Arial" w:hAnsi="Arial" w:cs="Arial"/>
          <w:sz w:val="22"/>
        </w:rPr>
        <w:lastRenderedPageBreak/>
        <w:t>que ofrecerá a las Entidades Estatales, los cuales deben</w:t>
      </w:r>
      <w:r w:rsidR="009B3787">
        <w:rPr>
          <w:rFonts w:ascii="Arial" w:hAnsi="Arial" w:cs="Arial"/>
          <w:sz w:val="22"/>
        </w:rPr>
        <w:t xml:space="preserve"> ser expedidos por terceros que </w:t>
      </w:r>
      <w:r w:rsidRPr="00E70CD4">
        <w:rPr>
          <w:rFonts w:ascii="Arial" w:hAnsi="Arial" w:cs="Arial"/>
          <w:sz w:val="22"/>
        </w:rPr>
        <w:t xml:space="preserve">hayan recibido tales bienes, obras o servicios y deben corresponder a contratos ejecutados o copias de los contratos cuando el interesado no puede obtener tal certificado. </w:t>
      </w:r>
    </w:p>
    <w:p w14:paraId="3BAB2443" w14:textId="6B8813AE" w:rsidR="00126FEF" w:rsidRPr="00E70CD4" w:rsidRDefault="00126FEF" w:rsidP="00A51EC3">
      <w:pPr>
        <w:spacing w:before="120" w:after="120" w:line="276" w:lineRule="auto"/>
        <w:ind w:firstLine="708"/>
        <w:jc w:val="both"/>
        <w:rPr>
          <w:rFonts w:ascii="Arial" w:hAnsi="Arial" w:cs="Arial"/>
          <w:sz w:val="22"/>
        </w:rPr>
      </w:pPr>
      <w:r w:rsidRPr="00E70CD4">
        <w:rPr>
          <w:rFonts w:ascii="Arial" w:hAnsi="Arial" w:cs="Arial"/>
          <w:sz w:val="22"/>
        </w:rPr>
        <w:t>El interesado debe indicar en cada certificado</w:t>
      </w:r>
      <w:r w:rsidR="00F52337" w:rsidRPr="00E70CD4">
        <w:rPr>
          <w:rFonts w:ascii="Arial" w:hAnsi="Arial" w:cs="Arial"/>
          <w:sz w:val="22"/>
        </w:rPr>
        <w:t>,</w:t>
      </w:r>
      <w:r w:rsidRPr="00E70CD4">
        <w:rPr>
          <w:rFonts w:ascii="Arial" w:hAnsi="Arial" w:cs="Arial"/>
          <w:sz w:val="22"/>
        </w:rPr>
        <w:t xml:space="preserve"> o en cada copia de los contratos, los bienes, obras y servicios a los cuales corresponde la experiencia que pretende acreditar,</w:t>
      </w:r>
      <w:r w:rsidR="00F52337" w:rsidRPr="00E70CD4">
        <w:rPr>
          <w:rFonts w:ascii="Arial" w:hAnsi="Arial" w:cs="Arial"/>
          <w:sz w:val="22"/>
        </w:rPr>
        <w:t xml:space="preserve"> identificándolos con el Clasif</w:t>
      </w:r>
      <w:r w:rsidRPr="00E70CD4">
        <w:rPr>
          <w:rFonts w:ascii="Arial" w:hAnsi="Arial" w:cs="Arial"/>
          <w:sz w:val="22"/>
        </w:rPr>
        <w:t>icador de Bienes y Servicios, en el tercer nivel. Si la constitución de</w:t>
      </w:r>
      <w:r w:rsidR="009956B9" w:rsidRPr="00E70CD4">
        <w:rPr>
          <w:rFonts w:ascii="Arial" w:hAnsi="Arial" w:cs="Arial"/>
          <w:sz w:val="22"/>
        </w:rPr>
        <w:t>l interesado es menor a 3</w:t>
      </w:r>
      <w:r w:rsidRPr="00E70CD4">
        <w:rPr>
          <w:rFonts w:ascii="Arial" w:hAnsi="Arial" w:cs="Arial"/>
          <w:sz w:val="22"/>
        </w:rPr>
        <w:t xml:space="preserve"> años, puede acreditar la experiencia de sus accionistas, socios o constituyentes.</w:t>
      </w:r>
    </w:p>
    <w:p w14:paraId="2F9AECDE" w14:textId="29D73B59" w:rsidR="00126FEF" w:rsidRPr="00E70CD4" w:rsidRDefault="00126FEF" w:rsidP="004A02BA">
      <w:pPr>
        <w:spacing w:before="120" w:after="120" w:line="276" w:lineRule="auto"/>
        <w:ind w:firstLine="708"/>
        <w:jc w:val="both"/>
        <w:rPr>
          <w:rFonts w:ascii="Arial" w:hAnsi="Arial" w:cs="Arial"/>
          <w:sz w:val="22"/>
        </w:rPr>
      </w:pPr>
      <w:r w:rsidRPr="00E70CD4">
        <w:rPr>
          <w:rFonts w:ascii="Arial" w:hAnsi="Arial" w:cs="Arial"/>
          <w:sz w:val="22"/>
        </w:rPr>
        <w:t xml:space="preserve">La parte final del numeral 2.5 del artículo citado incluye una medida diferenciada para las personas jurídicas cuya constitución sea menor a 3 años al momento del registro. Esta </w:t>
      </w:r>
      <w:r w:rsidR="00A67D3C" w:rsidRPr="00E70CD4">
        <w:rPr>
          <w:rFonts w:ascii="Arial" w:hAnsi="Arial" w:cs="Arial"/>
          <w:sz w:val="22"/>
        </w:rPr>
        <w:t>prerrogativa</w:t>
      </w:r>
      <w:r w:rsidRPr="00E70CD4">
        <w:rPr>
          <w:rFonts w:ascii="Arial" w:hAnsi="Arial" w:cs="Arial"/>
          <w:sz w:val="22"/>
        </w:rPr>
        <w:t>, que puede ser entendida como de fomento a la participación de pequeños oferentes en la contratación estatal, permite que las sociedades relativamente nue</w:t>
      </w:r>
      <w:r w:rsidR="00F52337" w:rsidRPr="00E70CD4">
        <w:rPr>
          <w:rFonts w:ascii="Arial" w:hAnsi="Arial" w:cs="Arial"/>
          <w:sz w:val="22"/>
        </w:rPr>
        <w:t xml:space="preserve">vas </w:t>
      </w:r>
      <w:r w:rsidR="00F52337" w:rsidRPr="00E70CD4">
        <w:rPr>
          <w:rFonts w:ascii="Arial" w:eastAsia="Calibri" w:hAnsi="Arial" w:cs="Arial"/>
          <w:sz w:val="22"/>
        </w:rPr>
        <w:t>─</w:t>
      </w:r>
      <w:r w:rsidRPr="00E70CD4">
        <w:rPr>
          <w:rFonts w:ascii="Arial" w:hAnsi="Arial" w:cs="Arial"/>
          <w:sz w:val="22"/>
        </w:rPr>
        <w:t xml:space="preserve">con </w:t>
      </w:r>
      <w:r w:rsidR="00F52337" w:rsidRPr="00E70CD4">
        <w:rPr>
          <w:rFonts w:ascii="Arial" w:hAnsi="Arial" w:cs="Arial"/>
          <w:sz w:val="22"/>
        </w:rPr>
        <w:t>menos de 3 años de constitución</w:t>
      </w:r>
      <w:r w:rsidR="00F52337" w:rsidRPr="00E70CD4">
        <w:rPr>
          <w:rFonts w:ascii="Arial" w:eastAsia="Calibri" w:hAnsi="Arial" w:cs="Arial"/>
          <w:sz w:val="22"/>
        </w:rPr>
        <w:t>─</w:t>
      </w:r>
      <w:r w:rsidRPr="00E70CD4">
        <w:rPr>
          <w:rFonts w:ascii="Arial" w:hAnsi="Arial" w:cs="Arial"/>
          <w:sz w:val="22"/>
        </w:rPr>
        <w:t xml:space="preserve"> puedan acreditar como experiencia en el RUP la de sus accionistas, socios o constituyentes. </w:t>
      </w:r>
    </w:p>
    <w:p w14:paraId="657DC1E9" w14:textId="77777777" w:rsidR="00126FEF" w:rsidRPr="00E70CD4" w:rsidRDefault="00126FEF" w:rsidP="004A02BA">
      <w:pPr>
        <w:spacing w:before="120" w:after="120" w:line="276" w:lineRule="auto"/>
        <w:ind w:firstLine="708"/>
        <w:jc w:val="both"/>
        <w:rPr>
          <w:rFonts w:ascii="Arial" w:hAnsi="Arial" w:cs="Arial"/>
          <w:sz w:val="22"/>
        </w:rPr>
      </w:pPr>
      <w:r w:rsidRPr="00E70CD4">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64233DF" w14:textId="41A6E7BE" w:rsidR="00BD6A7D" w:rsidRPr="00E70CD4" w:rsidRDefault="00126FEF" w:rsidP="00A51EC3">
      <w:pPr>
        <w:spacing w:before="120" w:after="120" w:line="276" w:lineRule="auto"/>
        <w:ind w:firstLine="708"/>
        <w:jc w:val="both"/>
        <w:rPr>
          <w:rFonts w:ascii="Arial" w:hAnsi="Arial" w:cs="Arial"/>
          <w:sz w:val="22"/>
        </w:rPr>
      </w:pPr>
      <w:r w:rsidRPr="00E70CD4">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w:t>
      </w:r>
      <w:r w:rsidR="009B3787">
        <w:rPr>
          <w:rFonts w:ascii="Arial" w:hAnsi="Arial" w:cs="Arial"/>
          <w:sz w:val="22"/>
        </w:rPr>
        <w:t>d de la que es parte, para que e</w:t>
      </w:r>
      <w:r w:rsidRPr="00E70CD4">
        <w:rPr>
          <w:rFonts w:ascii="Arial" w:hAnsi="Arial" w:cs="Arial"/>
          <w:sz w:val="22"/>
        </w:rPr>
        <w:t>sta, como persona jurídica independiente, pueda cumplir con los requisitos habilitantes o puntuables que establezcan las entidades estatales en sus procesos de contratación, y de esta forma promover el desarrollo de la empresa y la pluralidad de oferen</w:t>
      </w:r>
      <w:r w:rsidR="00BD6A7D" w:rsidRPr="00E70CD4">
        <w:rPr>
          <w:rFonts w:ascii="Arial" w:hAnsi="Arial" w:cs="Arial"/>
          <w:sz w:val="22"/>
        </w:rPr>
        <w:t>tes en la contratación pública.</w:t>
      </w:r>
    </w:p>
    <w:p w14:paraId="19FEB5E2" w14:textId="7C08D879" w:rsidR="00126FEF" w:rsidRPr="00E70CD4" w:rsidRDefault="009956B9" w:rsidP="009956B9">
      <w:pPr>
        <w:spacing w:before="120" w:after="120" w:line="276" w:lineRule="auto"/>
        <w:ind w:firstLine="708"/>
        <w:jc w:val="both"/>
        <w:rPr>
          <w:rFonts w:ascii="Arial" w:hAnsi="Arial" w:cs="Arial"/>
          <w:sz w:val="22"/>
        </w:rPr>
      </w:pPr>
      <w:r w:rsidRPr="00E70CD4">
        <w:rPr>
          <w:rFonts w:ascii="Arial" w:hAnsi="Arial" w:cs="Arial"/>
          <w:sz w:val="22"/>
        </w:rPr>
        <w:t>E</w:t>
      </w:r>
      <w:r w:rsidR="00126FEF" w:rsidRPr="00E70CD4">
        <w:rPr>
          <w:rFonts w:ascii="Arial" w:hAnsi="Arial" w:cs="Arial"/>
          <w:sz w:val="22"/>
        </w:rPr>
        <w:t xml:space="preserv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5B946588" w14:textId="28706B12" w:rsidR="00126FEF" w:rsidRPr="00E70CD4" w:rsidRDefault="00126FEF" w:rsidP="00884B83">
      <w:pPr>
        <w:spacing w:before="120" w:after="120" w:line="276" w:lineRule="auto"/>
        <w:ind w:firstLine="708"/>
        <w:jc w:val="both"/>
        <w:rPr>
          <w:rFonts w:ascii="Arial" w:hAnsi="Arial" w:cs="Arial"/>
          <w:sz w:val="22"/>
        </w:rPr>
      </w:pPr>
      <w:r w:rsidRPr="00E70CD4">
        <w:rPr>
          <w:rFonts w:ascii="Arial" w:hAnsi="Arial" w:cs="Arial"/>
          <w:sz w:val="22"/>
        </w:rPr>
        <w:lastRenderedPageBreak/>
        <w:t>Estos interrogantes han sido planteados a la Subdirección d</w:t>
      </w:r>
      <w:r w:rsidR="009956B9" w:rsidRPr="00E70CD4">
        <w:rPr>
          <w:rFonts w:ascii="Arial" w:hAnsi="Arial" w:cs="Arial"/>
          <w:sz w:val="22"/>
        </w:rPr>
        <w:t xml:space="preserve">e Gestión Contractual, y se ha </w:t>
      </w:r>
      <w:r w:rsidRPr="00E70CD4">
        <w:rPr>
          <w:rFonts w:ascii="Arial" w:hAnsi="Arial" w:cs="Arial"/>
          <w:sz w:val="22"/>
        </w:rPr>
        <w:t xml:space="preserve">dado respuestas en uno y otro sentido. Así, en </w:t>
      </w:r>
      <w:r w:rsidR="009956B9" w:rsidRPr="00E70CD4">
        <w:rPr>
          <w:rFonts w:ascii="Arial" w:hAnsi="Arial" w:cs="Arial"/>
          <w:sz w:val="22"/>
        </w:rPr>
        <w:t xml:space="preserve">el </w:t>
      </w:r>
      <w:r w:rsidRPr="00E70CD4">
        <w:rPr>
          <w:rFonts w:ascii="Arial" w:hAnsi="Arial" w:cs="Arial"/>
          <w:sz w:val="22"/>
        </w:rPr>
        <w:t>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w:t>
      </w:r>
      <w:r w:rsidR="00405D38" w:rsidRPr="00E70CD4">
        <w:rPr>
          <w:rFonts w:ascii="Arial" w:hAnsi="Arial" w:cs="Arial"/>
          <w:sz w:val="22"/>
        </w:rPr>
        <w:t xml:space="preserve">. </w:t>
      </w:r>
      <w:r w:rsidRPr="00E70CD4">
        <w:rPr>
          <w:rFonts w:ascii="Arial" w:hAnsi="Arial" w:cs="Arial"/>
          <w:sz w:val="22"/>
        </w:rPr>
        <w:t xml:space="preserve"> </w:t>
      </w:r>
    </w:p>
    <w:p w14:paraId="670808B7" w14:textId="0EC19793" w:rsidR="00126FEF" w:rsidRPr="00E70CD4" w:rsidRDefault="00126FEF" w:rsidP="009B3787">
      <w:pPr>
        <w:spacing w:before="120" w:after="120" w:line="276" w:lineRule="auto"/>
        <w:ind w:firstLine="708"/>
        <w:jc w:val="both"/>
        <w:rPr>
          <w:rFonts w:ascii="Arial" w:hAnsi="Arial" w:cs="Arial"/>
          <w:sz w:val="22"/>
        </w:rPr>
      </w:pPr>
      <w:r w:rsidRPr="00E70CD4">
        <w:rPr>
          <w:rFonts w:ascii="Arial" w:hAnsi="Arial" w:cs="Arial"/>
          <w:sz w:val="22"/>
        </w:rPr>
        <w:t>Teniendo en cuenta lo anterior, aunque la persona jurídica tenga más de tres años de constituida y haya registrado inicialmente la exper</w:t>
      </w:r>
      <w:r w:rsidR="009956B9" w:rsidRPr="00E70CD4">
        <w:rPr>
          <w:rFonts w:ascii="Arial" w:hAnsi="Arial" w:cs="Arial"/>
          <w:sz w:val="22"/>
        </w:rPr>
        <w:t xml:space="preserve">iencia de sus socios en el RUP </w:t>
      </w:r>
      <w:r w:rsidR="009956B9" w:rsidRPr="00E70CD4">
        <w:rPr>
          <w:rFonts w:ascii="Arial" w:eastAsia="Calibri" w:hAnsi="Arial" w:cs="Arial"/>
          <w:sz w:val="22"/>
        </w:rPr>
        <w:t>―</w:t>
      </w:r>
      <w:r w:rsidRPr="00E70CD4">
        <w:rPr>
          <w:rFonts w:ascii="Arial" w:hAnsi="Arial" w:cs="Arial"/>
          <w:sz w:val="22"/>
        </w:rPr>
        <w:t>pues su consti</w:t>
      </w:r>
      <w:r w:rsidR="009956B9" w:rsidRPr="00E70CD4">
        <w:rPr>
          <w:rFonts w:ascii="Arial" w:hAnsi="Arial" w:cs="Arial"/>
          <w:sz w:val="22"/>
        </w:rPr>
        <w:t>tución era inferior a tres años</w:t>
      </w:r>
      <w:r w:rsidR="009956B9" w:rsidRPr="00E70CD4">
        <w:rPr>
          <w:rFonts w:ascii="Arial" w:eastAsia="Calibri" w:hAnsi="Arial" w:cs="Arial"/>
          <w:sz w:val="22"/>
        </w:rPr>
        <w:t>―</w:t>
      </w:r>
      <w:r w:rsidRPr="00E70CD4">
        <w:rPr>
          <w:rFonts w:ascii="Arial" w:hAnsi="Arial" w:cs="Arial"/>
          <w:sz w:val="22"/>
        </w:rPr>
        <w:t xml:space="preserve"> </w:t>
      </w:r>
      <w:r w:rsidR="009B3787">
        <w:rPr>
          <w:rFonts w:ascii="Arial" w:hAnsi="Arial" w:cs="Arial"/>
          <w:sz w:val="22"/>
        </w:rPr>
        <w:t>y e</w:t>
      </w:r>
      <w:r w:rsidRPr="00E70CD4">
        <w:rPr>
          <w:rFonts w:ascii="Arial" w:hAnsi="Arial" w:cs="Arial"/>
          <w:sz w:val="22"/>
        </w:rPr>
        <w:t xml:space="preserv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A434D6A" w14:textId="10C6BF80" w:rsidR="00126FEF" w:rsidRPr="00E70CD4" w:rsidRDefault="00126FEF" w:rsidP="004A02BA">
      <w:pPr>
        <w:spacing w:before="120" w:after="120" w:line="276" w:lineRule="auto"/>
        <w:ind w:firstLine="708"/>
        <w:jc w:val="both"/>
        <w:rPr>
          <w:rFonts w:ascii="Arial" w:hAnsi="Arial" w:cs="Arial"/>
          <w:sz w:val="22"/>
        </w:rPr>
      </w:pPr>
      <w:r w:rsidRPr="00E70CD4">
        <w:rPr>
          <w:rFonts w:ascii="Arial" w:hAnsi="Arial" w:cs="Arial"/>
          <w:sz w:val="22"/>
        </w:rPr>
        <w:t>Posición contraria se adoptó en un concepto</w:t>
      </w:r>
      <w:r w:rsidR="000949CE" w:rsidRPr="00E70CD4">
        <w:rPr>
          <w:rFonts w:ascii="Arial" w:hAnsi="Arial" w:cs="Arial"/>
          <w:sz w:val="22"/>
        </w:rPr>
        <w:t xml:space="preserve"> identificado con radicado No. </w:t>
      </w:r>
      <w:r w:rsidR="004E0A9F" w:rsidRPr="00E70CD4">
        <w:rPr>
          <w:rFonts w:ascii="Arial" w:hAnsi="Arial" w:cs="Arial"/>
          <w:sz w:val="22"/>
        </w:rPr>
        <w:t>4201814000001418,</w:t>
      </w:r>
      <w:r w:rsidR="000949CE" w:rsidRPr="00E70CD4">
        <w:rPr>
          <w:rFonts w:ascii="Arial" w:hAnsi="Arial" w:cs="Arial"/>
          <w:sz w:val="22"/>
        </w:rPr>
        <w:t xml:space="preserve"> </w:t>
      </w:r>
      <w:r w:rsidR="009956B9" w:rsidRPr="00E70CD4">
        <w:rPr>
          <w:rFonts w:ascii="Arial" w:hAnsi="Arial" w:cs="Arial"/>
          <w:sz w:val="22"/>
        </w:rPr>
        <w:t>donde</w:t>
      </w:r>
      <w:r w:rsidRPr="00E70CD4">
        <w:rPr>
          <w:rFonts w:ascii="Arial" w:hAnsi="Arial" w:cs="Arial"/>
          <w:sz w:val="22"/>
        </w:rPr>
        <w:t xml:space="preserve"> frente a la misma pregunta esta Subdirección respondió que después de cumplidos los 3 años </w:t>
      </w:r>
      <w:r w:rsidR="009956B9" w:rsidRPr="00E70CD4">
        <w:rPr>
          <w:rFonts w:ascii="Arial" w:hAnsi="Arial" w:cs="Arial"/>
          <w:sz w:val="22"/>
        </w:rPr>
        <w:t xml:space="preserve">contados </w:t>
      </w:r>
      <w:r w:rsidRPr="00E70CD4">
        <w:rPr>
          <w:rFonts w:ascii="Arial" w:hAnsi="Arial" w:cs="Arial"/>
          <w:sz w:val="22"/>
        </w:rPr>
        <w:t xml:space="preserve">desde la constitución de la sociedad, las entidades estatales no deberían tener como válida la experiencia acreditada por los socios, accionistas o constituyentes. Como fundamento de esta posición, la Subdirección consideró lo siguiente: </w:t>
      </w:r>
    </w:p>
    <w:p w14:paraId="42FDBBCA" w14:textId="62852D6E" w:rsidR="00126FEF" w:rsidRPr="00E70CD4" w:rsidRDefault="009956B9" w:rsidP="004A02BA">
      <w:pPr>
        <w:spacing w:before="120" w:after="120" w:line="276" w:lineRule="auto"/>
        <w:ind w:firstLine="708"/>
        <w:jc w:val="both"/>
        <w:rPr>
          <w:rFonts w:ascii="Arial" w:hAnsi="Arial" w:cs="Arial"/>
          <w:sz w:val="22"/>
        </w:rPr>
      </w:pPr>
      <w:r w:rsidRPr="00E70CD4">
        <w:rPr>
          <w:rFonts w:ascii="Arial" w:hAnsi="Arial" w:cs="Arial"/>
          <w:sz w:val="22"/>
        </w:rPr>
        <w:t>i)</w:t>
      </w:r>
      <w:r w:rsidR="00126FEF" w:rsidRPr="00E70CD4">
        <w:rPr>
          <w:rFonts w:ascii="Arial" w:hAnsi="Arial" w:cs="Arial"/>
          <w:sz w:val="22"/>
        </w:rPr>
        <w:t xml:space="preserve"> La posición de Colombia Compra Eficiente respecto a la validez de la experiencia de los accionistas, socios o constituyentes, acreditada en el RUP por una sociedad nueva, cuando está ya superó los 3 años de constituida, ha variado. </w:t>
      </w:r>
    </w:p>
    <w:p w14:paraId="1B1A1DE2" w14:textId="2F79D921" w:rsidR="00126FEF" w:rsidRPr="00E70CD4" w:rsidRDefault="009956B9" w:rsidP="004A02BA">
      <w:pPr>
        <w:spacing w:before="120" w:after="120" w:line="276" w:lineRule="auto"/>
        <w:ind w:firstLine="708"/>
        <w:jc w:val="both"/>
        <w:rPr>
          <w:rFonts w:ascii="Arial" w:hAnsi="Arial" w:cs="Arial"/>
          <w:sz w:val="22"/>
        </w:rPr>
      </w:pPr>
      <w:r w:rsidRPr="00E70CD4">
        <w:rPr>
          <w:rFonts w:ascii="Arial" w:hAnsi="Arial" w:cs="Arial"/>
          <w:sz w:val="22"/>
        </w:rPr>
        <w:t>ii)</w:t>
      </w:r>
      <w:r w:rsidR="00126FEF" w:rsidRPr="00E70CD4">
        <w:rPr>
          <w:rFonts w:ascii="Arial" w:hAnsi="Arial" w:cs="Arial"/>
          <w:sz w:val="22"/>
        </w:rPr>
        <w:t xml:space="preserve"> El Decreto 1082 de 2015 establece que para la inscripción en el RUP de una persona jurídica, si s</w:t>
      </w:r>
      <w:r w:rsidRPr="00E70CD4">
        <w:rPr>
          <w:rFonts w:ascii="Arial" w:hAnsi="Arial" w:cs="Arial"/>
          <w:sz w:val="22"/>
        </w:rPr>
        <w:t>u constitución es menor a 3</w:t>
      </w:r>
      <w:r w:rsidR="00126FEF" w:rsidRPr="00E70CD4">
        <w:rPr>
          <w:rFonts w:ascii="Arial" w:hAnsi="Arial" w:cs="Arial"/>
          <w:sz w:val="22"/>
        </w:rPr>
        <w:t xml:space="preserve"> años, puede acreditar la experiencia de sus accionistas, socios o constituyentes. </w:t>
      </w:r>
    </w:p>
    <w:p w14:paraId="53F93759" w14:textId="77E87AE2" w:rsidR="00126FEF" w:rsidRPr="00E70CD4" w:rsidRDefault="009956B9" w:rsidP="00385FB2">
      <w:pPr>
        <w:spacing w:before="120" w:after="120" w:line="276" w:lineRule="auto"/>
        <w:ind w:firstLine="708"/>
        <w:jc w:val="both"/>
        <w:rPr>
          <w:rFonts w:ascii="Arial" w:hAnsi="Arial" w:cs="Arial"/>
          <w:sz w:val="22"/>
        </w:rPr>
      </w:pPr>
      <w:r w:rsidRPr="00E70CD4">
        <w:rPr>
          <w:rFonts w:ascii="Arial" w:hAnsi="Arial" w:cs="Arial"/>
          <w:sz w:val="22"/>
        </w:rPr>
        <w:t>iii)</w:t>
      </w:r>
      <w:r w:rsidR="00126FEF" w:rsidRPr="00E70CD4">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1ACD3FC7" w14:textId="37B4160B" w:rsidR="00126FEF" w:rsidRPr="00E70CD4" w:rsidRDefault="009956B9" w:rsidP="004A02BA">
      <w:pPr>
        <w:spacing w:before="120" w:after="120" w:line="276" w:lineRule="auto"/>
        <w:ind w:firstLine="708"/>
        <w:jc w:val="both"/>
        <w:rPr>
          <w:rFonts w:ascii="Arial" w:hAnsi="Arial" w:cs="Arial"/>
          <w:sz w:val="22"/>
        </w:rPr>
      </w:pPr>
      <w:r w:rsidRPr="00E70CD4">
        <w:rPr>
          <w:rFonts w:ascii="Arial" w:hAnsi="Arial" w:cs="Arial"/>
          <w:sz w:val="22"/>
        </w:rPr>
        <w:t>iv)</w:t>
      </w:r>
      <w:r w:rsidR="00126FEF" w:rsidRPr="00E70CD4">
        <w:rPr>
          <w:rFonts w:ascii="Arial" w:hAnsi="Arial" w:cs="Arial"/>
          <w:sz w:val="22"/>
        </w:rPr>
        <w:t xml:space="preserve"> En consecuencia, la persona jurídica cuy</w:t>
      </w:r>
      <w:r w:rsidRPr="00E70CD4">
        <w:rPr>
          <w:rFonts w:ascii="Arial" w:hAnsi="Arial" w:cs="Arial"/>
          <w:sz w:val="22"/>
        </w:rPr>
        <w:t>a constitución es menor a 3</w:t>
      </w:r>
      <w:r w:rsidR="00126FEF" w:rsidRPr="00E70CD4">
        <w:rPr>
          <w:rFonts w:ascii="Arial" w:hAnsi="Arial" w:cs="Arial"/>
          <w:sz w:val="22"/>
        </w:rPr>
        <w:t xml:space="preserve"> años puede registrar la experiencia de sus socios en el RUP, la cual no podrá ser tenida en cuenta por la Entidad Estatal como experiencia de la socie</w:t>
      </w:r>
      <w:r w:rsidRPr="00E70CD4">
        <w:rPr>
          <w:rFonts w:ascii="Arial" w:hAnsi="Arial" w:cs="Arial"/>
          <w:sz w:val="22"/>
        </w:rPr>
        <w:t>dad una vez cumplidos los 3</w:t>
      </w:r>
      <w:r w:rsidR="00126FEF" w:rsidRPr="00E70CD4">
        <w:rPr>
          <w:rFonts w:ascii="Arial" w:hAnsi="Arial" w:cs="Arial"/>
          <w:sz w:val="22"/>
        </w:rPr>
        <w:t xml:space="preserve"> años de constituida la persona jurídica a los que hace referencia la norma, pues no se cumple con el presupuesto normativo para acceder al beneficio que contempla el Decreto 1082. </w:t>
      </w:r>
    </w:p>
    <w:p w14:paraId="4F148517" w14:textId="12BE68DC" w:rsidR="00126FEF" w:rsidRPr="00E70CD4" w:rsidRDefault="009956B9" w:rsidP="004A02BA">
      <w:pPr>
        <w:spacing w:before="120" w:after="120" w:line="276" w:lineRule="auto"/>
        <w:ind w:firstLine="708"/>
        <w:jc w:val="both"/>
        <w:rPr>
          <w:rFonts w:ascii="Arial" w:hAnsi="Arial" w:cs="Arial"/>
          <w:sz w:val="22"/>
        </w:rPr>
      </w:pPr>
      <w:r w:rsidRPr="00E70CD4">
        <w:rPr>
          <w:rFonts w:ascii="Arial" w:hAnsi="Arial" w:cs="Arial"/>
          <w:sz w:val="22"/>
        </w:rPr>
        <w:t>v)</w:t>
      </w:r>
      <w:r w:rsidR="00126FEF" w:rsidRPr="00E70CD4">
        <w:rPr>
          <w:rFonts w:ascii="Arial" w:hAnsi="Arial" w:cs="Arial"/>
          <w:sz w:val="22"/>
        </w:rPr>
        <w:t xml:space="preserve"> Las Cámaras de Comercio </w:t>
      </w:r>
      <w:r w:rsidRPr="00E70CD4">
        <w:rPr>
          <w:rFonts w:ascii="Arial" w:hAnsi="Arial" w:cs="Arial"/>
          <w:sz w:val="22"/>
        </w:rPr>
        <w:t>hacen</w:t>
      </w:r>
      <w:r w:rsidR="00126FEF" w:rsidRPr="00E70CD4">
        <w:rPr>
          <w:rFonts w:ascii="Arial" w:hAnsi="Arial" w:cs="Arial"/>
          <w:sz w:val="22"/>
        </w:rPr>
        <w:t xml:space="preserve"> la verificación documental de la información presentada por los interesados al momento de inscribir, renovar o actualizar su información en el RUP. De esa forma, a diferencia de la renovación, la actualización del RUP puede </w:t>
      </w:r>
      <w:r w:rsidR="00126FEF" w:rsidRPr="00E70CD4">
        <w:rPr>
          <w:rFonts w:ascii="Arial" w:hAnsi="Arial" w:cs="Arial"/>
          <w:sz w:val="22"/>
        </w:rPr>
        <w:lastRenderedPageBreak/>
        <w:t>llevarse a cabo en c</w:t>
      </w:r>
      <w:r w:rsidRPr="00E70CD4">
        <w:rPr>
          <w:rFonts w:ascii="Arial" w:hAnsi="Arial" w:cs="Arial"/>
          <w:sz w:val="22"/>
        </w:rPr>
        <w:t xml:space="preserve">ualquier momento </w:t>
      </w:r>
      <w:r w:rsidRPr="00E70CD4">
        <w:rPr>
          <w:rFonts w:ascii="Arial" w:eastAsia="Calibri" w:hAnsi="Arial" w:cs="Arial"/>
          <w:sz w:val="22"/>
        </w:rPr>
        <w:t>―</w:t>
      </w:r>
      <w:r w:rsidR="00126FEF" w:rsidRPr="00E70CD4">
        <w:rPr>
          <w:rFonts w:ascii="Arial" w:hAnsi="Arial" w:cs="Arial"/>
          <w:sz w:val="22"/>
        </w:rPr>
        <w:t>únicamente para la c</w:t>
      </w:r>
      <w:r w:rsidRPr="00E70CD4">
        <w:rPr>
          <w:rFonts w:ascii="Arial" w:hAnsi="Arial" w:cs="Arial"/>
          <w:sz w:val="22"/>
        </w:rPr>
        <w:t>apacidad jurídica y experiencia</w:t>
      </w:r>
      <w:r w:rsidRPr="00E70CD4">
        <w:rPr>
          <w:rFonts w:ascii="Arial" w:eastAsia="Calibri" w:hAnsi="Arial" w:cs="Arial"/>
          <w:sz w:val="22"/>
        </w:rPr>
        <w:t>―</w:t>
      </w:r>
      <w:r w:rsidR="00126FEF" w:rsidRPr="00E70CD4">
        <w:rPr>
          <w:rFonts w:ascii="Arial" w:hAnsi="Arial" w:cs="Arial"/>
          <w:sz w:val="22"/>
        </w:rPr>
        <w:t xml:space="preserve"> y debe ser verificada junto con sus soportes por la Cámara de Comercio correspondiente. </w:t>
      </w:r>
    </w:p>
    <w:p w14:paraId="6142AE5A" w14:textId="5DFB1E6F" w:rsidR="00126FEF" w:rsidRPr="00E70CD4" w:rsidRDefault="00126FEF" w:rsidP="009B3787">
      <w:pPr>
        <w:spacing w:before="120" w:after="120" w:line="276" w:lineRule="auto"/>
        <w:ind w:firstLine="708"/>
        <w:jc w:val="both"/>
        <w:rPr>
          <w:rFonts w:ascii="Arial" w:hAnsi="Arial" w:cs="Arial"/>
          <w:sz w:val="22"/>
        </w:rPr>
      </w:pPr>
      <w:r w:rsidRPr="00E70CD4">
        <w:rPr>
          <w:rFonts w:ascii="Arial" w:hAnsi="Arial" w:cs="Arial"/>
          <w:sz w:val="22"/>
        </w:rPr>
        <w:t>Ante esta disparidad de criterios, la Subdirección de Gestión Contractual estimó necesario recoger estos pron</w:t>
      </w:r>
      <w:r w:rsidR="009956B9" w:rsidRPr="00E70CD4">
        <w:rPr>
          <w:rFonts w:ascii="Arial" w:hAnsi="Arial" w:cs="Arial"/>
          <w:sz w:val="22"/>
        </w:rPr>
        <w:t xml:space="preserve">unciamientos y unificar la </w:t>
      </w:r>
      <w:r w:rsidRPr="00E70CD4">
        <w:rPr>
          <w:rFonts w:ascii="Arial" w:hAnsi="Arial" w:cs="Arial"/>
          <w:sz w:val="22"/>
        </w:rPr>
        <w:t>posición en el concepto con radicado No. 4201913000006797 del 19 de noviembre de 2019, en tor</w:t>
      </w:r>
      <w:r w:rsidR="009B3787">
        <w:rPr>
          <w:rFonts w:ascii="Arial" w:hAnsi="Arial" w:cs="Arial"/>
          <w:sz w:val="22"/>
        </w:rPr>
        <w:t xml:space="preserve">no a la posibilidad o no de que </w:t>
      </w:r>
      <w:r w:rsidRPr="00E70CD4">
        <w:rPr>
          <w:rFonts w:ascii="Arial" w:hAnsi="Arial" w:cs="Arial"/>
          <w:sz w:val="22"/>
        </w:rPr>
        <w:t xml:space="preserve">las sociedades nuevas puedan seguir acreditando la experiencia de sus socios, accionistas o constituyentes, incluso después de cumplidos 3 años de constitución de la persona jurídica. </w:t>
      </w:r>
    </w:p>
    <w:p w14:paraId="487A9C18" w14:textId="7B654C2F" w:rsidR="00126FEF" w:rsidRPr="00E70CD4" w:rsidRDefault="009956B9" w:rsidP="004A02BA">
      <w:pPr>
        <w:spacing w:before="120" w:after="120" w:line="276" w:lineRule="auto"/>
        <w:ind w:firstLine="708"/>
        <w:jc w:val="both"/>
        <w:rPr>
          <w:rFonts w:ascii="Arial" w:hAnsi="Arial" w:cs="Arial"/>
          <w:sz w:val="22"/>
        </w:rPr>
      </w:pPr>
      <w:r w:rsidRPr="00E70CD4">
        <w:rPr>
          <w:rFonts w:ascii="Arial" w:hAnsi="Arial" w:cs="Arial"/>
          <w:sz w:val="22"/>
        </w:rPr>
        <w:t>El criterio que se adoptó fue</w:t>
      </w:r>
      <w:r w:rsidR="00126FEF" w:rsidRPr="00E70CD4">
        <w:rPr>
          <w:rFonts w:ascii="Arial" w:hAnsi="Arial" w:cs="Arial"/>
          <w:sz w:val="22"/>
        </w:rPr>
        <w:t xml:space="preserve"> que la experiencia de los socios, accionistas o constituyentes</w:t>
      </w:r>
      <w:r w:rsidRPr="00E70CD4">
        <w:rPr>
          <w:rFonts w:ascii="Arial" w:hAnsi="Arial" w:cs="Arial"/>
          <w:sz w:val="22"/>
        </w:rPr>
        <w:t xml:space="preserve">, para </w:t>
      </w:r>
      <w:r w:rsidR="00126FEF" w:rsidRPr="00E70CD4">
        <w:rPr>
          <w:rFonts w:ascii="Arial" w:hAnsi="Arial" w:cs="Arial"/>
          <w:sz w:val="22"/>
        </w:rPr>
        <w:t>las sociedades que al momento de inscribirse en el RUP tenían menos de 3 años de constituidas</w:t>
      </w:r>
      <w:r w:rsidRPr="00E70CD4">
        <w:rPr>
          <w:rFonts w:ascii="Arial" w:hAnsi="Arial" w:cs="Arial"/>
          <w:sz w:val="22"/>
        </w:rPr>
        <w:t>,</w:t>
      </w:r>
      <w:r w:rsidR="00126FEF" w:rsidRPr="00E70CD4">
        <w:rPr>
          <w:rFonts w:ascii="Arial" w:hAnsi="Arial" w:cs="Arial"/>
          <w:sz w:val="22"/>
        </w:rPr>
        <w:t xml:space="preserve"> puede seguir siendo acreditada por la persona jurídica después de transcurridos los 3 años del acto d</w:t>
      </w:r>
      <w:r w:rsidRPr="00E70CD4">
        <w:rPr>
          <w:rFonts w:ascii="Arial" w:hAnsi="Arial" w:cs="Arial"/>
          <w:sz w:val="22"/>
        </w:rPr>
        <w:t>e constitución. Esta posición había sido reiterad</w:t>
      </w:r>
      <w:r w:rsidR="00126FEF" w:rsidRPr="00E70CD4">
        <w:rPr>
          <w:rFonts w:ascii="Arial" w:hAnsi="Arial" w:cs="Arial"/>
          <w:sz w:val="22"/>
        </w:rPr>
        <w:t>a por esta Subdirección en pronunciamientos más recientes</w:t>
      </w:r>
      <w:r w:rsidR="00592FA5" w:rsidRPr="00E70CD4">
        <w:rPr>
          <w:rStyle w:val="Refdenotaalpie"/>
          <w:rFonts w:ascii="Arial" w:hAnsi="Arial" w:cs="Arial"/>
          <w:sz w:val="22"/>
        </w:rPr>
        <w:footnoteReference w:id="4"/>
      </w:r>
      <w:r w:rsidR="00126FEF" w:rsidRPr="00E70CD4">
        <w:rPr>
          <w:rFonts w:ascii="Arial" w:hAnsi="Arial" w:cs="Arial"/>
          <w:sz w:val="22"/>
        </w:rPr>
        <w:t xml:space="preserve">, esto es, posteriores a la acogida en el Concepto del 3 </w:t>
      </w:r>
      <w:r w:rsidR="00BD6A7D" w:rsidRPr="00E70CD4">
        <w:rPr>
          <w:rFonts w:ascii="Arial" w:hAnsi="Arial" w:cs="Arial"/>
          <w:sz w:val="22"/>
        </w:rPr>
        <w:t xml:space="preserve">de abril de 2018 antes citado. </w:t>
      </w:r>
    </w:p>
    <w:p w14:paraId="22C31C03" w14:textId="77777777" w:rsidR="00126FEF" w:rsidRPr="00E70CD4" w:rsidRDefault="00126FEF" w:rsidP="004A02BA">
      <w:pPr>
        <w:spacing w:before="120" w:after="120" w:line="276" w:lineRule="auto"/>
        <w:ind w:firstLine="708"/>
        <w:jc w:val="both"/>
        <w:rPr>
          <w:rFonts w:ascii="Arial" w:hAnsi="Arial" w:cs="Arial"/>
          <w:sz w:val="22"/>
        </w:rPr>
      </w:pPr>
      <w:r w:rsidRPr="00E70CD4">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Cámaras de Comercio sólo pueden eliminar la experiencia registrada en el RUP a solicitud del proponente, por tanto, le corresponde a las personas jurídicas mantener su RUP actualizado y a las entidades estatales verificar, para efectos de tener en cuenta la experiencia. </w:t>
      </w:r>
    </w:p>
    <w:p w14:paraId="32166A05" w14:textId="77777777" w:rsidR="00126FEF" w:rsidRPr="00E70CD4" w:rsidRDefault="00126FEF" w:rsidP="004A02BA">
      <w:pPr>
        <w:spacing w:before="120" w:after="120" w:line="276" w:lineRule="auto"/>
        <w:ind w:firstLine="708"/>
        <w:jc w:val="both"/>
        <w:rPr>
          <w:rFonts w:ascii="Arial" w:hAnsi="Arial" w:cs="Arial"/>
          <w:sz w:val="22"/>
        </w:rPr>
      </w:pPr>
      <w:r w:rsidRPr="00E70CD4">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0EE0DDF" w14:textId="77777777" w:rsidR="00126FEF" w:rsidRDefault="00126FEF" w:rsidP="009B3787">
      <w:pPr>
        <w:spacing w:line="276" w:lineRule="auto"/>
        <w:ind w:firstLine="708"/>
        <w:jc w:val="both"/>
        <w:rPr>
          <w:rFonts w:ascii="Arial" w:hAnsi="Arial" w:cs="Arial"/>
          <w:sz w:val="22"/>
        </w:rPr>
      </w:pPr>
      <w:r w:rsidRPr="00E70CD4">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6862C090" w14:textId="77777777" w:rsidR="005558EA" w:rsidRPr="00E70CD4" w:rsidRDefault="005558EA" w:rsidP="009B3787">
      <w:pPr>
        <w:spacing w:line="276" w:lineRule="auto"/>
        <w:ind w:firstLine="708"/>
        <w:jc w:val="both"/>
        <w:rPr>
          <w:rFonts w:ascii="Arial" w:hAnsi="Arial" w:cs="Arial"/>
          <w:sz w:val="22"/>
        </w:rPr>
      </w:pPr>
    </w:p>
    <w:p w14:paraId="6796E57F" w14:textId="153263DB" w:rsidR="00126FEF" w:rsidRDefault="00126FEF" w:rsidP="009B3787">
      <w:pPr>
        <w:ind w:left="709" w:right="709"/>
        <w:jc w:val="both"/>
        <w:rPr>
          <w:rFonts w:ascii="Arial" w:hAnsi="Arial" w:cs="Arial"/>
          <w:sz w:val="21"/>
          <w:szCs w:val="21"/>
        </w:rPr>
      </w:pPr>
      <w:r w:rsidRPr="00E70CD4">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92D7EA8" w14:textId="77777777" w:rsidR="009B3787" w:rsidRPr="00E70CD4" w:rsidRDefault="009B3787" w:rsidP="009B3787">
      <w:pPr>
        <w:ind w:left="709" w:right="709"/>
        <w:jc w:val="both"/>
        <w:rPr>
          <w:rFonts w:ascii="Arial" w:hAnsi="Arial" w:cs="Arial"/>
          <w:sz w:val="21"/>
          <w:szCs w:val="21"/>
        </w:rPr>
      </w:pPr>
    </w:p>
    <w:p w14:paraId="22EF2FE6" w14:textId="4817D05A" w:rsidR="00126FEF" w:rsidRPr="00E70CD4" w:rsidRDefault="00126FEF" w:rsidP="009B3787">
      <w:pPr>
        <w:spacing w:line="276" w:lineRule="auto"/>
        <w:ind w:firstLine="708"/>
        <w:jc w:val="both"/>
        <w:rPr>
          <w:rFonts w:ascii="Arial" w:hAnsi="Arial" w:cs="Arial"/>
          <w:sz w:val="22"/>
        </w:rPr>
      </w:pPr>
      <w:r w:rsidRPr="00E70CD4">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6031919F" w14:textId="1B2E85BF" w:rsidR="004553EE" w:rsidRPr="00E70CD4" w:rsidRDefault="00126FEF" w:rsidP="004A02BA">
      <w:pPr>
        <w:spacing w:before="120" w:after="120" w:line="276" w:lineRule="auto"/>
        <w:ind w:firstLine="708"/>
        <w:jc w:val="both"/>
        <w:rPr>
          <w:rFonts w:ascii="Arial" w:hAnsi="Arial" w:cs="Arial"/>
          <w:sz w:val="22"/>
        </w:rPr>
      </w:pPr>
      <w:r w:rsidRPr="00E70CD4">
        <w:rPr>
          <w:rFonts w:ascii="Arial" w:hAnsi="Arial" w:cs="Arial"/>
          <w:sz w:val="22"/>
        </w:rPr>
        <w:t>En este sentido, si bien la norma n</w:t>
      </w:r>
      <w:r w:rsidR="009956B9" w:rsidRPr="00E70CD4">
        <w:rPr>
          <w:rFonts w:ascii="Arial" w:hAnsi="Arial" w:cs="Arial"/>
          <w:sz w:val="22"/>
        </w:rPr>
        <w:t xml:space="preserve">o </w:t>
      </w:r>
      <w:r w:rsidR="00DA58FA" w:rsidRPr="00E70CD4">
        <w:rPr>
          <w:rFonts w:ascii="Arial" w:hAnsi="Arial" w:cs="Arial"/>
          <w:sz w:val="22"/>
        </w:rPr>
        <w:t xml:space="preserve">dispone qué sucede con la experiencia aportada por los socios, accionistas o constituyentes, </w:t>
      </w:r>
      <w:r w:rsidR="009956B9" w:rsidRPr="00E70CD4">
        <w:rPr>
          <w:rFonts w:ascii="Arial" w:hAnsi="Arial" w:cs="Arial"/>
          <w:sz w:val="22"/>
        </w:rPr>
        <w:t xml:space="preserve">después de </w:t>
      </w:r>
      <w:r w:rsidR="00DA58FA" w:rsidRPr="00E70CD4">
        <w:rPr>
          <w:rFonts w:ascii="Arial" w:hAnsi="Arial" w:cs="Arial"/>
          <w:sz w:val="22"/>
        </w:rPr>
        <w:t xml:space="preserve">los </w:t>
      </w:r>
      <w:r w:rsidR="009956B9" w:rsidRPr="00E70CD4">
        <w:rPr>
          <w:rFonts w:ascii="Arial" w:hAnsi="Arial" w:cs="Arial"/>
          <w:sz w:val="22"/>
        </w:rPr>
        <w:t>3</w:t>
      </w:r>
      <w:r w:rsidRPr="00E70CD4">
        <w:rPr>
          <w:rFonts w:ascii="Arial" w:hAnsi="Arial" w:cs="Arial"/>
          <w:sz w:val="22"/>
        </w:rPr>
        <w:t xml:space="preserve"> años de </w:t>
      </w:r>
      <w:r w:rsidR="00DA58FA" w:rsidRPr="00E70CD4">
        <w:rPr>
          <w:rFonts w:ascii="Arial" w:hAnsi="Arial" w:cs="Arial"/>
          <w:sz w:val="22"/>
        </w:rPr>
        <w:t>constituida la persona jurídica, para esta Subdirección sigue siendo válida</w:t>
      </w:r>
      <w:r w:rsidR="009B3787">
        <w:rPr>
          <w:rFonts w:ascii="Arial" w:hAnsi="Arial" w:cs="Arial"/>
          <w:sz w:val="22"/>
        </w:rPr>
        <w:t>, por lo que</w:t>
      </w:r>
      <w:r w:rsidRPr="00E70CD4">
        <w:rPr>
          <w:rFonts w:ascii="Arial" w:hAnsi="Arial" w:cs="Arial"/>
          <w:sz w:val="22"/>
        </w:rPr>
        <w:t xml:space="preserve"> la entidad </w:t>
      </w:r>
      <w:r w:rsidR="009B3787">
        <w:rPr>
          <w:rFonts w:ascii="Arial" w:hAnsi="Arial" w:cs="Arial"/>
          <w:sz w:val="22"/>
        </w:rPr>
        <w:t>la deberá tener en cuenta;</w:t>
      </w:r>
      <w:r w:rsidRPr="00E70CD4">
        <w:rPr>
          <w:rFonts w:ascii="Arial" w:hAnsi="Arial" w:cs="Arial"/>
          <w:sz w:val="22"/>
        </w:rPr>
        <w:t xml:space="preserve"> de esta forma se garantiza la pluralidad de oferentes en</w:t>
      </w:r>
      <w:r w:rsidR="00D37C5A" w:rsidRPr="00E70CD4">
        <w:rPr>
          <w:rFonts w:ascii="Arial" w:hAnsi="Arial" w:cs="Arial"/>
          <w:sz w:val="22"/>
        </w:rPr>
        <w:t xml:space="preserve"> los procesos de contratación. </w:t>
      </w:r>
    </w:p>
    <w:p w14:paraId="04CDC73F" w14:textId="59890E9A" w:rsidR="00D37C5A" w:rsidRPr="00E70CD4" w:rsidRDefault="004553EE" w:rsidP="004A02BA">
      <w:pPr>
        <w:spacing w:before="120" w:after="120" w:line="276" w:lineRule="auto"/>
        <w:ind w:firstLine="708"/>
        <w:jc w:val="both"/>
        <w:rPr>
          <w:rFonts w:ascii="Arial" w:hAnsi="Arial" w:cs="Arial"/>
          <w:sz w:val="22"/>
        </w:rPr>
      </w:pPr>
      <w:r w:rsidRPr="00E70CD4">
        <w:rPr>
          <w:rFonts w:ascii="Arial" w:hAnsi="Arial" w:cs="Arial"/>
          <w:sz w:val="22"/>
        </w:rPr>
        <w:t>En línea con lo anterior, el numeral 2.5. del artículo 2.2.1.1.1.5.2. del De</w:t>
      </w:r>
      <w:r w:rsidR="00D37C5A" w:rsidRPr="00E70CD4">
        <w:rPr>
          <w:rFonts w:ascii="Arial" w:hAnsi="Arial" w:cs="Arial"/>
          <w:sz w:val="22"/>
        </w:rPr>
        <w:t xml:space="preserve">creto 1082 de 2015 </w:t>
      </w:r>
      <w:r w:rsidR="005653CB" w:rsidRPr="00E70CD4">
        <w:rPr>
          <w:rFonts w:ascii="Arial" w:hAnsi="Arial" w:cs="Arial"/>
          <w:sz w:val="22"/>
        </w:rPr>
        <w:t>consagra, como se dijo, una prerrogativa para las sociedades nuevas, que busca fomentar la competencia de las mismas en el campo de la contrataci</w:t>
      </w:r>
      <w:r w:rsidR="00D37C5A" w:rsidRPr="00E70CD4">
        <w:rPr>
          <w:rFonts w:ascii="Arial" w:hAnsi="Arial" w:cs="Arial"/>
          <w:sz w:val="22"/>
        </w:rPr>
        <w:t xml:space="preserve">ón estatal, </w:t>
      </w:r>
      <w:r w:rsidR="00DA58FA" w:rsidRPr="00E70CD4">
        <w:rPr>
          <w:rFonts w:ascii="Arial" w:hAnsi="Arial" w:cs="Arial"/>
          <w:sz w:val="22"/>
        </w:rPr>
        <w:t xml:space="preserve">sin establecer limitantes </w:t>
      </w:r>
      <w:r w:rsidR="00D37C5A" w:rsidRPr="00E70CD4">
        <w:rPr>
          <w:rFonts w:ascii="Arial" w:hAnsi="Arial" w:cs="Arial"/>
          <w:sz w:val="22"/>
        </w:rPr>
        <w:t xml:space="preserve">en relación con el porcentaje de experiencia </w:t>
      </w:r>
      <w:r w:rsidR="009B3787">
        <w:rPr>
          <w:rFonts w:ascii="Arial" w:hAnsi="Arial" w:cs="Arial"/>
          <w:sz w:val="22"/>
        </w:rPr>
        <w:t xml:space="preserve">que los socios </w:t>
      </w:r>
      <w:r w:rsidR="00D37C5A" w:rsidRPr="00E70CD4">
        <w:rPr>
          <w:rFonts w:ascii="Arial" w:hAnsi="Arial" w:cs="Arial"/>
          <w:sz w:val="22"/>
        </w:rPr>
        <w:t>puede</w:t>
      </w:r>
      <w:r w:rsidR="009B3787">
        <w:rPr>
          <w:rFonts w:ascii="Arial" w:hAnsi="Arial" w:cs="Arial"/>
          <w:sz w:val="22"/>
        </w:rPr>
        <w:t>n</w:t>
      </w:r>
      <w:r w:rsidR="00D37C5A" w:rsidRPr="00E70CD4">
        <w:rPr>
          <w:rFonts w:ascii="Arial" w:hAnsi="Arial" w:cs="Arial"/>
          <w:sz w:val="22"/>
        </w:rPr>
        <w:t xml:space="preserve"> tran</w:t>
      </w:r>
      <w:r w:rsidR="005515A1" w:rsidRPr="00E70CD4">
        <w:rPr>
          <w:rFonts w:ascii="Arial" w:hAnsi="Arial" w:cs="Arial"/>
          <w:sz w:val="22"/>
        </w:rPr>
        <w:t>s</w:t>
      </w:r>
      <w:r w:rsidR="009B3787">
        <w:rPr>
          <w:rFonts w:ascii="Arial" w:hAnsi="Arial" w:cs="Arial"/>
          <w:sz w:val="22"/>
        </w:rPr>
        <w:t xml:space="preserve">ferir </w:t>
      </w:r>
      <w:r w:rsidR="00D37C5A" w:rsidRPr="00E70CD4">
        <w:rPr>
          <w:rFonts w:ascii="Arial" w:hAnsi="Arial" w:cs="Arial"/>
          <w:sz w:val="22"/>
        </w:rPr>
        <w:t>a las personas jurídicas con menos de 3 años</w:t>
      </w:r>
      <w:r w:rsidR="009B3787">
        <w:rPr>
          <w:rFonts w:ascii="Arial" w:hAnsi="Arial" w:cs="Arial"/>
          <w:sz w:val="22"/>
        </w:rPr>
        <w:t xml:space="preserve"> de constitución</w:t>
      </w:r>
      <w:r w:rsidR="00D37C5A" w:rsidRPr="00E70CD4">
        <w:rPr>
          <w:rFonts w:ascii="Arial" w:hAnsi="Arial" w:cs="Arial"/>
          <w:sz w:val="22"/>
        </w:rPr>
        <w:t xml:space="preserve">. </w:t>
      </w:r>
    </w:p>
    <w:p w14:paraId="482FB316" w14:textId="2F823173" w:rsidR="00037F54" w:rsidRPr="00E70CD4" w:rsidRDefault="00D37C5A" w:rsidP="00DA58FA">
      <w:pPr>
        <w:spacing w:line="276" w:lineRule="auto"/>
        <w:ind w:firstLine="708"/>
        <w:jc w:val="both"/>
        <w:rPr>
          <w:rFonts w:ascii="Arial" w:hAnsi="Arial" w:cs="Arial"/>
          <w:sz w:val="22"/>
        </w:rPr>
      </w:pPr>
      <w:r w:rsidRPr="00E70CD4">
        <w:rPr>
          <w:rFonts w:ascii="Arial" w:hAnsi="Arial" w:cs="Arial"/>
          <w:sz w:val="22"/>
        </w:rPr>
        <w:t xml:space="preserve"> P</w:t>
      </w:r>
      <w:r w:rsidR="005653CB" w:rsidRPr="00E70CD4">
        <w:rPr>
          <w:rFonts w:ascii="Arial" w:hAnsi="Arial" w:cs="Arial"/>
          <w:sz w:val="22"/>
        </w:rPr>
        <w:t>or tanto, en atención al principio ge</w:t>
      </w:r>
      <w:r w:rsidR="00DA58FA" w:rsidRPr="00E70CD4">
        <w:rPr>
          <w:rFonts w:ascii="Arial" w:hAnsi="Arial" w:cs="Arial"/>
          <w:sz w:val="22"/>
        </w:rPr>
        <w:t>neral de interpretación según el cual</w:t>
      </w:r>
      <w:r w:rsidR="005653CB" w:rsidRPr="00E70CD4">
        <w:rPr>
          <w:rFonts w:ascii="Arial" w:hAnsi="Arial" w:cs="Arial"/>
          <w:sz w:val="22"/>
        </w:rPr>
        <w:t xml:space="preserve"> donde el legislador no distingue no le es dado</w:t>
      </w:r>
      <w:r w:rsidR="00DA58FA" w:rsidRPr="00E70CD4">
        <w:rPr>
          <w:rFonts w:ascii="Arial" w:hAnsi="Arial" w:cs="Arial"/>
          <w:sz w:val="22"/>
        </w:rPr>
        <w:t xml:space="preserve"> hacerlo al interprete</w:t>
      </w:r>
      <w:r w:rsidR="005653CB" w:rsidRPr="00E70CD4">
        <w:rPr>
          <w:rFonts w:ascii="Arial" w:hAnsi="Arial" w:cs="Arial"/>
          <w:sz w:val="22"/>
        </w:rPr>
        <w:t>, la experiencia de los socios</w:t>
      </w:r>
      <w:r w:rsidR="009B3787">
        <w:rPr>
          <w:rFonts w:ascii="Arial" w:hAnsi="Arial" w:cs="Arial"/>
          <w:sz w:val="22"/>
        </w:rPr>
        <w:t>, accionistas o constituyentes, se trasfiere</w:t>
      </w:r>
      <w:r w:rsidR="005653CB" w:rsidRPr="00E70CD4">
        <w:rPr>
          <w:rFonts w:ascii="Arial" w:hAnsi="Arial" w:cs="Arial"/>
          <w:sz w:val="22"/>
        </w:rPr>
        <w:t xml:space="preserve"> en su totalidad a las personas jurídicas con </w:t>
      </w:r>
      <w:r w:rsidR="009B3787">
        <w:rPr>
          <w:rFonts w:ascii="Arial" w:hAnsi="Arial" w:cs="Arial"/>
          <w:sz w:val="22"/>
        </w:rPr>
        <w:t xml:space="preserve">menos de </w:t>
      </w:r>
      <w:r w:rsidR="005653CB" w:rsidRPr="00E70CD4">
        <w:rPr>
          <w:rFonts w:ascii="Arial" w:hAnsi="Arial" w:cs="Arial"/>
          <w:sz w:val="22"/>
        </w:rPr>
        <w:t>3 años</w:t>
      </w:r>
      <w:r w:rsidR="009B3787">
        <w:rPr>
          <w:rFonts w:ascii="Arial" w:hAnsi="Arial" w:cs="Arial"/>
          <w:sz w:val="22"/>
        </w:rPr>
        <w:t xml:space="preserve"> de constitución</w:t>
      </w:r>
      <w:r w:rsidR="005653CB" w:rsidRPr="00E70CD4">
        <w:rPr>
          <w:rFonts w:ascii="Arial" w:hAnsi="Arial" w:cs="Arial"/>
          <w:sz w:val="22"/>
        </w:rPr>
        <w:t xml:space="preserve">, sin consideración a los porcentajes de participación de cada </w:t>
      </w:r>
      <w:r w:rsidR="00DA58FA" w:rsidRPr="00E70CD4">
        <w:rPr>
          <w:rFonts w:ascii="Arial" w:hAnsi="Arial" w:cs="Arial"/>
          <w:sz w:val="22"/>
        </w:rPr>
        <w:t>integrante.</w:t>
      </w:r>
    </w:p>
    <w:p w14:paraId="4F0D8A69" w14:textId="77777777" w:rsidR="004F3C32" w:rsidRPr="00E70CD4" w:rsidRDefault="004F3C32" w:rsidP="00DA58FA">
      <w:pPr>
        <w:spacing w:line="276" w:lineRule="auto"/>
        <w:ind w:firstLine="708"/>
        <w:jc w:val="both"/>
        <w:rPr>
          <w:rFonts w:ascii="Arial" w:hAnsi="Arial" w:cs="Arial"/>
          <w:sz w:val="22"/>
        </w:rPr>
      </w:pPr>
    </w:p>
    <w:p w14:paraId="24B89335" w14:textId="27389C0A" w:rsidR="00A40336" w:rsidRPr="00E70CD4" w:rsidRDefault="00037F54" w:rsidP="00DA58FA">
      <w:pPr>
        <w:spacing w:line="276" w:lineRule="auto"/>
        <w:jc w:val="both"/>
        <w:rPr>
          <w:rFonts w:ascii="Arial" w:eastAsia="Calibri" w:hAnsi="Arial" w:cs="Arial"/>
          <w:b/>
          <w:bCs/>
          <w:sz w:val="22"/>
        </w:rPr>
      </w:pPr>
      <w:r w:rsidRPr="00E70CD4">
        <w:rPr>
          <w:rFonts w:ascii="Arial" w:hAnsi="Arial" w:cs="Arial"/>
          <w:b/>
          <w:sz w:val="22"/>
        </w:rPr>
        <w:t>2.</w:t>
      </w:r>
      <w:r w:rsidR="00A40336" w:rsidRPr="00E70CD4">
        <w:rPr>
          <w:rFonts w:ascii="Arial" w:hAnsi="Arial" w:cs="Arial"/>
          <w:b/>
          <w:sz w:val="22"/>
        </w:rPr>
        <w:t xml:space="preserve">2. </w:t>
      </w:r>
      <w:r w:rsidR="00A40336" w:rsidRPr="00E70CD4">
        <w:rPr>
          <w:rFonts w:ascii="Arial" w:eastAsia="Calibri" w:hAnsi="Arial" w:cs="Arial"/>
          <w:b/>
          <w:bCs/>
          <w:sz w:val="22"/>
        </w:rPr>
        <w:t>Consideraciones de Colombia Compra Eficiente respecto de la experiencia</w:t>
      </w:r>
    </w:p>
    <w:p w14:paraId="2BADEDA7" w14:textId="77777777" w:rsidR="00DA58FA" w:rsidRPr="00E70CD4" w:rsidRDefault="00DA58FA" w:rsidP="00DA58FA">
      <w:pPr>
        <w:spacing w:line="276" w:lineRule="auto"/>
        <w:jc w:val="both"/>
        <w:rPr>
          <w:rFonts w:ascii="Arial" w:hAnsi="Arial" w:cs="Arial"/>
          <w:b/>
          <w:sz w:val="22"/>
        </w:rPr>
      </w:pPr>
    </w:p>
    <w:p w14:paraId="57F42175" w14:textId="11FB6AF6" w:rsidR="00A40336" w:rsidRPr="00E70CD4" w:rsidRDefault="00A40336" w:rsidP="00DA58FA">
      <w:pPr>
        <w:spacing w:line="276" w:lineRule="auto"/>
        <w:jc w:val="both"/>
        <w:rPr>
          <w:rFonts w:ascii="Arial" w:eastAsia="Calibri" w:hAnsi="Arial" w:cs="Arial"/>
          <w:sz w:val="22"/>
        </w:rPr>
      </w:pPr>
      <w:r w:rsidRPr="00E70CD4">
        <w:rPr>
          <w:rFonts w:ascii="Arial" w:eastAsia="Calibri" w:hAnsi="Arial" w:cs="Arial"/>
          <w:sz w:val="22"/>
        </w:rPr>
        <w:t>La Agencia Nac</w:t>
      </w:r>
      <w:r w:rsidR="00DA58FA" w:rsidRPr="00E70CD4">
        <w:rPr>
          <w:rFonts w:ascii="Arial" w:eastAsia="Calibri" w:hAnsi="Arial" w:cs="Arial"/>
          <w:sz w:val="22"/>
        </w:rPr>
        <w:t xml:space="preserve">ional de Contratación Pública ― </w:t>
      </w:r>
      <w:r w:rsidRPr="00E70CD4">
        <w:rPr>
          <w:rFonts w:ascii="Arial" w:eastAsia="Calibri" w:hAnsi="Arial" w:cs="Arial"/>
          <w:sz w:val="22"/>
        </w:rPr>
        <w:t>Colombia Compra Eficiente puso a disposición de los interesados del Sistema de Compra Pública el</w:t>
      </w:r>
      <w:r w:rsidR="007D23CA" w:rsidRPr="00E70CD4">
        <w:rPr>
          <w:rFonts w:ascii="Arial" w:eastAsia="Calibri" w:hAnsi="Arial" w:cs="Arial"/>
          <w:sz w:val="22"/>
        </w:rPr>
        <w:t xml:space="preserve"> «</w:t>
      </w:r>
      <w:r w:rsidRPr="00E70CD4">
        <w:rPr>
          <w:rFonts w:ascii="Arial" w:eastAsia="Calibri" w:hAnsi="Arial" w:cs="Arial"/>
          <w:sz w:val="22"/>
        </w:rPr>
        <w:t>Manual para determinar y verificar requisitos habilitantes en los procesos de contratación</w:t>
      </w:r>
      <w:r w:rsidR="007D23CA" w:rsidRPr="00E70CD4">
        <w:rPr>
          <w:rFonts w:ascii="Arial" w:eastAsia="Calibri" w:hAnsi="Arial" w:cs="Arial"/>
          <w:sz w:val="22"/>
        </w:rPr>
        <w:t>»</w:t>
      </w:r>
      <w:r w:rsidRPr="00E70CD4">
        <w:rPr>
          <w:rFonts w:ascii="Arial" w:eastAsia="Calibri" w:hAnsi="Arial" w:cs="Arial"/>
          <w:sz w:val="22"/>
        </w:rPr>
        <w:t xml:space="preserve">,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 con anterioridad, en actividades que le </w:t>
      </w:r>
      <w:r w:rsidRPr="00E70CD4">
        <w:rPr>
          <w:rFonts w:ascii="Arial" w:eastAsia="Calibri" w:hAnsi="Arial" w:cs="Arial"/>
          <w:sz w:val="22"/>
        </w:rPr>
        <w:lastRenderedPageBreak/>
        <w:t>permitieron conocer cómo ejecutar el objeto contractual, que la entidad pretende satisfacer ahora</w:t>
      </w:r>
      <w:r w:rsidRPr="00E70CD4">
        <w:rPr>
          <w:rStyle w:val="Refdenotaalpie"/>
          <w:rFonts w:ascii="Arial" w:eastAsia="Calibri" w:hAnsi="Arial" w:cs="Arial"/>
          <w:sz w:val="22"/>
        </w:rPr>
        <w:footnoteReference w:id="5"/>
      </w:r>
      <w:r w:rsidRPr="00E70CD4">
        <w:rPr>
          <w:rFonts w:ascii="Arial" w:eastAsia="Calibri" w:hAnsi="Arial" w:cs="Arial"/>
          <w:sz w:val="22"/>
        </w:rPr>
        <w:t>.</w:t>
      </w:r>
    </w:p>
    <w:p w14:paraId="4BB4711A" w14:textId="3F9F3AD9" w:rsidR="00A40336" w:rsidRPr="00E70CD4" w:rsidRDefault="00A40336" w:rsidP="00A51EC3">
      <w:pPr>
        <w:spacing w:before="120" w:after="120" w:line="276" w:lineRule="auto"/>
        <w:ind w:firstLine="709"/>
        <w:jc w:val="both"/>
        <w:rPr>
          <w:rFonts w:ascii="Arial" w:eastAsia="Calibri" w:hAnsi="Arial" w:cs="Arial"/>
          <w:sz w:val="22"/>
        </w:rPr>
      </w:pPr>
      <w:r w:rsidRPr="00E70CD4">
        <w:rPr>
          <w:rFonts w:ascii="Arial" w:eastAsia="Calibri" w:hAnsi="Arial" w:cs="Arial"/>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w:t>
      </w:r>
      <w:r w:rsidR="007D23CA" w:rsidRPr="00E70CD4">
        <w:rPr>
          <w:rFonts w:ascii="Arial" w:eastAsia="Calibri" w:hAnsi="Arial" w:cs="Arial"/>
          <w:sz w:val="22"/>
        </w:rPr>
        <w:t xml:space="preserve">conclusiones relevantes en relación con los rasgos característicos de la experiencia: </w:t>
      </w:r>
    </w:p>
    <w:p w14:paraId="6463C5FD" w14:textId="77777777" w:rsidR="00A40336" w:rsidRPr="00E70CD4" w:rsidRDefault="00A40336" w:rsidP="00B20344">
      <w:pPr>
        <w:spacing w:before="120" w:after="120" w:line="276" w:lineRule="auto"/>
        <w:ind w:firstLine="709"/>
        <w:jc w:val="both"/>
        <w:rPr>
          <w:rFonts w:ascii="Arial" w:eastAsia="Calibri" w:hAnsi="Arial" w:cs="Arial"/>
          <w:sz w:val="22"/>
        </w:rPr>
      </w:pPr>
      <w:r w:rsidRPr="00E70CD4">
        <w:rPr>
          <w:rFonts w:ascii="Arial" w:eastAsia="Calibri" w:hAnsi="Arial" w:cs="Arial"/>
          <w:sz w:val="22"/>
        </w:rPr>
        <w:t>i) La experiencia es personal, esto es, se adquiere participando, directa o indirectamente, sin que sea posible no participar y tener una experiencia que no es propia.</w:t>
      </w:r>
    </w:p>
    <w:p w14:paraId="62AF690E" w14:textId="3C04A727" w:rsidR="00A40336" w:rsidRPr="00E70CD4" w:rsidRDefault="00A40336" w:rsidP="00B20344">
      <w:pPr>
        <w:spacing w:before="120" w:after="120" w:line="276" w:lineRule="auto"/>
        <w:ind w:firstLine="709"/>
        <w:jc w:val="both"/>
        <w:rPr>
          <w:rFonts w:ascii="Arial" w:eastAsia="Calibri" w:hAnsi="Arial" w:cs="Arial"/>
          <w:sz w:val="22"/>
        </w:rPr>
      </w:pPr>
      <w:r w:rsidRPr="00E70CD4">
        <w:rPr>
          <w:rFonts w:ascii="Arial" w:eastAsia="Calibri" w:hAnsi="Arial" w:cs="Arial"/>
          <w:sz w:val="22"/>
        </w:rPr>
        <w:lastRenderedPageBreak/>
        <w:t xml:space="preserve">ii) La experiencia se puede compartir, sin que </w:t>
      </w:r>
      <w:r w:rsidR="00600D64" w:rsidRPr="00E70CD4">
        <w:rPr>
          <w:rFonts w:ascii="Arial" w:eastAsia="Calibri" w:hAnsi="Arial" w:cs="Arial"/>
          <w:sz w:val="22"/>
        </w:rPr>
        <w:t xml:space="preserve">la compartida </w:t>
      </w:r>
      <w:r w:rsidRPr="00E70CD4">
        <w:rPr>
          <w:rFonts w:ascii="Arial" w:eastAsia="Calibri" w:hAnsi="Arial" w:cs="Arial"/>
          <w:sz w:val="22"/>
        </w:rPr>
        <w:t>se entienda suya, ya que dentro del procedimiento contractual se reflejará que esa persona tiene la experiencia de otra,</w:t>
      </w:r>
      <w:r w:rsidR="00600D64" w:rsidRPr="00E70CD4">
        <w:rPr>
          <w:rFonts w:ascii="Arial" w:eastAsia="Calibri" w:hAnsi="Arial" w:cs="Arial"/>
          <w:sz w:val="22"/>
        </w:rPr>
        <w:t xml:space="preserve"> como es el caso de la que</w:t>
      </w:r>
      <w:r w:rsidRPr="00E70CD4">
        <w:rPr>
          <w:rFonts w:ascii="Arial" w:eastAsia="Calibri" w:hAnsi="Arial" w:cs="Arial"/>
          <w:sz w:val="22"/>
        </w:rPr>
        <w:t xml:space="preserve"> aportan los socios a las sociedades con menos de 3 años de constitución, lo cual constará en el RUP; o de las figuras asociativas  ̶ consorcios y uniones temporales ̶  que se verificará en el documento privado de constitución.</w:t>
      </w:r>
    </w:p>
    <w:p w14:paraId="7E5E185F" w14:textId="124B72AA" w:rsidR="00A40336" w:rsidRPr="00E70CD4" w:rsidRDefault="00A40336" w:rsidP="00B20344">
      <w:pPr>
        <w:spacing w:before="120" w:after="120" w:line="276" w:lineRule="auto"/>
        <w:ind w:firstLine="709"/>
        <w:jc w:val="both"/>
        <w:rPr>
          <w:rFonts w:ascii="Arial" w:eastAsia="Calibri" w:hAnsi="Arial" w:cs="Arial"/>
          <w:sz w:val="22"/>
        </w:rPr>
      </w:pPr>
      <w:r w:rsidRPr="00E70CD4">
        <w:rPr>
          <w:rFonts w:ascii="Arial" w:eastAsia="Calibri" w:hAnsi="Arial" w:cs="Arial"/>
          <w:sz w:val="22"/>
        </w:rPr>
        <w:t>iii) La experiencia se puede transferir, y es diferente a compartir, puesto que implica que la experiencia de una persona se traslada a otra, y esta última acredita esa experiencia como propia, lo cual es el caso de algunas figuras y reformas estatutarias</w:t>
      </w:r>
      <w:r w:rsidR="007D23CA" w:rsidRPr="00E70CD4">
        <w:rPr>
          <w:rFonts w:ascii="Arial" w:eastAsia="Calibri" w:hAnsi="Arial" w:cs="Arial"/>
          <w:sz w:val="22"/>
        </w:rPr>
        <w:t xml:space="preserve">. </w:t>
      </w:r>
    </w:p>
    <w:p w14:paraId="5531543B" w14:textId="49E1CC95" w:rsidR="00A40336" w:rsidRPr="00E70CD4" w:rsidRDefault="00A40336" w:rsidP="00B20344">
      <w:pPr>
        <w:spacing w:before="120" w:after="120" w:line="276" w:lineRule="auto"/>
        <w:ind w:firstLine="709"/>
        <w:jc w:val="both"/>
        <w:rPr>
          <w:rFonts w:ascii="Arial" w:eastAsia="Calibri" w:hAnsi="Arial" w:cs="Arial"/>
          <w:sz w:val="22"/>
        </w:rPr>
      </w:pPr>
      <w:r w:rsidRPr="00E70CD4">
        <w:rPr>
          <w:rFonts w:ascii="Arial" w:eastAsia="Calibri" w:hAnsi="Arial" w:cs="Arial"/>
          <w:sz w:val="22"/>
        </w:rPr>
        <w:t>iv) Cuando la persona que adquirió la experiencia desaparece o se liquida, no es posible que comparta o transfiera su experiencia, porque al ser personal sigue la suerte de quien la adquirió.</w:t>
      </w:r>
    </w:p>
    <w:p w14:paraId="203F2A9A" w14:textId="5E6733E1" w:rsidR="00405D38" w:rsidRPr="00E70CD4" w:rsidRDefault="00A40336" w:rsidP="00A51EC3">
      <w:pPr>
        <w:spacing w:before="120" w:after="120" w:line="276" w:lineRule="auto"/>
        <w:ind w:firstLine="709"/>
        <w:jc w:val="both"/>
        <w:rPr>
          <w:rFonts w:ascii="Arial" w:hAnsi="Arial" w:cs="Arial"/>
          <w:sz w:val="22"/>
        </w:rPr>
      </w:pPr>
      <w:r w:rsidRPr="00E70CD4">
        <w:rPr>
          <w:rFonts w:ascii="Arial" w:hAnsi="Arial" w:cs="Arial"/>
          <w:sz w:val="22"/>
        </w:rPr>
        <w:t>Ahora, el</w:t>
      </w:r>
      <w:r w:rsidR="00037F54" w:rsidRPr="00E70CD4">
        <w:rPr>
          <w:rFonts w:ascii="Arial" w:hAnsi="Arial" w:cs="Arial"/>
          <w:sz w:val="22"/>
        </w:rPr>
        <w:t xml:space="preserve"> </w:t>
      </w:r>
      <w:r w:rsidR="00B20344" w:rsidRPr="00E70CD4">
        <w:rPr>
          <w:rFonts w:ascii="Arial" w:hAnsi="Arial" w:cs="Arial"/>
          <w:sz w:val="22"/>
        </w:rPr>
        <w:t xml:space="preserve">Registro Único de Proponentes </w:t>
      </w:r>
      <w:r w:rsidR="00B20344" w:rsidRPr="00E70CD4">
        <w:rPr>
          <w:rFonts w:ascii="Arial" w:eastAsia="Calibri" w:hAnsi="Arial" w:cs="Arial"/>
          <w:sz w:val="22"/>
        </w:rPr>
        <w:t xml:space="preserve">― </w:t>
      </w:r>
      <w:r w:rsidR="00037F54" w:rsidRPr="00E70CD4">
        <w:rPr>
          <w:rFonts w:ascii="Arial" w:hAnsi="Arial" w:cs="Arial"/>
          <w:sz w:val="22"/>
        </w:rPr>
        <w:t xml:space="preserve">RUP fue creado por el artículo 6 de la Ley 1150 de 2007, y se constituye como el medio idóneo para verificar las condiciones de los proponentes en procesos de contratación pública. </w:t>
      </w:r>
      <w:r w:rsidR="00405D38" w:rsidRPr="00E70CD4">
        <w:rPr>
          <w:rFonts w:ascii="Arial" w:hAnsi="Arial" w:cs="Arial"/>
          <w:sz w:val="22"/>
        </w:rPr>
        <w:t>Este registro, conforme a lo señalado por la Corte Constitucional</w:t>
      </w:r>
      <w:r w:rsidR="00405D38" w:rsidRPr="00E70CD4">
        <w:rPr>
          <w:rStyle w:val="Refdenotaalpie"/>
          <w:rFonts w:ascii="Arial" w:hAnsi="Arial" w:cs="Arial"/>
          <w:sz w:val="22"/>
        </w:rPr>
        <w:footnoteReference w:id="6"/>
      </w:r>
      <w:r w:rsidR="00405D38" w:rsidRPr="00E70CD4">
        <w:rPr>
          <w:rFonts w:ascii="Arial" w:hAnsi="Arial" w:cs="Arial"/>
          <w:sz w:val="22"/>
        </w:rPr>
        <w:t>, po</w:t>
      </w:r>
      <w:r w:rsidR="00600D64" w:rsidRPr="00E70CD4">
        <w:rPr>
          <w:rFonts w:ascii="Arial" w:hAnsi="Arial" w:cs="Arial"/>
          <w:sz w:val="22"/>
        </w:rPr>
        <w:t xml:space="preserve">r atribución legal </w:t>
      </w:r>
      <w:r w:rsidR="00405D38" w:rsidRPr="00E70CD4">
        <w:rPr>
          <w:rFonts w:ascii="Arial" w:hAnsi="Arial" w:cs="Arial"/>
          <w:sz w:val="22"/>
        </w:rPr>
        <w:t>es administrado por las Cámaras de Comercio</w:t>
      </w:r>
      <w:r w:rsidR="009B3787">
        <w:rPr>
          <w:rFonts w:ascii="Arial" w:hAnsi="Arial" w:cs="Arial"/>
          <w:sz w:val="22"/>
        </w:rPr>
        <w:t xml:space="preserve"> y </w:t>
      </w:r>
      <w:r w:rsidR="00600D64" w:rsidRPr="00E70CD4">
        <w:rPr>
          <w:rFonts w:ascii="Arial" w:hAnsi="Arial" w:cs="Arial"/>
          <w:sz w:val="22"/>
        </w:rPr>
        <w:t>la actividad relacionada en</w:t>
      </w:r>
      <w:r w:rsidR="00405D38" w:rsidRPr="00E70CD4">
        <w:rPr>
          <w:rFonts w:ascii="Arial" w:hAnsi="Arial" w:cs="Arial"/>
          <w:sz w:val="22"/>
        </w:rPr>
        <w:t xml:space="preserve"> el mismo est</w:t>
      </w:r>
      <w:r w:rsidR="005B461E" w:rsidRPr="00E70CD4">
        <w:rPr>
          <w:rFonts w:ascii="Arial" w:hAnsi="Arial" w:cs="Arial"/>
          <w:sz w:val="22"/>
        </w:rPr>
        <w:t xml:space="preserve">á </w:t>
      </w:r>
      <w:r w:rsidR="009B3787">
        <w:rPr>
          <w:rFonts w:ascii="Arial" w:hAnsi="Arial" w:cs="Arial"/>
          <w:sz w:val="22"/>
        </w:rPr>
        <w:t>«sometid[a]</w:t>
      </w:r>
      <w:r w:rsidR="00405D38" w:rsidRPr="00E70CD4">
        <w:rPr>
          <w:rFonts w:ascii="Arial" w:hAnsi="Arial" w:cs="Arial"/>
          <w:sz w:val="22"/>
        </w:rPr>
        <w:t xml:space="preserve"> a los principios de la función administrativa y de contratación estatal». </w:t>
      </w:r>
    </w:p>
    <w:p w14:paraId="2073C66C" w14:textId="42304CB4" w:rsidR="00463C60" w:rsidRPr="00E70CD4" w:rsidRDefault="00385FB2" w:rsidP="00600D64">
      <w:pPr>
        <w:spacing w:before="120" w:after="120" w:line="276" w:lineRule="auto"/>
        <w:ind w:firstLine="705"/>
        <w:jc w:val="both"/>
        <w:rPr>
          <w:rFonts w:ascii="Arial" w:hAnsi="Arial" w:cs="Arial"/>
          <w:sz w:val="22"/>
        </w:rPr>
      </w:pPr>
      <w:r>
        <w:rPr>
          <w:rFonts w:ascii="Arial" w:hAnsi="Arial" w:cs="Arial"/>
          <w:sz w:val="22"/>
        </w:rPr>
        <w:t>E</w:t>
      </w:r>
      <w:r w:rsidR="00463C60" w:rsidRPr="00E70CD4">
        <w:rPr>
          <w:rFonts w:ascii="Arial" w:hAnsi="Arial" w:cs="Arial"/>
          <w:sz w:val="22"/>
        </w:rPr>
        <w:t xml:space="preserve">l artículo 6 de la Ley 1150 de 2007 </w:t>
      </w:r>
      <w:r w:rsidR="00405D38" w:rsidRPr="00E70CD4">
        <w:rPr>
          <w:rFonts w:ascii="Arial" w:hAnsi="Arial" w:cs="Arial"/>
          <w:sz w:val="22"/>
        </w:rPr>
        <w:t xml:space="preserve">señala que el RUP </w:t>
      </w:r>
      <w:r w:rsidR="005B461E" w:rsidRPr="00E70CD4">
        <w:rPr>
          <w:rFonts w:ascii="Arial" w:hAnsi="Arial" w:cs="Arial"/>
          <w:sz w:val="22"/>
        </w:rPr>
        <w:t>«</w:t>
      </w:r>
      <w:r w:rsidR="00405D38" w:rsidRPr="00E70CD4">
        <w:rPr>
          <w:rFonts w:ascii="Arial" w:hAnsi="Arial" w:cs="Arial"/>
          <w:sz w:val="22"/>
        </w:rPr>
        <w:t>es plena prueba de las circunstancias que en ella se hagan constar y que hayan sido verific</w:t>
      </w:r>
      <w:r w:rsidR="00195275" w:rsidRPr="00E70CD4">
        <w:rPr>
          <w:rFonts w:ascii="Arial" w:hAnsi="Arial" w:cs="Arial"/>
          <w:sz w:val="22"/>
        </w:rPr>
        <w:t>adas por las Cámaras de Comercio</w:t>
      </w:r>
      <w:r w:rsidR="00405D38" w:rsidRPr="00E70CD4">
        <w:rPr>
          <w:rFonts w:ascii="Arial" w:hAnsi="Arial" w:cs="Arial"/>
          <w:sz w:val="22"/>
        </w:rPr>
        <w:t xml:space="preserve">», es decir, </w:t>
      </w:r>
      <w:r w:rsidR="00463C60" w:rsidRPr="00E70CD4">
        <w:rPr>
          <w:rFonts w:ascii="Arial" w:hAnsi="Arial" w:cs="Arial"/>
          <w:sz w:val="22"/>
        </w:rPr>
        <w:t>estableció una regla probatoria en lo que se refiere a l</w:t>
      </w:r>
      <w:r w:rsidR="00405D38" w:rsidRPr="00E70CD4">
        <w:rPr>
          <w:rFonts w:ascii="Arial" w:hAnsi="Arial" w:cs="Arial"/>
          <w:sz w:val="22"/>
        </w:rPr>
        <w:t xml:space="preserve">as condiciones de </w:t>
      </w:r>
      <w:r w:rsidRPr="00E70CD4">
        <w:rPr>
          <w:rFonts w:ascii="Arial" w:hAnsi="Arial" w:cs="Arial"/>
          <w:sz w:val="22"/>
        </w:rPr>
        <w:t>las proponentes contenidas</w:t>
      </w:r>
      <w:r w:rsidR="00405D38" w:rsidRPr="00E70CD4">
        <w:rPr>
          <w:rFonts w:ascii="Arial" w:hAnsi="Arial" w:cs="Arial"/>
          <w:sz w:val="22"/>
        </w:rPr>
        <w:t xml:space="preserve"> en el registro,</w:t>
      </w:r>
      <w:r w:rsidR="009B3787">
        <w:rPr>
          <w:rFonts w:ascii="Arial" w:hAnsi="Arial" w:cs="Arial"/>
          <w:sz w:val="22"/>
        </w:rPr>
        <w:t xml:space="preserve"> y asignó la competencia a las c</w:t>
      </w:r>
      <w:r w:rsidR="00405D38" w:rsidRPr="00E70CD4">
        <w:rPr>
          <w:rFonts w:ascii="Arial" w:hAnsi="Arial" w:cs="Arial"/>
          <w:sz w:val="22"/>
        </w:rPr>
        <w:t xml:space="preserve">ámaras para verificarlas. </w:t>
      </w:r>
    </w:p>
    <w:p w14:paraId="58BF3117" w14:textId="281FDB27" w:rsidR="00463C60" w:rsidRPr="00E70CD4" w:rsidRDefault="00195275" w:rsidP="00A51EC3">
      <w:pPr>
        <w:spacing w:before="120" w:after="120" w:line="276" w:lineRule="auto"/>
        <w:ind w:left="180" w:firstLine="525"/>
        <w:jc w:val="both"/>
        <w:rPr>
          <w:rFonts w:ascii="Arial" w:hAnsi="Arial" w:cs="Arial"/>
          <w:sz w:val="22"/>
        </w:rPr>
      </w:pPr>
      <w:r w:rsidRPr="00E70CD4">
        <w:rPr>
          <w:rFonts w:ascii="Arial" w:hAnsi="Arial" w:cs="Arial"/>
          <w:sz w:val="22"/>
        </w:rPr>
        <w:t xml:space="preserve">Como se dijo, </w:t>
      </w:r>
      <w:r w:rsidR="00463C60" w:rsidRPr="00E70CD4">
        <w:rPr>
          <w:rFonts w:ascii="Arial" w:hAnsi="Arial" w:cs="Arial"/>
          <w:sz w:val="22"/>
        </w:rPr>
        <w:t>la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w:t>
      </w:r>
      <w:r w:rsidR="00A51EC3">
        <w:rPr>
          <w:rFonts w:ascii="Arial" w:hAnsi="Arial" w:cs="Arial"/>
          <w:sz w:val="22"/>
        </w:rPr>
        <w:t xml:space="preserve"> </w:t>
      </w:r>
      <w:r w:rsidR="00463C60" w:rsidRPr="00E70CD4">
        <w:rPr>
          <w:rFonts w:ascii="Arial" w:hAnsi="Arial" w:cs="Arial"/>
          <w:sz w:val="22"/>
        </w:rPr>
        <w:t>constituidas; los actos y contratos que tengan por objeto directo las actividades</w:t>
      </w:r>
      <w:r w:rsidR="004F3C32">
        <w:rPr>
          <w:rFonts w:ascii="Arial" w:hAnsi="Arial" w:cs="Arial"/>
          <w:sz w:val="22"/>
        </w:rPr>
        <w:t xml:space="preserve"> </w:t>
      </w:r>
      <w:r w:rsidR="00463C60" w:rsidRPr="00E70CD4">
        <w:rPr>
          <w:rFonts w:ascii="Arial" w:hAnsi="Arial" w:cs="Arial"/>
          <w:sz w:val="22"/>
        </w:rPr>
        <w:t xml:space="preserve">comerciales e industriales propias de las empresas industriales y comerciales del Estado y las sociedades de economía mixta y los contratos de concesión de cualquier índole. </w:t>
      </w:r>
    </w:p>
    <w:p w14:paraId="73F3CD7B" w14:textId="4AA51741" w:rsidR="00037F54" w:rsidRPr="00E70CD4" w:rsidRDefault="00463C60" w:rsidP="004A02BA">
      <w:pPr>
        <w:spacing w:before="120" w:after="120" w:line="276" w:lineRule="auto"/>
        <w:jc w:val="both"/>
        <w:rPr>
          <w:rFonts w:ascii="Arial" w:hAnsi="Arial" w:cs="Arial"/>
          <w:sz w:val="22"/>
        </w:rPr>
      </w:pPr>
      <w:r w:rsidRPr="00E70CD4">
        <w:rPr>
          <w:rFonts w:ascii="Arial" w:hAnsi="Arial" w:cs="Arial"/>
          <w:sz w:val="22"/>
        </w:rPr>
        <w:tab/>
      </w:r>
      <w:r w:rsidR="00037F54" w:rsidRPr="00E70CD4">
        <w:rPr>
          <w:rFonts w:ascii="Arial" w:hAnsi="Arial" w:cs="Arial"/>
          <w:sz w:val="22"/>
        </w:rPr>
        <w:t>Asimismo, c</w:t>
      </w:r>
      <w:r w:rsidRPr="00E70CD4">
        <w:rPr>
          <w:rFonts w:ascii="Arial" w:hAnsi="Arial" w:cs="Arial"/>
          <w:sz w:val="22"/>
        </w:rPr>
        <w:t>orrelativo a este</w:t>
      </w:r>
      <w:r w:rsidR="00037F54" w:rsidRPr="00E70CD4">
        <w:rPr>
          <w:rFonts w:ascii="Arial" w:hAnsi="Arial" w:cs="Arial"/>
          <w:sz w:val="22"/>
        </w:rPr>
        <w:t xml:space="preserve"> deber de </w:t>
      </w:r>
      <w:r w:rsidRPr="00E70CD4">
        <w:rPr>
          <w:rFonts w:ascii="Arial" w:hAnsi="Arial" w:cs="Arial"/>
          <w:sz w:val="22"/>
        </w:rPr>
        <w:t>los proponentes, la norma im</w:t>
      </w:r>
      <w:r w:rsidR="00195275" w:rsidRPr="00E70CD4">
        <w:rPr>
          <w:rFonts w:ascii="Arial" w:hAnsi="Arial" w:cs="Arial"/>
          <w:sz w:val="22"/>
        </w:rPr>
        <w:t xml:space="preserve">puso a las cámaras de comercio </w:t>
      </w:r>
      <w:r w:rsidR="00037F54" w:rsidRPr="00E70CD4">
        <w:rPr>
          <w:rFonts w:ascii="Arial" w:hAnsi="Arial" w:cs="Arial"/>
          <w:sz w:val="22"/>
        </w:rPr>
        <w:t xml:space="preserve">la obligación </w:t>
      </w:r>
      <w:r w:rsidRPr="00E70CD4">
        <w:rPr>
          <w:rFonts w:ascii="Arial" w:hAnsi="Arial" w:cs="Arial"/>
          <w:sz w:val="22"/>
        </w:rPr>
        <w:t xml:space="preserve">de </w:t>
      </w:r>
      <w:r w:rsidR="00195275" w:rsidRPr="00E70CD4">
        <w:rPr>
          <w:rFonts w:ascii="Arial" w:hAnsi="Arial" w:cs="Arial"/>
          <w:sz w:val="22"/>
        </w:rPr>
        <w:t xml:space="preserve">verificar </w:t>
      </w:r>
      <w:r w:rsidRPr="00E70CD4">
        <w:rPr>
          <w:rFonts w:ascii="Arial" w:hAnsi="Arial" w:cs="Arial"/>
          <w:sz w:val="22"/>
        </w:rPr>
        <w:t xml:space="preserve">los requisitos habilitantes de quienes se registren en dicha base de datos. </w:t>
      </w:r>
      <w:r w:rsidR="00195275" w:rsidRPr="00E70CD4">
        <w:rPr>
          <w:rFonts w:ascii="Arial" w:hAnsi="Arial" w:cs="Arial"/>
          <w:sz w:val="22"/>
        </w:rPr>
        <w:t>E</w:t>
      </w:r>
      <w:r w:rsidRPr="00E70CD4">
        <w:rPr>
          <w:rFonts w:ascii="Arial" w:hAnsi="Arial" w:cs="Arial"/>
          <w:sz w:val="22"/>
        </w:rPr>
        <w:t>l inciso 2 del numeral 6.1</w:t>
      </w:r>
      <w:r w:rsidR="00195275" w:rsidRPr="00E70CD4">
        <w:rPr>
          <w:rFonts w:ascii="Arial" w:hAnsi="Arial" w:cs="Arial"/>
          <w:sz w:val="22"/>
        </w:rPr>
        <w:t>.</w:t>
      </w:r>
      <w:r w:rsidRPr="00E70CD4">
        <w:rPr>
          <w:rFonts w:ascii="Arial" w:hAnsi="Arial" w:cs="Arial"/>
          <w:sz w:val="22"/>
        </w:rPr>
        <w:t xml:space="preserve"> le otor</w:t>
      </w:r>
      <w:r w:rsidR="00195275" w:rsidRPr="00E70CD4">
        <w:rPr>
          <w:rFonts w:ascii="Arial" w:hAnsi="Arial" w:cs="Arial"/>
          <w:sz w:val="22"/>
        </w:rPr>
        <w:t>ga carácter de plena prueba a</w:t>
      </w:r>
      <w:r w:rsidRPr="00E70CD4">
        <w:rPr>
          <w:rFonts w:ascii="Arial" w:hAnsi="Arial" w:cs="Arial"/>
          <w:sz w:val="22"/>
        </w:rPr>
        <w:t xml:space="preserve"> la información </w:t>
      </w:r>
      <w:r w:rsidR="00486F92" w:rsidRPr="00E70CD4">
        <w:rPr>
          <w:rFonts w:ascii="Arial" w:hAnsi="Arial" w:cs="Arial"/>
          <w:sz w:val="22"/>
        </w:rPr>
        <w:t>co</w:t>
      </w:r>
      <w:r w:rsidR="00195275" w:rsidRPr="00E70CD4">
        <w:rPr>
          <w:rFonts w:ascii="Arial" w:hAnsi="Arial" w:cs="Arial"/>
          <w:sz w:val="22"/>
        </w:rPr>
        <w:t>ntenida en el registro que haya sido verificada</w:t>
      </w:r>
      <w:r w:rsidR="00486F92" w:rsidRPr="00E70CD4">
        <w:rPr>
          <w:rFonts w:ascii="Arial" w:hAnsi="Arial" w:cs="Arial"/>
          <w:sz w:val="22"/>
        </w:rPr>
        <w:t xml:space="preserve"> por l</w:t>
      </w:r>
      <w:r w:rsidR="009B3787">
        <w:rPr>
          <w:rFonts w:ascii="Arial" w:hAnsi="Arial" w:cs="Arial"/>
          <w:sz w:val="22"/>
        </w:rPr>
        <w:t>as cámaras de c</w:t>
      </w:r>
      <w:r w:rsidR="00486F92" w:rsidRPr="00E70CD4">
        <w:rPr>
          <w:rFonts w:ascii="Arial" w:hAnsi="Arial" w:cs="Arial"/>
          <w:sz w:val="22"/>
        </w:rPr>
        <w:t>omercio y</w:t>
      </w:r>
      <w:r w:rsidR="00195275" w:rsidRPr="00E70CD4">
        <w:rPr>
          <w:rFonts w:ascii="Arial" w:hAnsi="Arial" w:cs="Arial"/>
          <w:sz w:val="22"/>
        </w:rPr>
        <w:t>,</w:t>
      </w:r>
      <w:r w:rsidR="00486F92" w:rsidRPr="00E70CD4">
        <w:rPr>
          <w:rFonts w:ascii="Arial" w:hAnsi="Arial" w:cs="Arial"/>
          <w:sz w:val="22"/>
        </w:rPr>
        <w:t xml:space="preserve"> además</w:t>
      </w:r>
      <w:r w:rsidR="00037F54" w:rsidRPr="00E70CD4">
        <w:rPr>
          <w:rFonts w:ascii="Arial" w:hAnsi="Arial" w:cs="Arial"/>
          <w:sz w:val="22"/>
        </w:rPr>
        <w:t>,</w:t>
      </w:r>
      <w:r w:rsidR="00195275" w:rsidRPr="00E70CD4">
        <w:rPr>
          <w:rFonts w:ascii="Arial" w:hAnsi="Arial" w:cs="Arial"/>
          <w:sz w:val="22"/>
        </w:rPr>
        <w:t xml:space="preserve"> </w:t>
      </w:r>
      <w:r w:rsidR="00486F92" w:rsidRPr="00E70CD4">
        <w:rPr>
          <w:rFonts w:ascii="Arial" w:hAnsi="Arial" w:cs="Arial"/>
          <w:sz w:val="22"/>
        </w:rPr>
        <w:t xml:space="preserve">consagró una especie de tarifa legal respecto de la acreditación de </w:t>
      </w:r>
      <w:r w:rsidR="00486F92" w:rsidRPr="00E70CD4">
        <w:rPr>
          <w:rFonts w:ascii="Arial" w:hAnsi="Arial" w:cs="Arial"/>
          <w:sz w:val="22"/>
        </w:rPr>
        <w:lastRenderedPageBreak/>
        <w:t>los requisitos habilitantes, pues señala que la verificación de las condiciones de que trata el numeral 1 el ar</w:t>
      </w:r>
      <w:r w:rsidR="00195275" w:rsidRPr="00E70CD4">
        <w:rPr>
          <w:rFonts w:ascii="Arial" w:hAnsi="Arial" w:cs="Arial"/>
          <w:sz w:val="22"/>
        </w:rPr>
        <w:t>tículo 5 de la Ley 1150 de 2007 se demostrará</w:t>
      </w:r>
      <w:r w:rsidR="00486F92" w:rsidRPr="00E70CD4">
        <w:rPr>
          <w:rFonts w:ascii="Arial" w:hAnsi="Arial" w:cs="Arial"/>
          <w:sz w:val="22"/>
        </w:rPr>
        <w:t xml:space="preserve"> «exclusivamente con el respectivo certificado del RUP en donde deberán constar dichas condiciones». </w:t>
      </w:r>
    </w:p>
    <w:p w14:paraId="63AAC34C" w14:textId="77777777" w:rsidR="00385FB2" w:rsidRDefault="00486F92" w:rsidP="00385FB2">
      <w:pPr>
        <w:spacing w:before="120" w:after="120" w:line="276" w:lineRule="auto"/>
        <w:ind w:firstLine="708"/>
        <w:jc w:val="both"/>
        <w:rPr>
          <w:rFonts w:ascii="Arial" w:hAnsi="Arial" w:cs="Arial"/>
          <w:sz w:val="22"/>
        </w:rPr>
      </w:pPr>
      <w:r w:rsidRPr="00E70CD4">
        <w:rPr>
          <w:rFonts w:ascii="Arial" w:hAnsi="Arial" w:cs="Arial"/>
          <w:sz w:val="22"/>
        </w:rPr>
        <w:t xml:space="preserve">Como consecuencia de lo anterior, la norma dispone que a las entidades les está </w:t>
      </w:r>
      <w:r w:rsidR="00195275" w:rsidRPr="00E70CD4">
        <w:rPr>
          <w:rFonts w:ascii="Arial" w:hAnsi="Arial" w:cs="Arial"/>
          <w:sz w:val="22"/>
        </w:rPr>
        <w:t>prohibido</w:t>
      </w:r>
      <w:r w:rsidRPr="00E70CD4">
        <w:rPr>
          <w:rFonts w:ascii="Arial" w:hAnsi="Arial" w:cs="Arial"/>
          <w:sz w:val="22"/>
        </w:rPr>
        <w:t xml:space="preserve"> exigir </w:t>
      </w:r>
      <w:r w:rsidR="00195275" w:rsidRPr="00E70CD4">
        <w:rPr>
          <w:rFonts w:ascii="Arial" w:hAnsi="Arial" w:cs="Arial"/>
          <w:sz w:val="22"/>
        </w:rPr>
        <w:t xml:space="preserve">otros </w:t>
      </w:r>
      <w:r w:rsidRPr="00E70CD4">
        <w:rPr>
          <w:rFonts w:ascii="Arial" w:hAnsi="Arial" w:cs="Arial"/>
          <w:sz w:val="22"/>
        </w:rPr>
        <w:t>documentos para efectuar la inscripción en el registro, salvo</w:t>
      </w:r>
      <w:r w:rsidR="00037F54" w:rsidRPr="00E70CD4">
        <w:rPr>
          <w:rFonts w:ascii="Arial" w:hAnsi="Arial" w:cs="Arial"/>
          <w:sz w:val="22"/>
        </w:rPr>
        <w:t xml:space="preserve"> lo dispuesto </w:t>
      </w:r>
      <w:r w:rsidR="00F16966" w:rsidRPr="00E70CD4">
        <w:rPr>
          <w:rFonts w:ascii="Arial" w:hAnsi="Arial" w:cs="Arial"/>
          <w:sz w:val="22"/>
        </w:rPr>
        <w:t>en el inciso 3 del numeral 6.1.</w:t>
      </w:r>
      <w:r w:rsidR="00037F54" w:rsidRPr="00E70CD4">
        <w:rPr>
          <w:rFonts w:ascii="Arial" w:hAnsi="Arial" w:cs="Arial"/>
          <w:sz w:val="22"/>
        </w:rPr>
        <w:t xml:space="preserve">del artículo 6 de la Ley 1150 de 2007, en el que se prevé que la entidad podrá verificar requisitos adicionales a los contenidos en el registro </w:t>
      </w:r>
      <w:r w:rsidR="00F16966" w:rsidRPr="00E70CD4">
        <w:rPr>
          <w:rFonts w:ascii="Arial" w:hAnsi="Arial" w:cs="Arial"/>
          <w:sz w:val="22"/>
        </w:rPr>
        <w:t>cuando</w:t>
      </w:r>
      <w:r w:rsidRPr="00E70CD4">
        <w:rPr>
          <w:rFonts w:ascii="Arial" w:hAnsi="Arial" w:cs="Arial"/>
          <w:sz w:val="22"/>
        </w:rPr>
        <w:t xml:space="preserve"> </w:t>
      </w:r>
      <w:r w:rsidR="00037F54" w:rsidRPr="00E70CD4">
        <w:rPr>
          <w:rFonts w:ascii="Arial" w:hAnsi="Arial" w:cs="Arial"/>
          <w:sz w:val="22"/>
        </w:rPr>
        <w:t>se requiera en virtud de la naturaleza</w:t>
      </w:r>
      <w:r w:rsidRPr="00E70CD4">
        <w:rPr>
          <w:rFonts w:ascii="Arial" w:hAnsi="Arial" w:cs="Arial"/>
          <w:sz w:val="22"/>
        </w:rPr>
        <w:t xml:space="preserve"> </w:t>
      </w:r>
      <w:r w:rsidR="00037F54" w:rsidRPr="00E70CD4">
        <w:rPr>
          <w:rFonts w:ascii="Arial" w:hAnsi="Arial" w:cs="Arial"/>
          <w:sz w:val="22"/>
        </w:rPr>
        <w:t>d</w:t>
      </w:r>
      <w:r w:rsidR="00F16966" w:rsidRPr="00E70CD4">
        <w:rPr>
          <w:rFonts w:ascii="Arial" w:hAnsi="Arial" w:cs="Arial"/>
          <w:sz w:val="22"/>
        </w:rPr>
        <w:t>el objeto a contratar</w:t>
      </w:r>
      <w:r w:rsidR="00037F54" w:rsidRPr="00E70CD4">
        <w:rPr>
          <w:rFonts w:ascii="Arial" w:hAnsi="Arial" w:cs="Arial"/>
          <w:sz w:val="22"/>
        </w:rPr>
        <w:t xml:space="preserve">. </w:t>
      </w:r>
      <w:r w:rsidRPr="00E70CD4">
        <w:rPr>
          <w:rFonts w:ascii="Arial" w:hAnsi="Arial" w:cs="Arial"/>
          <w:sz w:val="22"/>
        </w:rPr>
        <w:t xml:space="preserve">La misma norma señala que solo en este </w:t>
      </w:r>
      <w:r w:rsidR="00037F54" w:rsidRPr="00E70CD4">
        <w:rPr>
          <w:rFonts w:ascii="Arial" w:hAnsi="Arial" w:cs="Arial"/>
          <w:sz w:val="22"/>
        </w:rPr>
        <w:t>último</w:t>
      </w:r>
      <w:r w:rsidRPr="00E70CD4">
        <w:rPr>
          <w:rFonts w:ascii="Arial" w:hAnsi="Arial" w:cs="Arial"/>
          <w:sz w:val="22"/>
        </w:rPr>
        <w:t xml:space="preserve"> evento la entidad podrá hacer la verificación en forma directa, es decir, cu</w:t>
      </w:r>
      <w:r w:rsidR="00F16966" w:rsidRPr="00E70CD4">
        <w:rPr>
          <w:rFonts w:ascii="Arial" w:hAnsi="Arial" w:cs="Arial"/>
          <w:sz w:val="22"/>
        </w:rPr>
        <w:t>ando por el objeto del contrato</w:t>
      </w:r>
      <w:r w:rsidRPr="00E70CD4">
        <w:rPr>
          <w:rFonts w:ascii="Arial" w:hAnsi="Arial" w:cs="Arial"/>
          <w:sz w:val="22"/>
        </w:rPr>
        <w:t xml:space="preserve"> se requiera</w:t>
      </w:r>
      <w:r w:rsidR="00F16966" w:rsidRPr="00E70CD4">
        <w:rPr>
          <w:rFonts w:ascii="Arial" w:hAnsi="Arial" w:cs="Arial"/>
          <w:sz w:val="22"/>
        </w:rPr>
        <w:t>n</w:t>
      </w:r>
      <w:r w:rsidRPr="00E70CD4">
        <w:rPr>
          <w:rFonts w:ascii="Arial" w:hAnsi="Arial" w:cs="Arial"/>
          <w:sz w:val="22"/>
        </w:rPr>
        <w:t xml:space="preserve"> verificar requ</w:t>
      </w:r>
      <w:r w:rsidR="00037F54" w:rsidRPr="00E70CD4">
        <w:rPr>
          <w:rFonts w:ascii="Arial" w:hAnsi="Arial" w:cs="Arial"/>
          <w:sz w:val="22"/>
        </w:rPr>
        <w:t>i</w:t>
      </w:r>
      <w:r w:rsidRPr="00E70CD4">
        <w:rPr>
          <w:rFonts w:ascii="Arial" w:hAnsi="Arial" w:cs="Arial"/>
          <w:sz w:val="22"/>
        </w:rPr>
        <w:t xml:space="preserve">sitos adicionales a los contenidos en el registro. </w:t>
      </w:r>
      <w:r w:rsidR="00385FB2">
        <w:rPr>
          <w:rFonts w:ascii="Arial" w:hAnsi="Arial" w:cs="Arial"/>
          <w:sz w:val="22"/>
        </w:rPr>
        <w:t xml:space="preserve"> </w:t>
      </w:r>
    </w:p>
    <w:p w14:paraId="5F00180B" w14:textId="77777777" w:rsidR="00385FB2" w:rsidRDefault="00385FB2" w:rsidP="00385FB2">
      <w:pPr>
        <w:spacing w:line="276" w:lineRule="auto"/>
        <w:ind w:firstLine="709"/>
        <w:jc w:val="both"/>
        <w:rPr>
          <w:rFonts w:ascii="Arial" w:hAnsi="Arial" w:cs="Arial"/>
          <w:sz w:val="22"/>
        </w:rPr>
      </w:pPr>
    </w:p>
    <w:p w14:paraId="6EDA320A" w14:textId="106568BF" w:rsidR="00385FB2" w:rsidRDefault="00486F92" w:rsidP="00385FB2">
      <w:pPr>
        <w:spacing w:line="276" w:lineRule="auto"/>
        <w:ind w:firstLine="709"/>
        <w:jc w:val="both"/>
        <w:rPr>
          <w:rFonts w:ascii="Arial" w:hAnsi="Arial" w:cs="Arial"/>
          <w:sz w:val="22"/>
        </w:rPr>
      </w:pPr>
      <w:r w:rsidRPr="00E70CD4">
        <w:rPr>
          <w:rFonts w:ascii="Arial" w:hAnsi="Arial" w:cs="Arial"/>
          <w:sz w:val="22"/>
        </w:rPr>
        <w:t xml:space="preserve">De </w:t>
      </w:r>
      <w:r w:rsidR="00F16966" w:rsidRPr="00E70CD4">
        <w:rPr>
          <w:rFonts w:ascii="Arial" w:hAnsi="Arial" w:cs="Arial"/>
          <w:sz w:val="22"/>
        </w:rPr>
        <w:t>lo anterior se</w:t>
      </w:r>
      <w:r w:rsidR="009B3787">
        <w:rPr>
          <w:rFonts w:ascii="Arial" w:hAnsi="Arial" w:cs="Arial"/>
          <w:sz w:val="22"/>
        </w:rPr>
        <w:t xml:space="preserve"> concluye</w:t>
      </w:r>
      <w:r w:rsidR="00F16966" w:rsidRPr="00E70CD4">
        <w:rPr>
          <w:rFonts w:ascii="Arial" w:hAnsi="Arial" w:cs="Arial"/>
          <w:sz w:val="22"/>
        </w:rPr>
        <w:t xml:space="preserve"> que</w:t>
      </w:r>
      <w:r w:rsidR="004D5C0D" w:rsidRPr="00E70CD4">
        <w:rPr>
          <w:rFonts w:ascii="Arial" w:hAnsi="Arial" w:cs="Arial"/>
          <w:sz w:val="22"/>
        </w:rPr>
        <w:t xml:space="preserve"> </w:t>
      </w:r>
      <w:r w:rsidR="00037F54" w:rsidRPr="00E70CD4">
        <w:rPr>
          <w:rFonts w:ascii="Arial" w:hAnsi="Arial" w:cs="Arial"/>
          <w:sz w:val="22"/>
        </w:rPr>
        <w:t xml:space="preserve">la </w:t>
      </w:r>
      <w:r w:rsidR="004D5C0D" w:rsidRPr="00E70CD4">
        <w:rPr>
          <w:rFonts w:ascii="Arial" w:hAnsi="Arial" w:cs="Arial"/>
          <w:sz w:val="22"/>
        </w:rPr>
        <w:t>regla general es que la experiencia</w:t>
      </w:r>
      <w:r w:rsidRPr="00E70CD4">
        <w:rPr>
          <w:rFonts w:ascii="Arial" w:hAnsi="Arial" w:cs="Arial"/>
          <w:sz w:val="22"/>
        </w:rPr>
        <w:t xml:space="preserve"> </w:t>
      </w:r>
      <w:r w:rsidR="009B3787">
        <w:rPr>
          <w:rFonts w:ascii="Arial" w:hAnsi="Arial" w:cs="Arial"/>
          <w:sz w:val="22"/>
        </w:rPr>
        <w:t>se acredite</w:t>
      </w:r>
      <w:r w:rsidR="004D5C0D" w:rsidRPr="00E70CD4">
        <w:rPr>
          <w:rFonts w:ascii="Arial" w:hAnsi="Arial" w:cs="Arial"/>
          <w:sz w:val="22"/>
        </w:rPr>
        <w:t xml:space="preserve"> a través d</w:t>
      </w:r>
      <w:r w:rsidR="00F16966" w:rsidRPr="00E70CD4">
        <w:rPr>
          <w:rFonts w:ascii="Arial" w:hAnsi="Arial" w:cs="Arial"/>
          <w:sz w:val="22"/>
        </w:rPr>
        <w:t>el RUP y,</w:t>
      </w:r>
      <w:r w:rsidR="00037F54" w:rsidRPr="00E70CD4">
        <w:rPr>
          <w:rFonts w:ascii="Arial" w:hAnsi="Arial" w:cs="Arial"/>
          <w:sz w:val="22"/>
        </w:rPr>
        <w:t xml:space="preserve"> </w:t>
      </w:r>
      <w:r w:rsidR="004D5C0D" w:rsidRPr="00E70CD4">
        <w:rPr>
          <w:rFonts w:ascii="Arial" w:hAnsi="Arial" w:cs="Arial"/>
          <w:sz w:val="22"/>
        </w:rPr>
        <w:t xml:space="preserve">en consecuencia, </w:t>
      </w:r>
      <w:r w:rsidRPr="00E70CD4">
        <w:rPr>
          <w:rFonts w:ascii="Arial" w:hAnsi="Arial" w:cs="Arial"/>
          <w:sz w:val="22"/>
        </w:rPr>
        <w:t>la evaluaci</w:t>
      </w:r>
      <w:r w:rsidR="004D5C0D" w:rsidRPr="00E70CD4">
        <w:rPr>
          <w:rFonts w:ascii="Arial" w:hAnsi="Arial" w:cs="Arial"/>
          <w:sz w:val="22"/>
        </w:rPr>
        <w:t xml:space="preserve">ón de </w:t>
      </w:r>
      <w:r w:rsidR="009B3787">
        <w:rPr>
          <w:rFonts w:ascii="Arial" w:hAnsi="Arial" w:cs="Arial"/>
          <w:sz w:val="22"/>
        </w:rPr>
        <w:t xml:space="preserve">la </w:t>
      </w:r>
      <w:r w:rsidR="004D5C0D" w:rsidRPr="00E70CD4">
        <w:rPr>
          <w:rFonts w:ascii="Arial" w:hAnsi="Arial" w:cs="Arial"/>
          <w:sz w:val="22"/>
        </w:rPr>
        <w:t>experiencia, como requisito</w:t>
      </w:r>
      <w:r w:rsidR="00385FB2">
        <w:rPr>
          <w:rFonts w:ascii="Arial" w:hAnsi="Arial" w:cs="Arial"/>
          <w:sz w:val="22"/>
        </w:rPr>
        <w:t xml:space="preserve"> </w:t>
      </w:r>
      <w:r w:rsidR="004D5C0D" w:rsidRPr="00E70CD4">
        <w:rPr>
          <w:rFonts w:ascii="Arial" w:hAnsi="Arial" w:cs="Arial"/>
          <w:sz w:val="22"/>
        </w:rPr>
        <w:t xml:space="preserve">habilitante, no puede ser evaluada nuevamente por la entidad </w:t>
      </w:r>
      <w:r w:rsidR="00F16966" w:rsidRPr="00E70CD4">
        <w:rPr>
          <w:rFonts w:ascii="Arial" w:hAnsi="Arial" w:cs="Arial"/>
          <w:sz w:val="22"/>
        </w:rPr>
        <w:t>pública</w:t>
      </w:r>
      <w:r w:rsidR="004D5C0D" w:rsidRPr="00E70CD4">
        <w:rPr>
          <w:rFonts w:ascii="Arial" w:hAnsi="Arial" w:cs="Arial"/>
          <w:sz w:val="22"/>
        </w:rPr>
        <w:t xml:space="preserve"> a partir de otros criterios distintos a los señalados en el Registro Único</w:t>
      </w:r>
      <w:r w:rsidR="009B3787">
        <w:rPr>
          <w:rFonts w:ascii="Arial" w:hAnsi="Arial" w:cs="Arial"/>
          <w:sz w:val="22"/>
        </w:rPr>
        <w:t xml:space="preserve"> de Proponentes</w:t>
      </w:r>
      <w:r w:rsidR="004D5C0D" w:rsidRPr="00E70CD4">
        <w:rPr>
          <w:rFonts w:ascii="Arial" w:hAnsi="Arial" w:cs="Arial"/>
          <w:sz w:val="22"/>
        </w:rPr>
        <w:t xml:space="preserve">. </w:t>
      </w:r>
    </w:p>
    <w:p w14:paraId="10C3568E" w14:textId="77777777" w:rsidR="00385FB2" w:rsidRPr="00E70CD4" w:rsidRDefault="00385FB2" w:rsidP="00385FB2">
      <w:pPr>
        <w:spacing w:line="276" w:lineRule="auto"/>
        <w:ind w:firstLine="709"/>
        <w:jc w:val="both"/>
        <w:rPr>
          <w:rFonts w:ascii="Arial" w:hAnsi="Arial" w:cs="Arial"/>
          <w:sz w:val="22"/>
        </w:rPr>
      </w:pPr>
    </w:p>
    <w:p w14:paraId="43453DE1" w14:textId="09CE2046" w:rsidR="00F16966" w:rsidRDefault="00F972B1" w:rsidP="00385FB2">
      <w:pPr>
        <w:spacing w:line="276" w:lineRule="auto"/>
        <w:ind w:firstLine="709"/>
        <w:jc w:val="both"/>
        <w:rPr>
          <w:rFonts w:ascii="Arial" w:hAnsi="Arial" w:cs="Arial"/>
          <w:b/>
          <w:sz w:val="22"/>
        </w:rPr>
      </w:pPr>
      <w:r w:rsidRPr="00E70CD4">
        <w:rPr>
          <w:rFonts w:ascii="Arial" w:hAnsi="Arial" w:cs="Arial"/>
          <w:b/>
          <w:sz w:val="22"/>
        </w:rPr>
        <w:t>3. Respuestas</w:t>
      </w:r>
    </w:p>
    <w:p w14:paraId="43B8E12A" w14:textId="77777777" w:rsidR="00385FB2" w:rsidRPr="00E70CD4" w:rsidRDefault="00385FB2" w:rsidP="00385FB2">
      <w:pPr>
        <w:spacing w:line="276" w:lineRule="auto"/>
        <w:ind w:firstLine="709"/>
        <w:jc w:val="both"/>
        <w:rPr>
          <w:rFonts w:ascii="Arial" w:hAnsi="Arial" w:cs="Arial"/>
          <w:b/>
          <w:sz w:val="22"/>
        </w:rPr>
      </w:pPr>
    </w:p>
    <w:p w14:paraId="2D031BF2" w14:textId="3481E5D9" w:rsidR="004A21FA" w:rsidRDefault="00F16966" w:rsidP="00385FB2">
      <w:pPr>
        <w:spacing w:line="276" w:lineRule="auto"/>
        <w:ind w:left="709" w:right="709"/>
        <w:jc w:val="both"/>
        <w:rPr>
          <w:rFonts w:ascii="Arial" w:eastAsia="Calibri" w:hAnsi="Arial" w:cs="Arial"/>
          <w:sz w:val="22"/>
        </w:rPr>
      </w:pPr>
      <w:r w:rsidRPr="00E70CD4">
        <w:rPr>
          <w:rFonts w:ascii="Arial" w:eastAsia="Calibri" w:hAnsi="Arial" w:cs="Arial"/>
          <w:sz w:val="22"/>
        </w:rPr>
        <w:t>i) ¿L</w:t>
      </w:r>
      <w:r w:rsidR="00FD098C" w:rsidRPr="00E70CD4">
        <w:rPr>
          <w:rFonts w:ascii="Arial" w:eastAsia="Calibri" w:hAnsi="Arial" w:cs="Arial"/>
          <w:sz w:val="22"/>
        </w:rPr>
        <w:t>a experiencia de los socios que se registra en el RUP de una sociedad nueva debe ser proporcional al porcentaje de participación que tengan cada uno de ellos en dicha sociedad?</w:t>
      </w:r>
    </w:p>
    <w:p w14:paraId="765B84CE" w14:textId="77777777" w:rsidR="00385FB2" w:rsidRPr="00385FB2" w:rsidRDefault="00385FB2" w:rsidP="00385FB2">
      <w:pPr>
        <w:spacing w:line="276" w:lineRule="auto"/>
        <w:ind w:left="709" w:right="709"/>
        <w:jc w:val="both"/>
        <w:rPr>
          <w:rFonts w:ascii="Arial" w:eastAsia="Calibri" w:hAnsi="Arial" w:cs="Arial"/>
          <w:sz w:val="22"/>
        </w:rPr>
      </w:pPr>
    </w:p>
    <w:p w14:paraId="68EB7ADD" w14:textId="25F40D5B" w:rsidR="00F16966" w:rsidRDefault="00126FEF" w:rsidP="009B3787">
      <w:pPr>
        <w:spacing w:line="276" w:lineRule="auto"/>
        <w:jc w:val="both"/>
        <w:rPr>
          <w:rFonts w:ascii="Arial" w:hAnsi="Arial" w:cs="Arial"/>
          <w:sz w:val="22"/>
        </w:rPr>
      </w:pPr>
      <w:r w:rsidRPr="00E70CD4">
        <w:rPr>
          <w:rFonts w:ascii="Arial" w:hAnsi="Arial" w:cs="Arial"/>
          <w:sz w:val="22"/>
        </w:rPr>
        <w:t>L</w:t>
      </w:r>
      <w:r w:rsidR="00FD098C" w:rsidRPr="00E70CD4">
        <w:rPr>
          <w:rFonts w:ascii="Arial" w:hAnsi="Arial" w:cs="Arial"/>
          <w:sz w:val="22"/>
        </w:rPr>
        <w:t xml:space="preserve">os socios, accionistas o </w:t>
      </w:r>
      <w:r w:rsidR="007D306C" w:rsidRPr="00E70CD4">
        <w:rPr>
          <w:rFonts w:ascii="Arial" w:hAnsi="Arial" w:cs="Arial"/>
          <w:sz w:val="22"/>
        </w:rPr>
        <w:t>constituyentes de l</w:t>
      </w:r>
      <w:r w:rsidRPr="00E70CD4">
        <w:rPr>
          <w:rFonts w:ascii="Arial" w:hAnsi="Arial" w:cs="Arial"/>
          <w:sz w:val="22"/>
        </w:rPr>
        <w:t xml:space="preserve">as personas jurídicas con </w:t>
      </w:r>
      <w:r w:rsidR="00FD098C" w:rsidRPr="00E70CD4">
        <w:rPr>
          <w:rFonts w:ascii="Arial" w:hAnsi="Arial" w:cs="Arial"/>
          <w:sz w:val="22"/>
        </w:rPr>
        <w:t xml:space="preserve">menos de 3 años </w:t>
      </w:r>
      <w:r w:rsidR="007D306C" w:rsidRPr="00E70CD4">
        <w:rPr>
          <w:rFonts w:ascii="Arial" w:hAnsi="Arial" w:cs="Arial"/>
          <w:sz w:val="22"/>
        </w:rPr>
        <w:t>de constitución podrán transferir su experiencia a dicha persona jurídica, sin tener en consideración el monto de pa</w:t>
      </w:r>
      <w:r w:rsidR="00F16966" w:rsidRPr="00E70CD4">
        <w:rPr>
          <w:rFonts w:ascii="Arial" w:hAnsi="Arial" w:cs="Arial"/>
          <w:sz w:val="22"/>
        </w:rPr>
        <w:t>rticipación de cada uno</w:t>
      </w:r>
      <w:r w:rsidR="009B3787">
        <w:rPr>
          <w:rFonts w:ascii="Arial" w:hAnsi="Arial" w:cs="Arial"/>
          <w:sz w:val="22"/>
        </w:rPr>
        <w:t xml:space="preserve"> en la sociedad. </w:t>
      </w:r>
    </w:p>
    <w:p w14:paraId="729DAC9E" w14:textId="77777777" w:rsidR="009B3787" w:rsidRPr="00E70CD4" w:rsidRDefault="009B3787" w:rsidP="009B3787">
      <w:pPr>
        <w:spacing w:line="276" w:lineRule="auto"/>
        <w:jc w:val="both"/>
        <w:rPr>
          <w:rFonts w:ascii="Arial" w:hAnsi="Arial" w:cs="Arial"/>
          <w:sz w:val="22"/>
        </w:rPr>
      </w:pPr>
    </w:p>
    <w:p w14:paraId="3D0D25AC" w14:textId="1EB11B86" w:rsidR="007D306C" w:rsidRPr="00E70CD4" w:rsidRDefault="007D306C" w:rsidP="00385FB2">
      <w:pPr>
        <w:spacing w:line="276" w:lineRule="auto"/>
        <w:ind w:left="709" w:right="709"/>
        <w:jc w:val="both"/>
        <w:rPr>
          <w:rFonts w:ascii="Arial" w:eastAsia="Calibri" w:hAnsi="Arial" w:cs="Arial"/>
          <w:sz w:val="22"/>
        </w:rPr>
      </w:pPr>
      <w:r w:rsidRPr="00E70CD4">
        <w:rPr>
          <w:rFonts w:ascii="Arial" w:eastAsia="Calibri" w:hAnsi="Arial" w:cs="Arial"/>
          <w:sz w:val="22"/>
        </w:rPr>
        <w:t xml:space="preserve">ii) </w:t>
      </w:r>
      <w:r w:rsidR="009B3787">
        <w:rPr>
          <w:rFonts w:ascii="Arial" w:eastAsia="Calibri" w:hAnsi="Arial" w:cs="Arial"/>
          <w:sz w:val="22"/>
        </w:rPr>
        <w:t>¿</w:t>
      </w:r>
      <w:r w:rsidRPr="00E70CD4">
        <w:rPr>
          <w:rFonts w:ascii="Arial" w:eastAsia="Calibri" w:hAnsi="Arial" w:cs="Arial"/>
          <w:sz w:val="22"/>
        </w:rPr>
        <w:t>Cómo debe evaluarse esa experiencia por las entidades estatales</w:t>
      </w:r>
      <w:r w:rsidR="00385FB2">
        <w:rPr>
          <w:rFonts w:ascii="Arial" w:eastAsia="Calibri" w:hAnsi="Arial" w:cs="Arial"/>
          <w:sz w:val="22"/>
        </w:rPr>
        <w:t>,</w:t>
      </w:r>
      <w:r w:rsidRPr="00E70CD4">
        <w:rPr>
          <w:rFonts w:ascii="Arial" w:eastAsia="Calibri" w:hAnsi="Arial" w:cs="Arial"/>
          <w:sz w:val="22"/>
        </w:rPr>
        <w:t xml:space="preserve"> es decir, si la entidad puede determinar cómo evalúa la </w:t>
      </w:r>
      <w:r w:rsidR="00F16966" w:rsidRPr="00E70CD4">
        <w:rPr>
          <w:rFonts w:ascii="Arial" w:eastAsia="Calibri" w:hAnsi="Arial" w:cs="Arial"/>
          <w:sz w:val="22"/>
        </w:rPr>
        <w:t>experiencia de los proponentes?</w:t>
      </w:r>
    </w:p>
    <w:p w14:paraId="0F3E6BA5" w14:textId="77777777" w:rsidR="00F16966" w:rsidRPr="00E70CD4" w:rsidRDefault="00F16966" w:rsidP="00385FB2">
      <w:pPr>
        <w:spacing w:line="276" w:lineRule="auto"/>
        <w:ind w:left="709" w:right="709"/>
        <w:jc w:val="both"/>
        <w:rPr>
          <w:rFonts w:ascii="Arial" w:hAnsi="Arial" w:cs="Arial"/>
          <w:sz w:val="22"/>
        </w:rPr>
      </w:pPr>
    </w:p>
    <w:p w14:paraId="1F1EAB35" w14:textId="6E32B1C5" w:rsidR="00200637" w:rsidRDefault="00200637" w:rsidP="00200637">
      <w:pPr>
        <w:spacing w:before="120" w:after="120" w:line="276" w:lineRule="auto"/>
        <w:jc w:val="both"/>
        <w:rPr>
          <w:rFonts w:ascii="Arial" w:hAnsi="Arial" w:cs="Arial"/>
          <w:sz w:val="22"/>
        </w:rPr>
      </w:pPr>
      <w:r>
        <w:rPr>
          <w:rFonts w:ascii="Arial" w:hAnsi="Arial" w:cs="Arial"/>
          <w:sz w:val="22"/>
        </w:rPr>
        <w:t xml:space="preserve">Las entidades deben evaluar la experiencia de los proponentes a partir de lo acreditado en el RUP. </w:t>
      </w:r>
      <w:r w:rsidRPr="00E70CD4">
        <w:rPr>
          <w:rFonts w:ascii="Arial" w:hAnsi="Arial" w:cs="Arial"/>
          <w:sz w:val="22"/>
        </w:rPr>
        <w:t>La norma dispone que a las entidades les está p</w:t>
      </w:r>
      <w:r w:rsidR="005558EA">
        <w:rPr>
          <w:rFonts w:ascii="Arial" w:hAnsi="Arial" w:cs="Arial"/>
          <w:sz w:val="22"/>
        </w:rPr>
        <w:t xml:space="preserve">rohibido exigir los </w:t>
      </w:r>
      <w:r w:rsidRPr="00E70CD4">
        <w:rPr>
          <w:rFonts w:ascii="Arial" w:hAnsi="Arial" w:cs="Arial"/>
          <w:sz w:val="22"/>
        </w:rPr>
        <w:t xml:space="preserve">documentos </w:t>
      </w:r>
      <w:r w:rsidR="005558EA">
        <w:rPr>
          <w:rFonts w:ascii="Arial" w:hAnsi="Arial" w:cs="Arial"/>
          <w:sz w:val="22"/>
        </w:rPr>
        <w:t xml:space="preserve">aportados </w:t>
      </w:r>
      <w:r w:rsidRPr="00E70CD4">
        <w:rPr>
          <w:rFonts w:ascii="Arial" w:hAnsi="Arial" w:cs="Arial"/>
          <w:sz w:val="22"/>
        </w:rPr>
        <w:t>para efectuar la inscripción en el registro, salvo lo dispuesto en el inciso 3 del numeral 6.1.</w:t>
      </w:r>
      <w:r w:rsidR="005558EA">
        <w:rPr>
          <w:rFonts w:ascii="Arial" w:hAnsi="Arial" w:cs="Arial"/>
          <w:sz w:val="22"/>
        </w:rPr>
        <w:t xml:space="preserve"> </w:t>
      </w:r>
      <w:r w:rsidRPr="00E70CD4">
        <w:rPr>
          <w:rFonts w:ascii="Arial" w:hAnsi="Arial" w:cs="Arial"/>
          <w:sz w:val="22"/>
        </w:rPr>
        <w:t xml:space="preserve">del artículo 6 de la Ley 1150 de 2007, en el que se prevé que la entidad podrá verificar requisitos adicionales a los contenidos en el registro cuando se requiera en virtud de la naturaleza del objeto a contratar. La misma norma señala que solo en este último </w:t>
      </w:r>
      <w:r w:rsidRPr="00E70CD4">
        <w:rPr>
          <w:rFonts w:ascii="Arial" w:hAnsi="Arial" w:cs="Arial"/>
          <w:sz w:val="22"/>
        </w:rPr>
        <w:lastRenderedPageBreak/>
        <w:t xml:space="preserve">evento la entidad podrá hacer la verificación en forma directa, es decir, cuando por el objeto del contrato se requieran verificar requisitos adicionales a los contenidos en el registro. </w:t>
      </w:r>
      <w:r>
        <w:rPr>
          <w:rFonts w:ascii="Arial" w:hAnsi="Arial" w:cs="Arial"/>
          <w:sz w:val="22"/>
        </w:rPr>
        <w:t xml:space="preserve"> </w:t>
      </w:r>
    </w:p>
    <w:p w14:paraId="673751AB" w14:textId="5FE2836A" w:rsidR="00200637" w:rsidRDefault="00200637" w:rsidP="005558EA">
      <w:pPr>
        <w:spacing w:line="276" w:lineRule="auto"/>
        <w:ind w:firstLine="708"/>
        <w:jc w:val="both"/>
        <w:rPr>
          <w:rFonts w:ascii="Arial" w:hAnsi="Arial" w:cs="Arial"/>
          <w:sz w:val="22"/>
        </w:rPr>
      </w:pPr>
      <w:r w:rsidRPr="00E70CD4">
        <w:rPr>
          <w:rFonts w:ascii="Arial" w:hAnsi="Arial" w:cs="Arial"/>
          <w:sz w:val="22"/>
        </w:rPr>
        <w:t>De lo anterior se</w:t>
      </w:r>
      <w:r>
        <w:rPr>
          <w:rFonts w:ascii="Arial" w:hAnsi="Arial" w:cs="Arial"/>
          <w:sz w:val="22"/>
        </w:rPr>
        <w:t xml:space="preserve"> concluye</w:t>
      </w:r>
      <w:r w:rsidRPr="00E70CD4">
        <w:rPr>
          <w:rFonts w:ascii="Arial" w:hAnsi="Arial" w:cs="Arial"/>
          <w:sz w:val="22"/>
        </w:rPr>
        <w:t xml:space="preserve"> que la regla general es que la experiencia </w:t>
      </w:r>
      <w:r>
        <w:rPr>
          <w:rFonts w:ascii="Arial" w:hAnsi="Arial" w:cs="Arial"/>
          <w:sz w:val="22"/>
        </w:rPr>
        <w:t>se acredite</w:t>
      </w:r>
      <w:r w:rsidRPr="00E70CD4">
        <w:rPr>
          <w:rFonts w:ascii="Arial" w:hAnsi="Arial" w:cs="Arial"/>
          <w:sz w:val="22"/>
        </w:rPr>
        <w:t xml:space="preserve"> a través del RUP y, en consecuencia, la evaluación de </w:t>
      </w:r>
      <w:r>
        <w:rPr>
          <w:rFonts w:ascii="Arial" w:hAnsi="Arial" w:cs="Arial"/>
          <w:sz w:val="22"/>
        </w:rPr>
        <w:t xml:space="preserve">la </w:t>
      </w:r>
      <w:r w:rsidRPr="00E70CD4">
        <w:rPr>
          <w:rFonts w:ascii="Arial" w:hAnsi="Arial" w:cs="Arial"/>
          <w:sz w:val="22"/>
        </w:rPr>
        <w:t>experiencia, como requisito</w:t>
      </w:r>
      <w:r>
        <w:rPr>
          <w:rFonts w:ascii="Arial" w:hAnsi="Arial" w:cs="Arial"/>
          <w:sz w:val="22"/>
        </w:rPr>
        <w:t xml:space="preserve"> </w:t>
      </w:r>
      <w:r w:rsidRPr="00E70CD4">
        <w:rPr>
          <w:rFonts w:ascii="Arial" w:hAnsi="Arial" w:cs="Arial"/>
          <w:sz w:val="22"/>
        </w:rPr>
        <w:t xml:space="preserve">habilitante, </w:t>
      </w:r>
      <w:r w:rsidR="005558EA">
        <w:rPr>
          <w:rFonts w:ascii="Arial" w:hAnsi="Arial" w:cs="Arial"/>
          <w:sz w:val="22"/>
        </w:rPr>
        <w:t>se evalúa conforme a dicho registro, por lo que la entidad debe tener en cuenta toda la experiencia registrada allí, de manera que no se afectaría por el porcentaje de participación que tuviera el socio que transfirió su experiencia a la sociedad.</w:t>
      </w:r>
    </w:p>
    <w:p w14:paraId="0FD85BF8" w14:textId="77777777" w:rsidR="005558EA" w:rsidRDefault="005558EA" w:rsidP="005558EA">
      <w:pPr>
        <w:spacing w:line="276" w:lineRule="auto"/>
        <w:ind w:firstLine="708"/>
        <w:jc w:val="both"/>
        <w:rPr>
          <w:rFonts w:ascii="Arial" w:hAnsi="Arial" w:cs="Arial"/>
          <w:sz w:val="22"/>
        </w:rPr>
      </w:pPr>
    </w:p>
    <w:p w14:paraId="2B476883" w14:textId="77777777" w:rsidR="005558EA" w:rsidRPr="005558EA" w:rsidRDefault="005558EA" w:rsidP="005558EA">
      <w:pPr>
        <w:spacing w:line="276" w:lineRule="auto"/>
        <w:ind w:firstLine="708"/>
        <w:jc w:val="both"/>
        <w:rPr>
          <w:rFonts w:ascii="Arial" w:hAnsi="Arial" w:cs="Arial"/>
          <w:sz w:val="22"/>
        </w:rPr>
      </w:pPr>
    </w:p>
    <w:p w14:paraId="0F8C901F" w14:textId="49B4DFF6" w:rsidR="00A37FB6" w:rsidRPr="00E70CD4" w:rsidRDefault="004A21FA" w:rsidP="00385FB2">
      <w:pPr>
        <w:spacing w:before="120" w:after="120" w:line="276" w:lineRule="auto"/>
        <w:jc w:val="both"/>
        <w:rPr>
          <w:rFonts w:ascii="Arial" w:eastAsia="Calibri" w:hAnsi="Arial" w:cs="Arial"/>
          <w:sz w:val="22"/>
        </w:rPr>
      </w:pPr>
      <w:r w:rsidRPr="00E70CD4">
        <w:rPr>
          <w:rFonts w:ascii="Arial" w:eastAsia="Calibri" w:hAnsi="Arial" w:cs="Arial"/>
          <w:sz w:val="22"/>
        </w:rPr>
        <w:t xml:space="preserve">Este </w:t>
      </w:r>
      <w:r w:rsidR="00A37FB6" w:rsidRPr="00E70CD4">
        <w:rPr>
          <w:rFonts w:ascii="Arial" w:eastAsia="Calibri" w:hAnsi="Arial" w:cs="Arial"/>
          <w:sz w:val="22"/>
        </w:rPr>
        <w:t>concepto tiene el alcance previsto en el artículo 28 del Código de Procedimiento Administrativo y de lo Contencioso Administrativo.</w:t>
      </w:r>
      <w:r w:rsidR="00A37FB6" w:rsidRPr="00E70CD4">
        <w:rPr>
          <w:rFonts w:ascii="Arial" w:hAnsi="Arial" w:cs="Arial"/>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1C682CE8" w:rsidR="00A37FB6" w:rsidRPr="00E70CD4" w:rsidRDefault="00A37FB6" w:rsidP="004A02BA">
      <w:pPr>
        <w:spacing w:line="276" w:lineRule="auto"/>
        <w:rPr>
          <w:rFonts w:ascii="Arial" w:eastAsia="Times New Roman" w:hAnsi="Arial" w:cs="Arial"/>
          <w:sz w:val="22"/>
          <w:lang w:eastAsia="es-CO"/>
        </w:rPr>
      </w:pPr>
      <w:r w:rsidRPr="00E70CD4">
        <w:rPr>
          <w:rFonts w:ascii="Arial" w:eastAsia="Times New Roman" w:hAnsi="Arial" w:cs="Arial"/>
          <w:sz w:val="22"/>
          <w:lang w:eastAsia="es-CO"/>
        </w:rPr>
        <w:t>Atentamente</w:t>
      </w:r>
      <w:r w:rsidR="00385FB2">
        <w:rPr>
          <w:rFonts w:ascii="Arial" w:eastAsia="Times New Roman" w:hAnsi="Arial" w:cs="Arial"/>
          <w:sz w:val="22"/>
          <w:lang w:eastAsia="es-CO"/>
        </w:rPr>
        <w:t>,</w:t>
      </w:r>
    </w:p>
    <w:p w14:paraId="57DD1EBD" w14:textId="6E65CF3A" w:rsidR="00746E08" w:rsidRPr="00E70CD4" w:rsidRDefault="00352F86" w:rsidP="00746E08">
      <w:pPr>
        <w:jc w:val="center"/>
        <w:rPr>
          <w:rFonts w:ascii="Arial" w:eastAsia="Times New Roman" w:hAnsi="Arial" w:cs="Arial"/>
          <w:sz w:val="18"/>
          <w:szCs w:val="20"/>
          <w:lang w:eastAsia="es-CO"/>
        </w:rPr>
      </w:pPr>
      <w:r>
        <w:rPr>
          <w:noProof/>
          <w:lang w:val="en-US"/>
        </w:rPr>
        <w:drawing>
          <wp:inline distT="0" distB="0" distL="0" distR="0" wp14:anchorId="52CBD1B1" wp14:editId="7038433F">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56B9" w:rsidRPr="00E70CD4" w14:paraId="469202AF" w14:textId="77777777" w:rsidTr="006B6454">
        <w:trPr>
          <w:trHeight w:val="315"/>
        </w:trPr>
        <w:tc>
          <w:tcPr>
            <w:tcW w:w="812" w:type="dxa"/>
            <w:vAlign w:val="center"/>
            <w:hideMark/>
          </w:tcPr>
          <w:p w14:paraId="3F62A0B3" w14:textId="77777777" w:rsidR="00746E08" w:rsidRPr="00E70CD4" w:rsidRDefault="00746E08">
            <w:pPr>
              <w:rPr>
                <w:rFonts w:ascii="Arial" w:eastAsia="Times New Roman" w:hAnsi="Arial" w:cs="Arial"/>
                <w:sz w:val="16"/>
                <w:szCs w:val="16"/>
                <w:lang w:eastAsia="es-ES"/>
              </w:rPr>
            </w:pPr>
            <w:r w:rsidRPr="00E70CD4">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227BCB83" w:rsidR="00746E08" w:rsidRPr="00E70CD4" w:rsidRDefault="006B6454">
            <w:pPr>
              <w:rPr>
                <w:rFonts w:ascii="Arial" w:eastAsia="Times New Roman" w:hAnsi="Arial" w:cs="Arial"/>
                <w:sz w:val="16"/>
                <w:szCs w:val="16"/>
                <w:lang w:eastAsia="es-ES"/>
              </w:rPr>
            </w:pPr>
            <w:r w:rsidRPr="00E70CD4">
              <w:rPr>
                <w:rFonts w:ascii="Arial" w:eastAsia="Times New Roman" w:hAnsi="Arial" w:cs="Arial"/>
                <w:sz w:val="16"/>
                <w:szCs w:val="16"/>
                <w:lang w:eastAsia="es-ES"/>
              </w:rPr>
              <w:t xml:space="preserve">Nina María Padrón Ballestas </w:t>
            </w:r>
          </w:p>
          <w:p w14:paraId="51C325E7" w14:textId="28386034" w:rsidR="00746E08" w:rsidRPr="00E70CD4" w:rsidRDefault="006B6454">
            <w:pPr>
              <w:rPr>
                <w:rFonts w:ascii="Arial" w:eastAsia="Times New Roman" w:hAnsi="Arial" w:cs="Arial"/>
                <w:sz w:val="16"/>
                <w:szCs w:val="16"/>
                <w:lang w:eastAsia="es-ES"/>
              </w:rPr>
            </w:pPr>
            <w:r w:rsidRPr="00E70CD4">
              <w:rPr>
                <w:rFonts w:ascii="Arial" w:eastAsia="Times New Roman" w:hAnsi="Arial" w:cs="Arial"/>
                <w:sz w:val="16"/>
                <w:szCs w:val="16"/>
                <w:lang w:eastAsia="es-ES"/>
              </w:rPr>
              <w:t xml:space="preserve">Contratista Subdirección de Gestión Contractual </w:t>
            </w:r>
          </w:p>
        </w:tc>
      </w:tr>
      <w:tr w:rsidR="009956B9" w:rsidRPr="00E70CD4" w14:paraId="10BC78E8" w14:textId="77777777" w:rsidTr="006B6454">
        <w:trPr>
          <w:trHeight w:val="330"/>
        </w:trPr>
        <w:tc>
          <w:tcPr>
            <w:tcW w:w="812" w:type="dxa"/>
            <w:vAlign w:val="center"/>
            <w:hideMark/>
          </w:tcPr>
          <w:p w14:paraId="6A7DBF66" w14:textId="77777777" w:rsidR="00746E08" w:rsidRPr="00E70CD4" w:rsidRDefault="00746E08">
            <w:pPr>
              <w:rPr>
                <w:rFonts w:ascii="Arial" w:eastAsia="Times New Roman" w:hAnsi="Arial" w:cs="Arial"/>
                <w:sz w:val="16"/>
                <w:szCs w:val="16"/>
                <w:lang w:eastAsia="es-ES"/>
              </w:rPr>
            </w:pPr>
            <w:r w:rsidRPr="00E70CD4">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49FD0F51" w:rsidR="00746E08" w:rsidRPr="00E70CD4" w:rsidRDefault="00D0338C" w:rsidP="00746E08">
            <w:pPr>
              <w:rPr>
                <w:rFonts w:ascii="Arial" w:eastAsia="Times New Roman" w:hAnsi="Arial" w:cs="Arial"/>
                <w:sz w:val="16"/>
                <w:szCs w:val="16"/>
                <w:lang w:eastAsia="es-ES"/>
              </w:rPr>
            </w:pPr>
            <w:r>
              <w:rPr>
                <w:rFonts w:ascii="Arial" w:eastAsia="Times New Roman" w:hAnsi="Arial" w:cs="Arial"/>
                <w:sz w:val="16"/>
                <w:szCs w:val="16"/>
                <w:lang w:eastAsia="es-ES"/>
              </w:rPr>
              <w:t xml:space="preserve">Sebastian Ramírez Grisales </w:t>
            </w:r>
          </w:p>
          <w:p w14:paraId="19E8BD8D" w14:textId="3E4999E8" w:rsidR="00746E08" w:rsidRPr="00E70CD4" w:rsidRDefault="00D0338C">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Subdirección </w:t>
            </w:r>
            <w:r w:rsidR="00746E08" w:rsidRPr="00E70CD4">
              <w:rPr>
                <w:rFonts w:ascii="Arial" w:eastAsia="Times New Roman" w:hAnsi="Arial" w:cs="Arial"/>
                <w:sz w:val="16"/>
                <w:szCs w:val="16"/>
                <w:lang w:eastAsia="es-ES"/>
              </w:rPr>
              <w:t>de Gestión Contractual</w:t>
            </w:r>
          </w:p>
        </w:tc>
      </w:tr>
      <w:tr w:rsidR="00746E08" w:rsidRPr="007D23CA" w14:paraId="50741B38" w14:textId="77777777" w:rsidTr="006B6454">
        <w:trPr>
          <w:trHeight w:val="300"/>
        </w:trPr>
        <w:tc>
          <w:tcPr>
            <w:tcW w:w="812" w:type="dxa"/>
            <w:vAlign w:val="center"/>
            <w:hideMark/>
          </w:tcPr>
          <w:p w14:paraId="297715FA" w14:textId="77777777" w:rsidR="00746E08" w:rsidRPr="00E70CD4" w:rsidRDefault="00746E08">
            <w:pPr>
              <w:rPr>
                <w:rFonts w:ascii="Arial" w:eastAsia="Times New Roman" w:hAnsi="Arial" w:cs="Arial"/>
                <w:sz w:val="16"/>
                <w:szCs w:val="16"/>
                <w:lang w:eastAsia="es-ES"/>
              </w:rPr>
            </w:pPr>
            <w:r w:rsidRPr="00E70CD4">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E70CD4" w:rsidRDefault="00746E08" w:rsidP="00746E08">
            <w:pPr>
              <w:rPr>
                <w:rFonts w:ascii="Arial" w:eastAsia="Times New Roman" w:hAnsi="Arial" w:cs="Arial"/>
                <w:sz w:val="16"/>
                <w:szCs w:val="16"/>
                <w:lang w:eastAsia="es-ES"/>
              </w:rPr>
            </w:pPr>
            <w:r w:rsidRPr="00E70CD4">
              <w:rPr>
                <w:rFonts w:ascii="Arial" w:eastAsia="Times New Roman" w:hAnsi="Arial" w:cs="Arial"/>
                <w:sz w:val="16"/>
                <w:szCs w:val="16"/>
                <w:lang w:eastAsia="es-ES"/>
              </w:rPr>
              <w:t>Fabián Gonzalo Marín Cortés</w:t>
            </w:r>
          </w:p>
          <w:p w14:paraId="708FD876" w14:textId="77777777" w:rsidR="00746E08" w:rsidRDefault="00746E08">
            <w:pPr>
              <w:rPr>
                <w:rFonts w:ascii="Arial" w:eastAsia="Times New Roman" w:hAnsi="Arial" w:cs="Arial"/>
                <w:sz w:val="16"/>
                <w:szCs w:val="16"/>
                <w:lang w:eastAsia="es-ES"/>
              </w:rPr>
            </w:pPr>
            <w:r w:rsidRPr="00E70CD4">
              <w:rPr>
                <w:rFonts w:ascii="Arial" w:eastAsia="Times New Roman" w:hAnsi="Arial" w:cs="Arial"/>
                <w:sz w:val="16"/>
                <w:szCs w:val="16"/>
                <w:lang w:eastAsia="es-ES"/>
              </w:rPr>
              <w:t>Subdirector de Gestión Contractual</w:t>
            </w:r>
          </w:p>
          <w:p w14:paraId="17847B1F" w14:textId="1572CF85" w:rsidR="00E70CD4" w:rsidRPr="007D23CA" w:rsidRDefault="00E70CD4">
            <w:pPr>
              <w:rPr>
                <w:rFonts w:ascii="Arial" w:eastAsia="Times New Roman" w:hAnsi="Arial" w:cs="Arial"/>
                <w:sz w:val="16"/>
                <w:szCs w:val="16"/>
                <w:lang w:eastAsia="es-ES"/>
              </w:rPr>
            </w:pPr>
          </w:p>
        </w:tc>
      </w:tr>
    </w:tbl>
    <w:p w14:paraId="35B56F46" w14:textId="77777777" w:rsidR="00746E08" w:rsidRPr="007D23CA" w:rsidRDefault="00746E08" w:rsidP="00746E08">
      <w:pPr>
        <w:rPr>
          <w:rFonts w:ascii="Arial" w:eastAsia="Times New Roman" w:hAnsi="Arial" w:cs="Arial"/>
          <w:sz w:val="16"/>
          <w:szCs w:val="16"/>
          <w:lang w:eastAsia="es-ES"/>
        </w:rPr>
      </w:pPr>
    </w:p>
    <w:sectPr w:rsidR="00746E08" w:rsidRPr="007D23CA"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E427" w14:textId="77777777" w:rsidR="00033A1F" w:rsidRDefault="00033A1F">
      <w:r>
        <w:separator/>
      </w:r>
    </w:p>
  </w:endnote>
  <w:endnote w:type="continuationSeparator" w:id="0">
    <w:p w14:paraId="4BC2DAE2" w14:textId="77777777" w:rsidR="00033A1F" w:rsidRDefault="00033A1F">
      <w:r>
        <w:continuationSeparator/>
      </w:r>
    </w:p>
  </w:endnote>
  <w:endnote w:type="continuationNotice" w:id="1">
    <w:p w14:paraId="675F52ED" w14:textId="77777777" w:rsidR="00033A1F" w:rsidRDefault="00033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C9D1" w14:textId="77777777" w:rsidR="006D742A" w:rsidRDefault="006D74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33B12DB3" w:rsidR="008217B7" w:rsidRDefault="008217B7" w:rsidP="00322937">
    <w:pPr>
      <w:pStyle w:val="Sinespaciado"/>
      <w:jc w:val="right"/>
      <w:rPr>
        <w:rFonts w:ascii="Arial" w:hAnsi="Arial" w:cs="Arial"/>
        <w:sz w:val="18"/>
        <w:szCs w:val="18"/>
      </w:rPr>
    </w:pPr>
  </w:p>
  <w:p w14:paraId="2F32EBDE" w14:textId="77777777" w:rsidR="006D742A" w:rsidRDefault="006D742A" w:rsidP="00322937">
    <w:pPr>
      <w:pStyle w:val="Sinespaciado"/>
      <w:jc w:val="right"/>
      <w:rPr>
        <w:rFonts w:ascii="Arial" w:hAnsi="Arial" w:cs="Arial"/>
        <w:sz w:val="18"/>
        <w:szCs w:val="18"/>
      </w:rPr>
    </w:pPr>
  </w:p>
  <w:p w14:paraId="7A3785F3" w14:textId="3F74721F"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A23A67">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A23A67">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05F95F74" w:rsidP="00322937">
    <w:pPr>
      <w:pStyle w:val="Piedepgina"/>
      <w:jc w:val="center"/>
      <w:rPr>
        <w:lang w:val="es-ES"/>
      </w:rPr>
    </w:pPr>
    <w:r>
      <w:rPr>
        <w:noProof/>
        <w:lang w:val="en-US"/>
      </w:rPr>
      <w:drawing>
        <wp:inline distT="0" distB="0" distL="0" distR="0" wp14:anchorId="608B196D" wp14:editId="537AA079">
          <wp:extent cx="3700130" cy="519139"/>
          <wp:effectExtent l="0" t="0" r="0" b="0"/>
          <wp:docPr id="4516008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034D" w14:textId="77777777" w:rsidR="006D742A" w:rsidRDefault="006D74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7738" w14:textId="77777777" w:rsidR="00033A1F" w:rsidRDefault="00033A1F">
      <w:r>
        <w:separator/>
      </w:r>
    </w:p>
  </w:footnote>
  <w:footnote w:type="continuationSeparator" w:id="0">
    <w:p w14:paraId="1DB9BAD2" w14:textId="77777777" w:rsidR="00033A1F" w:rsidRDefault="00033A1F">
      <w:r>
        <w:continuationSeparator/>
      </w:r>
    </w:p>
  </w:footnote>
  <w:footnote w:type="continuationNotice" w:id="1">
    <w:p w14:paraId="43F3776B" w14:textId="77777777" w:rsidR="00033A1F" w:rsidRDefault="00033A1F"/>
  </w:footnote>
  <w:footnote w:id="2">
    <w:p w14:paraId="3DCF286B" w14:textId="77777777" w:rsidR="009B3787" w:rsidRPr="004F3C32" w:rsidRDefault="009B3787" w:rsidP="009B3787">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4E5DD2" w14:textId="77777777" w:rsidR="009B3787" w:rsidRPr="004F3C32" w:rsidRDefault="009B3787" w:rsidP="009B3787">
      <w:pPr>
        <w:pStyle w:val="Textonotapie"/>
        <w:ind w:firstLine="708"/>
        <w:jc w:val="both"/>
        <w:rPr>
          <w:rFonts w:ascii="Arial" w:hAnsi="Arial" w:cs="Arial"/>
          <w:sz w:val="19"/>
          <w:szCs w:val="19"/>
        </w:rPr>
      </w:pPr>
      <w:r w:rsidRPr="004F3C32">
        <w:rPr>
          <w:rFonts w:ascii="Arial" w:hAnsi="Arial" w:cs="Arial"/>
          <w:sz w:val="19"/>
          <w:szCs w:val="19"/>
        </w:rPr>
        <w:t>[…]</w:t>
      </w:r>
    </w:p>
    <w:p w14:paraId="0C723009" w14:textId="77777777" w:rsidR="009B3787" w:rsidRPr="004F3C32" w:rsidRDefault="009B3787" w:rsidP="009B3787">
      <w:pPr>
        <w:pStyle w:val="Textonotapie"/>
        <w:ind w:firstLine="708"/>
        <w:jc w:val="both"/>
        <w:rPr>
          <w:rFonts w:ascii="Arial" w:hAnsi="Arial" w:cs="Arial"/>
          <w:sz w:val="19"/>
          <w:szCs w:val="19"/>
        </w:rPr>
      </w:pPr>
      <w:r w:rsidRPr="004F3C32">
        <w:rPr>
          <w:rFonts w:ascii="Arial" w:hAnsi="Arial" w:cs="Arial"/>
          <w:color w:val="333333"/>
          <w:sz w:val="19"/>
          <w:szCs w:val="19"/>
          <w:shd w:val="clear" w:color="auto" w:fill="FFFFFF"/>
        </w:rPr>
        <w:t>»2.1.   Bienes, obras y servicios que ofrecerá a las Entidades Estatales, identificados con el Clasificador de Bienes y Servicios en el tercer nivel</w:t>
      </w:r>
      <w:r w:rsidRPr="004F3C32">
        <w:rPr>
          <w:rFonts w:ascii="Arial" w:hAnsi="Arial" w:cs="Arial"/>
          <w:sz w:val="19"/>
          <w:szCs w:val="19"/>
        </w:rPr>
        <w:t>»</w:t>
      </w:r>
      <w:r w:rsidRPr="004F3C32">
        <w:rPr>
          <w:rFonts w:ascii="Arial" w:hAnsi="Arial" w:cs="Arial"/>
          <w:color w:val="333333"/>
          <w:sz w:val="19"/>
          <w:szCs w:val="19"/>
          <w:shd w:val="clear" w:color="auto" w:fill="FFFFFF"/>
        </w:rPr>
        <w:t>.</w:t>
      </w:r>
    </w:p>
    <w:p w14:paraId="13A98E95" w14:textId="77777777" w:rsidR="009B3787" w:rsidRPr="004F3C32" w:rsidRDefault="009B3787" w:rsidP="009B3787">
      <w:pPr>
        <w:pStyle w:val="Textonotapie"/>
        <w:ind w:firstLine="708"/>
        <w:jc w:val="both"/>
        <w:rPr>
          <w:rFonts w:ascii="Arial" w:hAnsi="Arial" w:cs="Arial"/>
          <w:sz w:val="19"/>
          <w:szCs w:val="19"/>
          <w:lang w:val="es-CO"/>
        </w:rPr>
      </w:pPr>
    </w:p>
  </w:footnote>
  <w:footnote w:id="3">
    <w:p w14:paraId="127C915B" w14:textId="66556BD6" w:rsidR="007478F8" w:rsidRPr="004F3C32" w:rsidRDefault="007478F8" w:rsidP="004F3C32">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E10136" w14:textId="77777777" w:rsidR="007478F8" w:rsidRPr="004F3C32" w:rsidRDefault="007478F8" w:rsidP="004F3C32">
      <w:pPr>
        <w:pStyle w:val="Textonotapie"/>
        <w:ind w:firstLine="708"/>
        <w:jc w:val="both"/>
        <w:rPr>
          <w:rFonts w:ascii="Arial" w:hAnsi="Arial" w:cs="Arial"/>
          <w:sz w:val="19"/>
          <w:szCs w:val="19"/>
        </w:rPr>
      </w:pPr>
      <w:r w:rsidRPr="004F3C32">
        <w:rPr>
          <w:rFonts w:ascii="Arial" w:hAnsi="Arial" w:cs="Arial"/>
          <w:sz w:val="19"/>
          <w:szCs w:val="19"/>
        </w:rPr>
        <w:t>[…]</w:t>
      </w:r>
    </w:p>
    <w:p w14:paraId="05F85474" w14:textId="40931B9A" w:rsidR="007478F8" w:rsidRPr="009B3787" w:rsidRDefault="007478F8" w:rsidP="009B3787">
      <w:pPr>
        <w:pStyle w:val="Textonotapie"/>
        <w:ind w:firstLine="708"/>
        <w:jc w:val="both"/>
        <w:rPr>
          <w:rFonts w:ascii="Arial" w:hAnsi="Arial" w:cs="Arial"/>
          <w:color w:val="333333"/>
          <w:sz w:val="19"/>
          <w:szCs w:val="19"/>
          <w:shd w:val="clear" w:color="auto" w:fill="FFFFFF"/>
        </w:rPr>
      </w:pPr>
      <w:r w:rsidRPr="004F3C32">
        <w:rPr>
          <w:rFonts w:ascii="Arial" w:hAnsi="Arial" w:cs="Arial"/>
          <w:color w:val="333333"/>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F3C32">
        <w:rPr>
          <w:rFonts w:ascii="Arial" w:hAnsi="Arial" w:cs="Arial"/>
          <w:color w:val="333333"/>
          <w:sz w:val="19"/>
          <w:szCs w:val="19"/>
          <w:shd w:val="clear" w:color="auto" w:fill="FFFFFF"/>
        </w:rPr>
        <w:softHyphen/>
        <w:t>ficador de Bienes y Servicios en el tercer nivel. Si la constitución de</w:t>
      </w:r>
      <w:r w:rsidR="009956B9" w:rsidRPr="004F3C32">
        <w:rPr>
          <w:rFonts w:ascii="Arial" w:hAnsi="Arial" w:cs="Arial"/>
          <w:color w:val="333333"/>
          <w:sz w:val="19"/>
          <w:szCs w:val="19"/>
          <w:shd w:val="clear" w:color="auto" w:fill="FFFFFF"/>
        </w:rPr>
        <w:t>l interesado es menor a 3</w:t>
      </w:r>
      <w:r w:rsidRPr="004F3C32">
        <w:rPr>
          <w:rFonts w:ascii="Arial" w:hAnsi="Arial" w:cs="Arial"/>
          <w:color w:val="333333"/>
          <w:sz w:val="19"/>
          <w:szCs w:val="19"/>
          <w:shd w:val="clear" w:color="auto" w:fill="FFFFFF"/>
        </w:rPr>
        <w:t xml:space="preserve"> años, puede acreditar la experiencia de sus accionistas, socios o constituyentes</w:t>
      </w:r>
      <w:r w:rsidRPr="004F3C32">
        <w:rPr>
          <w:rFonts w:ascii="Arial" w:hAnsi="Arial" w:cs="Arial"/>
          <w:sz w:val="19"/>
          <w:szCs w:val="19"/>
        </w:rPr>
        <w:t>».</w:t>
      </w:r>
    </w:p>
    <w:p w14:paraId="09219447" w14:textId="39412030" w:rsidR="007478F8" w:rsidRPr="004F3C32" w:rsidRDefault="007478F8" w:rsidP="004F3C32">
      <w:pPr>
        <w:pStyle w:val="Textonotapie"/>
        <w:ind w:firstLine="708"/>
        <w:jc w:val="both"/>
        <w:rPr>
          <w:rFonts w:ascii="Arial" w:hAnsi="Arial" w:cs="Arial"/>
          <w:sz w:val="19"/>
          <w:szCs w:val="19"/>
          <w:lang w:val="es-CO"/>
        </w:rPr>
      </w:pPr>
    </w:p>
  </w:footnote>
  <w:footnote w:id="4">
    <w:p w14:paraId="7828949E" w14:textId="5B4C324C" w:rsidR="00592FA5" w:rsidRPr="004F3C32" w:rsidRDefault="00592FA5" w:rsidP="004F3C32">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sidR="009B3787">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sidR="009B3787">
        <w:rPr>
          <w:rFonts w:ascii="Arial" w:hAnsi="Arial" w:cs="Arial"/>
          <w:sz w:val="19"/>
          <w:szCs w:val="19"/>
        </w:rPr>
        <w:t>07512 del 3 de noviembre de 2019</w:t>
      </w:r>
      <w:r w:rsidRPr="004F3C32">
        <w:rPr>
          <w:rFonts w:ascii="Arial" w:hAnsi="Arial" w:cs="Arial"/>
          <w:sz w:val="19"/>
          <w:szCs w:val="19"/>
        </w:rPr>
        <w:t>, 4201913000007182 del 18 de octubre de 2019</w:t>
      </w:r>
      <w:r w:rsidR="004F3C32">
        <w:rPr>
          <w:rFonts w:ascii="Arial" w:hAnsi="Arial" w:cs="Arial"/>
          <w:sz w:val="19"/>
          <w:szCs w:val="19"/>
        </w:rPr>
        <w:t xml:space="preserve"> y</w:t>
      </w:r>
      <w:r w:rsidRPr="004F3C32">
        <w:rPr>
          <w:rFonts w:ascii="Arial" w:hAnsi="Arial" w:cs="Arial"/>
          <w:sz w:val="19"/>
          <w:szCs w:val="19"/>
        </w:rPr>
        <w:t xml:space="preserve"> 4201913000006797 del 3 de octubre de 2019</w:t>
      </w:r>
      <w:r w:rsidR="000949CE" w:rsidRPr="004F3C32">
        <w:rPr>
          <w:rFonts w:ascii="Arial" w:hAnsi="Arial" w:cs="Arial"/>
          <w:sz w:val="19"/>
          <w:szCs w:val="19"/>
        </w:rPr>
        <w:t xml:space="preserve">. </w:t>
      </w:r>
    </w:p>
  </w:footnote>
  <w:footnote w:id="5">
    <w:p w14:paraId="38D5BC85" w14:textId="27E3526E" w:rsidR="00A40336" w:rsidRPr="004F3C32" w:rsidRDefault="00A40336" w:rsidP="004F3C32">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Colombia Compra Eficiente, Manual para determinar y verificar requisitos habilitantes en</w:t>
      </w:r>
      <w:r w:rsidR="00B20344" w:rsidRPr="004F3C32">
        <w:rPr>
          <w:rFonts w:ascii="Arial" w:hAnsi="Arial" w:cs="Arial"/>
          <w:sz w:val="19"/>
          <w:szCs w:val="19"/>
        </w:rPr>
        <w:t xml:space="preserve"> los procesos de contratación: «</w:t>
      </w:r>
      <w:r w:rsidRPr="004F3C32">
        <w:rPr>
          <w:rFonts w:ascii="Arial" w:hAnsi="Arial" w:cs="Arial"/>
          <w:sz w:val="19"/>
          <w:szCs w:val="19"/>
        </w:rPr>
        <w:t>La experiencia es el conocimiento del proponente derivado de su participación previa en actividades iguales o similares a las previstas en el objeto del contrato.</w:t>
      </w:r>
    </w:p>
    <w:p w14:paraId="2B377A57" w14:textId="77777777" w:rsidR="004A21FA" w:rsidRPr="004F3C32" w:rsidRDefault="00DA58FA" w:rsidP="004F3C32">
      <w:pPr>
        <w:pStyle w:val="Textonotapie"/>
        <w:ind w:firstLine="708"/>
        <w:jc w:val="both"/>
        <w:rPr>
          <w:rFonts w:ascii="Arial" w:hAnsi="Arial" w:cs="Arial"/>
          <w:sz w:val="19"/>
          <w:szCs w:val="19"/>
        </w:rPr>
      </w:pPr>
      <w:r w:rsidRPr="004F3C32">
        <w:rPr>
          <w:rFonts w:ascii="Arial" w:hAnsi="Arial" w:cs="Arial"/>
          <w:sz w:val="19"/>
          <w:szCs w:val="19"/>
        </w:rPr>
        <w:t>»</w:t>
      </w:r>
      <w:r w:rsidR="00A40336" w:rsidRPr="004F3C32">
        <w:rPr>
          <w:rFonts w:ascii="Arial" w:hAnsi="Arial" w:cs="Arial"/>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7AAE1E44" w14:textId="28D5C01A" w:rsidR="00A40336" w:rsidRPr="004F3C32" w:rsidRDefault="00A40336" w:rsidP="004F3C32">
      <w:pPr>
        <w:pStyle w:val="Textonotapie"/>
        <w:jc w:val="both"/>
        <w:rPr>
          <w:rFonts w:ascii="Arial" w:hAnsi="Arial" w:cs="Arial"/>
          <w:sz w:val="19"/>
          <w:szCs w:val="19"/>
        </w:rPr>
      </w:pPr>
      <w:r w:rsidRPr="004F3C32">
        <w:rPr>
          <w:rFonts w:ascii="Arial" w:hAnsi="Arial" w:cs="Arial"/>
          <w:sz w:val="19"/>
          <w:szCs w:val="19"/>
        </w:rPr>
        <w:t>la participación en proponentes plurales. Esta experiencia se obtiene con contratantes públicos, privados, nacionales o extranjeros. No hay límite frente al número de contratos o a la fecha en la cual estos fueron celebrados.</w:t>
      </w:r>
    </w:p>
    <w:p w14:paraId="04CC22BF" w14:textId="5F7262D9" w:rsidR="00A40336" w:rsidRPr="004F3C32" w:rsidRDefault="009956B9" w:rsidP="004F3C32">
      <w:pPr>
        <w:pStyle w:val="Textonotapie"/>
        <w:ind w:firstLine="708"/>
        <w:jc w:val="both"/>
        <w:rPr>
          <w:rFonts w:ascii="Arial" w:hAnsi="Arial" w:cs="Arial"/>
          <w:sz w:val="19"/>
          <w:szCs w:val="19"/>
        </w:rPr>
      </w:pPr>
      <w:r w:rsidRPr="004F3C32">
        <w:rPr>
          <w:rFonts w:ascii="Arial" w:hAnsi="Arial" w:cs="Arial"/>
          <w:sz w:val="19"/>
          <w:szCs w:val="19"/>
        </w:rPr>
        <w:t>[…]</w:t>
      </w:r>
    </w:p>
    <w:p w14:paraId="758C0B9F" w14:textId="39459E92" w:rsidR="00A40336" w:rsidRPr="004F3C32" w:rsidRDefault="009956B9" w:rsidP="004F3C32">
      <w:pPr>
        <w:pStyle w:val="Textonotapie"/>
        <w:ind w:firstLine="708"/>
        <w:jc w:val="both"/>
        <w:rPr>
          <w:rFonts w:ascii="Arial" w:hAnsi="Arial" w:cs="Arial"/>
          <w:sz w:val="19"/>
          <w:szCs w:val="19"/>
        </w:rPr>
      </w:pPr>
      <w:r w:rsidRPr="004F3C32">
        <w:rPr>
          <w:rFonts w:ascii="Arial" w:hAnsi="Arial" w:cs="Arial"/>
          <w:sz w:val="19"/>
          <w:szCs w:val="19"/>
        </w:rPr>
        <w:t>»</w:t>
      </w:r>
      <w:r w:rsidR="00A40336" w:rsidRPr="004F3C32">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5E908C3E" w14:textId="013A9079" w:rsidR="00A40336" w:rsidRPr="004F3C32" w:rsidRDefault="009956B9" w:rsidP="004F3C32">
      <w:pPr>
        <w:pStyle w:val="Textonotapie"/>
        <w:ind w:firstLine="708"/>
        <w:jc w:val="both"/>
        <w:rPr>
          <w:rFonts w:ascii="Arial" w:hAnsi="Arial" w:cs="Arial"/>
          <w:sz w:val="19"/>
          <w:szCs w:val="19"/>
        </w:rPr>
      </w:pPr>
      <w:r w:rsidRPr="004F3C32">
        <w:rPr>
          <w:rFonts w:ascii="Arial" w:hAnsi="Arial" w:cs="Arial"/>
          <w:sz w:val="19"/>
          <w:szCs w:val="19"/>
        </w:rPr>
        <w:t>»</w:t>
      </w:r>
      <w:r w:rsidR="00A40336" w:rsidRPr="004F3C32">
        <w:rPr>
          <w:rFonts w:ascii="Arial" w:hAnsi="Arial" w:cs="Arial"/>
          <w:sz w:val="19"/>
          <w:szCs w:val="19"/>
        </w:rPr>
        <w:t xml:space="preserve">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w:t>
      </w:r>
      <w:r w:rsidR="00B20344" w:rsidRPr="004F3C32">
        <w:rPr>
          <w:rFonts w:ascii="Arial" w:hAnsi="Arial" w:cs="Arial"/>
          <w:sz w:val="19"/>
          <w:szCs w:val="19"/>
        </w:rPr>
        <w:t>50 SMMLV del mismo tipo de obra</w:t>
      </w:r>
      <w:r w:rsidRPr="004F3C32">
        <w:rPr>
          <w:rFonts w:ascii="Arial" w:hAnsi="Arial" w:cs="Arial"/>
          <w:sz w:val="19"/>
          <w:szCs w:val="19"/>
        </w:rPr>
        <w:t>»</w:t>
      </w:r>
      <w:r w:rsidR="00A40336" w:rsidRPr="004F3C32">
        <w:rPr>
          <w:rFonts w:ascii="Arial" w:hAnsi="Arial" w:cs="Arial"/>
          <w:sz w:val="19"/>
          <w:szCs w:val="19"/>
        </w:rPr>
        <w:t>.</w:t>
      </w:r>
    </w:p>
    <w:p w14:paraId="6A610A1A" w14:textId="77777777" w:rsidR="00A40336" w:rsidRPr="004F3C32" w:rsidRDefault="00A40336" w:rsidP="004F3C32">
      <w:pPr>
        <w:pStyle w:val="Textonotapie"/>
        <w:jc w:val="both"/>
        <w:rPr>
          <w:rFonts w:ascii="Arial" w:hAnsi="Arial" w:cs="Arial"/>
          <w:sz w:val="19"/>
          <w:szCs w:val="19"/>
          <w:lang w:val="es-ES"/>
        </w:rPr>
      </w:pPr>
    </w:p>
  </w:footnote>
  <w:footnote w:id="6">
    <w:p w14:paraId="3558A89A" w14:textId="660AF92E" w:rsidR="00405D38" w:rsidRPr="004F3C32" w:rsidRDefault="00405D38" w:rsidP="004F3C32">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sidRPr="004F3C32">
        <w:rPr>
          <w:rFonts w:ascii="Arial" w:hAnsi="Arial" w:cs="Arial"/>
          <w:sz w:val="19"/>
          <w:szCs w:val="19"/>
        </w:rPr>
        <w:t xml:space="preserve"> </w:t>
      </w:r>
      <w:r w:rsidR="00B20344" w:rsidRPr="004F3C32">
        <w:rPr>
          <w:rFonts w:ascii="Arial" w:hAnsi="Arial" w:cs="Arial"/>
          <w:sz w:val="19"/>
          <w:szCs w:val="19"/>
        </w:rPr>
        <w:t xml:space="preserve">Corte Constitucional. </w:t>
      </w:r>
      <w:r w:rsidR="007D23CA" w:rsidRPr="004F3C32">
        <w:rPr>
          <w:rFonts w:ascii="Arial" w:hAnsi="Arial" w:cs="Arial"/>
          <w:sz w:val="19"/>
          <w:szCs w:val="19"/>
          <w:lang w:val="es-CO"/>
        </w:rPr>
        <w:t xml:space="preserve">Sentencia C </w:t>
      </w:r>
      <w:r w:rsidR="007D23CA" w:rsidRPr="004F3C32">
        <w:rPr>
          <w:rFonts w:ascii="Arial" w:eastAsia="Calibri" w:hAnsi="Arial" w:cs="Arial"/>
          <w:sz w:val="19"/>
          <w:szCs w:val="19"/>
        </w:rPr>
        <w:t xml:space="preserve">― </w:t>
      </w:r>
      <w:r w:rsidR="00B20344" w:rsidRPr="004F3C32">
        <w:rPr>
          <w:rFonts w:ascii="Arial" w:hAnsi="Arial" w:cs="Arial"/>
          <w:sz w:val="19"/>
          <w:szCs w:val="19"/>
          <w:lang w:val="es-CO"/>
        </w:rPr>
        <w:t xml:space="preserve">259 de 11 de marzo 2008. M.P. Jaime Córdoba Triviño.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7C3" w14:textId="77777777" w:rsidR="006D742A" w:rsidRDefault="006D74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5434" w14:textId="77777777" w:rsidR="006D742A" w:rsidRDefault="006D74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768C4A6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33A1F"/>
    <w:rsid w:val="00037F54"/>
    <w:rsid w:val="0007548F"/>
    <w:rsid w:val="00084B97"/>
    <w:rsid w:val="000942EB"/>
    <w:rsid w:val="000949CE"/>
    <w:rsid w:val="000A15FE"/>
    <w:rsid w:val="000B103F"/>
    <w:rsid w:val="000F14E8"/>
    <w:rsid w:val="001022DA"/>
    <w:rsid w:val="00103915"/>
    <w:rsid w:val="00122B23"/>
    <w:rsid w:val="00126FEF"/>
    <w:rsid w:val="00137FFA"/>
    <w:rsid w:val="001543EB"/>
    <w:rsid w:val="00174552"/>
    <w:rsid w:val="00195275"/>
    <w:rsid w:val="001B0444"/>
    <w:rsid w:val="00200637"/>
    <w:rsid w:val="0020632A"/>
    <w:rsid w:val="002110EB"/>
    <w:rsid w:val="00211338"/>
    <w:rsid w:val="00214A13"/>
    <w:rsid w:val="00234B84"/>
    <w:rsid w:val="00247B09"/>
    <w:rsid w:val="00284288"/>
    <w:rsid w:val="00285C4F"/>
    <w:rsid w:val="002C4C0C"/>
    <w:rsid w:val="003033BA"/>
    <w:rsid w:val="00322937"/>
    <w:rsid w:val="00325DD3"/>
    <w:rsid w:val="003349CA"/>
    <w:rsid w:val="0034177C"/>
    <w:rsid w:val="0034680A"/>
    <w:rsid w:val="00352F86"/>
    <w:rsid w:val="00353DD5"/>
    <w:rsid w:val="00377559"/>
    <w:rsid w:val="00385FB2"/>
    <w:rsid w:val="00386456"/>
    <w:rsid w:val="003A0878"/>
    <w:rsid w:val="003A581E"/>
    <w:rsid w:val="00405D38"/>
    <w:rsid w:val="004141CB"/>
    <w:rsid w:val="00423F9F"/>
    <w:rsid w:val="004422D6"/>
    <w:rsid w:val="004434F7"/>
    <w:rsid w:val="004553EE"/>
    <w:rsid w:val="00463C60"/>
    <w:rsid w:val="004724B8"/>
    <w:rsid w:val="0047388B"/>
    <w:rsid w:val="00486F92"/>
    <w:rsid w:val="0049241A"/>
    <w:rsid w:val="004A02BA"/>
    <w:rsid w:val="004A21FA"/>
    <w:rsid w:val="004A34D2"/>
    <w:rsid w:val="004D5C0D"/>
    <w:rsid w:val="004E0A9F"/>
    <w:rsid w:val="004F3C32"/>
    <w:rsid w:val="00505532"/>
    <w:rsid w:val="0051074C"/>
    <w:rsid w:val="00513AF2"/>
    <w:rsid w:val="00527329"/>
    <w:rsid w:val="0054138E"/>
    <w:rsid w:val="0054413A"/>
    <w:rsid w:val="005515A1"/>
    <w:rsid w:val="005558EA"/>
    <w:rsid w:val="005564CA"/>
    <w:rsid w:val="0056182B"/>
    <w:rsid w:val="005653CB"/>
    <w:rsid w:val="005756AA"/>
    <w:rsid w:val="00592FA5"/>
    <w:rsid w:val="005B461E"/>
    <w:rsid w:val="005B5081"/>
    <w:rsid w:val="005C0B7B"/>
    <w:rsid w:val="005D3AD7"/>
    <w:rsid w:val="005D51FA"/>
    <w:rsid w:val="005D791B"/>
    <w:rsid w:val="005E19E3"/>
    <w:rsid w:val="005F64E5"/>
    <w:rsid w:val="00600D64"/>
    <w:rsid w:val="0060257A"/>
    <w:rsid w:val="00614817"/>
    <w:rsid w:val="00620EA9"/>
    <w:rsid w:val="00633DBF"/>
    <w:rsid w:val="006456B1"/>
    <w:rsid w:val="00647144"/>
    <w:rsid w:val="00655371"/>
    <w:rsid w:val="00697665"/>
    <w:rsid w:val="006A7CB5"/>
    <w:rsid w:val="006A7FD0"/>
    <w:rsid w:val="006B6454"/>
    <w:rsid w:val="006D742A"/>
    <w:rsid w:val="006D7687"/>
    <w:rsid w:val="006E0572"/>
    <w:rsid w:val="007030FF"/>
    <w:rsid w:val="00705631"/>
    <w:rsid w:val="00714BEC"/>
    <w:rsid w:val="00715EAA"/>
    <w:rsid w:val="00742DD2"/>
    <w:rsid w:val="00744F72"/>
    <w:rsid w:val="00746E08"/>
    <w:rsid w:val="007478F8"/>
    <w:rsid w:val="00747C96"/>
    <w:rsid w:val="0075094E"/>
    <w:rsid w:val="007522E8"/>
    <w:rsid w:val="0075647A"/>
    <w:rsid w:val="007634AD"/>
    <w:rsid w:val="0078122E"/>
    <w:rsid w:val="00795647"/>
    <w:rsid w:val="007B0854"/>
    <w:rsid w:val="007B4371"/>
    <w:rsid w:val="007D23CA"/>
    <w:rsid w:val="007D306C"/>
    <w:rsid w:val="007F6B46"/>
    <w:rsid w:val="007F72CB"/>
    <w:rsid w:val="008217B7"/>
    <w:rsid w:val="0083119B"/>
    <w:rsid w:val="00833D32"/>
    <w:rsid w:val="00836EAB"/>
    <w:rsid w:val="0085092D"/>
    <w:rsid w:val="00850F79"/>
    <w:rsid w:val="008705C1"/>
    <w:rsid w:val="00884B83"/>
    <w:rsid w:val="0089774F"/>
    <w:rsid w:val="008E1C15"/>
    <w:rsid w:val="008F4305"/>
    <w:rsid w:val="008F538E"/>
    <w:rsid w:val="009047C5"/>
    <w:rsid w:val="0095385A"/>
    <w:rsid w:val="0097734F"/>
    <w:rsid w:val="009956B9"/>
    <w:rsid w:val="009B3787"/>
    <w:rsid w:val="009E15AC"/>
    <w:rsid w:val="009F016F"/>
    <w:rsid w:val="009F59C2"/>
    <w:rsid w:val="00A23A67"/>
    <w:rsid w:val="00A24560"/>
    <w:rsid w:val="00A25B36"/>
    <w:rsid w:val="00A34538"/>
    <w:rsid w:val="00A37FB6"/>
    <w:rsid w:val="00A40336"/>
    <w:rsid w:val="00A51EC3"/>
    <w:rsid w:val="00A67D3C"/>
    <w:rsid w:val="00A97BDA"/>
    <w:rsid w:val="00AA08E7"/>
    <w:rsid w:val="00AA442B"/>
    <w:rsid w:val="00AA669D"/>
    <w:rsid w:val="00AF768B"/>
    <w:rsid w:val="00B13EC0"/>
    <w:rsid w:val="00B20344"/>
    <w:rsid w:val="00B22E22"/>
    <w:rsid w:val="00B525CB"/>
    <w:rsid w:val="00B63872"/>
    <w:rsid w:val="00B63CB2"/>
    <w:rsid w:val="00B64EDB"/>
    <w:rsid w:val="00B7315F"/>
    <w:rsid w:val="00B91B8E"/>
    <w:rsid w:val="00BC740A"/>
    <w:rsid w:val="00BD6A7D"/>
    <w:rsid w:val="00BD78FE"/>
    <w:rsid w:val="00C32FA6"/>
    <w:rsid w:val="00C84716"/>
    <w:rsid w:val="00CB04CC"/>
    <w:rsid w:val="00CB13DF"/>
    <w:rsid w:val="00CB70C3"/>
    <w:rsid w:val="00CB75BF"/>
    <w:rsid w:val="00CC00CD"/>
    <w:rsid w:val="00CF6EC8"/>
    <w:rsid w:val="00D01760"/>
    <w:rsid w:val="00D018A9"/>
    <w:rsid w:val="00D02017"/>
    <w:rsid w:val="00D0338C"/>
    <w:rsid w:val="00D16E39"/>
    <w:rsid w:val="00D223B6"/>
    <w:rsid w:val="00D37C5A"/>
    <w:rsid w:val="00D5025B"/>
    <w:rsid w:val="00D60327"/>
    <w:rsid w:val="00D72E9D"/>
    <w:rsid w:val="00D732C6"/>
    <w:rsid w:val="00D82CE5"/>
    <w:rsid w:val="00DA58FA"/>
    <w:rsid w:val="00DA5AB1"/>
    <w:rsid w:val="00DC62E5"/>
    <w:rsid w:val="00DD735D"/>
    <w:rsid w:val="00DE3119"/>
    <w:rsid w:val="00DF236B"/>
    <w:rsid w:val="00DF59ED"/>
    <w:rsid w:val="00E13AB8"/>
    <w:rsid w:val="00E16999"/>
    <w:rsid w:val="00E25CB3"/>
    <w:rsid w:val="00E33B62"/>
    <w:rsid w:val="00E4143A"/>
    <w:rsid w:val="00E605C2"/>
    <w:rsid w:val="00E70CD4"/>
    <w:rsid w:val="00E7101A"/>
    <w:rsid w:val="00EB0F8F"/>
    <w:rsid w:val="00EC2450"/>
    <w:rsid w:val="00EE4533"/>
    <w:rsid w:val="00EE59B5"/>
    <w:rsid w:val="00F16966"/>
    <w:rsid w:val="00F45094"/>
    <w:rsid w:val="00F51932"/>
    <w:rsid w:val="00F52337"/>
    <w:rsid w:val="00F57741"/>
    <w:rsid w:val="00F74BFB"/>
    <w:rsid w:val="00F84899"/>
    <w:rsid w:val="00F859F0"/>
    <w:rsid w:val="00F972B1"/>
    <w:rsid w:val="00FD098C"/>
    <w:rsid w:val="00FE141E"/>
    <w:rsid w:val="00FE42ED"/>
    <w:rsid w:val="05F95F7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323D22D3-DFE0-4C0F-97C7-E4639D36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620E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20E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20EA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20EA9"/>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620EA9"/>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rsid w:val="00620EA9"/>
    <w:rPr>
      <w:rFonts w:asciiTheme="majorHAnsi" w:eastAsiaTheme="majorEastAsia" w:hAnsiTheme="majorHAnsi" w:cstheme="majorBidi"/>
      <w:color w:val="243F60" w:themeColor="accent1" w:themeShade="7F"/>
      <w:sz w:val="24"/>
      <w:szCs w:val="24"/>
      <w:lang w:val="es-MX"/>
    </w:rPr>
  </w:style>
  <w:style w:type="paragraph" w:styleId="Lista2">
    <w:name w:val="List 2"/>
    <w:basedOn w:val="Normal"/>
    <w:uiPriority w:val="99"/>
    <w:unhideWhenUsed/>
    <w:rsid w:val="00620EA9"/>
    <w:pPr>
      <w:ind w:left="566" w:hanging="283"/>
      <w:contextualSpacing/>
    </w:pPr>
  </w:style>
  <w:style w:type="paragraph" w:styleId="Saludo">
    <w:name w:val="Salutation"/>
    <w:basedOn w:val="Normal"/>
    <w:next w:val="Normal"/>
    <w:link w:val="SaludoCar"/>
    <w:uiPriority w:val="99"/>
    <w:unhideWhenUsed/>
    <w:rsid w:val="00620EA9"/>
  </w:style>
  <w:style w:type="character" w:customStyle="1" w:styleId="SaludoCar">
    <w:name w:val="Saludo Car"/>
    <w:basedOn w:val="Fuentedeprrafopredeter"/>
    <w:link w:val="Saludo"/>
    <w:uiPriority w:val="99"/>
    <w:rsid w:val="00620EA9"/>
    <w:rPr>
      <w:sz w:val="24"/>
      <w:lang w:val="es-MX"/>
    </w:rPr>
  </w:style>
  <w:style w:type="paragraph" w:styleId="Cierre">
    <w:name w:val="Closing"/>
    <w:basedOn w:val="Normal"/>
    <w:link w:val="CierreCar"/>
    <w:uiPriority w:val="99"/>
    <w:unhideWhenUsed/>
    <w:rsid w:val="00620EA9"/>
    <w:pPr>
      <w:ind w:left="4252"/>
    </w:pPr>
  </w:style>
  <w:style w:type="character" w:customStyle="1" w:styleId="CierreCar">
    <w:name w:val="Cierre Car"/>
    <w:basedOn w:val="Fuentedeprrafopredeter"/>
    <w:link w:val="Cierre"/>
    <w:uiPriority w:val="99"/>
    <w:rsid w:val="00620EA9"/>
    <w:rPr>
      <w:sz w:val="24"/>
      <w:lang w:val="es-MX"/>
    </w:rPr>
  </w:style>
  <w:style w:type="paragraph" w:styleId="Continuarlista">
    <w:name w:val="List Continue"/>
    <w:basedOn w:val="Normal"/>
    <w:uiPriority w:val="99"/>
    <w:unhideWhenUsed/>
    <w:rsid w:val="00620EA9"/>
    <w:pPr>
      <w:spacing w:after="120"/>
      <w:ind w:left="283"/>
      <w:contextualSpacing/>
    </w:pPr>
  </w:style>
  <w:style w:type="paragraph" w:styleId="Textoindependiente">
    <w:name w:val="Body Text"/>
    <w:basedOn w:val="Normal"/>
    <w:link w:val="TextoindependienteCar"/>
    <w:uiPriority w:val="99"/>
    <w:unhideWhenUsed/>
    <w:rsid w:val="00620EA9"/>
    <w:pPr>
      <w:spacing w:after="120"/>
    </w:pPr>
  </w:style>
  <w:style w:type="character" w:customStyle="1" w:styleId="TextoindependienteCar">
    <w:name w:val="Texto independiente Car"/>
    <w:basedOn w:val="Fuentedeprrafopredeter"/>
    <w:link w:val="Textoindependiente"/>
    <w:uiPriority w:val="99"/>
    <w:rsid w:val="00620EA9"/>
    <w:rPr>
      <w:sz w:val="24"/>
      <w:lang w:val="es-MX"/>
    </w:rPr>
  </w:style>
  <w:style w:type="paragraph" w:styleId="Textoindependienteprimerasangra">
    <w:name w:val="Body Text First Indent"/>
    <w:basedOn w:val="Textoindependiente"/>
    <w:link w:val="TextoindependienteprimerasangraCar"/>
    <w:uiPriority w:val="99"/>
    <w:unhideWhenUsed/>
    <w:rsid w:val="00620EA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20EA9"/>
    <w:rPr>
      <w:sz w:val="24"/>
      <w:lang w:val="es-MX"/>
    </w:rPr>
  </w:style>
  <w:style w:type="paragraph" w:customStyle="1" w:styleId="Default">
    <w:name w:val="Default"/>
    <w:rsid w:val="00E710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52421306">
      <w:bodyDiv w:val="1"/>
      <w:marLeft w:val="0"/>
      <w:marRight w:val="0"/>
      <w:marTop w:val="0"/>
      <w:marBottom w:val="0"/>
      <w:divBdr>
        <w:top w:val="none" w:sz="0" w:space="0" w:color="auto"/>
        <w:left w:val="none" w:sz="0" w:space="0" w:color="auto"/>
        <w:bottom w:val="none" w:sz="0" w:space="0" w:color="auto"/>
        <w:right w:val="none" w:sz="0" w:space="0" w:color="auto"/>
      </w:divBdr>
    </w:div>
    <w:div w:id="169426466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FA106-E643-4530-B90A-8A8F2E9B672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6DB2B54-7BB0-4A79-9371-0C92F56F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F040F-A872-47D3-BF1A-D1E25680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3746</Words>
  <Characters>21356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2020-03-03T16:20:00Z</cp:lastPrinted>
  <dcterms:created xsi:type="dcterms:W3CDTF">2020-08-06T22:13:00Z</dcterms:created>
  <dcterms:modified xsi:type="dcterms:W3CDTF">2020-08-06T22:13:00Z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