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6864C" w14:textId="77777777" w:rsidR="00A73E9D" w:rsidRPr="00270497" w:rsidRDefault="00A73E9D" w:rsidP="00A73E9D">
      <w:pPr>
        <w:jc w:val="right"/>
        <w:rPr>
          <w:rFonts w:ascii="Arial" w:hAnsi="Arial" w:cs="Arial"/>
          <w:b/>
          <w:color w:val="000000" w:themeColor="text1"/>
          <w:sz w:val="16"/>
          <w:szCs w:val="16"/>
          <w:lang w:eastAsia="es-ES"/>
        </w:rPr>
      </w:pPr>
      <w:bookmarkStart w:id="0" w:name="_Hlk34041509"/>
      <w:bookmarkStart w:id="1" w:name="_Hlk28946138"/>
      <w:bookmarkStart w:id="2" w:name="_Hlk29548183"/>
      <w:bookmarkEnd w:id="0"/>
      <w:r w:rsidRPr="00270497">
        <w:rPr>
          <w:rFonts w:ascii="Arial" w:hAnsi="Arial" w:cs="Arial"/>
          <w:b/>
          <w:color w:val="000000" w:themeColor="text1"/>
          <w:sz w:val="16"/>
          <w:szCs w:val="16"/>
          <w:lang w:eastAsia="es-ES"/>
        </w:rPr>
        <w:t>CCE-DES-FM-17</w:t>
      </w:r>
    </w:p>
    <w:p w14:paraId="0B1653B6" w14:textId="77777777" w:rsidR="004E3D78" w:rsidRPr="008F1729" w:rsidRDefault="004E3D78" w:rsidP="0051744B">
      <w:pPr>
        <w:jc w:val="both"/>
        <w:rPr>
          <w:rFonts w:ascii="Arial" w:eastAsia="Calibri" w:hAnsi="Arial" w:cs="Arial"/>
          <w:color w:val="000000" w:themeColor="text1"/>
          <w:sz w:val="16"/>
          <w:szCs w:val="16"/>
        </w:rPr>
      </w:pPr>
    </w:p>
    <w:p w14:paraId="72961F51" w14:textId="54E42415" w:rsidR="004E3D78" w:rsidRPr="00270497" w:rsidRDefault="004E3D78" w:rsidP="0051744B">
      <w:pPr>
        <w:jc w:val="both"/>
        <w:rPr>
          <w:rFonts w:ascii="Arial" w:eastAsia="Calibri" w:hAnsi="Arial" w:cs="Arial"/>
          <w:b/>
          <w:color w:val="000000" w:themeColor="text1"/>
          <w:sz w:val="22"/>
        </w:rPr>
      </w:pPr>
      <w:r w:rsidRPr="00270497">
        <w:rPr>
          <w:rFonts w:ascii="Arial" w:eastAsia="Calibri" w:hAnsi="Arial" w:cs="Arial"/>
          <w:b/>
          <w:color w:val="000000" w:themeColor="text1"/>
          <w:sz w:val="22"/>
        </w:rPr>
        <w:t>PUBLICIDAD</w:t>
      </w:r>
      <w:r w:rsidR="001720A8">
        <w:rPr>
          <w:rFonts w:ascii="Arial" w:eastAsia="Calibri" w:hAnsi="Arial" w:cs="Arial"/>
          <w:b/>
          <w:color w:val="000000" w:themeColor="text1"/>
          <w:sz w:val="22"/>
        </w:rPr>
        <w:t xml:space="preserve"> </w:t>
      </w:r>
      <w:r w:rsidR="001720A8">
        <w:rPr>
          <w:rFonts w:ascii="Arial" w:eastAsia="Calibri" w:hAnsi="Arial" w:cs="Arial"/>
          <w:b/>
          <w:bCs/>
          <w:color w:val="000000" w:themeColor="text1"/>
          <w:sz w:val="22"/>
        </w:rPr>
        <w:t xml:space="preserve">– </w:t>
      </w:r>
      <w:r w:rsidRPr="00270497">
        <w:rPr>
          <w:rFonts w:ascii="Arial" w:eastAsia="Calibri" w:hAnsi="Arial" w:cs="Arial"/>
          <w:b/>
          <w:color w:val="000000" w:themeColor="text1"/>
          <w:sz w:val="22"/>
        </w:rPr>
        <w:t>SECOP</w:t>
      </w:r>
      <w:r w:rsidR="00857732" w:rsidRPr="00270497">
        <w:rPr>
          <w:rFonts w:ascii="Arial" w:eastAsia="Calibri" w:hAnsi="Arial" w:cs="Arial"/>
          <w:b/>
          <w:color w:val="000000" w:themeColor="text1"/>
          <w:sz w:val="22"/>
        </w:rPr>
        <w:t xml:space="preserve"> –</w:t>
      </w:r>
      <w:r w:rsidRPr="00270497">
        <w:rPr>
          <w:rFonts w:ascii="Arial" w:eastAsia="Calibri" w:hAnsi="Arial" w:cs="Arial"/>
          <w:b/>
          <w:color w:val="000000" w:themeColor="text1"/>
          <w:sz w:val="22"/>
        </w:rPr>
        <w:t xml:space="preserve"> Entidades de régimen especial</w:t>
      </w:r>
      <w:r w:rsidR="00C26CD3" w:rsidRPr="00270497">
        <w:rPr>
          <w:rFonts w:ascii="Arial" w:eastAsia="Calibri" w:hAnsi="Arial" w:cs="Arial"/>
          <w:b/>
          <w:color w:val="000000" w:themeColor="text1"/>
          <w:sz w:val="22"/>
        </w:rPr>
        <w:t xml:space="preserve"> </w:t>
      </w:r>
      <w:r w:rsidR="00857732" w:rsidRPr="00270497">
        <w:rPr>
          <w:rFonts w:ascii="Arial" w:eastAsia="Calibri" w:hAnsi="Arial" w:cs="Arial"/>
          <w:b/>
          <w:color w:val="000000" w:themeColor="text1"/>
          <w:sz w:val="22"/>
        </w:rPr>
        <w:t>–</w:t>
      </w:r>
      <w:r w:rsidRPr="00270497">
        <w:rPr>
          <w:rFonts w:ascii="Arial" w:eastAsia="Calibri" w:hAnsi="Arial" w:cs="Arial"/>
          <w:b/>
          <w:color w:val="000000" w:themeColor="text1"/>
          <w:sz w:val="22"/>
        </w:rPr>
        <w:t xml:space="preserve"> Fundamento normativo</w:t>
      </w:r>
    </w:p>
    <w:p w14:paraId="043C5B18" w14:textId="77777777" w:rsidR="004E3D78" w:rsidRPr="00270497" w:rsidRDefault="004E3D78" w:rsidP="0051744B">
      <w:pPr>
        <w:jc w:val="both"/>
        <w:rPr>
          <w:rFonts w:ascii="Arial" w:eastAsia="Calibri" w:hAnsi="Arial" w:cs="Arial"/>
          <w:b/>
          <w:color w:val="000000" w:themeColor="text1"/>
          <w:sz w:val="21"/>
          <w:szCs w:val="21"/>
        </w:rPr>
      </w:pPr>
    </w:p>
    <w:p w14:paraId="1A7F5427" w14:textId="012C75C1" w:rsidR="004E3D78" w:rsidRPr="00270497" w:rsidRDefault="00643441" w:rsidP="0051744B">
      <w:pPr>
        <w:jc w:val="both"/>
        <w:rPr>
          <w:rFonts w:ascii="Arial" w:hAnsi="Arial" w:cs="Arial"/>
          <w:color w:val="000000" w:themeColor="text1"/>
          <w:sz w:val="20"/>
          <w:szCs w:val="20"/>
          <w:lang w:val="es-ES"/>
        </w:rPr>
      </w:pPr>
      <w:r w:rsidRPr="00270497">
        <w:rPr>
          <w:rFonts w:ascii="Arial" w:hAnsi="Arial" w:cs="Arial"/>
          <w:color w:val="000000" w:themeColor="text1"/>
          <w:sz w:val="20"/>
          <w:szCs w:val="20"/>
          <w:lang w:val="es-ES"/>
        </w:rPr>
        <w:t xml:space="preserve">[…] </w:t>
      </w:r>
      <w:r w:rsidR="0057786E">
        <w:rPr>
          <w:rFonts w:ascii="Arial" w:hAnsi="Arial" w:cs="Arial"/>
          <w:color w:val="000000" w:themeColor="text1"/>
          <w:sz w:val="20"/>
          <w:szCs w:val="20"/>
          <w:lang w:val="es-ES"/>
        </w:rPr>
        <w:t>e</w:t>
      </w:r>
      <w:r w:rsidR="004E3D78" w:rsidRPr="00270497">
        <w:rPr>
          <w:rFonts w:ascii="Arial" w:hAnsi="Arial" w:cs="Arial"/>
          <w:color w:val="000000" w:themeColor="text1"/>
          <w:sz w:val="20"/>
          <w:szCs w:val="20"/>
          <w:lang w:val="es-ES"/>
        </w:rPr>
        <w:t xml:space="preserv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21CC2AFF" w14:textId="77777777" w:rsidR="004E3D78" w:rsidRPr="00270497" w:rsidRDefault="004E3D78" w:rsidP="0051744B">
      <w:pPr>
        <w:jc w:val="both"/>
        <w:rPr>
          <w:rFonts w:ascii="Arial" w:eastAsia="Calibri" w:hAnsi="Arial" w:cs="Arial"/>
          <w:color w:val="000000" w:themeColor="text1"/>
          <w:sz w:val="21"/>
          <w:szCs w:val="21"/>
          <w:lang w:val="es-ES"/>
        </w:rPr>
      </w:pPr>
      <w:r w:rsidRPr="00270497">
        <w:rPr>
          <w:rFonts w:ascii="Arial" w:eastAsia="Calibri" w:hAnsi="Arial" w:cs="Arial"/>
          <w:color w:val="000000" w:themeColor="text1"/>
          <w:sz w:val="21"/>
          <w:szCs w:val="21"/>
        </w:rPr>
        <w:t xml:space="preserve"> </w:t>
      </w:r>
    </w:p>
    <w:p w14:paraId="309A2F69" w14:textId="6B0F9641" w:rsidR="004E3D78" w:rsidRPr="00270497" w:rsidRDefault="006C37EE" w:rsidP="0051744B">
      <w:pPr>
        <w:pStyle w:val="Prrafodelista"/>
        <w:ind w:left="0"/>
        <w:contextualSpacing w:val="0"/>
        <w:jc w:val="both"/>
        <w:rPr>
          <w:rFonts w:ascii="Arial" w:eastAsia="Calibri" w:hAnsi="Arial" w:cs="Arial"/>
          <w:b/>
          <w:color w:val="000000" w:themeColor="text1"/>
          <w:sz w:val="22"/>
        </w:rPr>
      </w:pPr>
      <w:r>
        <w:rPr>
          <w:rFonts w:ascii="Arial" w:eastAsia="Calibri" w:hAnsi="Arial" w:cs="Arial"/>
          <w:b/>
          <w:color w:val="000000" w:themeColor="text1"/>
          <w:sz w:val="22"/>
        </w:rPr>
        <w:t xml:space="preserve">PUBLICIDAD </w:t>
      </w:r>
      <w:r w:rsidR="001720A8">
        <w:rPr>
          <w:rFonts w:ascii="Arial" w:eastAsia="Calibri" w:hAnsi="Arial" w:cs="Arial"/>
          <w:b/>
          <w:bCs/>
          <w:color w:val="000000" w:themeColor="text1"/>
          <w:sz w:val="22"/>
        </w:rPr>
        <w:t xml:space="preserve">– </w:t>
      </w:r>
      <w:r>
        <w:rPr>
          <w:rFonts w:ascii="Arial" w:eastAsia="Calibri" w:hAnsi="Arial" w:cs="Arial"/>
          <w:b/>
          <w:color w:val="000000" w:themeColor="text1"/>
          <w:sz w:val="22"/>
        </w:rPr>
        <w:t>SECOP</w:t>
      </w:r>
      <w:r w:rsidR="004E3D78" w:rsidRPr="00270497">
        <w:rPr>
          <w:rFonts w:ascii="Arial" w:eastAsia="Calibri" w:hAnsi="Arial" w:cs="Arial"/>
          <w:b/>
          <w:color w:val="000000" w:themeColor="text1"/>
          <w:sz w:val="22"/>
        </w:rPr>
        <w:t xml:space="preserve"> </w:t>
      </w:r>
      <w:r w:rsidR="00857732" w:rsidRPr="00270497">
        <w:rPr>
          <w:rFonts w:ascii="Arial" w:eastAsia="Calibri" w:hAnsi="Arial" w:cs="Arial"/>
          <w:b/>
          <w:color w:val="000000" w:themeColor="text1"/>
          <w:sz w:val="22"/>
        </w:rPr>
        <w:t>–</w:t>
      </w:r>
      <w:r w:rsidR="004E3D78" w:rsidRPr="00270497">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 Documentos </w:t>
      </w:r>
      <w:r w:rsidRPr="00270497">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4E3D78" w:rsidRPr="00270497">
        <w:rPr>
          <w:rFonts w:ascii="Arial" w:eastAsia="Calibri" w:hAnsi="Arial" w:cs="Arial"/>
          <w:b/>
          <w:color w:val="000000" w:themeColor="text1"/>
          <w:sz w:val="22"/>
        </w:rPr>
        <w:t>Entidades de régimen especial</w:t>
      </w:r>
    </w:p>
    <w:p w14:paraId="2619A085" w14:textId="77777777" w:rsidR="004E3D78" w:rsidRPr="00270497" w:rsidRDefault="004E3D78" w:rsidP="0051744B">
      <w:pPr>
        <w:pStyle w:val="Prrafodelista"/>
        <w:ind w:left="0"/>
        <w:contextualSpacing w:val="0"/>
        <w:jc w:val="both"/>
        <w:rPr>
          <w:rFonts w:ascii="Arial" w:eastAsia="Calibri" w:hAnsi="Arial" w:cs="Arial"/>
          <w:color w:val="000000" w:themeColor="text1"/>
          <w:sz w:val="22"/>
        </w:rPr>
      </w:pPr>
    </w:p>
    <w:p w14:paraId="02225A87" w14:textId="40533E68" w:rsidR="00643441" w:rsidRPr="00270497" w:rsidRDefault="004E3D78" w:rsidP="00643441">
      <w:pPr>
        <w:spacing w:after="120"/>
        <w:jc w:val="both"/>
        <w:rPr>
          <w:rFonts w:ascii="Arial" w:eastAsia="Calibri" w:hAnsi="Arial" w:cs="Arial"/>
          <w:color w:val="000000" w:themeColor="text1"/>
          <w:sz w:val="20"/>
          <w:szCs w:val="20"/>
        </w:rPr>
      </w:pPr>
      <w:r w:rsidRPr="00270497">
        <w:rPr>
          <w:rFonts w:ascii="Arial" w:eastAsia="Calibri" w:hAnsi="Arial" w:cs="Arial"/>
          <w:color w:val="000000" w:themeColor="text1"/>
          <w:sz w:val="20"/>
          <w:szCs w:val="20"/>
        </w:rPr>
        <w:t>[…]</w:t>
      </w:r>
      <w:r w:rsidR="0057786E">
        <w:rPr>
          <w:rFonts w:ascii="Arial" w:eastAsia="Calibri" w:hAnsi="Arial" w:cs="Arial"/>
          <w:color w:val="000000" w:themeColor="text1"/>
          <w:sz w:val="20"/>
          <w:szCs w:val="20"/>
        </w:rPr>
        <w:t xml:space="preserve"> e</w:t>
      </w:r>
      <w:r w:rsidRPr="00270497">
        <w:rPr>
          <w:rFonts w:ascii="Arial" w:eastAsia="Calibri" w:hAnsi="Arial" w:cs="Arial"/>
          <w:color w:val="000000" w:themeColor="text1"/>
          <w:sz w:val="20"/>
          <w:szCs w:val="20"/>
        </w:rPr>
        <w:t>l Decreto 103 de 2015 señala que los documentos que deben publicar las entidades estatales a quienes les aplica la Ley 1712 de 2019, entre estas, por ejemplo, las empresas de servicios públicos mixtas, oficiales y privadas con participación pública,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r w:rsidR="00643441" w:rsidRPr="00270497">
        <w:rPr>
          <w:rFonts w:ascii="Arial" w:eastAsia="Calibri" w:hAnsi="Arial" w:cs="Arial"/>
          <w:color w:val="000000" w:themeColor="text1"/>
          <w:sz w:val="20"/>
          <w:szCs w:val="20"/>
        </w:rPr>
        <w:t>.</w:t>
      </w:r>
    </w:p>
    <w:p w14:paraId="7AA027D3" w14:textId="13BBF23A" w:rsidR="009D32B1" w:rsidRPr="00270497" w:rsidRDefault="004E3D78" w:rsidP="009D32B1">
      <w:pPr>
        <w:spacing w:after="120"/>
        <w:jc w:val="both"/>
        <w:rPr>
          <w:rFonts w:ascii="Arial" w:eastAsia="Calibri" w:hAnsi="Arial" w:cs="Arial"/>
          <w:color w:val="000000" w:themeColor="text1"/>
          <w:sz w:val="20"/>
          <w:szCs w:val="20"/>
        </w:rPr>
      </w:pPr>
      <w:r w:rsidRPr="00270497">
        <w:rPr>
          <w:rFonts w:ascii="Arial" w:eastAsia="Calibri" w:hAnsi="Arial" w:cs="Arial"/>
          <w:color w:val="000000" w:themeColor="text1"/>
          <w:sz w:val="20"/>
          <w:szCs w:val="20"/>
        </w:rPr>
        <w:t>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w:t>
      </w:r>
    </w:p>
    <w:p w14:paraId="402FCBD5" w14:textId="41692AEA" w:rsidR="004E3D78" w:rsidRPr="00270497" w:rsidRDefault="004E3D78" w:rsidP="0051744B">
      <w:pPr>
        <w:jc w:val="both"/>
        <w:rPr>
          <w:rFonts w:ascii="Arial" w:eastAsia="Calibri" w:hAnsi="Arial" w:cs="Arial"/>
          <w:color w:val="000000" w:themeColor="text1"/>
          <w:sz w:val="20"/>
          <w:szCs w:val="20"/>
        </w:rPr>
      </w:pPr>
      <w:r w:rsidRPr="00270497">
        <w:rPr>
          <w:rFonts w:ascii="Arial" w:eastAsia="Calibri" w:hAnsi="Arial" w:cs="Arial"/>
          <w:color w:val="000000" w:themeColor="text1"/>
          <w:sz w:val="20"/>
          <w:szCs w:val="20"/>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04AB8918" w14:textId="77777777" w:rsidR="004E3D78" w:rsidRPr="00270497" w:rsidRDefault="004E3D78" w:rsidP="0051744B">
      <w:pPr>
        <w:jc w:val="both"/>
        <w:rPr>
          <w:rFonts w:ascii="Arial" w:eastAsia="Calibri" w:hAnsi="Arial" w:cs="Arial"/>
          <w:color w:val="000000" w:themeColor="text1"/>
          <w:sz w:val="21"/>
          <w:szCs w:val="21"/>
        </w:rPr>
      </w:pPr>
    </w:p>
    <w:p w14:paraId="43B7019C" w14:textId="26E756F1" w:rsidR="004E3D78" w:rsidRPr="00270497" w:rsidRDefault="004E3D78" w:rsidP="0051744B">
      <w:pPr>
        <w:jc w:val="both"/>
        <w:rPr>
          <w:rFonts w:ascii="Arial" w:hAnsi="Arial" w:cs="Arial"/>
          <w:b/>
          <w:color w:val="000000" w:themeColor="text1"/>
          <w:sz w:val="22"/>
        </w:rPr>
      </w:pPr>
      <w:r w:rsidRPr="00270497">
        <w:rPr>
          <w:rFonts w:ascii="Arial" w:hAnsi="Arial" w:cs="Arial"/>
          <w:b/>
          <w:color w:val="000000" w:themeColor="text1"/>
          <w:sz w:val="22"/>
        </w:rPr>
        <w:t>PUBLIC</w:t>
      </w:r>
      <w:r w:rsidR="001720A8">
        <w:rPr>
          <w:rFonts w:ascii="Arial" w:hAnsi="Arial" w:cs="Arial"/>
          <w:b/>
          <w:color w:val="000000" w:themeColor="text1"/>
          <w:sz w:val="22"/>
        </w:rPr>
        <w:t>IDAD</w:t>
      </w:r>
      <w:r w:rsidRPr="00270497">
        <w:rPr>
          <w:rFonts w:ascii="Arial" w:hAnsi="Arial" w:cs="Arial"/>
          <w:b/>
          <w:color w:val="000000" w:themeColor="text1"/>
          <w:sz w:val="22"/>
        </w:rPr>
        <w:t xml:space="preserve"> </w:t>
      </w:r>
      <w:r w:rsidR="001720A8">
        <w:rPr>
          <w:rFonts w:ascii="Arial" w:eastAsia="Calibri" w:hAnsi="Arial" w:cs="Arial"/>
          <w:b/>
          <w:bCs/>
          <w:color w:val="000000" w:themeColor="text1"/>
          <w:sz w:val="22"/>
        </w:rPr>
        <w:t xml:space="preserve">– </w:t>
      </w:r>
      <w:r w:rsidRPr="00270497">
        <w:rPr>
          <w:rFonts w:ascii="Arial" w:hAnsi="Arial" w:cs="Arial"/>
          <w:b/>
          <w:color w:val="000000" w:themeColor="text1"/>
          <w:sz w:val="22"/>
        </w:rPr>
        <w:t xml:space="preserve">SECOP </w:t>
      </w:r>
      <w:r w:rsidR="00857732" w:rsidRPr="00270497">
        <w:rPr>
          <w:rFonts w:ascii="Arial" w:eastAsia="Calibri" w:hAnsi="Arial" w:cs="Arial"/>
          <w:b/>
          <w:color w:val="000000" w:themeColor="text1"/>
          <w:sz w:val="22"/>
        </w:rPr>
        <w:t>–</w:t>
      </w:r>
      <w:r w:rsidRPr="00270497">
        <w:rPr>
          <w:rFonts w:ascii="Arial" w:hAnsi="Arial" w:cs="Arial"/>
          <w:b/>
          <w:color w:val="000000" w:themeColor="text1"/>
          <w:sz w:val="22"/>
        </w:rPr>
        <w:t xml:space="preserve"> </w:t>
      </w:r>
      <w:r w:rsidR="00586EA4">
        <w:rPr>
          <w:rFonts w:ascii="Arial" w:hAnsi="Arial" w:cs="Arial"/>
          <w:b/>
          <w:color w:val="000000" w:themeColor="text1"/>
          <w:sz w:val="22"/>
        </w:rPr>
        <w:t xml:space="preserve">Plazo </w:t>
      </w:r>
      <w:r w:rsidR="00586EA4" w:rsidRPr="00270497">
        <w:rPr>
          <w:rFonts w:ascii="Arial" w:eastAsia="Calibri" w:hAnsi="Arial" w:cs="Arial"/>
          <w:b/>
          <w:color w:val="000000" w:themeColor="text1"/>
          <w:sz w:val="22"/>
        </w:rPr>
        <w:t>–</w:t>
      </w:r>
      <w:r w:rsidR="00586EA4">
        <w:rPr>
          <w:rFonts w:ascii="Arial" w:eastAsia="Calibri" w:hAnsi="Arial" w:cs="Arial"/>
          <w:b/>
          <w:color w:val="000000" w:themeColor="text1"/>
          <w:sz w:val="22"/>
        </w:rPr>
        <w:t xml:space="preserve"> </w:t>
      </w:r>
      <w:r w:rsidRPr="00270497">
        <w:rPr>
          <w:rFonts w:ascii="Arial" w:hAnsi="Arial" w:cs="Arial"/>
          <w:b/>
          <w:color w:val="000000" w:themeColor="text1"/>
          <w:sz w:val="22"/>
        </w:rPr>
        <w:t>Entidades régimen especial</w:t>
      </w:r>
    </w:p>
    <w:p w14:paraId="5EC597BC" w14:textId="77777777" w:rsidR="004E3D78" w:rsidRPr="00270497" w:rsidRDefault="004E3D78" w:rsidP="0051744B">
      <w:pPr>
        <w:jc w:val="both"/>
        <w:rPr>
          <w:rFonts w:ascii="Arial" w:hAnsi="Arial" w:cs="Arial"/>
          <w:color w:val="000000" w:themeColor="text1"/>
          <w:sz w:val="21"/>
          <w:szCs w:val="21"/>
        </w:rPr>
      </w:pPr>
    </w:p>
    <w:p w14:paraId="140F9A20" w14:textId="77777777" w:rsidR="009D32B1" w:rsidRPr="00270497" w:rsidRDefault="004E3D78" w:rsidP="009D32B1">
      <w:pPr>
        <w:spacing w:after="120"/>
        <w:jc w:val="both"/>
        <w:rPr>
          <w:rFonts w:ascii="Arial" w:hAnsi="Arial" w:cs="Arial"/>
          <w:color w:val="000000" w:themeColor="text1"/>
          <w:sz w:val="20"/>
          <w:szCs w:val="20"/>
        </w:rPr>
      </w:pPr>
      <w:r w:rsidRPr="00270497">
        <w:rPr>
          <w:rFonts w:ascii="Arial" w:hAnsi="Arial" w:cs="Arial"/>
          <w:color w:val="000000" w:themeColor="text1"/>
          <w:sz w:val="20"/>
          <w:szCs w:val="20"/>
        </w:rPr>
        <w:t xml:space="preserve">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aplicarle su consecuencia jurídica a las entidades de régimen especial. </w:t>
      </w:r>
    </w:p>
    <w:p w14:paraId="6F2EA4FF" w14:textId="77777777" w:rsidR="009D32B1" w:rsidRPr="00270497" w:rsidRDefault="004E3D78" w:rsidP="009D32B1">
      <w:pPr>
        <w:spacing w:after="120"/>
        <w:jc w:val="both"/>
        <w:rPr>
          <w:rFonts w:ascii="Arial" w:hAnsi="Arial" w:cs="Arial"/>
          <w:color w:val="000000" w:themeColor="text1"/>
          <w:sz w:val="20"/>
          <w:szCs w:val="20"/>
        </w:rPr>
      </w:pPr>
      <w:r w:rsidRPr="00270497">
        <w:rPr>
          <w:rFonts w:ascii="Arial" w:hAnsi="Arial" w:cs="Arial"/>
          <w:color w:val="000000" w:themeColor="text1"/>
          <w:sz w:val="20"/>
          <w:szCs w:val="20"/>
        </w:rPr>
        <w:t>A su vez, no es posible que las entidades definan en su manual de contratación el momento en el cual publicarán sus documentos contractuales, porque este es un asunto que debe definir el legislador o el gobierno por medio de un reglamento.</w:t>
      </w:r>
    </w:p>
    <w:p w14:paraId="43E4E47D" w14:textId="77777777" w:rsidR="009D32B1" w:rsidRPr="00270497" w:rsidRDefault="004E3D78" w:rsidP="0051744B">
      <w:pPr>
        <w:jc w:val="both"/>
        <w:rPr>
          <w:rFonts w:ascii="Arial" w:hAnsi="Arial" w:cs="Arial"/>
          <w:color w:val="000000" w:themeColor="text1"/>
          <w:sz w:val="20"/>
          <w:szCs w:val="20"/>
        </w:rPr>
      </w:pPr>
      <w:r w:rsidRPr="00270497">
        <w:rPr>
          <w:rFonts w:ascii="Arial" w:hAnsi="Arial" w:cs="Arial"/>
          <w:color w:val="000000" w:themeColor="text1"/>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5D5AEDDF" w14:textId="5294765D" w:rsidR="004E3D78" w:rsidRPr="00270497" w:rsidRDefault="004E3D78" w:rsidP="0051744B">
      <w:pPr>
        <w:jc w:val="both"/>
        <w:rPr>
          <w:rFonts w:ascii="Arial" w:hAnsi="Arial" w:cs="Arial"/>
          <w:color w:val="000000" w:themeColor="text1"/>
          <w:sz w:val="20"/>
          <w:szCs w:val="20"/>
        </w:rPr>
      </w:pPr>
      <w:r w:rsidRPr="00270497">
        <w:rPr>
          <w:rFonts w:ascii="Arial" w:hAnsi="Arial" w:cs="Arial"/>
          <w:color w:val="000000" w:themeColor="text1"/>
          <w:sz w:val="20"/>
          <w:szCs w:val="20"/>
        </w:rPr>
        <w:lastRenderedPageBreak/>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04647768" w14:textId="77777777" w:rsidR="004E3D78" w:rsidRPr="00270497" w:rsidRDefault="004E3D78" w:rsidP="0051744B">
      <w:pPr>
        <w:jc w:val="both"/>
        <w:rPr>
          <w:rFonts w:ascii="Arial" w:hAnsi="Arial" w:cs="Arial"/>
          <w:color w:val="000000" w:themeColor="text1"/>
          <w:sz w:val="21"/>
          <w:szCs w:val="21"/>
        </w:rPr>
      </w:pPr>
    </w:p>
    <w:p w14:paraId="1D4579C5" w14:textId="4E268D2B" w:rsidR="004E3D78" w:rsidRPr="00270497" w:rsidRDefault="001720A8" w:rsidP="0051744B">
      <w:pPr>
        <w:jc w:val="both"/>
        <w:rPr>
          <w:rFonts w:ascii="Arial" w:hAnsi="Arial" w:cs="Arial"/>
          <w:b/>
          <w:color w:val="000000" w:themeColor="text1"/>
          <w:sz w:val="22"/>
        </w:rPr>
      </w:pPr>
      <w:r>
        <w:rPr>
          <w:rFonts w:ascii="Arial" w:hAnsi="Arial" w:cs="Arial"/>
          <w:b/>
          <w:color w:val="000000" w:themeColor="text1"/>
          <w:sz w:val="22"/>
        </w:rPr>
        <w:t xml:space="preserve">PUBLICIDAD </w:t>
      </w:r>
      <w:r>
        <w:rPr>
          <w:rFonts w:ascii="Arial" w:eastAsia="Calibri" w:hAnsi="Arial" w:cs="Arial"/>
          <w:b/>
          <w:bCs/>
          <w:color w:val="000000" w:themeColor="text1"/>
          <w:sz w:val="22"/>
        </w:rPr>
        <w:t xml:space="preserve">– </w:t>
      </w:r>
      <w:r w:rsidR="00857732" w:rsidRPr="00270497">
        <w:rPr>
          <w:rFonts w:ascii="Arial" w:hAnsi="Arial" w:cs="Arial"/>
          <w:b/>
          <w:color w:val="000000" w:themeColor="text1"/>
          <w:sz w:val="22"/>
        </w:rPr>
        <w:t xml:space="preserve"> </w:t>
      </w:r>
      <w:r>
        <w:rPr>
          <w:rFonts w:ascii="Arial" w:hAnsi="Arial" w:cs="Arial"/>
          <w:b/>
          <w:color w:val="000000" w:themeColor="text1"/>
          <w:sz w:val="22"/>
        </w:rPr>
        <w:t xml:space="preserve">Empresas descentralizadas </w:t>
      </w:r>
      <w:r>
        <w:rPr>
          <w:rFonts w:ascii="Arial" w:eastAsia="Calibri" w:hAnsi="Arial" w:cs="Arial"/>
          <w:b/>
          <w:bCs/>
          <w:color w:val="000000" w:themeColor="text1"/>
          <w:sz w:val="22"/>
        </w:rPr>
        <w:t xml:space="preserve">– </w:t>
      </w:r>
      <w:r>
        <w:rPr>
          <w:rFonts w:ascii="Arial" w:eastAsia="Calibri" w:hAnsi="Arial" w:cs="Arial"/>
          <w:b/>
          <w:bCs/>
          <w:color w:val="000000" w:themeColor="text1"/>
          <w:sz w:val="22"/>
        </w:rPr>
        <w:t xml:space="preserve"> N</w:t>
      </w:r>
      <w:bookmarkStart w:id="3" w:name="_GoBack"/>
      <w:bookmarkEnd w:id="3"/>
      <w:r w:rsidR="004E3D78" w:rsidRPr="00270497">
        <w:rPr>
          <w:rFonts w:ascii="Arial" w:hAnsi="Arial" w:cs="Arial"/>
          <w:b/>
          <w:color w:val="000000" w:themeColor="text1"/>
          <w:sz w:val="22"/>
        </w:rPr>
        <w:t xml:space="preserve">ivel municipal </w:t>
      </w:r>
    </w:p>
    <w:p w14:paraId="0D5D3BC2" w14:textId="77777777" w:rsidR="004E3D78" w:rsidRPr="00270497" w:rsidRDefault="004E3D78" w:rsidP="0051744B">
      <w:pPr>
        <w:jc w:val="both"/>
        <w:rPr>
          <w:rFonts w:ascii="Arial" w:hAnsi="Arial" w:cs="Arial"/>
          <w:color w:val="000000" w:themeColor="text1"/>
          <w:sz w:val="21"/>
          <w:szCs w:val="21"/>
        </w:rPr>
      </w:pPr>
    </w:p>
    <w:p w14:paraId="4CCA3600" w14:textId="34CA7743" w:rsidR="004E3D78" w:rsidRPr="00270497" w:rsidRDefault="0068156A" w:rsidP="0051744B">
      <w:pPr>
        <w:jc w:val="both"/>
        <w:rPr>
          <w:rFonts w:ascii="Arial" w:hAnsi="Arial" w:cs="Arial"/>
          <w:color w:val="000000" w:themeColor="text1"/>
          <w:sz w:val="20"/>
          <w:szCs w:val="20"/>
        </w:rPr>
      </w:pPr>
      <w:r w:rsidRPr="00270497">
        <w:rPr>
          <w:rFonts w:ascii="Arial" w:eastAsia="Calibri" w:hAnsi="Arial" w:cs="Arial"/>
          <w:color w:val="000000" w:themeColor="text1"/>
          <w:sz w:val="20"/>
          <w:szCs w:val="20"/>
          <w:lang w:val="es-ES"/>
        </w:rPr>
        <w:t xml:space="preserve">[…] </w:t>
      </w:r>
      <w:r w:rsidR="000253B9">
        <w:rPr>
          <w:rFonts w:ascii="Arial" w:eastAsia="Calibri" w:hAnsi="Arial" w:cs="Arial"/>
          <w:color w:val="000000" w:themeColor="text1"/>
          <w:sz w:val="20"/>
          <w:szCs w:val="20"/>
          <w:lang w:val="es-ES"/>
        </w:rPr>
        <w:t>a</w:t>
      </w:r>
      <w:r w:rsidR="004E3D78" w:rsidRPr="00270497">
        <w:rPr>
          <w:rFonts w:ascii="Arial" w:eastAsia="Calibri" w:hAnsi="Arial" w:cs="Arial"/>
          <w:color w:val="000000" w:themeColor="text1"/>
          <w:sz w:val="20"/>
          <w:szCs w:val="20"/>
          <w:lang w:val="es-ES"/>
        </w:rPr>
        <w:t xml:space="preserve">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w:t>
      </w:r>
    </w:p>
    <w:p w14:paraId="07C86E3B" w14:textId="77777777" w:rsidR="00B221E4" w:rsidRPr="00270497" w:rsidRDefault="00B221E4" w:rsidP="00AC3AAF">
      <w:pPr>
        <w:jc w:val="both"/>
        <w:rPr>
          <w:rFonts w:ascii="Arial" w:hAnsi="Arial" w:cs="Arial"/>
          <w:color w:val="000000" w:themeColor="text1"/>
          <w:sz w:val="20"/>
          <w:szCs w:val="20"/>
        </w:rPr>
      </w:pPr>
    </w:p>
    <w:p w14:paraId="47916CFD" w14:textId="77777777" w:rsidR="00AC3AAF" w:rsidRPr="00270497" w:rsidRDefault="00AC3AAF" w:rsidP="00AC3AAF">
      <w:pPr>
        <w:pStyle w:val="Default"/>
        <w:rPr>
          <w:color w:val="000000" w:themeColor="text1"/>
          <w:sz w:val="20"/>
          <w:szCs w:val="20"/>
        </w:rPr>
      </w:pPr>
    </w:p>
    <w:p w14:paraId="310EF0B1" w14:textId="44D956ED" w:rsidR="00AC3AAF" w:rsidRPr="008F1729" w:rsidRDefault="00AC3AAF" w:rsidP="00AC3AAF">
      <w:pPr>
        <w:pStyle w:val="Default"/>
        <w:rPr>
          <w:color w:val="000000" w:themeColor="text1"/>
          <w:sz w:val="22"/>
          <w:szCs w:val="22"/>
        </w:rPr>
      </w:pPr>
      <w:r w:rsidRPr="008F1729">
        <w:rPr>
          <w:color w:val="000000" w:themeColor="text1"/>
          <w:sz w:val="22"/>
          <w:szCs w:val="22"/>
        </w:rPr>
        <w:t xml:space="preserve">Bogotá D.C., </w:t>
      </w:r>
      <w:r w:rsidRPr="008F1729">
        <w:rPr>
          <w:b/>
          <w:bCs/>
          <w:color w:val="000000" w:themeColor="text1"/>
          <w:sz w:val="22"/>
          <w:szCs w:val="22"/>
        </w:rPr>
        <w:t xml:space="preserve">24/03/2020 Hora 19:25:36s </w:t>
      </w:r>
    </w:p>
    <w:p w14:paraId="7E80B7C1" w14:textId="26C7F1D0" w:rsidR="00A37FB6" w:rsidRPr="008F1729" w:rsidRDefault="0051744B" w:rsidP="0051744B">
      <w:pPr>
        <w:tabs>
          <w:tab w:val="left" w:pos="3374"/>
        </w:tabs>
        <w:spacing w:before="120" w:after="120" w:line="276" w:lineRule="auto"/>
        <w:jc w:val="right"/>
        <w:rPr>
          <w:rFonts w:ascii="Arial" w:eastAsia="Calibri" w:hAnsi="Arial" w:cs="Arial"/>
          <w:color w:val="000000" w:themeColor="text1"/>
          <w:sz w:val="22"/>
        </w:rPr>
      </w:pPr>
      <w:r w:rsidRPr="008F1729">
        <w:rPr>
          <w:rFonts w:ascii="Arial" w:hAnsi="Arial" w:cs="Arial"/>
          <w:b/>
          <w:bCs/>
          <w:color w:val="000000" w:themeColor="text1"/>
          <w:sz w:val="22"/>
        </w:rPr>
        <w:t xml:space="preserve">        </w:t>
      </w:r>
      <w:r w:rsidR="008F1729">
        <w:rPr>
          <w:rFonts w:ascii="Arial" w:hAnsi="Arial" w:cs="Arial"/>
          <w:b/>
          <w:bCs/>
          <w:color w:val="000000" w:themeColor="text1"/>
          <w:sz w:val="22"/>
        </w:rPr>
        <w:t xml:space="preserve">   </w:t>
      </w:r>
      <w:r w:rsidR="00AC3AAF" w:rsidRPr="008F1729">
        <w:rPr>
          <w:rFonts w:ascii="Arial" w:hAnsi="Arial" w:cs="Arial"/>
          <w:b/>
          <w:bCs/>
          <w:color w:val="000000" w:themeColor="text1"/>
          <w:sz w:val="22"/>
        </w:rPr>
        <w:t>N° Radicado: 2202013000002155</w:t>
      </w:r>
      <w:r w:rsidR="00A37FB6" w:rsidRPr="008F1729">
        <w:rPr>
          <w:rFonts w:ascii="Arial" w:eastAsia="Calibri" w:hAnsi="Arial" w:cs="Arial"/>
          <w:color w:val="000000" w:themeColor="text1"/>
          <w:sz w:val="22"/>
        </w:rPr>
        <w:tab/>
      </w:r>
    </w:p>
    <w:p w14:paraId="2B166DFC" w14:textId="58DB082A" w:rsidR="00A37FB6" w:rsidRPr="00270497" w:rsidRDefault="005219F7" w:rsidP="00F13C05">
      <w:pPr>
        <w:spacing w:before="120" w:after="120" w:line="276" w:lineRule="auto"/>
        <w:rPr>
          <w:rFonts w:ascii="Arial" w:eastAsia="Calibri" w:hAnsi="Arial" w:cs="Arial"/>
          <w:color w:val="000000" w:themeColor="text1"/>
          <w:sz w:val="22"/>
        </w:rPr>
      </w:pPr>
      <w:r w:rsidRPr="00270497">
        <w:rPr>
          <w:rFonts w:ascii="Arial" w:eastAsia="Calibri" w:hAnsi="Arial" w:cs="Arial"/>
          <w:color w:val="000000" w:themeColor="text1"/>
          <w:sz w:val="22"/>
        </w:rPr>
        <w:t>Señor</w:t>
      </w:r>
      <w:r w:rsidR="00137404" w:rsidRPr="00270497">
        <w:rPr>
          <w:rFonts w:ascii="Arial" w:eastAsia="Calibri" w:hAnsi="Arial" w:cs="Arial"/>
          <w:color w:val="000000" w:themeColor="text1"/>
          <w:sz w:val="22"/>
        </w:rPr>
        <w:t>a</w:t>
      </w:r>
    </w:p>
    <w:p w14:paraId="68C7ECF9" w14:textId="77777777" w:rsidR="00137404" w:rsidRPr="00270497" w:rsidRDefault="00137404" w:rsidP="00F13C05">
      <w:pPr>
        <w:spacing w:before="120" w:after="120" w:line="276" w:lineRule="auto"/>
        <w:rPr>
          <w:rFonts w:ascii="Arial" w:eastAsia="Calibri" w:hAnsi="Arial" w:cs="Arial"/>
          <w:b/>
          <w:color w:val="000000" w:themeColor="text1"/>
          <w:sz w:val="22"/>
        </w:rPr>
      </w:pPr>
      <w:r w:rsidRPr="00270497">
        <w:rPr>
          <w:rFonts w:ascii="Arial" w:hAnsi="Arial" w:cs="Arial"/>
          <w:b/>
          <w:color w:val="000000" w:themeColor="text1"/>
          <w:sz w:val="22"/>
          <w:shd w:val="clear" w:color="auto" w:fill="FFFFFF"/>
        </w:rPr>
        <w:t xml:space="preserve">Patricia Mejía </w:t>
      </w:r>
    </w:p>
    <w:p w14:paraId="2F398867" w14:textId="4DA924BD" w:rsidR="00B221E4" w:rsidRPr="00270497" w:rsidRDefault="00A37FB6" w:rsidP="005F71A8">
      <w:pPr>
        <w:spacing w:before="120" w:after="120" w:line="276" w:lineRule="auto"/>
        <w:rPr>
          <w:rFonts w:ascii="Arial" w:eastAsia="Calibri" w:hAnsi="Arial" w:cs="Arial"/>
          <w:b/>
          <w:color w:val="000000" w:themeColor="text1"/>
          <w:sz w:val="22"/>
        </w:rPr>
      </w:pPr>
      <w:r w:rsidRPr="00270497">
        <w:rPr>
          <w:rFonts w:ascii="Arial" w:eastAsia="Calibri" w:hAnsi="Arial" w:cs="Arial"/>
          <w:color w:val="000000" w:themeColor="text1"/>
          <w:sz w:val="22"/>
        </w:rPr>
        <w:t>Ciudad</w:t>
      </w:r>
    </w:p>
    <w:p w14:paraId="479F6A3A" w14:textId="6447D390" w:rsidR="00A37FB6" w:rsidRPr="00270497" w:rsidRDefault="00137404" w:rsidP="00F13C05">
      <w:pPr>
        <w:spacing w:before="120" w:after="120" w:line="276" w:lineRule="auto"/>
        <w:jc w:val="center"/>
        <w:rPr>
          <w:rFonts w:ascii="Arial" w:eastAsia="Calibri" w:hAnsi="Arial" w:cs="Arial"/>
          <w:b/>
          <w:color w:val="000000" w:themeColor="text1"/>
          <w:sz w:val="22"/>
        </w:rPr>
      </w:pPr>
      <w:r w:rsidRPr="00270497">
        <w:rPr>
          <w:rFonts w:ascii="Arial" w:eastAsia="Calibri" w:hAnsi="Arial" w:cs="Arial"/>
          <w:b/>
          <w:color w:val="000000" w:themeColor="text1"/>
          <w:sz w:val="22"/>
        </w:rPr>
        <w:t>Concepto C ─ 115</w:t>
      </w:r>
      <w:r w:rsidR="00A37FB6" w:rsidRPr="00270497">
        <w:rPr>
          <w:rFonts w:ascii="Arial" w:eastAsia="Calibri" w:hAnsi="Arial" w:cs="Arial"/>
          <w:b/>
          <w:color w:val="000000" w:themeColor="text1"/>
          <w:sz w:val="22"/>
        </w:rPr>
        <w:t xml:space="preserve"> de 2020</w:t>
      </w:r>
    </w:p>
    <w:p w14:paraId="49BB1EAB" w14:textId="77777777" w:rsidR="00A37FB6" w:rsidRPr="00270497" w:rsidRDefault="00A37FB6" w:rsidP="00F13C05">
      <w:pPr>
        <w:spacing w:before="120" w:after="120" w:line="276" w:lineRule="auto"/>
        <w:rPr>
          <w:rFonts w:ascii="Arial" w:eastAsia="Calibri" w:hAnsi="Arial" w:cs="Arial"/>
          <w:color w:val="000000" w:themeColor="text1"/>
          <w:sz w:val="22"/>
        </w:rPr>
      </w:pPr>
    </w:p>
    <w:tbl>
      <w:tblPr>
        <w:tblStyle w:val="Tablaconcuadrcula"/>
        <w:tblW w:w="8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5"/>
        <w:gridCol w:w="6088"/>
      </w:tblGrid>
      <w:tr w:rsidR="00270497" w:rsidRPr="00270497" w14:paraId="20C2FA60" w14:textId="77777777" w:rsidTr="0051744B">
        <w:trPr>
          <w:trHeight w:val="1830"/>
        </w:trPr>
        <w:tc>
          <w:tcPr>
            <w:tcW w:w="2625" w:type="dxa"/>
            <w:hideMark/>
          </w:tcPr>
          <w:p w14:paraId="2A9459AB" w14:textId="77777777" w:rsidR="00A37FB6" w:rsidRPr="00270497" w:rsidRDefault="00A37FB6" w:rsidP="00DC29BB">
            <w:pPr>
              <w:rPr>
                <w:rFonts w:ascii="Arial" w:eastAsia="Calibri" w:hAnsi="Arial" w:cs="Arial"/>
                <w:color w:val="000000" w:themeColor="text1"/>
                <w:sz w:val="22"/>
              </w:rPr>
            </w:pPr>
            <w:r w:rsidRPr="00270497">
              <w:rPr>
                <w:rFonts w:ascii="Arial" w:eastAsia="Calibri" w:hAnsi="Arial" w:cs="Arial"/>
                <w:b/>
                <w:color w:val="000000" w:themeColor="text1"/>
                <w:sz w:val="22"/>
              </w:rPr>
              <w:t>Temas:</w:t>
            </w:r>
            <w:r w:rsidRPr="00270497">
              <w:rPr>
                <w:rFonts w:ascii="Arial" w:eastAsia="Calibri" w:hAnsi="Arial" w:cs="Arial"/>
                <w:color w:val="000000" w:themeColor="text1"/>
                <w:sz w:val="22"/>
              </w:rPr>
              <w:t xml:space="preserve">           </w:t>
            </w:r>
          </w:p>
          <w:p w14:paraId="1840BCE8" w14:textId="77777777" w:rsidR="00A37FB6" w:rsidRPr="00270497" w:rsidRDefault="00A37FB6" w:rsidP="00DC29BB">
            <w:pPr>
              <w:rPr>
                <w:rFonts w:ascii="Arial" w:eastAsia="Calibri" w:hAnsi="Arial" w:cs="Arial"/>
                <w:color w:val="000000" w:themeColor="text1"/>
                <w:sz w:val="22"/>
              </w:rPr>
            </w:pPr>
            <w:r w:rsidRPr="00270497">
              <w:rPr>
                <w:rFonts w:ascii="Arial" w:eastAsia="Calibri" w:hAnsi="Arial" w:cs="Arial"/>
                <w:color w:val="000000" w:themeColor="text1"/>
                <w:sz w:val="22"/>
              </w:rPr>
              <w:t xml:space="preserve">                           </w:t>
            </w:r>
          </w:p>
        </w:tc>
        <w:tc>
          <w:tcPr>
            <w:tcW w:w="6088" w:type="dxa"/>
            <w:hideMark/>
          </w:tcPr>
          <w:p w14:paraId="6B3B4ADA" w14:textId="6AE2BE51" w:rsidR="004E3D78" w:rsidRPr="00270497" w:rsidRDefault="004E3D78" w:rsidP="000253B9">
            <w:pPr>
              <w:rPr>
                <w:rFonts w:ascii="Arial" w:hAnsi="Arial" w:cs="Arial"/>
                <w:color w:val="000000" w:themeColor="text1"/>
                <w:sz w:val="22"/>
              </w:rPr>
            </w:pPr>
            <w:r w:rsidRPr="00270497">
              <w:rPr>
                <w:rFonts w:ascii="Arial" w:eastAsia="Calibri" w:hAnsi="Arial" w:cs="Arial"/>
                <w:color w:val="000000" w:themeColor="text1"/>
                <w:sz w:val="22"/>
              </w:rPr>
              <w:t xml:space="preserve">PUBLICIDAD SECOP― Entidades de régimen especial― Fundamento normativo / DOCUMENTOS PUBLICABLES EN SECOP ― Entidades de régimen especial / </w:t>
            </w:r>
            <w:r w:rsidR="000253B9" w:rsidRPr="000253B9">
              <w:rPr>
                <w:rFonts w:ascii="Arial" w:eastAsia="Calibri" w:hAnsi="Arial" w:cs="Arial"/>
                <w:color w:val="000000" w:themeColor="text1"/>
                <w:sz w:val="22"/>
              </w:rPr>
              <w:t>PUBLICACIÓN SECOP – Plazo – Entidades régimen especial</w:t>
            </w:r>
            <w:r w:rsidR="000253B9">
              <w:rPr>
                <w:rFonts w:ascii="Arial" w:eastAsia="Calibri" w:hAnsi="Arial" w:cs="Arial"/>
                <w:color w:val="000000" w:themeColor="text1"/>
                <w:sz w:val="22"/>
              </w:rPr>
              <w:t xml:space="preserve"> </w:t>
            </w:r>
            <w:r w:rsidRPr="00270497">
              <w:rPr>
                <w:rFonts w:ascii="Arial" w:hAnsi="Arial" w:cs="Arial"/>
                <w:color w:val="000000" w:themeColor="text1"/>
                <w:sz w:val="22"/>
              </w:rPr>
              <w:t xml:space="preserve">/ ENTIDADES EXCEPTUADAS DE PUBLICAR EN SECOP II </w:t>
            </w:r>
            <w:r w:rsidRPr="00270497">
              <w:rPr>
                <w:rFonts w:ascii="Arial" w:eastAsia="Calibri" w:hAnsi="Arial" w:cs="Arial"/>
                <w:color w:val="000000" w:themeColor="text1"/>
                <w:sz w:val="22"/>
              </w:rPr>
              <w:t>―</w:t>
            </w:r>
            <w:r w:rsidRPr="00270497">
              <w:rPr>
                <w:rFonts w:ascii="Arial" w:hAnsi="Arial" w:cs="Arial"/>
                <w:color w:val="000000" w:themeColor="text1"/>
                <w:sz w:val="22"/>
              </w:rPr>
              <w:t xml:space="preserve"> Empresas descentralizadas del nivel municipal</w:t>
            </w:r>
          </w:p>
          <w:p w14:paraId="71BA60F9" w14:textId="7585F78A" w:rsidR="004E3D78" w:rsidRPr="00270497" w:rsidRDefault="004E3D78" w:rsidP="004E3D78">
            <w:pPr>
              <w:pStyle w:val="Prrafodelista"/>
              <w:ind w:left="0"/>
              <w:contextualSpacing w:val="0"/>
              <w:jc w:val="both"/>
              <w:rPr>
                <w:rFonts w:ascii="Arial" w:eastAsia="Calibri" w:hAnsi="Arial" w:cs="Arial"/>
                <w:b/>
                <w:color w:val="000000" w:themeColor="text1"/>
                <w:sz w:val="22"/>
              </w:rPr>
            </w:pPr>
          </w:p>
          <w:p w14:paraId="069BC436" w14:textId="04868481" w:rsidR="00A37FB6" w:rsidRPr="00270497" w:rsidRDefault="00A37FB6" w:rsidP="00DC29BB">
            <w:pPr>
              <w:jc w:val="both"/>
              <w:rPr>
                <w:rFonts w:ascii="Arial" w:eastAsia="Calibri" w:hAnsi="Arial" w:cs="Arial"/>
                <w:color w:val="000000" w:themeColor="text1"/>
                <w:sz w:val="22"/>
              </w:rPr>
            </w:pPr>
          </w:p>
        </w:tc>
      </w:tr>
      <w:tr w:rsidR="00270497" w:rsidRPr="00270497" w14:paraId="62473A71" w14:textId="77777777" w:rsidTr="0051744B">
        <w:trPr>
          <w:trHeight w:val="307"/>
        </w:trPr>
        <w:tc>
          <w:tcPr>
            <w:tcW w:w="2625" w:type="dxa"/>
          </w:tcPr>
          <w:p w14:paraId="730BF589" w14:textId="1EF934B6" w:rsidR="00A37FB6" w:rsidRPr="00270497" w:rsidRDefault="00DC29BB" w:rsidP="007762F3">
            <w:pPr>
              <w:rPr>
                <w:rFonts w:ascii="Arial" w:eastAsia="Calibri" w:hAnsi="Arial" w:cs="Arial"/>
                <w:b/>
                <w:color w:val="000000" w:themeColor="text1"/>
                <w:sz w:val="22"/>
              </w:rPr>
            </w:pPr>
            <w:r w:rsidRPr="00270497">
              <w:rPr>
                <w:rFonts w:ascii="Arial" w:eastAsia="Calibri" w:hAnsi="Arial" w:cs="Arial"/>
                <w:b/>
                <w:color w:val="000000" w:themeColor="text1"/>
                <w:sz w:val="22"/>
              </w:rPr>
              <w:t xml:space="preserve"> </w:t>
            </w:r>
            <w:r w:rsidR="00A37FB6" w:rsidRPr="00270497">
              <w:rPr>
                <w:rFonts w:ascii="Arial" w:eastAsia="Calibri" w:hAnsi="Arial" w:cs="Arial"/>
                <w:b/>
                <w:color w:val="000000" w:themeColor="text1"/>
                <w:sz w:val="22"/>
              </w:rPr>
              <w:t>Radicación:</w:t>
            </w:r>
            <w:r w:rsidR="00A37FB6" w:rsidRPr="00270497">
              <w:rPr>
                <w:rFonts w:ascii="Arial" w:eastAsia="Calibri" w:hAnsi="Arial" w:cs="Arial"/>
                <w:color w:val="000000" w:themeColor="text1"/>
                <w:sz w:val="22"/>
              </w:rPr>
              <w:t xml:space="preserve">                              </w:t>
            </w:r>
          </w:p>
        </w:tc>
        <w:tc>
          <w:tcPr>
            <w:tcW w:w="6088" w:type="dxa"/>
          </w:tcPr>
          <w:p w14:paraId="2CD77F9B" w14:textId="5D245FB6" w:rsidR="00A37FB6" w:rsidRPr="00270497" w:rsidRDefault="00A37FB6" w:rsidP="007762F3">
            <w:pPr>
              <w:jc w:val="both"/>
              <w:rPr>
                <w:rFonts w:ascii="Arial" w:eastAsia="Calibri" w:hAnsi="Arial" w:cs="Arial"/>
                <w:color w:val="000000" w:themeColor="text1"/>
                <w:sz w:val="22"/>
              </w:rPr>
            </w:pPr>
            <w:r w:rsidRPr="00270497">
              <w:rPr>
                <w:rFonts w:ascii="Arial" w:eastAsia="Calibri" w:hAnsi="Arial" w:cs="Arial"/>
                <w:color w:val="000000" w:themeColor="text1"/>
                <w:sz w:val="22"/>
              </w:rPr>
              <w:t>Respu</w:t>
            </w:r>
            <w:r w:rsidR="005219F7" w:rsidRPr="00270497">
              <w:rPr>
                <w:rFonts w:ascii="Arial" w:eastAsia="Calibri" w:hAnsi="Arial" w:cs="Arial"/>
                <w:color w:val="000000" w:themeColor="text1"/>
                <w:sz w:val="22"/>
              </w:rPr>
              <w:t>es</w:t>
            </w:r>
            <w:r w:rsidR="001D3F5A" w:rsidRPr="00270497">
              <w:rPr>
                <w:rFonts w:ascii="Arial" w:eastAsia="Calibri" w:hAnsi="Arial" w:cs="Arial"/>
                <w:color w:val="000000" w:themeColor="text1"/>
                <w:sz w:val="22"/>
              </w:rPr>
              <w:t>ta a consulta # 4202013000000950</w:t>
            </w:r>
          </w:p>
        </w:tc>
      </w:tr>
    </w:tbl>
    <w:p w14:paraId="6AEA1AE6" w14:textId="77777777" w:rsidR="00A37FB6" w:rsidRPr="00270497" w:rsidRDefault="00A37FB6" w:rsidP="007762F3">
      <w:pPr>
        <w:spacing w:before="120" w:after="120"/>
        <w:rPr>
          <w:rFonts w:ascii="Arial" w:eastAsia="Calibri" w:hAnsi="Arial" w:cs="Arial"/>
          <w:color w:val="000000" w:themeColor="text1"/>
          <w:sz w:val="22"/>
        </w:rPr>
      </w:pPr>
    </w:p>
    <w:p w14:paraId="3216C844" w14:textId="26D75C21" w:rsidR="00A37FB6" w:rsidRPr="00270497" w:rsidRDefault="00137404" w:rsidP="007762F3">
      <w:pPr>
        <w:spacing w:before="120" w:after="120"/>
        <w:rPr>
          <w:rFonts w:ascii="Arial" w:eastAsia="Calibri" w:hAnsi="Arial" w:cs="Arial"/>
          <w:color w:val="000000" w:themeColor="text1"/>
          <w:sz w:val="22"/>
        </w:rPr>
      </w:pPr>
      <w:r w:rsidRPr="00270497">
        <w:rPr>
          <w:rFonts w:ascii="Arial" w:eastAsia="Calibri" w:hAnsi="Arial" w:cs="Arial"/>
          <w:color w:val="000000" w:themeColor="text1"/>
          <w:sz w:val="22"/>
        </w:rPr>
        <w:t>Estimada</w:t>
      </w:r>
      <w:r w:rsidR="005219F7" w:rsidRPr="00270497">
        <w:rPr>
          <w:rFonts w:ascii="Arial" w:eastAsia="Calibri" w:hAnsi="Arial" w:cs="Arial"/>
          <w:color w:val="000000" w:themeColor="text1"/>
          <w:sz w:val="22"/>
        </w:rPr>
        <w:t xml:space="preserve"> señor</w:t>
      </w:r>
      <w:r w:rsidR="007762F3" w:rsidRPr="00270497">
        <w:rPr>
          <w:rFonts w:ascii="Arial" w:eastAsia="Calibri" w:hAnsi="Arial" w:cs="Arial"/>
          <w:color w:val="000000" w:themeColor="text1"/>
          <w:sz w:val="22"/>
        </w:rPr>
        <w:t>a</w:t>
      </w:r>
      <w:r w:rsidR="00905F30" w:rsidRPr="00270497">
        <w:rPr>
          <w:rFonts w:ascii="Arial" w:eastAsia="Calibri" w:hAnsi="Arial" w:cs="Arial"/>
          <w:color w:val="000000" w:themeColor="text1"/>
          <w:sz w:val="22"/>
        </w:rPr>
        <w:t xml:space="preserve"> Mejía</w:t>
      </w:r>
      <w:r w:rsidR="00A37FB6" w:rsidRPr="00270497">
        <w:rPr>
          <w:rFonts w:ascii="Arial" w:eastAsia="Calibri" w:hAnsi="Arial" w:cs="Arial"/>
          <w:color w:val="000000" w:themeColor="text1"/>
          <w:sz w:val="22"/>
        </w:rPr>
        <w:t>,</w:t>
      </w:r>
    </w:p>
    <w:p w14:paraId="29866300" w14:textId="77777777" w:rsidR="007762F3" w:rsidRPr="00270497" w:rsidRDefault="007762F3" w:rsidP="00240457">
      <w:pPr>
        <w:spacing w:before="120" w:after="120" w:line="276" w:lineRule="auto"/>
        <w:rPr>
          <w:rFonts w:ascii="Arial" w:eastAsia="Calibri" w:hAnsi="Arial" w:cs="Arial"/>
          <w:color w:val="000000" w:themeColor="text1"/>
          <w:sz w:val="22"/>
        </w:rPr>
      </w:pPr>
    </w:p>
    <w:p w14:paraId="39316B12" w14:textId="42D8F23B" w:rsidR="00A37FB6" w:rsidRPr="00270497" w:rsidRDefault="00A37FB6" w:rsidP="007762F3">
      <w:pPr>
        <w:spacing w:before="120" w:after="120" w:line="276" w:lineRule="auto"/>
        <w:ind w:right="49"/>
        <w:jc w:val="both"/>
        <w:rPr>
          <w:rFonts w:ascii="Arial" w:eastAsia="Calibri" w:hAnsi="Arial" w:cs="Arial"/>
          <w:color w:val="000000" w:themeColor="text1"/>
          <w:sz w:val="22"/>
        </w:rPr>
      </w:pPr>
      <w:r w:rsidRPr="00270497">
        <w:rPr>
          <w:rFonts w:ascii="Arial" w:eastAsia="Calibri" w:hAnsi="Arial" w:cs="Arial"/>
          <w:color w:val="000000" w:themeColor="text1"/>
          <w:sz w:val="22"/>
        </w:rPr>
        <w:t>La Agencia Na</w:t>
      </w:r>
      <w:r w:rsidR="00137404" w:rsidRPr="00270497">
        <w:rPr>
          <w:rFonts w:ascii="Arial" w:eastAsia="Calibri" w:hAnsi="Arial" w:cs="Arial"/>
          <w:color w:val="000000" w:themeColor="text1"/>
          <w:sz w:val="22"/>
        </w:rPr>
        <w:t xml:space="preserve">cional de Contratación Pública -‒ </w:t>
      </w:r>
      <w:r w:rsidRPr="00270497">
        <w:rPr>
          <w:rFonts w:ascii="Arial" w:eastAsia="Calibri" w:hAnsi="Arial" w:cs="Arial"/>
          <w:color w:val="000000" w:themeColor="text1"/>
          <w:sz w:val="22"/>
        </w:rPr>
        <w:t>Colombia Compra Eficie</w:t>
      </w:r>
      <w:r w:rsidR="005219F7" w:rsidRPr="00270497">
        <w:rPr>
          <w:rFonts w:ascii="Arial" w:eastAsia="Calibri" w:hAnsi="Arial" w:cs="Arial"/>
          <w:color w:val="000000" w:themeColor="text1"/>
          <w:sz w:val="22"/>
        </w:rPr>
        <w:t xml:space="preserve">nte― responde su consulta del </w:t>
      </w:r>
      <w:r w:rsidR="00137404" w:rsidRPr="00270497">
        <w:rPr>
          <w:rFonts w:ascii="Arial" w:eastAsia="Calibri" w:hAnsi="Arial" w:cs="Arial"/>
          <w:color w:val="000000" w:themeColor="text1"/>
          <w:sz w:val="22"/>
        </w:rPr>
        <w:t>11</w:t>
      </w:r>
      <w:r w:rsidR="005219F7" w:rsidRPr="00270497">
        <w:rPr>
          <w:rFonts w:ascii="Arial" w:eastAsia="Calibri" w:hAnsi="Arial" w:cs="Arial"/>
          <w:color w:val="000000" w:themeColor="text1"/>
          <w:sz w:val="22"/>
        </w:rPr>
        <w:t xml:space="preserve"> de febrero de 2020</w:t>
      </w:r>
      <w:r w:rsidRPr="00270497">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797F2D86" w14:textId="77777777" w:rsidR="005F71A8" w:rsidRPr="00270497" w:rsidRDefault="005F71A8" w:rsidP="00240457">
      <w:pPr>
        <w:pStyle w:val="Prrafodelista"/>
        <w:tabs>
          <w:tab w:val="left" w:pos="284"/>
        </w:tabs>
        <w:ind w:left="0"/>
        <w:jc w:val="both"/>
        <w:rPr>
          <w:rFonts w:ascii="Arial" w:eastAsia="Calibri" w:hAnsi="Arial" w:cs="Arial"/>
          <w:b/>
          <w:color w:val="000000" w:themeColor="text1"/>
          <w:sz w:val="22"/>
        </w:rPr>
      </w:pPr>
    </w:p>
    <w:p w14:paraId="737E2623" w14:textId="24129F8A" w:rsidR="00A37FB6" w:rsidRPr="00270497" w:rsidRDefault="00905F30" w:rsidP="00240457">
      <w:pPr>
        <w:pStyle w:val="Prrafodelista"/>
        <w:tabs>
          <w:tab w:val="left" w:pos="284"/>
        </w:tabs>
        <w:ind w:left="0"/>
        <w:jc w:val="both"/>
        <w:rPr>
          <w:rFonts w:ascii="Arial" w:eastAsia="Calibri" w:hAnsi="Arial" w:cs="Arial"/>
          <w:b/>
          <w:color w:val="000000" w:themeColor="text1"/>
          <w:sz w:val="22"/>
        </w:rPr>
      </w:pPr>
      <w:r w:rsidRPr="00270497">
        <w:rPr>
          <w:rFonts w:ascii="Arial" w:eastAsia="Calibri" w:hAnsi="Arial" w:cs="Arial"/>
          <w:b/>
          <w:color w:val="000000" w:themeColor="text1"/>
          <w:sz w:val="22"/>
        </w:rPr>
        <w:t xml:space="preserve">1. </w:t>
      </w:r>
      <w:r w:rsidR="00A37FB6" w:rsidRPr="00270497">
        <w:rPr>
          <w:rFonts w:ascii="Arial" w:eastAsia="Calibri" w:hAnsi="Arial" w:cs="Arial"/>
          <w:b/>
          <w:color w:val="000000" w:themeColor="text1"/>
          <w:sz w:val="22"/>
        </w:rPr>
        <w:t xml:space="preserve">Problemas planteados </w:t>
      </w:r>
    </w:p>
    <w:p w14:paraId="2EF61297" w14:textId="77777777" w:rsidR="00905F30" w:rsidRPr="00270497" w:rsidRDefault="00905F30" w:rsidP="00240457">
      <w:pPr>
        <w:pStyle w:val="Prrafodelista"/>
        <w:tabs>
          <w:tab w:val="left" w:pos="284"/>
        </w:tabs>
        <w:ind w:left="0"/>
        <w:jc w:val="both"/>
        <w:rPr>
          <w:rFonts w:ascii="Arial" w:eastAsia="Calibri" w:hAnsi="Arial" w:cs="Arial"/>
          <w:b/>
          <w:color w:val="000000" w:themeColor="text1"/>
          <w:sz w:val="22"/>
        </w:rPr>
      </w:pPr>
    </w:p>
    <w:p w14:paraId="634A1DCD" w14:textId="045C0D14" w:rsidR="00FD49BF" w:rsidRPr="00270497" w:rsidRDefault="00A37FB6" w:rsidP="007762F3">
      <w:pPr>
        <w:pStyle w:val="NormalWeb"/>
        <w:shd w:val="clear" w:color="auto" w:fill="FFFFFF"/>
        <w:spacing w:before="0" w:beforeAutospacing="0" w:after="0" w:afterAutospacing="0" w:line="276" w:lineRule="auto"/>
        <w:jc w:val="both"/>
        <w:textAlignment w:val="baseline"/>
        <w:rPr>
          <w:rFonts w:ascii="Arial" w:hAnsi="Arial" w:cs="Arial"/>
          <w:color w:val="000000" w:themeColor="text1"/>
          <w:sz w:val="22"/>
          <w:szCs w:val="22"/>
          <w:bdr w:val="none" w:sz="0" w:space="0" w:color="auto" w:frame="1"/>
        </w:rPr>
      </w:pPr>
      <w:r w:rsidRPr="00270497">
        <w:rPr>
          <w:rFonts w:ascii="Arial" w:eastAsia="Calibri" w:hAnsi="Arial" w:cs="Arial"/>
          <w:color w:val="000000" w:themeColor="text1"/>
          <w:sz w:val="22"/>
          <w:szCs w:val="22"/>
        </w:rPr>
        <w:t>Usted realiza las siguientes preguntas:</w:t>
      </w:r>
      <w:r w:rsidR="00FD49BF" w:rsidRPr="00270497">
        <w:rPr>
          <w:rFonts w:ascii="Arial" w:hAnsi="Arial" w:cs="Arial"/>
          <w:color w:val="000000" w:themeColor="text1"/>
          <w:sz w:val="22"/>
          <w:szCs w:val="22"/>
          <w:bdr w:val="none" w:sz="0" w:space="0" w:color="auto" w:frame="1"/>
        </w:rPr>
        <w:t xml:space="preserve"> i) ¿«que (sic) documentos debe publicar en el SECOP y en GESTIÓN TRANSPARENTE, Y QUE NORMA DEBE APLICAR UN  HOSPITAL DE PRIMER NIVEL DE ATENCIÓN, o este solo debe publicar los estudios previos y el contrato?» y ii) ¿«DEBE EN EL SECOP EL HOSPITAL PUBLICAR EL PLAN DE ADQUISICIONES Y QUE MAS (sic)?</w:t>
      </w:r>
      <w:r w:rsidR="00FA1CFD" w:rsidRPr="00270497">
        <w:rPr>
          <w:rFonts w:ascii="Arial" w:hAnsi="Arial" w:cs="Arial"/>
          <w:color w:val="000000" w:themeColor="text1"/>
          <w:sz w:val="22"/>
          <w:szCs w:val="22"/>
          <w:bdr w:val="none" w:sz="0" w:space="0" w:color="auto" w:frame="1"/>
        </w:rPr>
        <w:t>»</w:t>
      </w:r>
    </w:p>
    <w:p w14:paraId="24DD1C6E" w14:textId="77777777" w:rsidR="00B221E4" w:rsidRPr="00270497" w:rsidRDefault="00B221E4" w:rsidP="00240457">
      <w:pPr>
        <w:pStyle w:val="NormalWeb"/>
        <w:shd w:val="clear" w:color="auto" w:fill="FFFFFF"/>
        <w:spacing w:before="0" w:beforeAutospacing="0" w:after="0" w:afterAutospacing="0"/>
        <w:jc w:val="both"/>
        <w:textAlignment w:val="baseline"/>
        <w:rPr>
          <w:rFonts w:ascii="Arial" w:hAnsi="Arial" w:cs="Arial"/>
          <w:color w:val="000000" w:themeColor="text1"/>
          <w:sz w:val="22"/>
          <w:szCs w:val="22"/>
        </w:rPr>
      </w:pPr>
    </w:p>
    <w:p w14:paraId="6A32A1B1" w14:textId="0636C6BF" w:rsidR="00A37FB6" w:rsidRPr="00270497" w:rsidRDefault="00FA1CFD" w:rsidP="00240457">
      <w:pPr>
        <w:tabs>
          <w:tab w:val="left" w:pos="426"/>
        </w:tabs>
        <w:jc w:val="both"/>
        <w:rPr>
          <w:rFonts w:ascii="Arial" w:eastAsia="Calibri" w:hAnsi="Arial" w:cs="Arial"/>
          <w:b/>
          <w:color w:val="000000" w:themeColor="text1"/>
          <w:sz w:val="22"/>
        </w:rPr>
      </w:pPr>
      <w:r w:rsidRPr="00270497">
        <w:rPr>
          <w:rFonts w:ascii="Arial" w:eastAsia="Calibri" w:hAnsi="Arial" w:cs="Arial"/>
          <w:b/>
          <w:color w:val="000000" w:themeColor="text1"/>
          <w:sz w:val="22"/>
        </w:rPr>
        <w:t xml:space="preserve">2. </w:t>
      </w:r>
      <w:r w:rsidR="00A37FB6" w:rsidRPr="00270497">
        <w:rPr>
          <w:rFonts w:ascii="Arial" w:eastAsia="Calibri" w:hAnsi="Arial" w:cs="Arial"/>
          <w:b/>
          <w:color w:val="000000" w:themeColor="text1"/>
          <w:sz w:val="22"/>
        </w:rPr>
        <w:t>Consideraciones</w:t>
      </w:r>
    </w:p>
    <w:p w14:paraId="5EE3B85E" w14:textId="77777777" w:rsidR="007762F3" w:rsidRPr="00270497" w:rsidRDefault="007762F3" w:rsidP="00240457">
      <w:pPr>
        <w:tabs>
          <w:tab w:val="left" w:pos="426"/>
        </w:tabs>
        <w:jc w:val="both"/>
        <w:rPr>
          <w:rFonts w:ascii="Arial" w:eastAsia="Calibri" w:hAnsi="Arial" w:cs="Arial"/>
          <w:b/>
          <w:color w:val="000000" w:themeColor="text1"/>
          <w:sz w:val="22"/>
        </w:rPr>
      </w:pPr>
    </w:p>
    <w:p w14:paraId="174524FA" w14:textId="6C6C58E8" w:rsidR="00137404" w:rsidRPr="00270497" w:rsidRDefault="00137404" w:rsidP="007762F3">
      <w:pPr>
        <w:spacing w:before="120" w:after="120" w:line="276" w:lineRule="auto"/>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Para dar desarrollo a los problemas planteados se explicará, cómo el SECOP es la plataforma </w:t>
      </w:r>
      <w:r w:rsidR="00795349" w:rsidRPr="00270497">
        <w:rPr>
          <w:rFonts w:ascii="Arial" w:eastAsia="Calibri" w:hAnsi="Arial" w:cs="Arial"/>
          <w:color w:val="000000" w:themeColor="text1"/>
          <w:sz w:val="22"/>
        </w:rPr>
        <w:t>que las entidades deben usar</w:t>
      </w:r>
      <w:r w:rsidRPr="00270497">
        <w:rPr>
          <w:rFonts w:ascii="Arial" w:eastAsia="Calibri" w:hAnsi="Arial" w:cs="Arial"/>
          <w:color w:val="000000" w:themeColor="text1"/>
          <w:sz w:val="22"/>
        </w:rPr>
        <w:t xml:space="preserve"> para publicar la actividad contractual, para luego determinar los documentos contractuales que deben publicar las </w:t>
      </w:r>
      <w:r w:rsidR="00362C5C" w:rsidRPr="00270497">
        <w:rPr>
          <w:rFonts w:ascii="Arial" w:hAnsi="Arial" w:cs="Arial"/>
          <w:color w:val="000000" w:themeColor="text1"/>
          <w:sz w:val="22"/>
          <w:lang w:val="es-ES"/>
        </w:rPr>
        <w:t>entidades con régimen especial</w:t>
      </w:r>
      <w:r w:rsidR="00362C5C" w:rsidRPr="00270497">
        <w:rPr>
          <w:rFonts w:ascii="Arial" w:eastAsia="Calibri" w:hAnsi="Arial" w:cs="Arial"/>
          <w:color w:val="000000" w:themeColor="text1"/>
          <w:sz w:val="22"/>
        </w:rPr>
        <w:t xml:space="preserve"> de contratación pública </w:t>
      </w:r>
      <w:r w:rsidR="00A86509" w:rsidRPr="00270497">
        <w:rPr>
          <w:rFonts w:ascii="Arial" w:eastAsia="Calibri" w:hAnsi="Arial" w:cs="Arial"/>
          <w:color w:val="000000" w:themeColor="text1"/>
          <w:sz w:val="22"/>
        </w:rPr>
        <w:t>en el SECOP.</w:t>
      </w:r>
    </w:p>
    <w:p w14:paraId="52A851C7" w14:textId="77777777" w:rsidR="00137404" w:rsidRPr="00270497" w:rsidRDefault="00137404" w:rsidP="00240457">
      <w:pPr>
        <w:rPr>
          <w:rFonts w:ascii="Arial" w:eastAsia="Calibri" w:hAnsi="Arial" w:cs="Arial"/>
          <w:color w:val="000000" w:themeColor="text1"/>
          <w:sz w:val="22"/>
        </w:rPr>
      </w:pPr>
    </w:p>
    <w:p w14:paraId="07F34721" w14:textId="631FBBE4" w:rsidR="00137404" w:rsidRPr="00270497" w:rsidRDefault="00FA1CFD" w:rsidP="00240457">
      <w:pPr>
        <w:tabs>
          <w:tab w:val="left" w:pos="426"/>
        </w:tabs>
        <w:rPr>
          <w:rFonts w:ascii="Arial" w:eastAsia="Calibri" w:hAnsi="Arial" w:cs="Arial"/>
          <w:b/>
          <w:color w:val="000000" w:themeColor="text1"/>
          <w:sz w:val="22"/>
        </w:rPr>
      </w:pPr>
      <w:r w:rsidRPr="00270497">
        <w:rPr>
          <w:rFonts w:ascii="Arial" w:eastAsia="Calibri" w:hAnsi="Arial" w:cs="Arial"/>
          <w:b/>
          <w:color w:val="000000" w:themeColor="text1"/>
          <w:sz w:val="22"/>
        </w:rPr>
        <w:t>2.1</w:t>
      </w:r>
      <w:r w:rsidR="00137404" w:rsidRPr="00270497">
        <w:rPr>
          <w:rFonts w:ascii="Arial" w:eastAsia="Calibri" w:hAnsi="Arial" w:cs="Arial"/>
          <w:b/>
          <w:color w:val="000000" w:themeColor="text1"/>
          <w:sz w:val="22"/>
        </w:rPr>
        <w:t>. Publicidad de los contratos en el Sistema Electrónico de Contratación Pública –SECOP–</w:t>
      </w:r>
    </w:p>
    <w:p w14:paraId="10B27915" w14:textId="77777777" w:rsidR="00240457" w:rsidRPr="00270497" w:rsidRDefault="00240457" w:rsidP="00240457">
      <w:pPr>
        <w:tabs>
          <w:tab w:val="left" w:pos="426"/>
        </w:tabs>
        <w:rPr>
          <w:rFonts w:ascii="Arial" w:eastAsia="Calibri" w:hAnsi="Arial" w:cs="Arial"/>
          <w:b/>
          <w:color w:val="000000" w:themeColor="text1"/>
          <w:sz w:val="22"/>
        </w:rPr>
      </w:pPr>
    </w:p>
    <w:p w14:paraId="64367716" w14:textId="70A131ED" w:rsidR="00137404" w:rsidRPr="00270497" w:rsidRDefault="00137404" w:rsidP="007762F3">
      <w:pPr>
        <w:spacing w:before="120" w:after="120" w:line="276" w:lineRule="auto"/>
        <w:jc w:val="both"/>
        <w:rPr>
          <w:rFonts w:ascii="Arial" w:eastAsia="Calibri" w:hAnsi="Arial" w:cs="Arial"/>
          <w:bCs/>
          <w:color w:val="000000" w:themeColor="text1"/>
          <w:sz w:val="22"/>
        </w:rPr>
      </w:pPr>
      <w:r w:rsidRPr="00270497">
        <w:rPr>
          <w:rFonts w:ascii="Arial" w:eastAsia="Calibri" w:hAnsi="Arial" w:cs="Arial"/>
          <w:bCs/>
          <w:color w:val="000000" w:themeColor="text1"/>
          <w:sz w:val="22"/>
        </w:rPr>
        <w:t>La Agencia Nacional de Contratación Pública</w:t>
      </w:r>
      <w:r w:rsidR="00905F30" w:rsidRPr="00270497">
        <w:rPr>
          <w:rFonts w:ascii="Arial" w:eastAsia="Calibri" w:hAnsi="Arial" w:cs="Arial"/>
          <w:bCs/>
          <w:color w:val="000000" w:themeColor="text1"/>
          <w:sz w:val="22"/>
        </w:rPr>
        <w:t xml:space="preserve"> – Colombia Compra Eficiente</w:t>
      </w:r>
      <w:r w:rsidRPr="00270497">
        <w:rPr>
          <w:rFonts w:ascii="Arial" w:eastAsia="Calibri" w:hAnsi="Arial" w:cs="Arial"/>
          <w:bCs/>
          <w:color w:val="000000" w:themeColor="text1"/>
          <w:sz w:val="22"/>
        </w:rPr>
        <w:t xml:space="preserve"> estudió por primera vez este tema en la consulta No. 4201913000005397 del 9 de agosto de 2019 y reiteró la posición en las siguientes consultas: 4201912000006611 del 25 de septiembre de 2019, 4201913000006847 del 4 de octubre de 2019, 4201912000007762 del 18 de noviembre de 2019, 4201912000007828 del 13 de noviembre de 2019</w:t>
      </w:r>
      <w:r w:rsidR="0061063A" w:rsidRPr="00270497">
        <w:rPr>
          <w:rFonts w:ascii="Arial" w:eastAsia="Calibri" w:hAnsi="Arial" w:cs="Arial"/>
          <w:bCs/>
          <w:color w:val="000000" w:themeColor="text1"/>
          <w:sz w:val="22"/>
        </w:rPr>
        <w:t xml:space="preserve">, </w:t>
      </w:r>
      <w:r w:rsidR="00905F30" w:rsidRPr="00270497">
        <w:rPr>
          <w:rFonts w:ascii="Arial" w:eastAsia="Calibri" w:hAnsi="Arial" w:cs="Arial"/>
          <w:bCs/>
          <w:color w:val="000000" w:themeColor="text1"/>
          <w:sz w:val="22"/>
        </w:rPr>
        <w:t xml:space="preserve">en las consultas </w:t>
      </w:r>
      <w:r w:rsidR="0061063A" w:rsidRPr="00270497">
        <w:rPr>
          <w:rFonts w:ascii="Arial" w:eastAsia="Calibri" w:hAnsi="Arial" w:cs="Arial"/>
          <w:bCs/>
          <w:color w:val="000000" w:themeColor="text1"/>
          <w:sz w:val="22"/>
        </w:rPr>
        <w:t>420191</w:t>
      </w:r>
      <w:r w:rsidR="00240457" w:rsidRPr="00270497">
        <w:rPr>
          <w:rFonts w:ascii="Arial" w:eastAsia="Calibri" w:hAnsi="Arial" w:cs="Arial"/>
          <w:bCs/>
          <w:color w:val="000000" w:themeColor="text1"/>
          <w:sz w:val="22"/>
        </w:rPr>
        <w:t>2000008073,</w:t>
      </w:r>
      <w:r w:rsidR="00905F30" w:rsidRPr="00270497">
        <w:rPr>
          <w:rFonts w:ascii="Arial" w:eastAsia="Calibri" w:hAnsi="Arial" w:cs="Arial"/>
          <w:bCs/>
          <w:color w:val="000000" w:themeColor="text1"/>
          <w:sz w:val="22"/>
        </w:rPr>
        <w:t xml:space="preserve"> 420201200000029 del 1</w:t>
      </w:r>
      <w:r w:rsidR="002752CC" w:rsidRPr="00270497">
        <w:rPr>
          <w:rFonts w:ascii="Arial" w:eastAsia="Calibri" w:hAnsi="Arial" w:cs="Arial"/>
          <w:bCs/>
          <w:color w:val="000000" w:themeColor="text1"/>
          <w:sz w:val="22"/>
        </w:rPr>
        <w:t>5</w:t>
      </w:r>
      <w:r w:rsidR="0061063A" w:rsidRPr="00270497">
        <w:rPr>
          <w:rFonts w:ascii="Arial" w:eastAsia="Calibri" w:hAnsi="Arial" w:cs="Arial"/>
          <w:bCs/>
          <w:color w:val="000000" w:themeColor="text1"/>
          <w:sz w:val="22"/>
        </w:rPr>
        <w:t xml:space="preserve"> de enero de 2020</w:t>
      </w:r>
      <w:r w:rsidR="00905F30" w:rsidRPr="00270497">
        <w:rPr>
          <w:rFonts w:ascii="Arial" w:eastAsia="Calibri" w:hAnsi="Arial" w:cs="Arial"/>
          <w:bCs/>
          <w:color w:val="000000" w:themeColor="text1"/>
          <w:sz w:val="22"/>
        </w:rPr>
        <w:t xml:space="preserve"> con radicado interno CU – 003 de 2020</w:t>
      </w:r>
      <w:r w:rsidR="00240457" w:rsidRPr="00270497">
        <w:rPr>
          <w:rFonts w:ascii="Arial" w:eastAsia="Calibri" w:hAnsi="Arial" w:cs="Arial"/>
          <w:bCs/>
          <w:color w:val="000000" w:themeColor="text1"/>
          <w:sz w:val="22"/>
        </w:rPr>
        <w:t xml:space="preserve"> y finalmente en el concepto </w:t>
      </w:r>
      <w:r w:rsidR="00240457" w:rsidRPr="00270497">
        <w:rPr>
          <w:rFonts w:ascii="Arial" w:eastAsia="Calibri" w:hAnsi="Arial" w:cs="Arial"/>
          <w:color w:val="000000" w:themeColor="text1"/>
          <w:sz w:val="22"/>
        </w:rPr>
        <w:t>4202013000000741 del 29 de enero de 2020, con radicado interno C ‒ 095 de 2020, en  donde  se sostuvo la idea que se reitera a continuación</w:t>
      </w:r>
      <w:r w:rsidRPr="00270497">
        <w:rPr>
          <w:rFonts w:ascii="Arial" w:eastAsia="Calibri" w:hAnsi="Arial" w:cs="Arial"/>
          <w:bCs/>
          <w:color w:val="000000" w:themeColor="text1"/>
          <w:sz w:val="22"/>
        </w:rPr>
        <w:t xml:space="preserve">: </w:t>
      </w:r>
    </w:p>
    <w:p w14:paraId="29054E42" w14:textId="77777777" w:rsidR="00240457" w:rsidRPr="00270497" w:rsidRDefault="00240457" w:rsidP="00240457">
      <w:pPr>
        <w:spacing w:line="276" w:lineRule="auto"/>
        <w:ind w:firstLine="708"/>
        <w:jc w:val="both"/>
        <w:rPr>
          <w:rFonts w:ascii="Arial" w:hAnsi="Arial" w:cs="Arial"/>
          <w:color w:val="000000" w:themeColor="text1"/>
          <w:sz w:val="22"/>
        </w:rPr>
      </w:pPr>
      <w:r w:rsidRPr="00270497">
        <w:rPr>
          <w:rFonts w:ascii="Arial" w:eastAsia="Calibri" w:hAnsi="Arial" w:cs="Arial"/>
          <w:color w:val="000000" w:themeColor="text1"/>
          <w:sz w:val="22"/>
        </w:rPr>
        <w:t xml:space="preserve">Para la Corte Constitucional, el principio de publicidad es la garantía que tienen las personas de conocer las actuaciones judiciales y administrativas y con base en ese </w:t>
      </w:r>
      <w:r w:rsidRPr="00270497">
        <w:rPr>
          <w:rFonts w:ascii="Arial" w:hAnsi="Arial" w:cs="Arial"/>
          <w:color w:val="000000" w:themeColor="text1"/>
          <w:sz w:val="22"/>
        </w:rPr>
        <w:t xml:space="preserve">conocimiento tener la posibilidad de exigir que se surtan conforme a la ley: </w:t>
      </w:r>
    </w:p>
    <w:p w14:paraId="4B97F937" w14:textId="77777777" w:rsidR="00240457" w:rsidRPr="00270497" w:rsidRDefault="00240457" w:rsidP="00240457">
      <w:pPr>
        <w:ind w:firstLine="708"/>
        <w:jc w:val="both"/>
        <w:rPr>
          <w:rFonts w:ascii="Arial" w:hAnsi="Arial" w:cs="Arial"/>
          <w:color w:val="000000" w:themeColor="text1"/>
          <w:sz w:val="22"/>
        </w:rPr>
      </w:pPr>
    </w:p>
    <w:p w14:paraId="20409883" w14:textId="77777777" w:rsidR="00240457" w:rsidRPr="00270497" w:rsidRDefault="00240457" w:rsidP="00240457">
      <w:pPr>
        <w:ind w:left="708"/>
        <w:jc w:val="both"/>
        <w:rPr>
          <w:rFonts w:ascii="Arial" w:hAnsi="Arial" w:cs="Arial"/>
          <w:color w:val="000000" w:themeColor="text1"/>
          <w:sz w:val="21"/>
          <w:szCs w:val="21"/>
        </w:rPr>
      </w:pPr>
      <w:r w:rsidRPr="00270497">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92791C9" w14:textId="77777777" w:rsidR="00240457" w:rsidRPr="00270497" w:rsidRDefault="00240457" w:rsidP="00240457">
      <w:pPr>
        <w:ind w:left="708"/>
        <w:jc w:val="both"/>
        <w:rPr>
          <w:rFonts w:ascii="Arial" w:hAnsi="Arial" w:cs="Arial"/>
          <w:color w:val="000000" w:themeColor="text1"/>
          <w:sz w:val="21"/>
          <w:szCs w:val="21"/>
        </w:rPr>
      </w:pPr>
      <w:r w:rsidRPr="00270497">
        <w:rPr>
          <w:rFonts w:ascii="Arial" w:hAnsi="Arial" w:cs="Arial"/>
          <w:color w:val="000000" w:themeColor="text1"/>
          <w:sz w:val="21"/>
          <w:szCs w:val="21"/>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r w:rsidRPr="00270497">
        <w:rPr>
          <w:rFonts w:ascii="Arial" w:hAnsi="Arial" w:cs="Arial"/>
          <w:color w:val="000000" w:themeColor="text1"/>
          <w:sz w:val="21"/>
          <w:szCs w:val="21"/>
        </w:rPr>
        <w:lastRenderedPageBreak/>
        <w:t>autoridades públicas y, a través de ese conocimiento, a exigir que ellas se surtan conforme a la ley</w:t>
      </w:r>
      <w:r w:rsidRPr="00270497">
        <w:rPr>
          <w:rStyle w:val="Refdenotaalpie"/>
          <w:rFonts w:ascii="Arial" w:hAnsi="Arial" w:cs="Arial"/>
          <w:color w:val="000000" w:themeColor="text1"/>
          <w:sz w:val="21"/>
          <w:szCs w:val="21"/>
        </w:rPr>
        <w:footnoteReference w:id="1"/>
      </w:r>
      <w:r w:rsidRPr="00270497">
        <w:rPr>
          <w:rFonts w:ascii="Arial" w:hAnsi="Arial" w:cs="Arial"/>
          <w:color w:val="000000" w:themeColor="text1"/>
          <w:sz w:val="21"/>
          <w:szCs w:val="21"/>
        </w:rPr>
        <w:t>.</w:t>
      </w:r>
    </w:p>
    <w:p w14:paraId="2E10AEB4" w14:textId="77777777" w:rsidR="00240457" w:rsidRPr="00270497" w:rsidRDefault="00240457" w:rsidP="00240457">
      <w:pPr>
        <w:ind w:firstLine="708"/>
        <w:jc w:val="both"/>
        <w:rPr>
          <w:rFonts w:ascii="Arial" w:hAnsi="Arial" w:cs="Arial"/>
          <w:color w:val="000000" w:themeColor="text1"/>
          <w:sz w:val="21"/>
          <w:szCs w:val="21"/>
        </w:rPr>
      </w:pPr>
    </w:p>
    <w:p w14:paraId="510AEB55" w14:textId="77777777" w:rsidR="00240457" w:rsidRPr="00270497" w:rsidRDefault="00240457" w:rsidP="00240457">
      <w:pPr>
        <w:spacing w:line="276" w:lineRule="auto"/>
        <w:ind w:firstLine="708"/>
        <w:jc w:val="both"/>
        <w:rPr>
          <w:rFonts w:ascii="Arial" w:eastAsia="Calibri" w:hAnsi="Arial" w:cs="Arial"/>
          <w:color w:val="000000" w:themeColor="text1"/>
          <w:sz w:val="22"/>
        </w:rPr>
      </w:pPr>
      <w:r w:rsidRPr="00270497">
        <w:rPr>
          <w:rFonts w:ascii="Arial" w:hAnsi="Arial" w:cs="Arial"/>
          <w:color w:val="000000" w:themeColor="text1"/>
          <w:sz w:val="22"/>
        </w:rPr>
        <w:t>El principio de publicidad impone a las autoridades administrativas el deber de dar</w:t>
      </w:r>
      <w:r w:rsidRPr="00270497">
        <w:rPr>
          <w:rFonts w:ascii="Arial" w:eastAsia="Calibri" w:hAnsi="Arial" w:cs="Arial"/>
          <w:color w:val="000000" w:themeColor="text1"/>
          <w:sz w:val="22"/>
        </w:rPr>
        <w:t xml:space="preserve"> a conocer sus actos, contratos y decisiones, para que se divulguen y eventualmente se controlen las actuaciones. </w:t>
      </w:r>
    </w:p>
    <w:p w14:paraId="2AF301B5"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270497">
        <w:rPr>
          <w:rFonts w:ascii="Arial" w:eastAsia="Calibri" w:hAnsi="Arial" w:cs="Arial"/>
          <w:color w:val="000000" w:themeColor="text1"/>
          <w:sz w:val="22"/>
          <w:vertAlign w:val="superscript"/>
        </w:rPr>
        <w:footnoteReference w:id="2"/>
      </w:r>
      <w:r w:rsidRPr="00270497">
        <w:rPr>
          <w:rFonts w:ascii="Arial" w:eastAsia="Calibri" w:hAnsi="Arial" w:cs="Arial"/>
          <w:color w:val="000000" w:themeColor="text1"/>
          <w:sz w:val="22"/>
        </w:rPr>
        <w:t xml:space="preserve">. </w:t>
      </w:r>
    </w:p>
    <w:p w14:paraId="479550D3"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270497">
        <w:rPr>
          <w:rFonts w:ascii="Arial" w:hAnsi="Arial" w:cs="Arial"/>
          <w:color w:val="000000" w:themeColor="text1"/>
          <w:sz w:val="22"/>
          <w:vertAlign w:val="superscript"/>
        </w:rPr>
        <w:footnoteReference w:id="3"/>
      </w:r>
      <w:r w:rsidRPr="00270497">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464A80D9" w14:textId="77777777" w:rsidR="00240457" w:rsidRPr="00270497" w:rsidRDefault="00240457" w:rsidP="00240457">
      <w:pPr>
        <w:spacing w:before="120" w:after="120" w:line="276" w:lineRule="auto"/>
        <w:ind w:firstLine="709"/>
        <w:jc w:val="both"/>
        <w:rPr>
          <w:rFonts w:ascii="Arial" w:hAnsi="Arial" w:cs="Arial"/>
          <w:color w:val="000000" w:themeColor="text1"/>
          <w:sz w:val="22"/>
        </w:rPr>
      </w:pPr>
      <w:r w:rsidRPr="00270497">
        <w:rPr>
          <w:rFonts w:ascii="Arial" w:hAnsi="Arial" w:cs="Arial"/>
          <w:color w:val="000000" w:themeColor="text1"/>
          <w:sz w:val="22"/>
        </w:rPr>
        <w:lastRenderedPageBreak/>
        <w:t>La ley citada establece, en el literal e) del artículo 9, que los sujetos obligados, que son todas las entidades públicas</w:t>
      </w:r>
      <w:r w:rsidRPr="00270497">
        <w:rPr>
          <w:rFonts w:ascii="Arial" w:hAnsi="Arial" w:cs="Arial"/>
          <w:color w:val="000000" w:themeColor="text1"/>
          <w:sz w:val="22"/>
          <w:vertAlign w:val="superscript"/>
        </w:rPr>
        <w:footnoteReference w:id="4"/>
      </w:r>
      <w:r w:rsidRPr="00270497">
        <w:rPr>
          <w:rFonts w:ascii="Arial" w:hAnsi="Arial" w:cs="Arial"/>
          <w:color w:val="000000" w:themeColor="text1"/>
          <w:sz w:val="22"/>
        </w:rPr>
        <w:t>, deben publicar la información relativa a su contratación. Esta obligación fue desarrollada por el Decreto Único Reglamentario 1081 de 2015</w:t>
      </w:r>
      <w:r w:rsidRPr="00270497">
        <w:rPr>
          <w:rFonts w:ascii="Arial" w:hAnsi="Arial" w:cs="Arial"/>
          <w:color w:val="000000" w:themeColor="text1"/>
          <w:sz w:val="22"/>
          <w:vertAlign w:val="superscript"/>
        </w:rPr>
        <w:footnoteReference w:id="5"/>
      </w:r>
      <w:r w:rsidRPr="00270497">
        <w:rPr>
          <w:rFonts w:ascii="Arial" w:hAnsi="Arial" w:cs="Arial"/>
          <w:color w:val="000000" w:themeColor="text1"/>
          <w:sz w:val="22"/>
        </w:rPr>
        <w:t>, el cual dispuso que la publicación de la información contractual de los sujetos obligados, que contratan con cargo a recursos públicos, debe hacerse en el Sistema Electrónico de Contratación Pública ─ SECOP.</w:t>
      </w:r>
    </w:p>
    <w:p w14:paraId="333DE8A3" w14:textId="77777777" w:rsidR="00240457" w:rsidRPr="00270497" w:rsidRDefault="00240457" w:rsidP="00240457">
      <w:pPr>
        <w:spacing w:before="120" w:after="120" w:line="276" w:lineRule="auto"/>
        <w:ind w:firstLine="709"/>
        <w:jc w:val="both"/>
        <w:rPr>
          <w:rFonts w:ascii="Arial" w:hAnsi="Arial" w:cs="Arial"/>
          <w:color w:val="000000" w:themeColor="text1"/>
          <w:sz w:val="22"/>
          <w:lang w:val="es-ES"/>
        </w:rPr>
      </w:pPr>
      <w:r w:rsidRPr="00270497">
        <w:rPr>
          <w:rFonts w:ascii="Arial" w:hAnsi="Arial" w:cs="Arial"/>
          <w:color w:val="000000" w:themeColor="text1"/>
          <w:sz w:val="22"/>
        </w:rPr>
        <w:t xml:space="preserve">Asimismo, de </w:t>
      </w:r>
      <w:r w:rsidRPr="00270497">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69128CF4"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270497">
        <w:rPr>
          <w:rFonts w:ascii="Arial" w:eastAsia="Calibri" w:hAnsi="Arial" w:cs="Arial"/>
          <w:color w:val="000000" w:themeColor="text1"/>
          <w:sz w:val="22"/>
          <w:vertAlign w:val="superscript"/>
        </w:rPr>
        <w:footnoteReference w:id="6"/>
      </w:r>
      <w:r w:rsidRPr="00270497">
        <w:rPr>
          <w:rFonts w:ascii="Arial" w:eastAsia="Calibri" w:hAnsi="Arial" w:cs="Arial"/>
          <w:color w:val="000000" w:themeColor="text1"/>
          <w:sz w:val="22"/>
        </w:rPr>
        <w:t>.</w:t>
      </w:r>
    </w:p>
    <w:p w14:paraId="07B66162" w14:textId="0EDFF665" w:rsidR="00240457" w:rsidRPr="00270497" w:rsidRDefault="00240457" w:rsidP="00240457">
      <w:pPr>
        <w:spacing w:before="120" w:after="120" w:line="276" w:lineRule="auto"/>
        <w:ind w:firstLine="709"/>
        <w:jc w:val="both"/>
        <w:rPr>
          <w:rFonts w:ascii="Arial" w:hAnsi="Arial" w:cs="Arial"/>
          <w:color w:val="000000" w:themeColor="text1"/>
          <w:sz w:val="22"/>
          <w:lang w:val="es-ES"/>
        </w:rPr>
      </w:pPr>
      <w:r w:rsidRPr="00270497">
        <w:rPr>
          <w:rFonts w:ascii="Arial" w:hAnsi="Arial" w:cs="Arial"/>
          <w:color w:val="000000" w:themeColor="text1"/>
          <w:sz w:val="22"/>
          <w:lang w:val="es-ES"/>
        </w:rPr>
        <w:t>Para el año 2013, la Agencia Nacional de Contratación Pública ─ Colombia Compra Eficiente, mediante la Circular Externa No 1 del</w:t>
      </w:r>
      <w:r w:rsidRPr="00270497">
        <w:rPr>
          <w:rFonts w:ascii="Arial" w:hAnsi="Arial" w:cs="Arial"/>
          <w:color w:val="000000" w:themeColor="text1"/>
          <w:sz w:val="22"/>
        </w:rPr>
        <w:t xml:space="preserve"> </w:t>
      </w:r>
      <w:r w:rsidRPr="00270497">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270497">
        <w:rPr>
          <w:rFonts w:ascii="Arial" w:hAnsi="Arial" w:cs="Arial"/>
          <w:color w:val="000000" w:themeColor="text1"/>
          <w:sz w:val="22"/>
          <w:vertAlign w:val="superscript"/>
          <w:lang w:val="es-ES"/>
        </w:rPr>
        <w:footnoteReference w:id="7"/>
      </w:r>
      <w:r w:rsidRPr="00270497">
        <w:rPr>
          <w:rFonts w:ascii="Arial" w:hAnsi="Arial" w:cs="Arial"/>
          <w:color w:val="000000" w:themeColor="text1"/>
          <w:sz w:val="22"/>
          <w:lang w:val="es-ES"/>
        </w:rPr>
        <w:t xml:space="preserve">. Además, la </w:t>
      </w:r>
      <w:r w:rsidRPr="00270497">
        <w:rPr>
          <w:rFonts w:ascii="Arial" w:hAnsi="Arial" w:cs="Arial"/>
          <w:color w:val="000000" w:themeColor="text1"/>
          <w:sz w:val="22"/>
          <w:lang w:val="es-ES"/>
        </w:rPr>
        <w:lastRenderedPageBreak/>
        <w:t>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7AC29FED" w14:textId="77777777" w:rsidR="00240457" w:rsidRPr="00270497" w:rsidRDefault="00240457" w:rsidP="00240457">
      <w:pPr>
        <w:spacing w:line="276" w:lineRule="auto"/>
        <w:ind w:firstLine="709"/>
        <w:jc w:val="both"/>
        <w:rPr>
          <w:rFonts w:ascii="Arial" w:hAnsi="Arial" w:cs="Arial"/>
          <w:color w:val="000000" w:themeColor="text1"/>
          <w:sz w:val="22"/>
          <w:lang w:val="es-ES"/>
        </w:rPr>
      </w:pPr>
      <w:r w:rsidRPr="00270497">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177E3133" w14:textId="77777777" w:rsidR="00240457" w:rsidRPr="00270497" w:rsidRDefault="00240457" w:rsidP="00240457">
      <w:pPr>
        <w:ind w:firstLine="709"/>
        <w:jc w:val="both"/>
        <w:rPr>
          <w:rFonts w:ascii="Arial" w:hAnsi="Arial" w:cs="Arial"/>
          <w:color w:val="000000" w:themeColor="text1"/>
          <w:sz w:val="22"/>
          <w:lang w:val="es-ES"/>
        </w:rPr>
      </w:pPr>
    </w:p>
    <w:p w14:paraId="5F322CCB" w14:textId="77777777" w:rsidR="00240457" w:rsidRPr="00270497" w:rsidRDefault="00240457" w:rsidP="00240457">
      <w:pPr>
        <w:tabs>
          <w:tab w:val="left" w:pos="3885"/>
        </w:tabs>
        <w:ind w:left="709" w:right="709"/>
        <w:jc w:val="both"/>
        <w:rPr>
          <w:rFonts w:ascii="Arial" w:hAnsi="Arial" w:cs="Arial"/>
          <w:color w:val="000000" w:themeColor="text1"/>
          <w:sz w:val="21"/>
          <w:szCs w:val="21"/>
          <w:lang w:val="es-ES"/>
        </w:rPr>
      </w:pPr>
      <w:r w:rsidRPr="00270497">
        <w:rPr>
          <w:rFonts w:ascii="Arial" w:hAnsi="Arial" w:cs="Arial"/>
          <w:color w:val="000000" w:themeColor="text1"/>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22ED5B96" w14:textId="77777777" w:rsidR="00240457" w:rsidRPr="00270497" w:rsidRDefault="00240457" w:rsidP="00240457">
      <w:pPr>
        <w:tabs>
          <w:tab w:val="left" w:pos="3885"/>
        </w:tabs>
        <w:ind w:left="709" w:right="709"/>
        <w:jc w:val="both"/>
        <w:rPr>
          <w:rFonts w:ascii="Arial" w:hAnsi="Arial" w:cs="Arial"/>
          <w:color w:val="000000" w:themeColor="text1"/>
          <w:sz w:val="21"/>
          <w:szCs w:val="21"/>
          <w:lang w:val="es-ES"/>
        </w:rPr>
      </w:pPr>
    </w:p>
    <w:p w14:paraId="06DF5C4B" w14:textId="77777777" w:rsidR="00240457" w:rsidRPr="00270497" w:rsidRDefault="00240457" w:rsidP="00240457">
      <w:pPr>
        <w:tabs>
          <w:tab w:val="left" w:pos="3885"/>
        </w:tabs>
        <w:ind w:left="709" w:right="709"/>
        <w:jc w:val="both"/>
        <w:rPr>
          <w:rFonts w:ascii="Arial" w:hAnsi="Arial" w:cs="Arial"/>
          <w:color w:val="000000" w:themeColor="text1"/>
          <w:sz w:val="21"/>
          <w:szCs w:val="21"/>
          <w:lang w:val="es-ES"/>
        </w:rPr>
      </w:pPr>
      <w:r w:rsidRPr="00270497">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41E451B5" w14:textId="77777777" w:rsidR="00240457" w:rsidRPr="00270497" w:rsidRDefault="00240457" w:rsidP="00240457">
      <w:pPr>
        <w:tabs>
          <w:tab w:val="left" w:pos="3885"/>
        </w:tabs>
        <w:ind w:left="709" w:right="709"/>
        <w:jc w:val="both"/>
        <w:rPr>
          <w:rFonts w:ascii="Arial" w:hAnsi="Arial" w:cs="Arial"/>
          <w:color w:val="000000" w:themeColor="text1"/>
          <w:sz w:val="21"/>
          <w:szCs w:val="21"/>
          <w:lang w:val="es-ES"/>
        </w:rPr>
      </w:pPr>
      <w:r w:rsidRPr="00270497">
        <w:rPr>
          <w:rFonts w:ascii="Arial" w:hAnsi="Arial" w:cs="Arial"/>
          <w:color w:val="000000" w:themeColor="text1"/>
          <w:sz w:val="21"/>
          <w:szCs w:val="21"/>
          <w:lang w:val="es-ES"/>
        </w:rPr>
        <w:t>[…]</w:t>
      </w:r>
    </w:p>
    <w:p w14:paraId="6F1F69E3" w14:textId="77777777" w:rsidR="00240457" w:rsidRPr="00270497" w:rsidRDefault="00240457" w:rsidP="00240457">
      <w:pPr>
        <w:tabs>
          <w:tab w:val="left" w:pos="3885"/>
        </w:tabs>
        <w:ind w:left="709" w:right="709"/>
        <w:jc w:val="both"/>
        <w:rPr>
          <w:rFonts w:ascii="Arial" w:hAnsi="Arial" w:cs="Arial"/>
          <w:color w:val="000000" w:themeColor="text1"/>
          <w:sz w:val="21"/>
          <w:szCs w:val="21"/>
          <w:lang w:val="es-ES"/>
        </w:rPr>
      </w:pPr>
    </w:p>
    <w:p w14:paraId="232E2134" w14:textId="77777777" w:rsidR="00240457" w:rsidRPr="00270497" w:rsidRDefault="00240457" w:rsidP="00240457">
      <w:pPr>
        <w:tabs>
          <w:tab w:val="left" w:pos="3885"/>
        </w:tabs>
        <w:ind w:left="709" w:right="709"/>
        <w:jc w:val="both"/>
        <w:rPr>
          <w:rFonts w:ascii="Arial" w:hAnsi="Arial" w:cs="Arial"/>
          <w:color w:val="000000" w:themeColor="text1"/>
          <w:sz w:val="21"/>
          <w:szCs w:val="21"/>
          <w:lang w:val="es-ES"/>
        </w:rPr>
      </w:pPr>
      <w:r w:rsidRPr="00270497">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270497">
        <w:rPr>
          <w:rFonts w:ascii="Arial" w:hAnsi="Arial" w:cs="Arial"/>
          <w:color w:val="000000" w:themeColor="text1"/>
          <w:sz w:val="21"/>
          <w:szCs w:val="21"/>
          <w:vertAlign w:val="superscript"/>
        </w:rPr>
        <w:footnoteReference w:id="8"/>
      </w:r>
      <w:r w:rsidRPr="00270497">
        <w:rPr>
          <w:rFonts w:ascii="Arial" w:hAnsi="Arial" w:cs="Arial"/>
          <w:color w:val="000000" w:themeColor="text1"/>
          <w:sz w:val="21"/>
          <w:szCs w:val="21"/>
          <w:lang w:val="es-ES"/>
        </w:rPr>
        <w:t>.</w:t>
      </w:r>
    </w:p>
    <w:p w14:paraId="3BBC858F" w14:textId="77777777" w:rsidR="00240457" w:rsidRPr="00270497" w:rsidRDefault="00240457" w:rsidP="00240457">
      <w:pPr>
        <w:tabs>
          <w:tab w:val="left" w:pos="3885"/>
        </w:tabs>
        <w:spacing w:line="276" w:lineRule="auto"/>
        <w:ind w:left="709" w:right="709"/>
        <w:jc w:val="both"/>
        <w:rPr>
          <w:rFonts w:ascii="Arial" w:hAnsi="Arial" w:cs="Arial"/>
          <w:color w:val="000000" w:themeColor="text1"/>
          <w:sz w:val="21"/>
          <w:szCs w:val="21"/>
          <w:lang w:val="es-ES"/>
        </w:rPr>
      </w:pPr>
    </w:p>
    <w:p w14:paraId="4A5C853B" w14:textId="77777777" w:rsidR="00240457" w:rsidRPr="00270497" w:rsidRDefault="00240457" w:rsidP="00240457">
      <w:pPr>
        <w:spacing w:line="276" w:lineRule="auto"/>
        <w:ind w:firstLine="708"/>
        <w:jc w:val="both"/>
        <w:rPr>
          <w:rFonts w:ascii="Arial" w:hAnsi="Arial" w:cs="Arial"/>
          <w:color w:val="000000" w:themeColor="text1"/>
          <w:sz w:val="22"/>
          <w:lang w:val="es-ES"/>
        </w:rPr>
      </w:pPr>
      <w:r w:rsidRPr="00270497">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w:t>
      </w:r>
      <w:r w:rsidRPr="00270497">
        <w:rPr>
          <w:rFonts w:ascii="Arial" w:hAnsi="Arial" w:cs="Arial"/>
          <w:color w:val="000000" w:themeColor="text1"/>
          <w:sz w:val="22"/>
          <w:lang w:val="es-ES"/>
        </w:rPr>
        <w:lastRenderedPageBreak/>
        <w:t xml:space="preserve">exceptuados. En particular, sobre el deber de publicidad de estos, el Consejo de Estado sostuvo: </w:t>
      </w:r>
    </w:p>
    <w:p w14:paraId="5A7010CF" w14:textId="77777777" w:rsidR="00240457" w:rsidRPr="00270497" w:rsidRDefault="00240457" w:rsidP="00240457">
      <w:pPr>
        <w:ind w:firstLine="708"/>
        <w:jc w:val="both"/>
        <w:rPr>
          <w:rFonts w:ascii="Arial" w:hAnsi="Arial" w:cs="Arial"/>
          <w:color w:val="000000" w:themeColor="text1"/>
          <w:sz w:val="21"/>
          <w:szCs w:val="21"/>
          <w:lang w:val="es-ES"/>
        </w:rPr>
      </w:pPr>
    </w:p>
    <w:p w14:paraId="1841B004" w14:textId="77777777" w:rsidR="00240457" w:rsidRPr="00270497" w:rsidRDefault="00240457" w:rsidP="00240457">
      <w:pPr>
        <w:ind w:leftChars="295" w:left="708" w:right="709"/>
        <w:jc w:val="both"/>
        <w:rPr>
          <w:rFonts w:ascii="Arial" w:hAnsi="Arial" w:cs="Arial"/>
          <w:color w:val="000000" w:themeColor="text1"/>
          <w:sz w:val="21"/>
          <w:szCs w:val="21"/>
          <w:lang w:val="es-ES"/>
        </w:rPr>
      </w:pPr>
      <w:r w:rsidRPr="00270497">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2B0A42A0" w14:textId="77777777" w:rsidR="00240457" w:rsidRPr="00270497" w:rsidRDefault="00240457" w:rsidP="00240457">
      <w:pPr>
        <w:ind w:leftChars="295" w:left="708" w:right="709"/>
        <w:jc w:val="both"/>
        <w:rPr>
          <w:rFonts w:ascii="Arial" w:hAnsi="Arial" w:cs="Arial"/>
          <w:color w:val="000000" w:themeColor="text1"/>
          <w:sz w:val="21"/>
          <w:szCs w:val="21"/>
          <w:lang w:val="es-ES"/>
        </w:rPr>
      </w:pPr>
    </w:p>
    <w:p w14:paraId="43AABE4E" w14:textId="77777777" w:rsidR="00240457" w:rsidRPr="00270497" w:rsidRDefault="00240457" w:rsidP="00240457">
      <w:pPr>
        <w:spacing w:before="120" w:after="120" w:line="276" w:lineRule="auto"/>
        <w:ind w:firstLine="709"/>
        <w:jc w:val="both"/>
        <w:rPr>
          <w:rFonts w:ascii="Arial" w:hAnsi="Arial" w:cs="Arial"/>
          <w:color w:val="000000" w:themeColor="text1"/>
          <w:sz w:val="22"/>
          <w:lang w:val="es-ES"/>
        </w:rPr>
      </w:pPr>
      <w:r w:rsidRPr="00270497">
        <w:rPr>
          <w:rFonts w:ascii="Arial" w:hAnsi="Arial" w:cs="Arial"/>
          <w:color w:val="000000" w:themeColor="text1"/>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0853896F" w14:textId="77777777" w:rsidR="00240457" w:rsidRPr="00270497" w:rsidRDefault="00240457" w:rsidP="00240457">
      <w:pPr>
        <w:spacing w:line="276" w:lineRule="auto"/>
        <w:ind w:firstLine="709"/>
        <w:jc w:val="both"/>
        <w:rPr>
          <w:rFonts w:ascii="Arial" w:hAnsi="Arial" w:cs="Arial"/>
          <w:color w:val="000000" w:themeColor="text1"/>
          <w:sz w:val="22"/>
          <w:lang w:val="es-ES"/>
        </w:rPr>
      </w:pPr>
      <w:r w:rsidRPr="00270497">
        <w:rPr>
          <w:rFonts w:ascii="Arial" w:hAnsi="Arial" w:cs="Arial"/>
          <w:color w:val="000000" w:themeColor="text1"/>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07CC2BAA" w14:textId="77777777" w:rsidR="00240457" w:rsidRPr="00270497" w:rsidRDefault="00240457" w:rsidP="006A6BEB">
      <w:pPr>
        <w:ind w:firstLine="709"/>
        <w:jc w:val="both"/>
        <w:rPr>
          <w:rFonts w:ascii="Arial" w:eastAsia="Calibri" w:hAnsi="Arial" w:cs="Arial"/>
          <w:color w:val="000000" w:themeColor="text1"/>
          <w:sz w:val="22"/>
          <w:lang w:val="es-ES"/>
        </w:rPr>
      </w:pPr>
    </w:p>
    <w:p w14:paraId="3EB3BF0C" w14:textId="77777777" w:rsidR="00240457" w:rsidRPr="00270497" w:rsidRDefault="00240457" w:rsidP="00240457">
      <w:pPr>
        <w:tabs>
          <w:tab w:val="left" w:pos="284"/>
          <w:tab w:val="left" w:pos="426"/>
        </w:tabs>
        <w:spacing w:line="276" w:lineRule="auto"/>
        <w:jc w:val="both"/>
        <w:rPr>
          <w:rFonts w:ascii="Arial" w:hAnsi="Arial" w:cs="Arial"/>
          <w:b/>
          <w:color w:val="000000" w:themeColor="text1"/>
          <w:sz w:val="22"/>
          <w:lang w:val="es-ES"/>
        </w:rPr>
      </w:pPr>
      <w:r w:rsidRPr="00270497">
        <w:rPr>
          <w:rFonts w:ascii="Arial" w:hAnsi="Arial" w:cs="Arial"/>
          <w:b/>
          <w:color w:val="000000" w:themeColor="text1"/>
          <w:sz w:val="22"/>
          <w:lang w:val="es-ES"/>
        </w:rPr>
        <w:t>2.2. Documentos que publican las entidades de régimen especial en el SECOP y término para hacerlo</w:t>
      </w:r>
    </w:p>
    <w:p w14:paraId="10B5023C" w14:textId="77777777" w:rsidR="00240457" w:rsidRPr="00270497" w:rsidRDefault="00240457" w:rsidP="006A6BEB">
      <w:pPr>
        <w:tabs>
          <w:tab w:val="left" w:pos="284"/>
          <w:tab w:val="left" w:pos="426"/>
        </w:tabs>
        <w:ind w:left="142"/>
        <w:jc w:val="both"/>
        <w:rPr>
          <w:rFonts w:ascii="Arial" w:hAnsi="Arial" w:cs="Arial"/>
          <w:b/>
          <w:color w:val="000000" w:themeColor="text1"/>
          <w:sz w:val="22"/>
          <w:lang w:val="es-ES"/>
        </w:rPr>
      </w:pPr>
    </w:p>
    <w:p w14:paraId="0B23673B" w14:textId="77777777" w:rsidR="00240457" w:rsidRPr="00270497" w:rsidRDefault="00240457" w:rsidP="00240457">
      <w:pPr>
        <w:spacing w:line="276" w:lineRule="auto"/>
        <w:jc w:val="both"/>
        <w:rPr>
          <w:rFonts w:ascii="Arial" w:eastAsia="Calibri" w:hAnsi="Arial" w:cs="Arial"/>
          <w:color w:val="000000" w:themeColor="text1"/>
          <w:sz w:val="22"/>
          <w:lang w:val="es-ES"/>
        </w:rPr>
      </w:pPr>
      <w:r w:rsidRPr="00270497">
        <w:rPr>
          <w:rFonts w:ascii="Arial" w:eastAsia="Calibri" w:hAnsi="Arial" w:cs="Arial"/>
          <w:color w:val="000000" w:themeColor="text1"/>
          <w:sz w:val="22"/>
          <w:lang w:val="es-ES"/>
        </w:rPr>
        <w:t>Determinada la obligación que tienen las entidades sujetas a un régimen especial de publicar su actividad contractual en el SECOP, a continuación se identificarán los documentos que deben publicar, n</w:t>
      </w:r>
      <w:r w:rsidRPr="00270497">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683BF515" w14:textId="77777777" w:rsidR="00240457" w:rsidRPr="00270497" w:rsidRDefault="00240457" w:rsidP="00240457">
      <w:pPr>
        <w:spacing w:line="276" w:lineRule="auto"/>
        <w:ind w:firstLine="708"/>
        <w:jc w:val="both"/>
        <w:rPr>
          <w:rFonts w:ascii="Arial" w:eastAsia="Calibri" w:hAnsi="Arial" w:cs="Arial"/>
          <w:color w:val="000000" w:themeColor="text1"/>
          <w:sz w:val="22"/>
          <w:lang w:val="es-ES"/>
        </w:rPr>
      </w:pPr>
      <w:r w:rsidRPr="00270497">
        <w:rPr>
          <w:rFonts w:ascii="Arial" w:hAnsi="Arial" w:cs="Arial"/>
          <w:bCs/>
          <w:color w:val="000000" w:themeColor="text1"/>
          <w:sz w:val="22"/>
          <w:lang w:val="es-ES"/>
        </w:rPr>
        <w:t xml:space="preserve">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w:t>
      </w:r>
      <w:r w:rsidRPr="00270497">
        <w:rPr>
          <w:rFonts w:ascii="Arial" w:hAnsi="Arial" w:cs="Arial"/>
          <w:bCs/>
          <w:color w:val="000000" w:themeColor="text1"/>
          <w:sz w:val="22"/>
          <w:lang w:val="es-ES"/>
        </w:rPr>
        <w:lastRenderedPageBreak/>
        <w:t>proceso que define el Decreto 1082 de 2015, así como lo relativo a la ejecución del contrato. Lo anterior se fundamentó en el literal c) del artículo 3 de la Ley 1150 de 2007</w:t>
      </w:r>
      <w:r w:rsidRPr="00270497">
        <w:rPr>
          <w:rFonts w:ascii="Arial" w:hAnsi="Arial" w:cs="Arial"/>
          <w:bCs/>
          <w:color w:val="000000" w:themeColor="text1"/>
          <w:sz w:val="22"/>
          <w:vertAlign w:val="superscript"/>
          <w:lang w:val="es-ES"/>
        </w:rPr>
        <w:footnoteReference w:id="9"/>
      </w:r>
      <w:r w:rsidRPr="00270497">
        <w:rPr>
          <w:rFonts w:ascii="Arial" w:hAnsi="Arial" w:cs="Arial"/>
          <w:bCs/>
          <w:color w:val="000000" w:themeColor="text1"/>
          <w:sz w:val="22"/>
          <w:lang w:val="es-ES"/>
        </w:rPr>
        <w:t>.</w:t>
      </w:r>
    </w:p>
    <w:p w14:paraId="5F361EBD"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lang w:val="es-ES"/>
        </w:rPr>
      </w:pPr>
      <w:r w:rsidRPr="00270497">
        <w:rPr>
          <w:rFonts w:ascii="Arial" w:hAnsi="Arial" w:cs="Arial"/>
          <w:color w:val="000000" w:themeColor="text1"/>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270497">
        <w:rPr>
          <w:rFonts w:ascii="Arial" w:eastAsia="Calibri" w:hAnsi="Arial" w:cs="Arial"/>
          <w:color w:val="000000" w:themeColor="text1"/>
          <w:sz w:val="22"/>
          <w:lang w:val="es-ES"/>
        </w:rPr>
        <w:t xml:space="preserve">documentos del proceso que se debían publicar. </w:t>
      </w:r>
    </w:p>
    <w:p w14:paraId="3A461905"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lang w:val="es-ES"/>
        </w:rPr>
      </w:pPr>
      <w:r w:rsidRPr="00270497">
        <w:rPr>
          <w:rFonts w:ascii="Arial" w:eastAsia="Calibri" w:hAnsi="Arial" w:cs="Arial"/>
          <w:color w:val="000000" w:themeColor="text1"/>
          <w:sz w:val="22"/>
          <w:lang w:val="es-ES"/>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270497">
        <w:rPr>
          <w:rFonts w:ascii="Arial" w:eastAsia="Calibri" w:hAnsi="Arial" w:cs="Arial"/>
          <w:color w:val="000000" w:themeColor="text1"/>
          <w:sz w:val="22"/>
          <w:vertAlign w:val="superscript"/>
          <w:lang w:val="es-ES"/>
        </w:rPr>
        <w:footnoteReference w:id="10"/>
      </w:r>
      <w:r w:rsidRPr="00270497">
        <w:rPr>
          <w:rFonts w:ascii="Arial" w:eastAsia="Calibri" w:hAnsi="Arial" w:cs="Arial"/>
          <w:color w:val="000000" w:themeColor="text1"/>
          <w:sz w:val="22"/>
          <w:lang w:val="es-ES"/>
        </w:rPr>
        <w:t xml:space="preserve">. </w:t>
      </w:r>
    </w:p>
    <w:p w14:paraId="2E3A9EEC"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lang w:val="es-ES"/>
        </w:rPr>
      </w:pPr>
      <w:r w:rsidRPr="00270497">
        <w:rPr>
          <w:rFonts w:ascii="Arial" w:eastAsia="Calibri" w:hAnsi="Arial" w:cs="Arial"/>
          <w:color w:val="000000" w:themeColor="text1"/>
          <w:sz w:val="22"/>
          <w:lang w:val="es-ES"/>
        </w:rPr>
        <w:t xml:space="preserve">Conforme a lo anterior, en un primer momento la Agencia Nacional de Contratación Pública definió los documentos del proceso que las entidades de régimen especial debían </w:t>
      </w:r>
      <w:r w:rsidRPr="00270497">
        <w:rPr>
          <w:rFonts w:ascii="Arial" w:eastAsia="Calibri" w:hAnsi="Arial" w:cs="Arial"/>
          <w:color w:val="000000" w:themeColor="text1"/>
          <w:sz w:val="22"/>
          <w:lang w:val="es-ES"/>
        </w:rPr>
        <w:lastRenderedPageBreak/>
        <w:t xml:space="preserve">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19EF8FDD"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166ED9BE"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270497">
        <w:rPr>
          <w:rFonts w:ascii="Arial" w:eastAsia="Calibri" w:hAnsi="Arial" w:cs="Arial"/>
          <w:color w:val="000000" w:themeColor="text1"/>
          <w:sz w:val="22"/>
          <w:vertAlign w:val="superscript"/>
        </w:rPr>
        <w:footnoteReference w:id="11"/>
      </w:r>
      <w:r w:rsidRPr="00270497">
        <w:rPr>
          <w:rFonts w:ascii="Arial" w:eastAsia="Calibri" w:hAnsi="Arial" w:cs="Arial"/>
          <w:color w:val="000000" w:themeColor="text1"/>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270497">
        <w:rPr>
          <w:rFonts w:ascii="Arial" w:eastAsia="Calibri" w:hAnsi="Arial" w:cs="Arial"/>
          <w:color w:val="000000" w:themeColor="text1"/>
          <w:sz w:val="22"/>
          <w:vertAlign w:val="superscript"/>
        </w:rPr>
        <w:footnoteReference w:id="12"/>
      </w:r>
      <w:r w:rsidRPr="00270497">
        <w:rPr>
          <w:rFonts w:ascii="Arial" w:eastAsia="Calibri" w:hAnsi="Arial" w:cs="Arial"/>
          <w:color w:val="000000" w:themeColor="text1"/>
          <w:sz w:val="22"/>
        </w:rPr>
        <w:t>. Finalmente, el artículo 10 establece la obligación que tienen las entidades de publicar en el SECOP el Plan Anual de Adquisiciones</w:t>
      </w:r>
      <w:r w:rsidRPr="00270497">
        <w:rPr>
          <w:rFonts w:ascii="Arial" w:eastAsia="Calibri" w:hAnsi="Arial" w:cs="Arial"/>
          <w:color w:val="000000" w:themeColor="text1"/>
          <w:sz w:val="22"/>
          <w:vertAlign w:val="superscript"/>
        </w:rPr>
        <w:footnoteReference w:id="13"/>
      </w:r>
      <w:r w:rsidRPr="00270497">
        <w:rPr>
          <w:rFonts w:ascii="Arial" w:eastAsia="Calibri" w:hAnsi="Arial" w:cs="Arial"/>
          <w:color w:val="000000" w:themeColor="text1"/>
          <w:sz w:val="22"/>
        </w:rPr>
        <w:t xml:space="preserve">.  </w:t>
      </w:r>
    </w:p>
    <w:p w14:paraId="35A41A4D"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lastRenderedPageBreak/>
        <w:t xml:space="preserve">De conformidad con lo anterior, el Decreto 103 de 2015 señala que los documentos que deben publicar las entidades estatales a quienes les aplica la Ley 1712 de 2014, entre estas, por ejemplo, las empresas de servicios públicos mixtas, oficiales y privadas con participación pública,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7391D25D"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3C40242F"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03B8F638"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Por lo tanto, en estos casos aplica la Ley 1712 de 2014 y el Decreto 103 de 2015, no el Decreto 1082 de 2015, porque esta última norma rige a las entidades sometidas al Estatuto General de Contratación de la Administración Pública, y por lo tanto no aplica, por ejemplo, a las empresas de servicios públicos domiciliarios que, por regla general, se rigen por el derecho privado. Por su parte, la Ley 1712 de 2014 y el Decreto reglamentario 103 de 2015 rigen a cualquier entidad pública, incluyendo</w:t>
      </w:r>
      <w:r w:rsidRPr="00270497">
        <w:rPr>
          <w:rFonts w:ascii="Arial" w:hAnsi="Arial" w:cs="Arial"/>
          <w:color w:val="000000" w:themeColor="text1"/>
          <w:sz w:val="22"/>
        </w:rPr>
        <w:t xml:space="preserve"> </w:t>
      </w:r>
      <w:r w:rsidRPr="00270497">
        <w:rPr>
          <w:rFonts w:ascii="Arial" w:eastAsia="Times New Roman" w:hAnsi="Arial" w:cs="Arial"/>
          <w:color w:val="000000" w:themeColor="text1"/>
          <w:sz w:val="22"/>
          <w:lang w:val="es-CO" w:eastAsia="es-CO"/>
        </w:rPr>
        <w:t xml:space="preserve">las pertenecientes a todas las Ramas del Poder Público, en todos los niveles de la estructura estatal, central o descentralizada por servicios o territorialmente, en los </w:t>
      </w:r>
      <w:r w:rsidRPr="00270497">
        <w:rPr>
          <w:rFonts w:ascii="Arial" w:eastAsia="Calibri" w:hAnsi="Arial" w:cs="Arial"/>
          <w:color w:val="000000" w:themeColor="text1"/>
          <w:sz w:val="22"/>
        </w:rPr>
        <w:t xml:space="preserve">órdenes nacional, departamental, municipal y distrital. </w:t>
      </w:r>
    </w:p>
    <w:p w14:paraId="69CA7F55"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Identificados los documentos que deben publicar las entidades de régimen especial y su fundamento normativo, a continuación se explicará cuando se deben publicar, no sin antes explicar la posición que Colombia Compra Eficiente ha tenido en relación con este asunto. </w:t>
      </w:r>
    </w:p>
    <w:p w14:paraId="1883DA8A"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lastRenderedPageBreak/>
        <w:t>En el año 2017, en la consulta con radicado No. 4201713000005390 se prevé que: el plazo para publicar por parte de las entidades de régimen especial es el que se fije en el manual de contratación de la entidad</w:t>
      </w:r>
      <w:r w:rsidRPr="00270497">
        <w:rPr>
          <w:rStyle w:val="Refdenotaalpie"/>
          <w:rFonts w:ascii="Arial" w:eastAsia="Calibri" w:hAnsi="Arial" w:cs="Arial"/>
          <w:color w:val="000000" w:themeColor="text1"/>
          <w:sz w:val="22"/>
        </w:rPr>
        <w:footnoteReference w:id="14"/>
      </w:r>
      <w:r w:rsidRPr="00270497">
        <w:rPr>
          <w:rFonts w:ascii="Arial" w:eastAsia="Calibri" w:hAnsi="Arial" w:cs="Arial"/>
          <w:color w:val="000000" w:themeColor="text1"/>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 […]</w:t>
      </w:r>
      <w:r w:rsidRPr="00270497">
        <w:rPr>
          <w:rStyle w:val="Refdenotaalpie"/>
          <w:rFonts w:ascii="Arial" w:eastAsia="Calibri" w:hAnsi="Arial" w:cs="Arial"/>
          <w:color w:val="000000" w:themeColor="text1"/>
          <w:sz w:val="22"/>
        </w:rPr>
        <w:footnoteReference w:id="15"/>
      </w:r>
      <w:r w:rsidRPr="00270497">
        <w:rPr>
          <w:rFonts w:ascii="Arial" w:eastAsia="Calibri" w:hAnsi="Arial" w:cs="Arial"/>
          <w:color w:val="000000" w:themeColor="text1"/>
          <w:sz w:val="22"/>
        </w:rPr>
        <w:t xml:space="preserve">». De lo regulado en la Circular Externa Única se infiere que se otorga un tratamiento igualitario a las entidades, independientemente de su régimen de contratación, por lo tanto, aplica el artículo 2.2.1.1.1.7.1. del Decreto 1082 de 2015. </w:t>
      </w:r>
    </w:p>
    <w:p w14:paraId="1563A0E0"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2A1F6274"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w:t>
      </w:r>
      <w:r w:rsidRPr="00270497">
        <w:rPr>
          <w:rFonts w:ascii="Arial" w:eastAsia="Calibri" w:hAnsi="Arial" w:cs="Arial"/>
          <w:color w:val="000000" w:themeColor="text1"/>
          <w:sz w:val="22"/>
        </w:rPr>
        <w:lastRenderedPageBreak/>
        <w:t>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270497">
        <w:rPr>
          <w:rStyle w:val="Refdenotaalpie"/>
          <w:rFonts w:ascii="Arial" w:eastAsia="Calibri" w:hAnsi="Arial" w:cs="Arial"/>
          <w:color w:val="000000" w:themeColor="text1"/>
          <w:sz w:val="22"/>
        </w:rPr>
        <w:footnoteReference w:id="16"/>
      </w:r>
      <w:r w:rsidRPr="00270497">
        <w:rPr>
          <w:rFonts w:ascii="Arial" w:eastAsia="Calibri" w:hAnsi="Arial" w:cs="Arial"/>
          <w:color w:val="000000" w:themeColor="text1"/>
          <w:sz w:val="22"/>
        </w:rPr>
        <w:t>. En este sentido, el juez razona por analogía, cuando aplica una ley frente una situación no contemplada explícitamente en ella, a partir del estudio de situaciones fácticas que fueron tratadas por el legislador y guardan similitud con el asunto tratado.</w:t>
      </w:r>
    </w:p>
    <w:p w14:paraId="1110D502"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270497">
        <w:rPr>
          <w:rStyle w:val="Refdenotaalpie"/>
          <w:rFonts w:ascii="Arial" w:eastAsia="Calibri" w:hAnsi="Arial" w:cs="Arial"/>
          <w:color w:val="000000" w:themeColor="text1"/>
          <w:sz w:val="22"/>
        </w:rPr>
        <w:footnoteReference w:id="17"/>
      </w:r>
      <w:r w:rsidRPr="00270497">
        <w:rPr>
          <w:rFonts w:ascii="Arial" w:eastAsia="Calibri" w:hAnsi="Arial" w:cs="Arial"/>
          <w:color w:val="000000" w:themeColor="text1"/>
          <w:sz w:val="22"/>
        </w:rPr>
        <w:t xml:space="preserve">. En este sentido, las entidades sometidas al régimen de contratación de Ley 80 de 1993 publican en el SECOP sus documentos dentro de los 3 días siguientes a su expedición. </w:t>
      </w:r>
    </w:p>
    <w:p w14:paraId="4DC87189"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aplicarle su consecuencia jurídica a las entidades de régimen especial. </w:t>
      </w:r>
    </w:p>
    <w:p w14:paraId="1DB87D5F"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49AE6EDE"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Conforme a lo anterior, las entidades de régimen especial deben publicar sus documentos del proceso de contratación dentro de los tres (3) días siguientes a su </w:t>
      </w:r>
      <w:r w:rsidRPr="00270497">
        <w:rPr>
          <w:rFonts w:ascii="Arial" w:eastAsia="Calibri" w:hAnsi="Arial" w:cs="Arial"/>
          <w:color w:val="000000" w:themeColor="text1"/>
          <w:sz w:val="22"/>
        </w:rPr>
        <w:lastRenderedPageBreak/>
        <w:t>expedición; porque a pesar de que en principio el artículo 2.2.1.1.1.7.1 del Decreto 1082 de 2015 no les aplica, sí es posible y necesario en virtud de la analogía.</w:t>
      </w:r>
    </w:p>
    <w:p w14:paraId="43E00DD2" w14:textId="77777777" w:rsidR="00240457" w:rsidRPr="00270497" w:rsidRDefault="00240457" w:rsidP="00240457">
      <w:pPr>
        <w:spacing w:line="276" w:lineRule="auto"/>
        <w:ind w:firstLine="709"/>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73AD1BBF" w14:textId="77777777" w:rsidR="00240457" w:rsidRPr="00270497" w:rsidRDefault="00240457" w:rsidP="0072580D">
      <w:pPr>
        <w:jc w:val="both"/>
        <w:rPr>
          <w:rFonts w:ascii="Arial" w:eastAsia="Calibri" w:hAnsi="Arial" w:cs="Arial"/>
          <w:b/>
          <w:color w:val="000000" w:themeColor="text1"/>
          <w:sz w:val="22"/>
        </w:rPr>
      </w:pPr>
    </w:p>
    <w:p w14:paraId="530E67FF" w14:textId="77777777" w:rsidR="00240457" w:rsidRPr="00270497" w:rsidRDefault="00240457" w:rsidP="0072580D">
      <w:pPr>
        <w:jc w:val="both"/>
        <w:rPr>
          <w:rFonts w:ascii="Arial" w:eastAsia="Calibri" w:hAnsi="Arial" w:cs="Arial"/>
          <w:b/>
          <w:color w:val="000000" w:themeColor="text1"/>
          <w:sz w:val="22"/>
        </w:rPr>
      </w:pPr>
      <w:r w:rsidRPr="00270497">
        <w:rPr>
          <w:rFonts w:ascii="Arial" w:eastAsia="Calibri" w:hAnsi="Arial" w:cs="Arial"/>
          <w:b/>
          <w:color w:val="000000" w:themeColor="text1"/>
          <w:sz w:val="22"/>
        </w:rPr>
        <w:t xml:space="preserve">2.3. Publicidad en las plataformas SECOP I y II </w:t>
      </w:r>
    </w:p>
    <w:p w14:paraId="6AB873FB" w14:textId="77777777" w:rsidR="00240457" w:rsidRPr="00270497" w:rsidRDefault="00240457" w:rsidP="0072580D">
      <w:pPr>
        <w:jc w:val="both"/>
        <w:rPr>
          <w:rFonts w:ascii="Arial" w:eastAsia="Calibri" w:hAnsi="Arial" w:cs="Arial"/>
          <w:b/>
          <w:color w:val="000000" w:themeColor="text1"/>
          <w:sz w:val="22"/>
        </w:rPr>
      </w:pPr>
    </w:p>
    <w:p w14:paraId="414655ED" w14:textId="77777777" w:rsidR="00240457" w:rsidRPr="00270497" w:rsidRDefault="00240457" w:rsidP="00240457">
      <w:pPr>
        <w:spacing w:before="120" w:after="120" w:line="276" w:lineRule="auto"/>
        <w:jc w:val="both"/>
        <w:rPr>
          <w:rFonts w:ascii="Arial" w:eastAsia="Calibri" w:hAnsi="Arial" w:cs="Arial"/>
          <w:color w:val="000000" w:themeColor="text1"/>
          <w:sz w:val="22"/>
          <w:lang w:val="es-ES"/>
        </w:rPr>
      </w:pPr>
      <w:r w:rsidRPr="00270497">
        <w:rPr>
          <w:rFonts w:ascii="Arial" w:eastAsia="Calibri" w:hAnsi="Arial" w:cs="Arial"/>
          <w:color w:val="000000" w:themeColor="text1"/>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w:t>
      </w:r>
    </w:p>
    <w:p w14:paraId="425B3499" w14:textId="5F26EC32" w:rsidR="00240457" w:rsidRPr="00270497" w:rsidRDefault="009A0ED8" w:rsidP="00240457">
      <w:pPr>
        <w:spacing w:before="120" w:after="120" w:line="276" w:lineRule="auto"/>
        <w:ind w:firstLine="709"/>
        <w:jc w:val="both"/>
        <w:rPr>
          <w:rFonts w:ascii="Arial" w:eastAsia="Calibri" w:hAnsi="Arial" w:cs="Arial"/>
          <w:color w:val="000000" w:themeColor="text1"/>
          <w:sz w:val="22"/>
          <w:lang w:val="es-ES"/>
        </w:rPr>
      </w:pPr>
      <w:r w:rsidRPr="00270497">
        <w:rPr>
          <w:rFonts w:ascii="Arial" w:eastAsia="Calibri" w:hAnsi="Arial" w:cs="Arial"/>
          <w:color w:val="000000" w:themeColor="text1"/>
          <w:sz w:val="22"/>
          <w:lang w:val="es-ES"/>
        </w:rPr>
        <w:t>Este</w:t>
      </w:r>
      <w:r w:rsidR="00240457" w:rsidRPr="00270497">
        <w:rPr>
          <w:rFonts w:ascii="Arial" w:eastAsia="Calibri" w:hAnsi="Arial" w:cs="Arial"/>
          <w:color w:val="000000" w:themeColor="text1"/>
          <w:sz w:val="22"/>
          <w:lang w:val="es-ES"/>
        </w:rPr>
        <w:t xml:space="preserve">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w:t>
      </w:r>
    </w:p>
    <w:p w14:paraId="3FFDA0B5" w14:textId="77777777" w:rsidR="00240457" w:rsidRPr="00270497" w:rsidRDefault="00240457" w:rsidP="00240457">
      <w:pPr>
        <w:spacing w:before="120" w:after="120" w:line="276" w:lineRule="auto"/>
        <w:ind w:firstLine="709"/>
        <w:jc w:val="both"/>
        <w:rPr>
          <w:rFonts w:ascii="Arial" w:eastAsia="Calibri" w:hAnsi="Arial" w:cs="Arial"/>
          <w:color w:val="000000" w:themeColor="text1"/>
          <w:sz w:val="22"/>
          <w:lang w:val="es-ES"/>
        </w:rPr>
      </w:pPr>
      <w:r w:rsidRPr="00270497">
        <w:rPr>
          <w:rFonts w:ascii="Arial" w:eastAsia="Calibri" w:hAnsi="Arial" w:cs="Arial"/>
          <w:color w:val="000000" w:themeColor="text1"/>
          <w:sz w:val="22"/>
          <w:lang w:val="es-ES"/>
        </w:rPr>
        <w:t>Ahora, en relación con las entidades descentralizadas del nivel municipal, el Anexo 1 de la Circular No. 1 de 2019 las excluyó del deber de publicar en el SECOP II, pues, al indicar las entidades de este nivel con obligación de publicar en esa plataforma, textualmente señaló que «</w:t>
      </w:r>
      <w:r w:rsidRPr="00270497">
        <w:rPr>
          <w:rFonts w:ascii="Arial" w:hAnsi="Arial" w:cs="Arial"/>
          <w:color w:val="000000" w:themeColor="text1"/>
          <w:sz w:val="22"/>
        </w:rPr>
        <w:t xml:space="preserve">sólo incluye el sector central. No incluye entidades descentralizadas del respectivo nivel» y estableció </w:t>
      </w:r>
      <w:r w:rsidRPr="00270497">
        <w:rPr>
          <w:rFonts w:ascii="Arial" w:eastAsia="Calibri" w:hAnsi="Arial" w:cs="Arial"/>
          <w:color w:val="000000" w:themeColor="text1"/>
          <w:sz w:val="22"/>
          <w:lang w:val="es-ES"/>
        </w:rPr>
        <w:t xml:space="preserve">la obligatoriedad del uso del SECOP II únicamente a las alcaldías capitales de departamentos. </w:t>
      </w:r>
    </w:p>
    <w:p w14:paraId="3A55FE72" w14:textId="000B1267" w:rsidR="00B221E4" w:rsidRPr="00270497" w:rsidRDefault="00240457" w:rsidP="00240457">
      <w:pPr>
        <w:shd w:val="clear" w:color="auto" w:fill="FFFFFF"/>
        <w:spacing w:before="120" w:after="120" w:line="276" w:lineRule="auto"/>
        <w:ind w:firstLine="709"/>
        <w:jc w:val="both"/>
        <w:rPr>
          <w:rFonts w:ascii="Arial" w:eastAsia="Calibri" w:hAnsi="Arial" w:cs="Arial"/>
          <w:color w:val="000000" w:themeColor="text1"/>
          <w:sz w:val="22"/>
          <w:lang w:val="es-ES"/>
        </w:rPr>
      </w:pPr>
      <w:r w:rsidRPr="00270497">
        <w:rPr>
          <w:rFonts w:ascii="Arial" w:eastAsia="Calibri" w:hAnsi="Arial" w:cs="Arial"/>
          <w:color w:val="000000" w:themeColor="text1"/>
          <w:sz w:val="22"/>
          <w:lang w:val="es-ES"/>
        </w:rPr>
        <w:t>Así las cosas,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w:t>
      </w:r>
    </w:p>
    <w:bookmarkEnd w:id="1"/>
    <w:bookmarkEnd w:id="2"/>
    <w:p w14:paraId="28DE981C" w14:textId="77777777" w:rsidR="009A0ED8" w:rsidRPr="00270497" w:rsidRDefault="009A0ED8" w:rsidP="009A0ED8">
      <w:pPr>
        <w:pStyle w:val="Prrafodelista"/>
        <w:tabs>
          <w:tab w:val="left" w:pos="284"/>
        </w:tabs>
        <w:ind w:left="0"/>
        <w:jc w:val="both"/>
        <w:rPr>
          <w:rFonts w:ascii="Arial" w:eastAsia="Times New Roman" w:hAnsi="Arial" w:cs="Arial"/>
          <w:b/>
          <w:color w:val="000000" w:themeColor="text1"/>
          <w:sz w:val="22"/>
          <w:lang w:val="es-CO" w:eastAsia="es-CO"/>
        </w:rPr>
      </w:pPr>
    </w:p>
    <w:p w14:paraId="687CB649" w14:textId="26FBD13A" w:rsidR="00A37FB6" w:rsidRPr="00270497" w:rsidRDefault="00905F30" w:rsidP="004E3D78">
      <w:pPr>
        <w:pStyle w:val="Prrafodelista"/>
        <w:tabs>
          <w:tab w:val="left" w:pos="284"/>
        </w:tabs>
        <w:ind w:left="0"/>
        <w:jc w:val="both"/>
        <w:rPr>
          <w:rFonts w:ascii="Arial" w:eastAsia="Calibri" w:hAnsi="Arial" w:cs="Arial"/>
          <w:color w:val="000000" w:themeColor="text1"/>
          <w:sz w:val="22"/>
        </w:rPr>
      </w:pPr>
      <w:r w:rsidRPr="00270497">
        <w:rPr>
          <w:rFonts w:ascii="Arial" w:eastAsia="Times New Roman" w:hAnsi="Arial" w:cs="Arial"/>
          <w:b/>
          <w:color w:val="000000" w:themeColor="text1"/>
          <w:sz w:val="22"/>
          <w:lang w:val="es-CO" w:eastAsia="es-CO"/>
        </w:rPr>
        <w:lastRenderedPageBreak/>
        <w:t xml:space="preserve">3. </w:t>
      </w:r>
      <w:r w:rsidR="00A37FB6" w:rsidRPr="00270497">
        <w:rPr>
          <w:rFonts w:ascii="Arial" w:eastAsia="Calibri" w:hAnsi="Arial" w:cs="Arial"/>
          <w:b/>
          <w:color w:val="000000" w:themeColor="text1"/>
          <w:sz w:val="22"/>
        </w:rPr>
        <w:t>Respuestas</w:t>
      </w:r>
    </w:p>
    <w:p w14:paraId="602CB2F1" w14:textId="77777777" w:rsidR="00905F30" w:rsidRPr="00270497" w:rsidRDefault="00905F30" w:rsidP="004E3D78">
      <w:pPr>
        <w:pStyle w:val="Prrafodelista"/>
        <w:tabs>
          <w:tab w:val="left" w:pos="284"/>
        </w:tabs>
        <w:ind w:left="0"/>
        <w:jc w:val="both"/>
        <w:rPr>
          <w:rFonts w:ascii="Arial" w:eastAsia="Calibri" w:hAnsi="Arial" w:cs="Arial"/>
          <w:color w:val="000000" w:themeColor="text1"/>
          <w:sz w:val="22"/>
        </w:rPr>
      </w:pPr>
    </w:p>
    <w:p w14:paraId="52BBEB23" w14:textId="0A35492B" w:rsidR="00FD6727" w:rsidRPr="00270497" w:rsidRDefault="00FE5C1E" w:rsidP="00F13C05">
      <w:pPr>
        <w:spacing w:before="120" w:after="120" w:line="276" w:lineRule="auto"/>
        <w:ind w:left="709" w:right="709"/>
        <w:jc w:val="both"/>
        <w:rPr>
          <w:rFonts w:ascii="Arial" w:eastAsia="Calibri" w:hAnsi="Arial" w:cs="Arial"/>
          <w:color w:val="000000" w:themeColor="text1"/>
          <w:sz w:val="22"/>
        </w:rPr>
      </w:pPr>
      <w:r w:rsidRPr="00270497">
        <w:rPr>
          <w:rFonts w:ascii="Arial" w:eastAsia="Calibri" w:hAnsi="Arial" w:cs="Arial"/>
          <w:color w:val="000000" w:themeColor="text1"/>
          <w:sz w:val="22"/>
        </w:rPr>
        <w:t>i)</w:t>
      </w:r>
      <w:r w:rsidRPr="00270497">
        <w:rPr>
          <w:rFonts w:ascii="Arial" w:hAnsi="Arial" w:cs="Arial"/>
          <w:color w:val="000000" w:themeColor="text1"/>
          <w:sz w:val="22"/>
          <w:bdr w:val="none" w:sz="0" w:space="0" w:color="auto" w:frame="1"/>
        </w:rPr>
        <w:t>¿«que (sic) documentos debe publicar en el SECOP y en GESTIÓN TRANSPARENTE, Y QUE NORMA DEBE APLICAR UN  HOSPITAL DE PRIMER NIVEL DE ATENCIÓN, o este solo debe publicar los estudios previos y el contrato?»</w:t>
      </w:r>
    </w:p>
    <w:p w14:paraId="5F938B5B" w14:textId="77777777" w:rsidR="00B221E4" w:rsidRPr="00270497" w:rsidRDefault="00B221E4" w:rsidP="00560E61">
      <w:pPr>
        <w:jc w:val="both"/>
        <w:rPr>
          <w:rFonts w:ascii="Arial" w:eastAsia="Calibri" w:hAnsi="Arial" w:cs="Arial"/>
          <w:color w:val="000000" w:themeColor="text1"/>
          <w:sz w:val="22"/>
        </w:rPr>
      </w:pPr>
    </w:p>
    <w:p w14:paraId="260D62BF" w14:textId="626B8102" w:rsidR="00FD6727" w:rsidRPr="00270497" w:rsidRDefault="00FD6727" w:rsidP="00560E61">
      <w:pPr>
        <w:spacing w:before="120" w:after="120" w:line="276" w:lineRule="auto"/>
        <w:ind w:firstLine="709"/>
        <w:jc w:val="both"/>
        <w:rPr>
          <w:rFonts w:ascii="Arial" w:eastAsia="Calibri" w:hAnsi="Arial" w:cs="Arial"/>
          <w:color w:val="000000" w:themeColor="text1"/>
          <w:sz w:val="22"/>
          <w:lang w:val="es-ES"/>
        </w:rPr>
      </w:pPr>
      <w:r w:rsidRPr="00270497">
        <w:rPr>
          <w:rFonts w:ascii="Arial" w:eastAsia="Calibri" w:hAnsi="Arial" w:cs="Arial"/>
          <w:color w:val="000000" w:themeColor="text1"/>
          <w:sz w:val="22"/>
        </w:rPr>
        <w:t>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w:t>
      </w:r>
      <w:r w:rsidR="003F65A2" w:rsidRPr="00270497">
        <w:rPr>
          <w:rFonts w:ascii="Arial" w:eastAsia="Calibri" w:hAnsi="Arial" w:cs="Arial"/>
          <w:color w:val="000000" w:themeColor="text1"/>
          <w:sz w:val="22"/>
        </w:rPr>
        <w:t xml:space="preserve"> Dicho deber además se fundamenta en la Ley 1712 de 2014 y el Decreto reglamentario 103 de 2015, en los términos desarrollados en las consideraciones.</w:t>
      </w:r>
    </w:p>
    <w:p w14:paraId="6A91ED9C" w14:textId="0677616B" w:rsidR="00FD6727" w:rsidRPr="00270497" w:rsidRDefault="00FD6727" w:rsidP="00905F30">
      <w:pPr>
        <w:spacing w:before="120" w:after="120" w:line="276" w:lineRule="auto"/>
        <w:ind w:firstLine="708"/>
        <w:jc w:val="both"/>
        <w:rPr>
          <w:rFonts w:ascii="Arial" w:eastAsia="Calibri" w:hAnsi="Arial" w:cs="Arial"/>
          <w:color w:val="000000" w:themeColor="text1"/>
          <w:sz w:val="22"/>
        </w:rPr>
      </w:pPr>
      <w:r w:rsidRPr="00270497">
        <w:rPr>
          <w:rFonts w:ascii="Arial" w:eastAsia="Calibri" w:hAnsi="Arial" w:cs="Arial"/>
          <w:color w:val="000000" w:themeColor="text1"/>
          <w:sz w:val="22"/>
        </w:rPr>
        <w:t>Ahora, el Decreto 103 de 2015 señala que los documentos que deberán publicar las entidades estatales, entre estas las</w:t>
      </w:r>
      <w:r w:rsidR="00FE5C1E" w:rsidRPr="00270497">
        <w:rPr>
          <w:rFonts w:ascii="Arial" w:eastAsia="Calibri" w:hAnsi="Arial" w:cs="Arial"/>
          <w:color w:val="000000" w:themeColor="text1"/>
          <w:sz w:val="22"/>
        </w:rPr>
        <w:t xml:space="preserve"> empresas s</w:t>
      </w:r>
      <w:r w:rsidR="00904571" w:rsidRPr="00270497">
        <w:rPr>
          <w:rFonts w:ascii="Arial" w:eastAsia="Calibri" w:hAnsi="Arial" w:cs="Arial"/>
          <w:color w:val="000000" w:themeColor="text1"/>
          <w:sz w:val="22"/>
        </w:rPr>
        <w:t>o</w:t>
      </w:r>
      <w:r w:rsidR="00C700B7" w:rsidRPr="00270497">
        <w:rPr>
          <w:rFonts w:ascii="Arial" w:eastAsia="Calibri" w:hAnsi="Arial" w:cs="Arial"/>
          <w:color w:val="000000" w:themeColor="text1"/>
          <w:sz w:val="22"/>
        </w:rPr>
        <w:t>ciales del Estado</w:t>
      </w:r>
      <w:r w:rsidRPr="00270497">
        <w:rPr>
          <w:rFonts w:ascii="Arial" w:eastAsia="Calibri" w:hAnsi="Arial" w:cs="Arial"/>
          <w:color w:val="000000" w:themeColor="text1"/>
          <w:sz w:val="22"/>
        </w:rPr>
        <w:t xml:space="preserve">, son: i) 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 </w:t>
      </w:r>
    </w:p>
    <w:p w14:paraId="4CE6C0D9" w14:textId="2527153A" w:rsidR="00905F30" w:rsidRPr="00270497" w:rsidRDefault="00FD6727" w:rsidP="00B221E4">
      <w:pPr>
        <w:spacing w:before="120" w:after="120" w:line="276" w:lineRule="auto"/>
        <w:ind w:firstLine="708"/>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Frente al segundo grupo de documentos, debido a que estas entidades están sometidas al derecho privado, y por lo tanto no celebran sus procesos de </w:t>
      </w:r>
      <w:r w:rsidR="00453F3C" w:rsidRPr="00270497">
        <w:rPr>
          <w:rFonts w:ascii="Arial" w:eastAsia="Calibri" w:hAnsi="Arial" w:cs="Arial"/>
          <w:color w:val="000000" w:themeColor="text1"/>
          <w:sz w:val="22"/>
        </w:rPr>
        <w:t>selección</w:t>
      </w:r>
      <w:r w:rsidRPr="00270497">
        <w:rPr>
          <w:rFonts w:ascii="Arial" w:eastAsia="Calibri" w:hAnsi="Arial" w:cs="Arial"/>
          <w:color w:val="000000" w:themeColor="text1"/>
          <w:sz w:val="22"/>
        </w:rPr>
        <w:t xml:space="preserve"> con las modalidades previstas en la Ley 80 de 1993; cada una definirá en su </w:t>
      </w:r>
      <w:r w:rsidR="00453F3C" w:rsidRPr="00270497">
        <w:rPr>
          <w:rFonts w:ascii="Arial" w:eastAsia="Calibri" w:hAnsi="Arial" w:cs="Arial"/>
          <w:color w:val="000000" w:themeColor="text1"/>
          <w:sz w:val="22"/>
        </w:rPr>
        <w:t>Manual</w:t>
      </w:r>
      <w:r w:rsidRPr="00270497">
        <w:rPr>
          <w:rFonts w:ascii="Arial" w:eastAsia="Calibri" w:hAnsi="Arial" w:cs="Arial"/>
          <w:color w:val="000000" w:themeColor="text1"/>
          <w:sz w:val="22"/>
        </w:rPr>
        <w:t xml:space="preserve"> de contratación el procedimiento </w:t>
      </w:r>
      <w:r w:rsidR="00453F3C" w:rsidRPr="00270497">
        <w:rPr>
          <w:rFonts w:ascii="Arial" w:eastAsia="Calibri" w:hAnsi="Arial" w:cs="Arial"/>
          <w:color w:val="000000" w:themeColor="text1"/>
          <w:sz w:val="22"/>
        </w:rPr>
        <w:t xml:space="preserve">y los documentos que emita </w:t>
      </w:r>
      <w:r w:rsidRPr="00270497">
        <w:rPr>
          <w:rFonts w:ascii="Arial" w:eastAsia="Calibri" w:hAnsi="Arial" w:cs="Arial"/>
          <w:color w:val="000000" w:themeColor="text1"/>
          <w:sz w:val="22"/>
        </w:rPr>
        <w:t>para la contratación de sus bienes</w:t>
      </w:r>
      <w:r w:rsidR="00F32110" w:rsidRPr="00270497">
        <w:rPr>
          <w:rFonts w:ascii="Arial" w:eastAsia="Calibri" w:hAnsi="Arial" w:cs="Arial"/>
          <w:color w:val="000000" w:themeColor="text1"/>
          <w:sz w:val="22"/>
        </w:rPr>
        <w:t>, obras</w:t>
      </w:r>
      <w:r w:rsidRPr="00270497">
        <w:rPr>
          <w:rFonts w:ascii="Arial" w:eastAsia="Calibri" w:hAnsi="Arial" w:cs="Arial"/>
          <w:color w:val="000000" w:themeColor="text1"/>
          <w:sz w:val="22"/>
        </w:rPr>
        <w:t xml:space="preserve"> y servicios</w:t>
      </w:r>
      <w:r w:rsidR="00453F3C" w:rsidRPr="00270497">
        <w:rPr>
          <w:rFonts w:ascii="Arial" w:eastAsia="Calibri" w:hAnsi="Arial" w:cs="Arial"/>
          <w:color w:val="000000" w:themeColor="text1"/>
          <w:sz w:val="22"/>
        </w:rPr>
        <w:t>, frente a los cuales aplica el deber de publicidad.</w:t>
      </w:r>
    </w:p>
    <w:p w14:paraId="27D7BA30" w14:textId="04AFF82A" w:rsidR="00904571" w:rsidRPr="00270497" w:rsidRDefault="00905F30" w:rsidP="00B221E4">
      <w:pPr>
        <w:spacing w:before="120" w:after="120" w:line="276" w:lineRule="auto"/>
        <w:ind w:firstLine="708"/>
        <w:jc w:val="both"/>
        <w:rPr>
          <w:rFonts w:ascii="Arial" w:eastAsia="Calibri" w:hAnsi="Arial" w:cs="Arial"/>
          <w:color w:val="000000" w:themeColor="text1"/>
          <w:sz w:val="22"/>
        </w:rPr>
      </w:pPr>
      <w:r w:rsidRPr="00270497">
        <w:rPr>
          <w:rFonts w:ascii="Arial" w:eastAsia="Calibri" w:hAnsi="Arial" w:cs="Arial"/>
          <w:color w:val="000000" w:themeColor="text1"/>
          <w:sz w:val="22"/>
        </w:rPr>
        <w:t xml:space="preserve">Respecto de los documentos que debe publicar la </w:t>
      </w:r>
      <w:r w:rsidR="00A14DA0" w:rsidRPr="00270497">
        <w:rPr>
          <w:rFonts w:ascii="Arial" w:eastAsia="Calibri" w:hAnsi="Arial" w:cs="Arial"/>
          <w:color w:val="000000" w:themeColor="text1"/>
          <w:sz w:val="22"/>
        </w:rPr>
        <w:t>empresa s</w:t>
      </w:r>
      <w:r w:rsidR="00B221E4" w:rsidRPr="00270497">
        <w:rPr>
          <w:rFonts w:ascii="Arial" w:eastAsia="Calibri" w:hAnsi="Arial" w:cs="Arial"/>
          <w:color w:val="000000" w:themeColor="text1"/>
          <w:sz w:val="22"/>
        </w:rPr>
        <w:t>ocial del Estado, esto es el h</w:t>
      </w:r>
      <w:r w:rsidRPr="00270497">
        <w:rPr>
          <w:rFonts w:ascii="Arial" w:eastAsia="Calibri" w:hAnsi="Arial" w:cs="Arial"/>
          <w:color w:val="000000" w:themeColor="text1"/>
          <w:sz w:val="22"/>
        </w:rPr>
        <w:t>ospital</w:t>
      </w:r>
      <w:r w:rsidR="00B221E4" w:rsidRPr="00270497">
        <w:rPr>
          <w:rFonts w:ascii="Arial" w:eastAsia="Calibri" w:hAnsi="Arial" w:cs="Arial"/>
          <w:color w:val="000000" w:themeColor="text1"/>
          <w:sz w:val="22"/>
        </w:rPr>
        <w:t>,</w:t>
      </w:r>
      <w:r w:rsidRPr="00270497">
        <w:rPr>
          <w:rFonts w:ascii="Arial" w:eastAsia="Calibri" w:hAnsi="Arial" w:cs="Arial"/>
          <w:color w:val="000000" w:themeColor="text1"/>
          <w:sz w:val="22"/>
        </w:rPr>
        <w:t xml:space="preserve"> en gestión transparente, nos permitimos manifestar que desconocemos el uso de la plataforma</w:t>
      </w:r>
      <w:r w:rsidR="003F65A2" w:rsidRPr="00270497">
        <w:rPr>
          <w:rFonts w:ascii="Arial" w:eastAsia="Calibri" w:hAnsi="Arial" w:cs="Arial"/>
          <w:color w:val="000000" w:themeColor="text1"/>
          <w:sz w:val="22"/>
        </w:rPr>
        <w:t>;</w:t>
      </w:r>
      <w:r w:rsidRPr="00270497">
        <w:rPr>
          <w:rFonts w:ascii="Arial" w:eastAsia="Calibri" w:hAnsi="Arial" w:cs="Arial"/>
          <w:color w:val="000000" w:themeColor="text1"/>
          <w:sz w:val="22"/>
        </w:rPr>
        <w:t xml:space="preserve"> por lo tanto, no podemos emitir un juicio sobre los documentos que se deben publicar.</w:t>
      </w:r>
    </w:p>
    <w:p w14:paraId="164DDAE7" w14:textId="77777777" w:rsidR="00B221E4" w:rsidRPr="00270497" w:rsidRDefault="00B221E4" w:rsidP="0072580D">
      <w:pPr>
        <w:pStyle w:val="NormalWeb"/>
        <w:shd w:val="clear" w:color="auto" w:fill="FFFFFF"/>
        <w:spacing w:before="0" w:beforeAutospacing="0" w:after="0" w:afterAutospacing="0"/>
        <w:ind w:left="709" w:right="709"/>
        <w:jc w:val="both"/>
        <w:textAlignment w:val="baseline"/>
        <w:rPr>
          <w:rFonts w:ascii="Arial" w:hAnsi="Arial" w:cs="Arial"/>
          <w:color w:val="000000" w:themeColor="text1"/>
          <w:sz w:val="21"/>
          <w:szCs w:val="21"/>
          <w:bdr w:val="none" w:sz="0" w:space="0" w:color="auto" w:frame="1"/>
        </w:rPr>
      </w:pPr>
    </w:p>
    <w:p w14:paraId="463FD704" w14:textId="77777777" w:rsidR="00FE5C1E" w:rsidRPr="00270497" w:rsidRDefault="00FE5C1E" w:rsidP="0072580D">
      <w:pPr>
        <w:pStyle w:val="NormalWeb"/>
        <w:shd w:val="clear" w:color="auto" w:fill="FFFFFF"/>
        <w:spacing w:before="0" w:beforeAutospacing="0" w:after="0" w:afterAutospacing="0"/>
        <w:ind w:left="709" w:right="709"/>
        <w:jc w:val="both"/>
        <w:textAlignment w:val="baseline"/>
        <w:rPr>
          <w:rFonts w:ascii="Arial" w:hAnsi="Arial" w:cs="Arial"/>
          <w:color w:val="000000" w:themeColor="text1"/>
          <w:sz w:val="21"/>
          <w:szCs w:val="21"/>
        </w:rPr>
      </w:pPr>
      <w:r w:rsidRPr="00270497">
        <w:rPr>
          <w:rFonts w:ascii="Arial" w:hAnsi="Arial" w:cs="Arial"/>
          <w:color w:val="000000" w:themeColor="text1"/>
          <w:sz w:val="21"/>
          <w:szCs w:val="21"/>
          <w:bdr w:val="none" w:sz="0" w:space="0" w:color="auto" w:frame="1"/>
        </w:rPr>
        <w:t>y ii) ¿«DEBE EN EL SECOP EL HOSPITAL PUBLICAR EL PLAN DE ADQUISICIONES Y QUE MAS (sic)?</w:t>
      </w:r>
    </w:p>
    <w:p w14:paraId="2EF534E0" w14:textId="77777777" w:rsidR="00DC29BB" w:rsidRPr="00270497" w:rsidRDefault="00DC29BB" w:rsidP="0072580D">
      <w:pPr>
        <w:pStyle w:val="Textonotapie"/>
        <w:jc w:val="both"/>
        <w:rPr>
          <w:rFonts w:ascii="Arial" w:eastAsia="Calibri" w:hAnsi="Arial" w:cs="Arial"/>
          <w:color w:val="000000" w:themeColor="text1"/>
          <w:sz w:val="21"/>
          <w:szCs w:val="21"/>
        </w:rPr>
      </w:pPr>
    </w:p>
    <w:p w14:paraId="1CB33820" w14:textId="284A582D" w:rsidR="00904571" w:rsidRPr="00270497" w:rsidRDefault="00237E2B" w:rsidP="00560E61">
      <w:pPr>
        <w:pStyle w:val="Textonotapie"/>
        <w:spacing w:before="120" w:after="120" w:line="276" w:lineRule="auto"/>
        <w:ind w:firstLine="709"/>
        <w:jc w:val="both"/>
        <w:rPr>
          <w:rFonts w:ascii="Arial" w:hAnsi="Arial" w:cs="Arial"/>
          <w:color w:val="000000" w:themeColor="text1"/>
          <w:sz w:val="22"/>
          <w:szCs w:val="22"/>
        </w:rPr>
      </w:pPr>
      <w:r w:rsidRPr="00270497">
        <w:rPr>
          <w:rFonts w:ascii="Arial" w:eastAsia="Calibri" w:hAnsi="Arial" w:cs="Arial"/>
          <w:color w:val="000000" w:themeColor="text1"/>
          <w:sz w:val="22"/>
        </w:rPr>
        <w:t xml:space="preserve">Con relación </w:t>
      </w:r>
      <w:r w:rsidR="003C1DF0" w:rsidRPr="00270497">
        <w:rPr>
          <w:rFonts w:ascii="Arial" w:eastAsia="Calibri" w:hAnsi="Arial" w:cs="Arial"/>
          <w:color w:val="000000" w:themeColor="text1"/>
          <w:sz w:val="22"/>
        </w:rPr>
        <w:t>al P</w:t>
      </w:r>
      <w:r w:rsidRPr="00270497">
        <w:rPr>
          <w:rFonts w:ascii="Arial" w:eastAsia="Calibri" w:hAnsi="Arial" w:cs="Arial"/>
          <w:color w:val="000000" w:themeColor="text1"/>
          <w:sz w:val="22"/>
        </w:rPr>
        <w:t xml:space="preserve">lan </w:t>
      </w:r>
      <w:r w:rsidR="003C1DF0" w:rsidRPr="00270497">
        <w:rPr>
          <w:rFonts w:ascii="Arial" w:eastAsia="Calibri" w:hAnsi="Arial" w:cs="Arial"/>
          <w:color w:val="000000" w:themeColor="text1"/>
          <w:sz w:val="22"/>
        </w:rPr>
        <w:t>Anual de A</w:t>
      </w:r>
      <w:r w:rsidRPr="00270497">
        <w:rPr>
          <w:rFonts w:ascii="Arial" w:eastAsia="Calibri" w:hAnsi="Arial" w:cs="Arial"/>
          <w:color w:val="000000" w:themeColor="text1"/>
          <w:sz w:val="22"/>
        </w:rPr>
        <w:t>dquisiciones</w:t>
      </w:r>
      <w:r w:rsidR="003C1DF0" w:rsidRPr="00270497">
        <w:rPr>
          <w:rFonts w:ascii="Arial" w:eastAsia="Calibri" w:hAnsi="Arial" w:cs="Arial"/>
          <w:color w:val="000000" w:themeColor="text1"/>
          <w:sz w:val="22"/>
        </w:rPr>
        <w:t>,</w:t>
      </w:r>
      <w:r w:rsidRPr="00270497">
        <w:rPr>
          <w:rFonts w:ascii="Arial" w:eastAsia="Calibri" w:hAnsi="Arial" w:cs="Arial"/>
          <w:color w:val="000000" w:themeColor="text1"/>
          <w:sz w:val="22"/>
        </w:rPr>
        <w:t xml:space="preserve"> el artículo 10</w:t>
      </w:r>
      <w:r w:rsidR="003C1DF0" w:rsidRPr="00270497">
        <w:rPr>
          <w:rFonts w:ascii="Arial" w:eastAsia="Calibri" w:hAnsi="Arial" w:cs="Arial"/>
          <w:color w:val="000000" w:themeColor="text1"/>
          <w:sz w:val="22"/>
        </w:rPr>
        <w:t xml:space="preserve"> del D</w:t>
      </w:r>
      <w:r w:rsidRPr="00270497">
        <w:rPr>
          <w:rFonts w:ascii="Arial" w:eastAsia="Calibri" w:hAnsi="Arial" w:cs="Arial"/>
          <w:color w:val="000000" w:themeColor="text1"/>
          <w:sz w:val="22"/>
        </w:rPr>
        <w:t xml:space="preserve">ecreto 103 de 2015 establece la obligación que tienen las entidades de publicar </w:t>
      </w:r>
      <w:r w:rsidR="00DC29BB" w:rsidRPr="00270497">
        <w:rPr>
          <w:rFonts w:ascii="Arial" w:eastAsia="Calibri" w:hAnsi="Arial" w:cs="Arial"/>
          <w:color w:val="000000" w:themeColor="text1"/>
          <w:sz w:val="22"/>
        </w:rPr>
        <w:t xml:space="preserve">este documento </w:t>
      </w:r>
      <w:r w:rsidRPr="00270497">
        <w:rPr>
          <w:rFonts w:ascii="Arial" w:eastAsia="Calibri" w:hAnsi="Arial" w:cs="Arial"/>
          <w:color w:val="000000" w:themeColor="text1"/>
          <w:sz w:val="22"/>
        </w:rPr>
        <w:t>en el SECOP</w:t>
      </w:r>
      <w:r w:rsidR="00DC29BB" w:rsidRPr="00270497">
        <w:rPr>
          <w:rFonts w:ascii="Arial" w:hAnsi="Arial" w:cs="Arial"/>
          <w:color w:val="000000" w:themeColor="text1"/>
          <w:sz w:val="22"/>
          <w:szCs w:val="22"/>
        </w:rPr>
        <w:t xml:space="preserve">. </w:t>
      </w:r>
      <w:r w:rsidR="00DC29BB" w:rsidRPr="00270497">
        <w:rPr>
          <w:rFonts w:ascii="Arial" w:hAnsi="Arial" w:cs="Arial"/>
          <w:color w:val="000000" w:themeColor="text1"/>
          <w:sz w:val="22"/>
          <w:szCs w:val="22"/>
        </w:rPr>
        <w:lastRenderedPageBreak/>
        <w:t>Los otros documentos que deben publicar las empresas sociales del Estado, fueron relacionados en la respuesta anterior.</w:t>
      </w:r>
    </w:p>
    <w:p w14:paraId="41080449" w14:textId="204293A2" w:rsidR="00FA1CFD" w:rsidRPr="00270497" w:rsidRDefault="00FA1CFD" w:rsidP="00FA1CFD">
      <w:pPr>
        <w:pStyle w:val="Textonotapie"/>
        <w:spacing w:before="120" w:after="120" w:line="276" w:lineRule="auto"/>
        <w:ind w:firstLine="708"/>
        <w:jc w:val="both"/>
        <w:rPr>
          <w:rFonts w:ascii="Arial" w:hAnsi="Arial" w:cs="Arial"/>
          <w:color w:val="000000" w:themeColor="text1"/>
          <w:sz w:val="22"/>
          <w:szCs w:val="22"/>
        </w:rPr>
      </w:pPr>
      <w:r w:rsidRPr="00270497">
        <w:rPr>
          <w:rFonts w:ascii="Arial" w:hAnsi="Arial" w:cs="Arial"/>
          <w:color w:val="000000" w:themeColor="text1"/>
          <w:sz w:val="22"/>
          <w:szCs w:val="22"/>
        </w:rPr>
        <w:t>Este concepto tiene el alcance previsto en el artículo 28 del Código de Procedimiento Administrativo y de lo Contencioso Administrativo.</w:t>
      </w:r>
    </w:p>
    <w:p w14:paraId="0F8C901F" w14:textId="77777777" w:rsidR="00A37FB6" w:rsidRPr="00270497" w:rsidRDefault="00A37FB6" w:rsidP="00F13C05">
      <w:pPr>
        <w:spacing w:before="120" w:after="120" w:line="276" w:lineRule="auto"/>
        <w:jc w:val="both"/>
        <w:rPr>
          <w:rFonts w:ascii="Arial" w:eastAsia="Calibri" w:hAnsi="Arial" w:cs="Arial"/>
          <w:color w:val="000000" w:themeColor="text1"/>
          <w:sz w:val="22"/>
        </w:rPr>
      </w:pPr>
      <w:r w:rsidRPr="00270497">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F0DE76"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77777777" w:rsidR="00A37FB6" w:rsidRPr="00270497" w:rsidRDefault="00A37FB6" w:rsidP="00F13C05">
      <w:pPr>
        <w:spacing w:before="120" w:after="120" w:line="276" w:lineRule="auto"/>
        <w:rPr>
          <w:rFonts w:ascii="Arial" w:eastAsia="Times New Roman" w:hAnsi="Arial" w:cs="Arial"/>
          <w:color w:val="000000" w:themeColor="text1"/>
          <w:sz w:val="22"/>
          <w:lang w:eastAsia="es-CO"/>
        </w:rPr>
      </w:pPr>
      <w:r w:rsidRPr="00270497">
        <w:rPr>
          <w:rFonts w:ascii="Arial" w:eastAsia="Times New Roman" w:hAnsi="Arial" w:cs="Arial"/>
          <w:color w:val="000000" w:themeColor="text1"/>
          <w:sz w:val="22"/>
          <w:lang w:eastAsia="es-CO"/>
        </w:rPr>
        <w:t>Atentamente,</w:t>
      </w:r>
    </w:p>
    <w:p w14:paraId="57DD1EBD" w14:textId="5F729DEA" w:rsidR="00746E08" w:rsidRPr="00270497" w:rsidRDefault="00D23E86" w:rsidP="00F13C05">
      <w:pPr>
        <w:spacing w:before="120" w:after="120"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4B210993" wp14:editId="4D79380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70497" w:rsidRPr="00270497" w14:paraId="469202AF" w14:textId="77777777" w:rsidTr="00DC29BB">
        <w:trPr>
          <w:trHeight w:val="315"/>
        </w:trPr>
        <w:tc>
          <w:tcPr>
            <w:tcW w:w="812" w:type="dxa"/>
            <w:vAlign w:val="center"/>
            <w:hideMark/>
          </w:tcPr>
          <w:p w14:paraId="3F62A0B3" w14:textId="77777777" w:rsidR="00746E08" w:rsidRPr="00270497" w:rsidRDefault="00746E08" w:rsidP="00DC29BB">
            <w:pPr>
              <w:spacing w:before="120" w:after="120"/>
              <w:rPr>
                <w:rFonts w:ascii="Arial" w:eastAsia="Times New Roman" w:hAnsi="Arial" w:cs="Arial"/>
                <w:color w:val="000000" w:themeColor="text1"/>
                <w:sz w:val="16"/>
                <w:szCs w:val="16"/>
                <w:lang w:eastAsia="es-ES"/>
              </w:rPr>
            </w:pPr>
            <w:r w:rsidRPr="00270497">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4D8831D" w14:textId="4AED50D1" w:rsidR="00DC29BB" w:rsidRPr="00270497" w:rsidRDefault="00DC29BB" w:rsidP="00DC29BB">
            <w:pPr>
              <w:rPr>
                <w:rFonts w:ascii="Arial" w:eastAsia="Times New Roman" w:hAnsi="Arial" w:cs="Arial"/>
                <w:color w:val="000000" w:themeColor="text1"/>
                <w:sz w:val="16"/>
                <w:szCs w:val="16"/>
                <w:lang w:eastAsia="es-ES"/>
              </w:rPr>
            </w:pPr>
            <w:r w:rsidRPr="00270497">
              <w:rPr>
                <w:rFonts w:ascii="Arial" w:eastAsia="Times New Roman" w:hAnsi="Arial" w:cs="Arial"/>
                <w:color w:val="000000" w:themeColor="text1"/>
                <w:sz w:val="16"/>
                <w:szCs w:val="16"/>
                <w:lang w:eastAsia="es-ES"/>
              </w:rPr>
              <w:t xml:space="preserve">Carlos Mario </w:t>
            </w:r>
            <w:r w:rsidR="009A0ED8" w:rsidRPr="00270497">
              <w:rPr>
                <w:rFonts w:ascii="Arial" w:eastAsia="Times New Roman" w:hAnsi="Arial" w:cs="Arial"/>
                <w:color w:val="000000" w:themeColor="text1"/>
                <w:sz w:val="16"/>
                <w:szCs w:val="16"/>
                <w:lang w:eastAsia="es-ES"/>
              </w:rPr>
              <w:t>Castrillón</w:t>
            </w:r>
            <w:r w:rsidRPr="00270497">
              <w:rPr>
                <w:rFonts w:ascii="Arial" w:eastAsia="Times New Roman" w:hAnsi="Arial" w:cs="Arial"/>
                <w:color w:val="000000" w:themeColor="text1"/>
                <w:sz w:val="16"/>
                <w:szCs w:val="16"/>
                <w:lang w:eastAsia="es-ES"/>
              </w:rPr>
              <w:t xml:space="preserve"> Endo</w:t>
            </w:r>
          </w:p>
          <w:p w14:paraId="51C325E7" w14:textId="312AE207" w:rsidR="00746E08" w:rsidRPr="00270497" w:rsidRDefault="00DC29BB" w:rsidP="00DC29BB">
            <w:pPr>
              <w:rPr>
                <w:rFonts w:ascii="Arial" w:eastAsia="Times New Roman" w:hAnsi="Arial" w:cs="Arial"/>
                <w:color w:val="000000" w:themeColor="text1"/>
                <w:sz w:val="16"/>
                <w:szCs w:val="16"/>
                <w:lang w:eastAsia="es-ES"/>
              </w:rPr>
            </w:pPr>
            <w:r w:rsidRPr="00270497">
              <w:rPr>
                <w:rFonts w:ascii="Arial" w:eastAsia="Times New Roman" w:hAnsi="Arial" w:cs="Arial"/>
                <w:color w:val="000000" w:themeColor="text1"/>
                <w:sz w:val="16"/>
                <w:szCs w:val="16"/>
                <w:lang w:eastAsia="es-ES"/>
              </w:rPr>
              <w:t xml:space="preserve">Contratista </w:t>
            </w:r>
          </w:p>
        </w:tc>
      </w:tr>
      <w:tr w:rsidR="00270497" w:rsidRPr="00270497" w14:paraId="10BC78E8" w14:textId="77777777" w:rsidTr="00DC29BB">
        <w:trPr>
          <w:trHeight w:val="330"/>
        </w:trPr>
        <w:tc>
          <w:tcPr>
            <w:tcW w:w="812" w:type="dxa"/>
            <w:vAlign w:val="center"/>
            <w:hideMark/>
          </w:tcPr>
          <w:p w14:paraId="6A7DBF66" w14:textId="77777777" w:rsidR="00746E08" w:rsidRPr="00270497" w:rsidRDefault="00746E08" w:rsidP="00DC29BB">
            <w:pPr>
              <w:rPr>
                <w:rFonts w:ascii="Arial" w:eastAsia="Times New Roman" w:hAnsi="Arial" w:cs="Arial"/>
                <w:color w:val="000000" w:themeColor="text1"/>
                <w:sz w:val="16"/>
                <w:szCs w:val="16"/>
                <w:lang w:eastAsia="es-ES"/>
              </w:rPr>
            </w:pPr>
            <w:r w:rsidRPr="00270497">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0B97283E" w:rsidR="00746E08" w:rsidRPr="00270497" w:rsidRDefault="0070121F" w:rsidP="00DC29BB">
            <w:pPr>
              <w:rPr>
                <w:rFonts w:ascii="Arial" w:eastAsia="Times New Roman" w:hAnsi="Arial" w:cs="Arial"/>
                <w:color w:val="000000" w:themeColor="text1"/>
                <w:sz w:val="16"/>
                <w:szCs w:val="16"/>
                <w:lang w:eastAsia="es-ES"/>
              </w:rPr>
            </w:pPr>
            <w:r w:rsidRPr="00270497">
              <w:rPr>
                <w:rFonts w:ascii="Arial" w:eastAsia="Times New Roman" w:hAnsi="Arial" w:cs="Arial"/>
                <w:color w:val="000000" w:themeColor="text1"/>
                <w:sz w:val="16"/>
                <w:szCs w:val="16"/>
                <w:lang w:eastAsia="es-ES"/>
              </w:rPr>
              <w:t>Sebastián Ramírez Grisales</w:t>
            </w:r>
          </w:p>
          <w:p w14:paraId="19E8BD8D" w14:textId="0751CC81" w:rsidR="00746E08" w:rsidRPr="00270497" w:rsidRDefault="0070121F" w:rsidP="00DC29BB">
            <w:pPr>
              <w:rPr>
                <w:rFonts w:ascii="Arial" w:eastAsia="Times New Roman" w:hAnsi="Arial" w:cs="Arial"/>
                <w:color w:val="000000" w:themeColor="text1"/>
                <w:sz w:val="16"/>
                <w:szCs w:val="16"/>
                <w:lang w:eastAsia="es-ES"/>
              </w:rPr>
            </w:pPr>
            <w:r w:rsidRPr="00270497">
              <w:rPr>
                <w:rFonts w:ascii="Arial" w:eastAsia="Times New Roman" w:hAnsi="Arial" w:cs="Arial"/>
                <w:color w:val="000000" w:themeColor="text1"/>
                <w:sz w:val="16"/>
                <w:szCs w:val="16"/>
                <w:lang w:eastAsia="es-ES"/>
              </w:rPr>
              <w:t>Contratista</w:t>
            </w:r>
          </w:p>
        </w:tc>
      </w:tr>
      <w:tr w:rsidR="0070121F" w:rsidRPr="00270497" w14:paraId="50741B38" w14:textId="77777777" w:rsidTr="00DC29BB">
        <w:trPr>
          <w:trHeight w:val="300"/>
        </w:trPr>
        <w:tc>
          <w:tcPr>
            <w:tcW w:w="812" w:type="dxa"/>
            <w:vAlign w:val="center"/>
            <w:hideMark/>
          </w:tcPr>
          <w:p w14:paraId="297715FA" w14:textId="77777777" w:rsidR="0070121F" w:rsidRPr="00270497" w:rsidRDefault="0070121F" w:rsidP="0070121F">
            <w:pPr>
              <w:spacing w:before="120" w:after="120"/>
              <w:rPr>
                <w:rFonts w:ascii="Arial" w:eastAsia="Times New Roman" w:hAnsi="Arial" w:cs="Arial"/>
                <w:color w:val="000000" w:themeColor="text1"/>
                <w:sz w:val="16"/>
                <w:szCs w:val="16"/>
                <w:lang w:eastAsia="es-ES"/>
              </w:rPr>
            </w:pPr>
            <w:r w:rsidRPr="00270497">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C57CAB5" w14:textId="15C43706" w:rsidR="0070121F" w:rsidRPr="00270497" w:rsidRDefault="0072580D" w:rsidP="0070121F">
            <w:pPr>
              <w:rPr>
                <w:rFonts w:ascii="Arial" w:eastAsia="Times New Roman" w:hAnsi="Arial" w:cs="Arial"/>
                <w:color w:val="000000" w:themeColor="text1"/>
                <w:sz w:val="16"/>
                <w:szCs w:val="16"/>
                <w:lang w:eastAsia="es-ES"/>
              </w:rPr>
            </w:pPr>
            <w:r w:rsidRPr="00270497">
              <w:rPr>
                <w:rFonts w:ascii="Arial" w:eastAsia="Times New Roman" w:hAnsi="Arial" w:cs="Arial"/>
                <w:color w:val="000000" w:themeColor="text1"/>
                <w:sz w:val="16"/>
                <w:szCs w:val="16"/>
                <w:lang w:eastAsia="es-ES"/>
              </w:rPr>
              <w:t>Fabián Gonzalo Marín Cortés</w:t>
            </w:r>
          </w:p>
          <w:p w14:paraId="17847B1F" w14:textId="01245127" w:rsidR="0070121F" w:rsidRPr="00270497" w:rsidRDefault="0072580D" w:rsidP="0070121F">
            <w:pPr>
              <w:rPr>
                <w:rFonts w:ascii="Arial" w:eastAsia="Times New Roman" w:hAnsi="Arial" w:cs="Arial"/>
                <w:color w:val="000000" w:themeColor="text1"/>
                <w:sz w:val="16"/>
                <w:szCs w:val="16"/>
                <w:lang w:eastAsia="es-ES"/>
              </w:rPr>
            </w:pPr>
            <w:r w:rsidRPr="00270497">
              <w:rPr>
                <w:rFonts w:ascii="Arial" w:eastAsia="Times New Roman" w:hAnsi="Arial" w:cs="Arial"/>
                <w:color w:val="000000" w:themeColor="text1"/>
                <w:sz w:val="16"/>
                <w:szCs w:val="16"/>
                <w:lang w:eastAsia="es-ES"/>
              </w:rPr>
              <w:t xml:space="preserve">Subdirector de Gestión Contractual  </w:t>
            </w:r>
          </w:p>
        </w:tc>
      </w:tr>
    </w:tbl>
    <w:p w14:paraId="35B56F46" w14:textId="77777777" w:rsidR="00746E08" w:rsidRPr="00270497" w:rsidRDefault="00746E08" w:rsidP="00F13C05">
      <w:pPr>
        <w:spacing w:before="120" w:after="120" w:line="276" w:lineRule="auto"/>
        <w:rPr>
          <w:rFonts w:ascii="Arial" w:eastAsia="Times New Roman" w:hAnsi="Arial" w:cs="Arial"/>
          <w:color w:val="000000" w:themeColor="text1"/>
          <w:sz w:val="16"/>
          <w:szCs w:val="16"/>
          <w:lang w:eastAsia="es-ES"/>
        </w:rPr>
      </w:pPr>
    </w:p>
    <w:sectPr w:rsidR="00746E08" w:rsidRPr="0027049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F54C2" w14:textId="77777777" w:rsidR="009F62B0" w:rsidRDefault="009F62B0">
      <w:r>
        <w:separator/>
      </w:r>
    </w:p>
  </w:endnote>
  <w:endnote w:type="continuationSeparator" w:id="0">
    <w:p w14:paraId="29B464E6" w14:textId="77777777" w:rsidR="009F62B0" w:rsidRDefault="009F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53E5" w14:textId="77777777" w:rsidR="00270497" w:rsidRPr="0032286D" w:rsidRDefault="00270497" w:rsidP="00FE42ED">
    <w:pPr>
      <w:pStyle w:val="Piedepgina"/>
      <w:jc w:val="right"/>
      <w:rPr>
        <w:rFonts w:ascii="Arial" w:hAnsi="Arial" w:cs="Arial"/>
        <w:bCs/>
        <w:color w:val="7F7F7F" w:themeColor="text1" w:themeTint="80"/>
        <w:sz w:val="18"/>
        <w:szCs w:val="18"/>
      </w:rPr>
    </w:pPr>
  </w:p>
  <w:p w14:paraId="7A3785F3" w14:textId="11C2BF3D"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1720A8">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1720A8">
      <w:rPr>
        <w:rFonts w:ascii="Arial" w:hAnsi="Arial" w:cs="Arial"/>
        <w:b/>
        <w:bCs/>
        <w:noProof/>
        <w:color w:val="7F7F7F" w:themeColor="text1" w:themeTint="80"/>
        <w:sz w:val="16"/>
        <w:szCs w:val="16"/>
      </w:rPr>
      <w:t>15</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151C91">
    <w:pPr>
      <w:pStyle w:val="Piedepgina"/>
      <w:rPr>
        <w:lang w:val="es-ES"/>
      </w:rPr>
    </w:pPr>
  </w:p>
  <w:p w14:paraId="27FAAF34" w14:textId="77777777" w:rsidR="008220B1" w:rsidRDefault="008220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FB7B1" w14:textId="77777777" w:rsidR="009F62B0" w:rsidRDefault="009F62B0">
      <w:r>
        <w:separator/>
      </w:r>
    </w:p>
  </w:footnote>
  <w:footnote w:type="continuationSeparator" w:id="0">
    <w:p w14:paraId="319C106A" w14:textId="77777777" w:rsidR="009F62B0" w:rsidRDefault="009F62B0">
      <w:r>
        <w:continuationSeparator/>
      </w:r>
    </w:p>
  </w:footnote>
  <w:footnote w:id="1">
    <w:p w14:paraId="43CDBA4E"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Corte Constitucional. Sentencia C- 341 del 4 de junio de 2014. M. P. Mauricio González Cuervo.</w:t>
      </w:r>
    </w:p>
    <w:p w14:paraId="467127B7" w14:textId="77777777" w:rsidR="00240457" w:rsidRPr="00AC3AAF" w:rsidRDefault="00240457" w:rsidP="00240457">
      <w:pPr>
        <w:pStyle w:val="Textonotapie"/>
        <w:ind w:firstLine="708"/>
        <w:jc w:val="both"/>
        <w:rPr>
          <w:rFonts w:ascii="Arial" w:hAnsi="Arial" w:cs="Arial"/>
          <w:color w:val="000000" w:themeColor="text1"/>
          <w:sz w:val="19"/>
          <w:szCs w:val="19"/>
          <w:lang w:val="es-CO"/>
        </w:rPr>
      </w:pPr>
    </w:p>
  </w:footnote>
  <w:footnote w:id="2">
    <w:p w14:paraId="7E0D75BD"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56AC0D4"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Fonts w:ascii="Arial" w:hAnsi="Arial" w:cs="Arial"/>
          <w:color w:val="000000" w:themeColor="text1"/>
          <w:sz w:val="19"/>
          <w:szCs w:val="19"/>
        </w:rPr>
        <w:t>»Lo anterior, sin perjuicio de las publicaciones previstas en el numeral 3 del artículo 30 de la Ley 80 de 1993.</w:t>
      </w:r>
    </w:p>
    <w:p w14:paraId="4B7477E1"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4E27DE09"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Fonts w:ascii="Arial" w:hAnsi="Arial" w:cs="Arial"/>
          <w:color w:val="000000" w:themeColor="text1"/>
          <w:sz w:val="19"/>
          <w:szCs w:val="19"/>
        </w:rPr>
        <w:t>[…]</w:t>
      </w:r>
    </w:p>
    <w:p w14:paraId="6A7DDD4D"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799FD199" w14:textId="77777777" w:rsidR="00240457" w:rsidRPr="00AC3AAF" w:rsidRDefault="00240457" w:rsidP="00240457">
      <w:pPr>
        <w:pStyle w:val="Textonotapie"/>
        <w:ind w:firstLine="708"/>
        <w:jc w:val="both"/>
        <w:rPr>
          <w:rFonts w:ascii="Arial" w:hAnsi="Arial" w:cs="Arial"/>
          <w:color w:val="000000" w:themeColor="text1"/>
          <w:sz w:val="19"/>
          <w:szCs w:val="19"/>
        </w:rPr>
      </w:pPr>
    </w:p>
  </w:footnote>
  <w:footnote w:id="3">
    <w:p w14:paraId="0338D9BD"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705E494" w14:textId="77777777" w:rsidR="00240457" w:rsidRPr="00AC3AAF" w:rsidRDefault="00240457" w:rsidP="00240457">
      <w:pPr>
        <w:pStyle w:val="Textonotapie"/>
        <w:ind w:firstLine="708"/>
        <w:jc w:val="both"/>
        <w:rPr>
          <w:rFonts w:ascii="Arial" w:hAnsi="Arial" w:cs="Arial"/>
          <w:color w:val="000000" w:themeColor="text1"/>
          <w:sz w:val="19"/>
          <w:szCs w:val="19"/>
        </w:rPr>
      </w:pPr>
    </w:p>
  </w:footnote>
  <w:footnote w:id="4">
    <w:p w14:paraId="781ECF17"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50FBA795"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6158CD47" w14:textId="77777777" w:rsidR="00240457" w:rsidRPr="00AC3AAF" w:rsidRDefault="00240457" w:rsidP="00240457">
      <w:pPr>
        <w:pStyle w:val="Textonotapie"/>
        <w:jc w:val="both"/>
        <w:rPr>
          <w:rFonts w:ascii="Arial" w:hAnsi="Arial" w:cs="Arial"/>
          <w:color w:val="000000" w:themeColor="text1"/>
          <w:sz w:val="19"/>
          <w:szCs w:val="19"/>
          <w:lang w:val="es-CO"/>
        </w:rPr>
      </w:pPr>
    </w:p>
  </w:footnote>
  <w:footnote w:id="5">
    <w:p w14:paraId="26C807F1" w14:textId="77777777" w:rsidR="00240457" w:rsidRPr="00AC3AAF" w:rsidRDefault="00240457" w:rsidP="00240457">
      <w:pPr>
        <w:pStyle w:val="Textonotapie"/>
        <w:ind w:firstLine="709"/>
        <w:jc w:val="both"/>
        <w:rPr>
          <w:rFonts w:ascii="Arial" w:hAnsi="Arial" w:cs="Arial"/>
          <w:color w:val="000000" w:themeColor="text1"/>
          <w:sz w:val="19"/>
          <w:szCs w:val="19"/>
        </w:rPr>
      </w:pPr>
      <w:r w:rsidRPr="00AC3AAF">
        <w:rPr>
          <w:rFonts w:ascii="Arial" w:eastAsia="Times New Roman" w:hAnsi="Arial" w:cs="Arial"/>
          <w:color w:val="000000" w:themeColor="text1"/>
          <w:sz w:val="19"/>
          <w:szCs w:val="19"/>
          <w:vertAlign w:val="superscript"/>
          <w:lang w:val="es-ES" w:eastAsia="es-ES"/>
        </w:rPr>
        <w:footnoteRef/>
      </w:r>
      <w:r w:rsidRPr="00AC3AAF">
        <w:rPr>
          <w:rFonts w:ascii="Arial" w:eastAsia="Times New Roman" w:hAnsi="Arial" w:cs="Arial"/>
          <w:color w:val="000000" w:themeColor="text1"/>
          <w:sz w:val="19"/>
          <w:szCs w:val="19"/>
          <w:vertAlign w:val="superscript"/>
          <w:lang w:val="es-ES" w:eastAsia="es-ES"/>
        </w:rPr>
        <w:t xml:space="preserve"> </w:t>
      </w:r>
      <w:r w:rsidRPr="00AC3AAF">
        <w:rPr>
          <w:rFonts w:ascii="Arial" w:eastAsia="Times New Roman" w:hAnsi="Arial" w:cs="Arial"/>
          <w:color w:val="000000" w:themeColor="text1"/>
          <w:sz w:val="19"/>
          <w:szCs w:val="19"/>
          <w:lang w:val="es-ES" w:eastAsia="es-ES"/>
        </w:rPr>
        <w:t>«</w:t>
      </w:r>
      <w:r w:rsidRPr="00AC3AAF">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2E578A6" w14:textId="77777777" w:rsidR="00240457" w:rsidRPr="00AC3AAF" w:rsidRDefault="00240457" w:rsidP="00240457">
      <w:pPr>
        <w:pStyle w:val="Textonotapie"/>
        <w:ind w:firstLine="709"/>
        <w:jc w:val="both"/>
        <w:rPr>
          <w:rFonts w:ascii="Arial" w:hAnsi="Arial" w:cs="Arial"/>
          <w:color w:val="000000" w:themeColor="text1"/>
          <w:sz w:val="19"/>
          <w:szCs w:val="19"/>
        </w:rPr>
      </w:pPr>
      <w:r w:rsidRPr="00AC3AAF">
        <w:rPr>
          <w:rFonts w:ascii="Arial" w:hAnsi="Arial" w:cs="Arial"/>
          <w:color w:val="000000" w:themeColor="text1"/>
          <w:sz w:val="19"/>
          <w:szCs w:val="19"/>
        </w:rPr>
        <w:t>[…]</w:t>
      </w:r>
    </w:p>
    <w:p w14:paraId="185258D1" w14:textId="77777777" w:rsidR="00240457" w:rsidRPr="00AC3AAF" w:rsidRDefault="00240457" w:rsidP="00240457">
      <w:pPr>
        <w:pStyle w:val="Textonotapie"/>
        <w:ind w:firstLine="709"/>
        <w:jc w:val="both"/>
        <w:rPr>
          <w:rFonts w:ascii="Arial" w:hAnsi="Arial" w:cs="Arial"/>
          <w:color w:val="000000" w:themeColor="text1"/>
          <w:sz w:val="19"/>
          <w:szCs w:val="19"/>
        </w:rPr>
      </w:pPr>
    </w:p>
    <w:p w14:paraId="2A25FB9B" w14:textId="77777777" w:rsidR="00240457" w:rsidRPr="00AC3AAF" w:rsidRDefault="00240457" w:rsidP="00240457">
      <w:pPr>
        <w:pStyle w:val="Textonotapie"/>
        <w:ind w:firstLine="709"/>
        <w:jc w:val="both"/>
        <w:rPr>
          <w:rFonts w:ascii="Arial" w:eastAsia="Times New Roman" w:hAnsi="Arial" w:cs="Arial"/>
          <w:color w:val="000000" w:themeColor="text1"/>
          <w:sz w:val="19"/>
          <w:szCs w:val="19"/>
          <w:lang w:val="es-ES" w:eastAsia="es-ES"/>
        </w:rPr>
      </w:pPr>
      <w:r w:rsidRPr="00AC3AAF">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0E322D32" w14:textId="77777777" w:rsidR="00240457" w:rsidRPr="00AC3AAF" w:rsidRDefault="00240457" w:rsidP="00240457">
      <w:pPr>
        <w:pStyle w:val="Textonotapie"/>
        <w:ind w:firstLine="709"/>
        <w:jc w:val="both"/>
        <w:rPr>
          <w:rFonts w:ascii="Arial" w:eastAsia="Times New Roman" w:hAnsi="Arial" w:cs="Arial"/>
          <w:color w:val="000000" w:themeColor="text1"/>
          <w:sz w:val="19"/>
          <w:szCs w:val="19"/>
          <w:lang w:val="es-ES" w:eastAsia="es-ES"/>
        </w:rPr>
      </w:pPr>
    </w:p>
  </w:footnote>
  <w:footnote w:id="6">
    <w:p w14:paraId="35FCA05F" w14:textId="77777777" w:rsidR="00240457" w:rsidRPr="00AC3AAF" w:rsidRDefault="00240457" w:rsidP="00240457">
      <w:pPr>
        <w:pStyle w:val="Textonotapie"/>
        <w:ind w:firstLine="708"/>
        <w:jc w:val="both"/>
        <w:rPr>
          <w:rFonts w:ascii="Arial" w:eastAsia="Times New Roman" w:hAnsi="Arial" w:cs="Arial"/>
          <w:color w:val="000000" w:themeColor="text1"/>
          <w:sz w:val="19"/>
          <w:szCs w:val="19"/>
          <w:lang w:val="es-ES" w:eastAsia="es-ES"/>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C</w:t>
      </w:r>
      <w:r w:rsidRPr="00AC3AAF">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37A121BF" w14:textId="77777777" w:rsidR="00240457" w:rsidRPr="00AC3AAF" w:rsidRDefault="00240457" w:rsidP="00240457">
      <w:pPr>
        <w:pStyle w:val="Textonotapie"/>
        <w:ind w:firstLine="708"/>
        <w:jc w:val="both"/>
        <w:rPr>
          <w:rFonts w:ascii="Arial" w:eastAsia="Times New Roman" w:hAnsi="Arial" w:cs="Arial"/>
          <w:color w:val="000000" w:themeColor="text1"/>
          <w:sz w:val="19"/>
          <w:szCs w:val="19"/>
          <w:lang w:val="es-ES" w:eastAsia="es-ES"/>
        </w:rPr>
      </w:pPr>
    </w:p>
  </w:footnote>
  <w:footnote w:id="7">
    <w:p w14:paraId="3B986FEF" w14:textId="77777777" w:rsidR="00240457" w:rsidRPr="00AC3AAF" w:rsidRDefault="00240457" w:rsidP="00240457">
      <w:pPr>
        <w:pStyle w:val="Textonotapie"/>
        <w:ind w:firstLine="708"/>
        <w:jc w:val="both"/>
        <w:rPr>
          <w:rFonts w:ascii="Arial" w:hAnsi="Arial" w:cs="Arial"/>
          <w:color w:val="000000" w:themeColor="text1"/>
          <w:sz w:val="19"/>
          <w:szCs w:val="19"/>
          <w:lang w:val="es-CO"/>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8">
    <w:p w14:paraId="620AEB9B"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Consejo de Estado. Sección Tercera. Auto del 14 de agosto de 2017.  Exp: 58.820. C.P. Jaime Orlando Santofimio Gamboa. </w:t>
      </w:r>
    </w:p>
    <w:p w14:paraId="57FD7399" w14:textId="77777777" w:rsidR="00240457" w:rsidRPr="00AC3AAF" w:rsidRDefault="00240457" w:rsidP="00240457">
      <w:pPr>
        <w:pStyle w:val="Textonotapie"/>
        <w:ind w:firstLine="708"/>
        <w:jc w:val="both"/>
        <w:rPr>
          <w:rFonts w:ascii="Arial" w:hAnsi="Arial" w:cs="Arial"/>
          <w:color w:val="000000" w:themeColor="text1"/>
          <w:sz w:val="19"/>
          <w:szCs w:val="19"/>
          <w:lang w:val="es-CO"/>
        </w:rPr>
      </w:pPr>
    </w:p>
  </w:footnote>
  <w:footnote w:id="9">
    <w:p w14:paraId="314889B4" w14:textId="77777777" w:rsidR="00240457" w:rsidRPr="00AC3AAF" w:rsidRDefault="00240457" w:rsidP="00240457">
      <w:pPr>
        <w:pStyle w:val="Prrafodelista"/>
        <w:ind w:left="0" w:firstLine="708"/>
        <w:contextualSpacing w:val="0"/>
        <w:jc w:val="both"/>
        <w:rPr>
          <w:rFonts w:ascii="Arial" w:hAnsi="Arial" w:cs="Arial"/>
          <w:bCs/>
          <w:color w:val="000000" w:themeColor="text1"/>
          <w:sz w:val="19"/>
          <w:szCs w:val="19"/>
          <w:lang w:val="es-ES"/>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w:t>
      </w:r>
      <w:r w:rsidRPr="00AC3AAF">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46D77F0E" w14:textId="77777777" w:rsidR="00240457" w:rsidRPr="00AC3AAF" w:rsidRDefault="00240457" w:rsidP="00240457">
      <w:pPr>
        <w:pStyle w:val="Textonotapie"/>
        <w:ind w:firstLine="708"/>
        <w:jc w:val="both"/>
        <w:rPr>
          <w:rFonts w:ascii="Arial" w:hAnsi="Arial" w:cs="Arial"/>
          <w:color w:val="000000" w:themeColor="text1"/>
          <w:sz w:val="19"/>
          <w:szCs w:val="19"/>
          <w:lang w:val="es-ES"/>
        </w:rPr>
      </w:pPr>
    </w:p>
  </w:footnote>
  <w:footnote w:id="10">
    <w:p w14:paraId="54320C8F"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1F18A6F0" w14:textId="77777777" w:rsidR="00240457" w:rsidRPr="00AC3AAF" w:rsidRDefault="00240457" w:rsidP="00240457">
      <w:pPr>
        <w:pStyle w:val="Textonotapie"/>
        <w:ind w:firstLine="708"/>
        <w:jc w:val="both"/>
        <w:rPr>
          <w:rFonts w:ascii="Arial" w:eastAsia="Times New Roman" w:hAnsi="Arial" w:cs="Arial"/>
          <w:color w:val="000000" w:themeColor="text1"/>
          <w:sz w:val="19"/>
          <w:szCs w:val="19"/>
          <w:lang w:val="es-ES" w:eastAsia="es-ES"/>
        </w:rPr>
      </w:pPr>
      <w:r w:rsidRPr="00AC3AAF">
        <w:rPr>
          <w:rFonts w:ascii="Arial" w:hAnsi="Arial" w:cs="Arial"/>
          <w:color w:val="000000" w:themeColor="text1"/>
          <w:sz w:val="19"/>
          <w:szCs w:val="19"/>
          <w:lang w:val="es-ES"/>
        </w:rPr>
        <w:t>»</w:t>
      </w:r>
      <w:r w:rsidRPr="00AC3AAF">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1">
    <w:p w14:paraId="0FC908A0"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2E5CA7E2" w14:textId="77777777" w:rsidR="00240457" w:rsidRPr="00AC3AAF" w:rsidRDefault="00240457" w:rsidP="00240457">
      <w:pPr>
        <w:pStyle w:val="Textonotapie"/>
        <w:ind w:firstLine="708"/>
        <w:jc w:val="both"/>
        <w:rPr>
          <w:rFonts w:ascii="Arial" w:hAnsi="Arial" w:cs="Arial"/>
          <w:color w:val="000000" w:themeColor="text1"/>
          <w:sz w:val="19"/>
          <w:szCs w:val="19"/>
        </w:rPr>
      </w:pPr>
    </w:p>
  </w:footnote>
  <w:footnote w:id="12">
    <w:p w14:paraId="33A16710"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51FBA21C" w14:textId="77777777" w:rsidR="00240457" w:rsidRPr="00AC3AAF" w:rsidRDefault="00240457" w:rsidP="00240457">
      <w:pPr>
        <w:pStyle w:val="Textonotapie"/>
        <w:ind w:firstLine="708"/>
        <w:jc w:val="both"/>
        <w:rPr>
          <w:rFonts w:ascii="Arial" w:hAnsi="Arial" w:cs="Arial"/>
          <w:color w:val="000000" w:themeColor="text1"/>
          <w:sz w:val="19"/>
          <w:szCs w:val="19"/>
        </w:rPr>
      </w:pPr>
    </w:p>
  </w:footnote>
  <w:footnote w:id="13">
    <w:p w14:paraId="3D86E915"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7BA8AD75"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Fonts w:ascii="Arial" w:hAnsi="Arial" w:cs="Arial"/>
          <w:color w:val="000000" w:themeColor="text1"/>
          <w:sz w:val="19"/>
          <w:szCs w:val="19"/>
          <w:lang w:val="es-ES"/>
        </w:rPr>
        <w:t>»</w:t>
      </w:r>
      <w:r w:rsidRPr="00AC3AAF">
        <w:rPr>
          <w:rFonts w:ascii="Arial" w:hAnsi="Arial" w:cs="Arial"/>
          <w:color w:val="000000" w:themeColor="text1"/>
          <w:sz w:val="19"/>
          <w:szCs w:val="19"/>
        </w:rPr>
        <w:t>Los sujetos obligados que no contratan con cargo a recursos públicos no están obligados a publicar su Plan Anual de Adquisiciones.</w:t>
      </w:r>
    </w:p>
    <w:p w14:paraId="111351C0"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Fonts w:ascii="Arial" w:hAnsi="Arial" w:cs="Arial"/>
          <w:color w:val="000000" w:themeColor="text1"/>
          <w:sz w:val="19"/>
          <w:szCs w:val="19"/>
          <w:lang w:val="es-ES"/>
        </w:rPr>
        <w:t>»</w:t>
      </w:r>
      <w:r w:rsidRPr="00AC3AAF">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2D33EA20"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Fonts w:ascii="Arial" w:hAnsi="Arial" w:cs="Arial"/>
          <w:color w:val="000000" w:themeColor="text1"/>
          <w:sz w:val="19"/>
          <w:szCs w:val="19"/>
          <w:lang w:val="es-ES"/>
        </w:rPr>
        <w:t>»</w:t>
      </w:r>
      <w:r w:rsidRPr="00AC3AAF">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4">
    <w:p w14:paraId="3BA98A05"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7220A4BA"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Fonts w:ascii="Arial" w:eastAsia="Calibri" w:hAnsi="Arial" w:cs="Arial"/>
          <w:color w:val="000000" w:themeColor="text1"/>
          <w:sz w:val="19"/>
          <w:szCs w:val="19"/>
        </w:rPr>
        <w:t>»</w:t>
      </w:r>
      <w:r w:rsidRPr="00AC3AAF">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695C5546" w14:textId="77777777" w:rsidR="00240457" w:rsidRPr="00AC3AAF" w:rsidRDefault="00240457" w:rsidP="00240457">
      <w:pPr>
        <w:pStyle w:val="Textonotapie"/>
        <w:ind w:firstLine="708"/>
        <w:jc w:val="both"/>
        <w:rPr>
          <w:rFonts w:ascii="Arial" w:hAnsi="Arial" w:cs="Arial"/>
          <w:color w:val="000000" w:themeColor="text1"/>
          <w:sz w:val="19"/>
          <w:szCs w:val="19"/>
          <w:lang w:val="es-CO"/>
        </w:rPr>
      </w:pPr>
    </w:p>
  </w:footnote>
  <w:footnote w:id="15">
    <w:p w14:paraId="1640593D" w14:textId="77777777" w:rsidR="00240457" w:rsidRPr="00AC3AAF" w:rsidRDefault="00240457" w:rsidP="00240457">
      <w:pPr>
        <w:pStyle w:val="Textonotapie"/>
        <w:ind w:firstLine="709"/>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3DAC47D6" w14:textId="77777777" w:rsidR="00240457" w:rsidRPr="00AC3AAF" w:rsidRDefault="00240457" w:rsidP="00240457">
      <w:pPr>
        <w:pStyle w:val="Textonotapie"/>
        <w:ind w:firstLine="709"/>
        <w:jc w:val="both"/>
        <w:rPr>
          <w:rFonts w:ascii="Arial" w:hAnsi="Arial" w:cs="Arial"/>
          <w:color w:val="000000" w:themeColor="text1"/>
          <w:sz w:val="19"/>
          <w:szCs w:val="19"/>
        </w:rPr>
      </w:pPr>
      <w:r w:rsidRPr="00AC3AAF">
        <w:rPr>
          <w:rFonts w:ascii="Arial" w:eastAsia="Calibri" w:hAnsi="Arial" w:cs="Arial"/>
          <w:color w:val="000000" w:themeColor="text1"/>
          <w:sz w:val="19"/>
          <w:szCs w:val="19"/>
        </w:rPr>
        <w:t>»</w:t>
      </w:r>
      <w:r w:rsidRPr="00AC3AAF">
        <w:rPr>
          <w:rFonts w:ascii="Arial" w:hAnsi="Arial" w:cs="Arial"/>
          <w:color w:val="000000" w:themeColor="text1"/>
          <w:sz w:val="19"/>
          <w:szCs w:val="19"/>
        </w:rPr>
        <w:t>La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AC3AAF">
        <w:rPr>
          <w:rFonts w:ascii="Arial" w:eastAsia="Calibri" w:hAnsi="Arial" w:cs="Arial"/>
          <w:color w:val="000000" w:themeColor="text1"/>
          <w:sz w:val="19"/>
          <w:szCs w:val="19"/>
        </w:rPr>
        <w:t>»</w:t>
      </w:r>
      <w:r w:rsidRPr="00AC3AAF">
        <w:rPr>
          <w:rFonts w:ascii="Arial" w:hAnsi="Arial" w:cs="Arial"/>
          <w:color w:val="000000" w:themeColor="text1"/>
          <w:sz w:val="19"/>
          <w:szCs w:val="19"/>
        </w:rPr>
        <w:t xml:space="preserve">. </w:t>
      </w:r>
    </w:p>
    <w:p w14:paraId="154CABF2"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Fonts w:ascii="Arial" w:eastAsia="Calibri" w:hAnsi="Arial" w:cs="Arial"/>
          <w:color w:val="000000" w:themeColor="text1"/>
          <w:sz w:val="19"/>
          <w:szCs w:val="19"/>
        </w:rPr>
        <w:t>»</w:t>
      </w:r>
      <w:r w:rsidRPr="00AC3AAF">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396D162A" w14:textId="77777777" w:rsidR="00240457" w:rsidRPr="00AC3AAF" w:rsidRDefault="00240457" w:rsidP="00240457">
      <w:pPr>
        <w:pStyle w:val="Textonotapie"/>
        <w:ind w:firstLine="708"/>
        <w:jc w:val="both"/>
        <w:rPr>
          <w:rFonts w:ascii="Arial" w:hAnsi="Arial" w:cs="Arial"/>
          <w:color w:val="000000" w:themeColor="text1"/>
          <w:sz w:val="19"/>
          <w:szCs w:val="19"/>
          <w:lang w:val="es-CO"/>
        </w:rPr>
      </w:pPr>
    </w:p>
  </w:footnote>
  <w:footnote w:id="16">
    <w:p w14:paraId="28F82C64"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Corte Constitucional. Sentencia C- 083 del 1 de marzo de 1995. M.P. Carlos Gaviria Díaz.</w:t>
      </w:r>
    </w:p>
    <w:p w14:paraId="53CBB7B7" w14:textId="77777777" w:rsidR="00240457" w:rsidRPr="00AC3AAF" w:rsidRDefault="00240457" w:rsidP="00240457">
      <w:pPr>
        <w:pStyle w:val="Textonotapie"/>
        <w:ind w:firstLine="708"/>
        <w:jc w:val="both"/>
        <w:rPr>
          <w:rFonts w:ascii="Arial" w:hAnsi="Arial" w:cs="Arial"/>
          <w:color w:val="000000" w:themeColor="text1"/>
          <w:sz w:val="19"/>
          <w:szCs w:val="19"/>
          <w:lang w:val="es-CO"/>
        </w:rPr>
      </w:pPr>
    </w:p>
  </w:footnote>
  <w:footnote w:id="17">
    <w:p w14:paraId="4953DAF2"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Style w:val="Refdenotaalpie"/>
          <w:rFonts w:ascii="Arial" w:hAnsi="Arial" w:cs="Arial"/>
          <w:color w:val="000000" w:themeColor="text1"/>
          <w:sz w:val="19"/>
          <w:szCs w:val="19"/>
        </w:rPr>
        <w:footnoteRef/>
      </w:r>
      <w:r w:rsidRPr="00AC3AAF">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31034C3C" w14:textId="77777777" w:rsidR="00240457" w:rsidRPr="00AC3AAF" w:rsidRDefault="00240457" w:rsidP="00240457">
      <w:pPr>
        <w:pStyle w:val="Textonotapie"/>
        <w:ind w:firstLine="708"/>
        <w:jc w:val="both"/>
        <w:rPr>
          <w:rFonts w:ascii="Arial" w:hAnsi="Arial" w:cs="Arial"/>
          <w:color w:val="000000" w:themeColor="text1"/>
          <w:sz w:val="19"/>
          <w:szCs w:val="19"/>
        </w:rPr>
      </w:pPr>
      <w:r w:rsidRPr="00AC3AAF">
        <w:rPr>
          <w:rFonts w:ascii="Arial" w:eastAsia="Calibri" w:hAnsi="Arial" w:cs="Arial"/>
          <w:color w:val="000000" w:themeColor="text1"/>
          <w:sz w:val="19"/>
          <w:szCs w:val="19"/>
        </w:rPr>
        <w:t>»</w:t>
      </w:r>
      <w:r w:rsidRPr="00AC3AAF">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669056DD" w14:textId="77777777" w:rsidR="00240457" w:rsidRPr="00AC3AAF" w:rsidRDefault="00240457" w:rsidP="00240457">
      <w:pPr>
        <w:pStyle w:val="Textonotapie"/>
        <w:ind w:firstLine="708"/>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EA2793A"/>
    <w:lvl w:ilvl="0">
      <w:start w:val="1"/>
      <w:numFmt w:val="decimal"/>
      <w:lvlText w:val="%1."/>
      <w:lvlJc w:val="left"/>
      <w:pPr>
        <w:ind w:left="360" w:hanging="360"/>
      </w:pPr>
      <w:rPr>
        <w:b/>
        <w:color w:val="000000" w:themeColor="text1"/>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253B9"/>
    <w:rsid w:val="00047789"/>
    <w:rsid w:val="00084B97"/>
    <w:rsid w:val="000942EB"/>
    <w:rsid w:val="000B103F"/>
    <w:rsid w:val="000F0FA7"/>
    <w:rsid w:val="000F14E8"/>
    <w:rsid w:val="00103915"/>
    <w:rsid w:val="00122B23"/>
    <w:rsid w:val="00137404"/>
    <w:rsid w:val="00137FFA"/>
    <w:rsid w:val="00151C91"/>
    <w:rsid w:val="001720A8"/>
    <w:rsid w:val="00196556"/>
    <w:rsid w:val="001B0444"/>
    <w:rsid w:val="001D3F5A"/>
    <w:rsid w:val="0020632A"/>
    <w:rsid w:val="002110EB"/>
    <w:rsid w:val="00211338"/>
    <w:rsid w:val="00234B84"/>
    <w:rsid w:val="002370A2"/>
    <w:rsid w:val="00237E2B"/>
    <w:rsid w:val="00240457"/>
    <w:rsid w:val="00270497"/>
    <w:rsid w:val="002752CC"/>
    <w:rsid w:val="002C4C0C"/>
    <w:rsid w:val="003033BA"/>
    <w:rsid w:val="00317C63"/>
    <w:rsid w:val="0032286D"/>
    <w:rsid w:val="00322937"/>
    <w:rsid w:val="0034177C"/>
    <w:rsid w:val="00342241"/>
    <w:rsid w:val="0034680A"/>
    <w:rsid w:val="00353DD5"/>
    <w:rsid w:val="00362C5C"/>
    <w:rsid w:val="00386456"/>
    <w:rsid w:val="003A0878"/>
    <w:rsid w:val="003A581E"/>
    <w:rsid w:val="003C1DF0"/>
    <w:rsid w:val="003F65A2"/>
    <w:rsid w:val="00423F9F"/>
    <w:rsid w:val="004349D0"/>
    <w:rsid w:val="004374A4"/>
    <w:rsid w:val="004422D6"/>
    <w:rsid w:val="00453F3C"/>
    <w:rsid w:val="0049241A"/>
    <w:rsid w:val="004A34D2"/>
    <w:rsid w:val="004D1DEE"/>
    <w:rsid w:val="004E3D78"/>
    <w:rsid w:val="0051074C"/>
    <w:rsid w:val="00513AF2"/>
    <w:rsid w:val="0051744B"/>
    <w:rsid w:val="005219F7"/>
    <w:rsid w:val="0054413A"/>
    <w:rsid w:val="005564CA"/>
    <w:rsid w:val="00560E61"/>
    <w:rsid w:val="0056182B"/>
    <w:rsid w:val="005756AA"/>
    <w:rsid w:val="0057786E"/>
    <w:rsid w:val="00586EA4"/>
    <w:rsid w:val="005A18B6"/>
    <w:rsid w:val="005D51FA"/>
    <w:rsid w:val="005D791B"/>
    <w:rsid w:val="005F71A8"/>
    <w:rsid w:val="0061063A"/>
    <w:rsid w:val="00614817"/>
    <w:rsid w:val="00633DBF"/>
    <w:rsid w:val="006421E7"/>
    <w:rsid w:val="00643441"/>
    <w:rsid w:val="00655371"/>
    <w:rsid w:val="00664A41"/>
    <w:rsid w:val="0068156A"/>
    <w:rsid w:val="00697665"/>
    <w:rsid w:val="006A6BEB"/>
    <w:rsid w:val="006A7CB5"/>
    <w:rsid w:val="006A7FD0"/>
    <w:rsid w:val="006C37EE"/>
    <w:rsid w:val="006D7687"/>
    <w:rsid w:val="006E0572"/>
    <w:rsid w:val="0070121F"/>
    <w:rsid w:val="00705631"/>
    <w:rsid w:val="00715EAA"/>
    <w:rsid w:val="0072580D"/>
    <w:rsid w:val="00742DD2"/>
    <w:rsid w:val="00746E08"/>
    <w:rsid w:val="00747C96"/>
    <w:rsid w:val="0075094E"/>
    <w:rsid w:val="007522E8"/>
    <w:rsid w:val="0075647A"/>
    <w:rsid w:val="007634AD"/>
    <w:rsid w:val="007762F3"/>
    <w:rsid w:val="0078122E"/>
    <w:rsid w:val="00795349"/>
    <w:rsid w:val="00795647"/>
    <w:rsid w:val="007B0854"/>
    <w:rsid w:val="007B09CE"/>
    <w:rsid w:val="007F6B46"/>
    <w:rsid w:val="007F72CB"/>
    <w:rsid w:val="008217B7"/>
    <w:rsid w:val="008220B1"/>
    <w:rsid w:val="0083119B"/>
    <w:rsid w:val="00836EAB"/>
    <w:rsid w:val="0085092D"/>
    <w:rsid w:val="00850F79"/>
    <w:rsid w:val="00857732"/>
    <w:rsid w:val="0089774F"/>
    <w:rsid w:val="008E1C15"/>
    <w:rsid w:val="008F1729"/>
    <w:rsid w:val="008F538E"/>
    <w:rsid w:val="00904571"/>
    <w:rsid w:val="009047C5"/>
    <w:rsid w:val="00905F30"/>
    <w:rsid w:val="00927D06"/>
    <w:rsid w:val="0095385A"/>
    <w:rsid w:val="009A0ED8"/>
    <w:rsid w:val="009C183C"/>
    <w:rsid w:val="009D32B1"/>
    <w:rsid w:val="009F59C2"/>
    <w:rsid w:val="009F62B0"/>
    <w:rsid w:val="00A14DA0"/>
    <w:rsid w:val="00A24560"/>
    <w:rsid w:val="00A34538"/>
    <w:rsid w:val="00A37FB6"/>
    <w:rsid w:val="00A73E9D"/>
    <w:rsid w:val="00A86509"/>
    <w:rsid w:val="00A93C98"/>
    <w:rsid w:val="00AA08E7"/>
    <w:rsid w:val="00AA442B"/>
    <w:rsid w:val="00AA669D"/>
    <w:rsid w:val="00AC3AAF"/>
    <w:rsid w:val="00B12EA5"/>
    <w:rsid w:val="00B13EC0"/>
    <w:rsid w:val="00B221E4"/>
    <w:rsid w:val="00B22E22"/>
    <w:rsid w:val="00B4486C"/>
    <w:rsid w:val="00B525CB"/>
    <w:rsid w:val="00B63872"/>
    <w:rsid w:val="00B63CB2"/>
    <w:rsid w:val="00B64EDB"/>
    <w:rsid w:val="00B7315F"/>
    <w:rsid w:val="00B91B8E"/>
    <w:rsid w:val="00BC5712"/>
    <w:rsid w:val="00BD78FE"/>
    <w:rsid w:val="00C26CD3"/>
    <w:rsid w:val="00C700B7"/>
    <w:rsid w:val="00CC00CD"/>
    <w:rsid w:val="00D01760"/>
    <w:rsid w:val="00D16E39"/>
    <w:rsid w:val="00D223B6"/>
    <w:rsid w:val="00D23E86"/>
    <w:rsid w:val="00D42685"/>
    <w:rsid w:val="00D60327"/>
    <w:rsid w:val="00D72E9D"/>
    <w:rsid w:val="00D82CE5"/>
    <w:rsid w:val="00DA5AB1"/>
    <w:rsid w:val="00DC29BB"/>
    <w:rsid w:val="00DC62E5"/>
    <w:rsid w:val="00DD735D"/>
    <w:rsid w:val="00DE3119"/>
    <w:rsid w:val="00DF236B"/>
    <w:rsid w:val="00E13AB8"/>
    <w:rsid w:val="00E25CB3"/>
    <w:rsid w:val="00E3335D"/>
    <w:rsid w:val="00E33B62"/>
    <w:rsid w:val="00E4143A"/>
    <w:rsid w:val="00E53DA1"/>
    <w:rsid w:val="00EC4CBF"/>
    <w:rsid w:val="00EE59B5"/>
    <w:rsid w:val="00F13C05"/>
    <w:rsid w:val="00F203CC"/>
    <w:rsid w:val="00F32110"/>
    <w:rsid w:val="00F84899"/>
    <w:rsid w:val="00F859F0"/>
    <w:rsid w:val="00FA1CFD"/>
    <w:rsid w:val="00FD49BF"/>
    <w:rsid w:val="00FD6727"/>
    <w:rsid w:val="00FE141E"/>
    <w:rsid w:val="00FE42ED"/>
    <w:rsid w:val="00FE4EAF"/>
    <w:rsid w:val="00FE5C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BAC9DA39-EAE9-485B-A43F-871BF06E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137404"/>
    <w:rPr>
      <w:rFonts w:ascii="Times New Roman" w:eastAsia="Times New Roman" w:hAnsi="Times New Roman" w:cs="Times New Roman"/>
      <w:sz w:val="24"/>
      <w:szCs w:val="24"/>
      <w:lang w:eastAsia="es-CO"/>
    </w:rPr>
  </w:style>
  <w:style w:type="paragraph" w:customStyle="1" w:styleId="Default">
    <w:name w:val="Default"/>
    <w:rsid w:val="00AC3A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AA15FB0-E5C2-450D-8EFF-A9189086C4A8}">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1AAEB29-2184-4C8B-8D10-A056A169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ADC231-8104-4B1F-BB41-3DA1DC7D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15</Pages>
  <Words>4670</Words>
  <Characters>26623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2020-08-10T09:03:00Z</dcterms:created>
  <dcterms:modified xsi:type="dcterms:W3CDTF">2020-08-10T09:03:00Z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