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A97A" w14:textId="2C31EF75" w:rsidR="004C690D" w:rsidRPr="007408D3" w:rsidRDefault="004C690D" w:rsidP="004C690D">
      <w:pPr>
        <w:jc w:val="right"/>
        <w:rPr>
          <w:rFonts w:ascii="Arial" w:hAnsi="Arial" w:cs="Arial"/>
          <w:b/>
          <w:color w:val="000000" w:themeColor="text1"/>
          <w:sz w:val="16"/>
          <w:szCs w:val="16"/>
          <w:lang w:eastAsia="es-ES"/>
        </w:rPr>
      </w:pPr>
      <w:bookmarkStart w:id="0" w:name="_Hlk28946138"/>
      <w:bookmarkStart w:id="1" w:name="_Hlk29548183"/>
      <w:r w:rsidRPr="007408D3">
        <w:rPr>
          <w:rFonts w:ascii="Arial" w:hAnsi="Arial" w:cs="Arial"/>
          <w:b/>
          <w:color w:val="000000" w:themeColor="text1"/>
          <w:sz w:val="16"/>
          <w:szCs w:val="16"/>
          <w:lang w:eastAsia="es-ES"/>
        </w:rPr>
        <w:t>CCE-DES-FM-17</w:t>
      </w:r>
    </w:p>
    <w:p w14:paraId="5185289D" w14:textId="77777777" w:rsidR="00584BBA" w:rsidRPr="00CC06E0" w:rsidRDefault="00584BBA" w:rsidP="001A4434">
      <w:pPr>
        <w:jc w:val="both"/>
        <w:rPr>
          <w:rFonts w:ascii="Arial" w:eastAsia="Calibri" w:hAnsi="Arial" w:cs="Arial"/>
          <w:b/>
          <w:color w:val="000000" w:themeColor="text1"/>
          <w:sz w:val="16"/>
          <w:szCs w:val="16"/>
        </w:rPr>
      </w:pPr>
    </w:p>
    <w:p w14:paraId="448B2BFC" w14:textId="20A691E7" w:rsidR="004C690D" w:rsidRPr="007408D3" w:rsidRDefault="004C690D" w:rsidP="362AE1B4">
      <w:pPr>
        <w:jc w:val="both"/>
        <w:rPr>
          <w:rFonts w:ascii="Arial" w:eastAsia="Calibri" w:hAnsi="Arial" w:cs="Arial"/>
          <w:color w:val="000000" w:themeColor="text1"/>
          <w:sz w:val="22"/>
        </w:rPr>
      </w:pPr>
      <w:r w:rsidRPr="362AE1B4">
        <w:rPr>
          <w:rFonts w:ascii="Arial" w:eastAsia="Calibri" w:hAnsi="Arial" w:cs="Arial"/>
          <w:b/>
          <w:bCs/>
          <w:color w:val="000000" w:themeColor="text1"/>
          <w:sz w:val="22"/>
        </w:rPr>
        <w:t xml:space="preserve">SECOP </w:t>
      </w:r>
      <w:r w:rsidR="001A4434" w:rsidRPr="362AE1B4">
        <w:rPr>
          <w:rFonts w:ascii="Arial" w:eastAsia="Calibri" w:hAnsi="Arial" w:cs="Arial"/>
          <w:b/>
          <w:bCs/>
          <w:color w:val="000000" w:themeColor="text1"/>
          <w:sz w:val="22"/>
        </w:rPr>
        <w:t>–</w:t>
      </w:r>
      <w:r w:rsidRPr="362AE1B4">
        <w:rPr>
          <w:rFonts w:ascii="Arial" w:eastAsia="Calibri" w:hAnsi="Arial" w:cs="Arial"/>
          <w:b/>
          <w:bCs/>
          <w:color w:val="000000" w:themeColor="text1"/>
          <w:sz w:val="22"/>
        </w:rPr>
        <w:t xml:space="preserve"> Publicidad </w:t>
      </w:r>
      <w:r w:rsidR="001A4434" w:rsidRPr="362AE1B4">
        <w:rPr>
          <w:rFonts w:ascii="Arial" w:eastAsia="Calibri" w:hAnsi="Arial" w:cs="Arial"/>
          <w:b/>
          <w:bCs/>
          <w:color w:val="000000" w:themeColor="text1"/>
          <w:sz w:val="22"/>
        </w:rPr>
        <w:t>–</w:t>
      </w:r>
      <w:r w:rsidRPr="362AE1B4">
        <w:rPr>
          <w:rFonts w:ascii="Arial" w:eastAsia="Calibri" w:hAnsi="Arial" w:cs="Arial"/>
          <w:b/>
          <w:bCs/>
          <w:color w:val="000000" w:themeColor="text1"/>
          <w:sz w:val="22"/>
        </w:rPr>
        <w:t xml:space="preserve"> Reiteración </w:t>
      </w:r>
      <w:r w:rsidR="15D4F69D" w:rsidRPr="362AE1B4">
        <w:rPr>
          <w:rFonts w:ascii="Arial" w:eastAsia="Calibri" w:hAnsi="Arial" w:cs="Arial"/>
          <w:b/>
          <w:bCs/>
          <w:color w:val="000000" w:themeColor="text1"/>
          <w:sz w:val="22"/>
        </w:rPr>
        <w:t>–</w:t>
      </w:r>
      <w:r w:rsidRPr="362AE1B4">
        <w:rPr>
          <w:rFonts w:ascii="Arial" w:eastAsia="Calibri" w:hAnsi="Arial" w:cs="Arial"/>
          <w:b/>
          <w:bCs/>
          <w:color w:val="000000" w:themeColor="text1"/>
          <w:sz w:val="22"/>
        </w:rPr>
        <w:t xml:space="preserve"> Concepto unificado</w:t>
      </w:r>
      <w:r w:rsidR="5C2A5460" w:rsidRPr="362AE1B4">
        <w:rPr>
          <w:rFonts w:ascii="Arial" w:eastAsia="Calibri" w:hAnsi="Arial" w:cs="Arial"/>
          <w:b/>
          <w:bCs/>
          <w:color w:val="000000" w:themeColor="text1"/>
          <w:sz w:val="22"/>
        </w:rPr>
        <w:t xml:space="preserve"> –</w:t>
      </w:r>
      <w:r w:rsidRPr="362AE1B4">
        <w:rPr>
          <w:rFonts w:ascii="Arial" w:eastAsia="Calibri" w:hAnsi="Arial" w:cs="Arial"/>
          <w:b/>
          <w:bCs/>
          <w:color w:val="000000" w:themeColor="text1"/>
          <w:sz w:val="22"/>
        </w:rPr>
        <w:t xml:space="preserve"> CU</w:t>
      </w:r>
      <w:r w:rsidR="001A4434" w:rsidRPr="362AE1B4">
        <w:rPr>
          <w:rFonts w:ascii="Arial" w:eastAsia="Calibri" w:hAnsi="Arial" w:cs="Arial"/>
          <w:b/>
          <w:bCs/>
          <w:color w:val="000000" w:themeColor="text1"/>
          <w:sz w:val="22"/>
        </w:rPr>
        <w:t xml:space="preserve"> – </w:t>
      </w:r>
      <w:r w:rsidRPr="362AE1B4">
        <w:rPr>
          <w:rFonts w:ascii="Arial" w:eastAsia="Calibri" w:hAnsi="Arial" w:cs="Arial"/>
          <w:b/>
          <w:bCs/>
          <w:color w:val="000000" w:themeColor="text1"/>
          <w:sz w:val="22"/>
        </w:rPr>
        <w:t>003 de 2020</w:t>
      </w:r>
    </w:p>
    <w:p w14:paraId="2A2344EE" w14:textId="77777777" w:rsidR="004C690D" w:rsidRPr="007408D3" w:rsidRDefault="004C690D" w:rsidP="001A4434">
      <w:pPr>
        <w:jc w:val="both"/>
        <w:rPr>
          <w:rFonts w:ascii="Arial" w:hAnsi="Arial" w:cs="Arial"/>
          <w:color w:val="000000" w:themeColor="text1"/>
          <w:sz w:val="20"/>
          <w:szCs w:val="20"/>
        </w:rPr>
      </w:pPr>
    </w:p>
    <w:p w14:paraId="261824E5" w14:textId="77777777" w:rsidR="004C690D" w:rsidRPr="007408D3" w:rsidRDefault="004C690D" w:rsidP="001A4434">
      <w:pPr>
        <w:jc w:val="both"/>
        <w:rPr>
          <w:rFonts w:ascii="Arial" w:eastAsia="Calibri" w:hAnsi="Arial" w:cs="Arial"/>
          <w:color w:val="000000" w:themeColor="text1"/>
          <w:sz w:val="20"/>
          <w:szCs w:val="20"/>
        </w:rPr>
      </w:pPr>
      <w:r w:rsidRPr="007408D3">
        <w:rPr>
          <w:rFonts w:ascii="Arial" w:eastAsia="Calibri" w:hAnsi="Arial" w:cs="Arial"/>
          <w:color w:val="000000" w:themeColor="text1"/>
          <w:sz w:val="20"/>
          <w:szCs w:val="20"/>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w:t>
      </w:r>
    </w:p>
    <w:p w14:paraId="074C3525" w14:textId="77777777" w:rsidR="004C690D" w:rsidRPr="007408D3" w:rsidRDefault="004C690D" w:rsidP="001A4434">
      <w:pPr>
        <w:jc w:val="both"/>
        <w:rPr>
          <w:rFonts w:ascii="Arial" w:eastAsia="Calibri" w:hAnsi="Arial" w:cs="Arial"/>
          <w:color w:val="000000" w:themeColor="text1"/>
          <w:sz w:val="20"/>
          <w:szCs w:val="20"/>
        </w:rPr>
      </w:pPr>
    </w:p>
    <w:p w14:paraId="119F78A7" w14:textId="645E23E7" w:rsidR="004C690D" w:rsidRPr="007408D3" w:rsidRDefault="004C690D" w:rsidP="001A4434">
      <w:pPr>
        <w:jc w:val="both"/>
        <w:rPr>
          <w:rFonts w:ascii="Arial" w:eastAsia="Calibri" w:hAnsi="Arial" w:cs="Arial"/>
          <w:b/>
          <w:bCs/>
          <w:color w:val="000000" w:themeColor="text1"/>
          <w:sz w:val="22"/>
        </w:rPr>
      </w:pPr>
      <w:r w:rsidRPr="007408D3">
        <w:rPr>
          <w:rFonts w:ascii="Arial" w:eastAsia="Calibri" w:hAnsi="Arial" w:cs="Arial"/>
          <w:b/>
          <w:bCs/>
          <w:color w:val="000000" w:themeColor="text1"/>
          <w:sz w:val="22"/>
        </w:rPr>
        <w:t xml:space="preserve">ACCESO A LA INFORMACIÓN PÚBLICA </w:t>
      </w:r>
      <w:r w:rsidR="001A4434" w:rsidRPr="006C15D5">
        <w:rPr>
          <w:rFonts w:ascii="Arial" w:eastAsia="Calibri" w:hAnsi="Arial" w:cs="Arial"/>
          <w:b/>
          <w:color w:val="000000" w:themeColor="text1"/>
          <w:sz w:val="22"/>
        </w:rPr>
        <w:t>–</w:t>
      </w:r>
      <w:r w:rsidRPr="007408D3">
        <w:rPr>
          <w:rFonts w:ascii="Arial" w:eastAsia="Calibri" w:hAnsi="Arial" w:cs="Arial"/>
          <w:b/>
          <w:bCs/>
          <w:color w:val="000000" w:themeColor="text1"/>
          <w:sz w:val="22"/>
        </w:rPr>
        <w:t xml:space="preserve"> </w:t>
      </w:r>
      <w:r w:rsidR="009E797D">
        <w:rPr>
          <w:rFonts w:ascii="Arial" w:eastAsia="Calibri" w:hAnsi="Arial" w:cs="Arial"/>
          <w:b/>
          <w:bCs/>
          <w:color w:val="000000" w:themeColor="text1"/>
          <w:sz w:val="22"/>
        </w:rPr>
        <w:t xml:space="preserve">Derecho </w:t>
      </w:r>
      <w:r w:rsidR="009E797D" w:rsidRPr="006C15D5">
        <w:rPr>
          <w:rFonts w:ascii="Arial" w:eastAsia="Calibri" w:hAnsi="Arial" w:cs="Arial"/>
          <w:b/>
          <w:color w:val="000000" w:themeColor="text1"/>
          <w:sz w:val="22"/>
        </w:rPr>
        <w:t>–</w:t>
      </w:r>
      <w:r w:rsidR="009E797D">
        <w:rPr>
          <w:rFonts w:ascii="Arial" w:eastAsia="Calibri" w:hAnsi="Arial" w:cs="Arial"/>
          <w:b/>
          <w:color w:val="000000" w:themeColor="text1"/>
          <w:sz w:val="22"/>
        </w:rPr>
        <w:t xml:space="preserve"> </w:t>
      </w:r>
      <w:r w:rsidRPr="007408D3">
        <w:rPr>
          <w:rFonts w:ascii="Arial" w:eastAsia="Calibri" w:hAnsi="Arial" w:cs="Arial"/>
          <w:b/>
          <w:bCs/>
          <w:color w:val="000000" w:themeColor="text1"/>
          <w:sz w:val="22"/>
        </w:rPr>
        <w:t xml:space="preserve">Principio de máxima publicidad </w:t>
      </w:r>
      <w:r w:rsidR="001A4434" w:rsidRPr="006C15D5">
        <w:rPr>
          <w:rFonts w:ascii="Arial" w:eastAsia="Calibri" w:hAnsi="Arial" w:cs="Arial"/>
          <w:b/>
          <w:color w:val="000000" w:themeColor="text1"/>
          <w:sz w:val="22"/>
        </w:rPr>
        <w:t>–</w:t>
      </w:r>
      <w:r w:rsidRPr="007408D3">
        <w:rPr>
          <w:rFonts w:ascii="Arial" w:eastAsia="Calibri" w:hAnsi="Arial" w:cs="Arial"/>
          <w:b/>
          <w:bCs/>
          <w:color w:val="000000" w:themeColor="text1"/>
          <w:sz w:val="22"/>
        </w:rPr>
        <w:t xml:space="preserve"> Principio de transparencia</w:t>
      </w:r>
    </w:p>
    <w:p w14:paraId="2DE45897" w14:textId="77777777" w:rsidR="004C690D" w:rsidRPr="007408D3" w:rsidRDefault="004C690D" w:rsidP="001A4434">
      <w:pPr>
        <w:jc w:val="both"/>
        <w:rPr>
          <w:rFonts w:ascii="Arial" w:eastAsia="Calibri" w:hAnsi="Arial" w:cs="Arial"/>
          <w:color w:val="000000" w:themeColor="text1"/>
          <w:sz w:val="20"/>
          <w:szCs w:val="20"/>
        </w:rPr>
      </w:pPr>
    </w:p>
    <w:p w14:paraId="2C275BFE" w14:textId="77777777" w:rsidR="004C690D" w:rsidRPr="007408D3" w:rsidRDefault="004C690D" w:rsidP="001A4434">
      <w:pPr>
        <w:jc w:val="both"/>
        <w:rPr>
          <w:rFonts w:ascii="Arial" w:hAnsi="Arial" w:cs="Arial"/>
          <w:color w:val="000000" w:themeColor="text1"/>
          <w:sz w:val="20"/>
          <w:szCs w:val="20"/>
          <w:lang w:eastAsia="es-ES"/>
        </w:rPr>
      </w:pPr>
      <w:r w:rsidRPr="007408D3">
        <w:rPr>
          <w:rFonts w:ascii="Arial" w:hAnsi="Arial" w:cs="Arial"/>
          <w:color w:val="000000" w:themeColor="text1"/>
          <w:sz w:val="20"/>
          <w:szCs w:val="20"/>
          <w:lang w:eastAsia="es-ES"/>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w:t>
      </w:r>
    </w:p>
    <w:p w14:paraId="7D00EF85" w14:textId="77777777" w:rsidR="004C690D" w:rsidRPr="007408D3" w:rsidRDefault="004C690D" w:rsidP="001A4434">
      <w:pPr>
        <w:jc w:val="both"/>
        <w:rPr>
          <w:rFonts w:ascii="Arial" w:hAnsi="Arial" w:cs="Arial"/>
          <w:color w:val="000000" w:themeColor="text1"/>
          <w:sz w:val="20"/>
          <w:szCs w:val="20"/>
          <w:lang w:eastAsia="es-ES"/>
        </w:rPr>
      </w:pPr>
    </w:p>
    <w:p w14:paraId="27F1AFC3" w14:textId="37626993" w:rsidR="004C690D" w:rsidRPr="007408D3" w:rsidRDefault="004C690D" w:rsidP="362AE1B4">
      <w:pPr>
        <w:jc w:val="both"/>
        <w:rPr>
          <w:rFonts w:ascii="Arial" w:hAnsi="Arial" w:cs="Arial"/>
          <w:b/>
          <w:bCs/>
          <w:color w:val="000000" w:themeColor="text1"/>
          <w:sz w:val="22"/>
          <w:lang w:eastAsia="es-ES"/>
        </w:rPr>
      </w:pPr>
      <w:r w:rsidRPr="362AE1B4">
        <w:rPr>
          <w:rFonts w:ascii="Arial" w:hAnsi="Arial" w:cs="Arial"/>
          <w:b/>
          <w:bCs/>
          <w:color w:val="000000" w:themeColor="text1"/>
          <w:sz w:val="22"/>
          <w:lang w:eastAsia="es-ES"/>
        </w:rPr>
        <w:t xml:space="preserve">SECOP </w:t>
      </w:r>
      <w:r w:rsidR="001A4434" w:rsidRPr="362AE1B4">
        <w:rPr>
          <w:rFonts w:ascii="Arial" w:eastAsia="Calibri" w:hAnsi="Arial" w:cs="Arial"/>
          <w:b/>
          <w:bCs/>
          <w:color w:val="000000" w:themeColor="text1"/>
          <w:sz w:val="22"/>
        </w:rPr>
        <w:t xml:space="preserve">– </w:t>
      </w:r>
      <w:r w:rsidRPr="362AE1B4">
        <w:rPr>
          <w:rFonts w:ascii="Arial" w:hAnsi="Arial" w:cs="Arial"/>
          <w:b/>
          <w:bCs/>
          <w:color w:val="000000" w:themeColor="text1"/>
          <w:sz w:val="22"/>
          <w:lang w:eastAsia="es-ES"/>
        </w:rPr>
        <w:t xml:space="preserve">Sujetos obligados </w:t>
      </w:r>
      <w:r w:rsidR="001A4434" w:rsidRPr="362AE1B4">
        <w:rPr>
          <w:rFonts w:ascii="Arial" w:eastAsia="Calibri" w:hAnsi="Arial" w:cs="Arial"/>
          <w:b/>
          <w:bCs/>
          <w:color w:val="000000" w:themeColor="text1"/>
          <w:sz w:val="22"/>
        </w:rPr>
        <w:t>–</w:t>
      </w:r>
      <w:r w:rsidRPr="362AE1B4">
        <w:rPr>
          <w:rFonts w:ascii="Arial" w:hAnsi="Arial" w:cs="Arial"/>
          <w:b/>
          <w:bCs/>
          <w:color w:val="000000" w:themeColor="text1"/>
          <w:sz w:val="22"/>
          <w:lang w:eastAsia="es-ES"/>
        </w:rPr>
        <w:t xml:space="preserve"> </w:t>
      </w:r>
      <w:r w:rsidR="007F38CE" w:rsidRPr="362AE1B4">
        <w:rPr>
          <w:rFonts w:ascii="Arial" w:hAnsi="Arial" w:cs="Arial"/>
          <w:b/>
          <w:bCs/>
          <w:color w:val="000000" w:themeColor="text1"/>
          <w:sz w:val="22"/>
          <w:lang w:eastAsia="es-ES"/>
        </w:rPr>
        <w:t>Public</w:t>
      </w:r>
      <w:r w:rsidR="00211550">
        <w:rPr>
          <w:rFonts w:ascii="Arial" w:hAnsi="Arial" w:cs="Arial"/>
          <w:b/>
          <w:bCs/>
          <w:color w:val="000000" w:themeColor="text1"/>
          <w:sz w:val="22"/>
          <w:lang w:eastAsia="es-ES"/>
        </w:rPr>
        <w:t xml:space="preserve">idad </w:t>
      </w:r>
      <w:r w:rsidR="15860DAB" w:rsidRPr="362AE1B4">
        <w:rPr>
          <w:rFonts w:ascii="Arial" w:eastAsia="Calibri" w:hAnsi="Arial" w:cs="Arial"/>
          <w:b/>
          <w:bCs/>
          <w:color w:val="000000" w:themeColor="text1"/>
          <w:sz w:val="22"/>
        </w:rPr>
        <w:t>–</w:t>
      </w:r>
      <w:r w:rsidR="007F38CE" w:rsidRPr="362AE1B4">
        <w:rPr>
          <w:rFonts w:ascii="Arial" w:hAnsi="Arial" w:cs="Arial"/>
          <w:b/>
          <w:bCs/>
          <w:color w:val="000000" w:themeColor="text1"/>
          <w:sz w:val="22"/>
          <w:lang w:eastAsia="es-ES"/>
        </w:rPr>
        <w:t xml:space="preserve"> </w:t>
      </w:r>
      <w:r w:rsidR="52C0D4E7" w:rsidRPr="362AE1B4">
        <w:rPr>
          <w:rFonts w:ascii="Arial" w:hAnsi="Arial" w:cs="Arial"/>
          <w:b/>
          <w:bCs/>
          <w:color w:val="000000" w:themeColor="text1"/>
          <w:sz w:val="22"/>
          <w:lang w:eastAsia="es-ES"/>
        </w:rPr>
        <w:t>D</w:t>
      </w:r>
      <w:r w:rsidR="007F38CE" w:rsidRPr="362AE1B4">
        <w:rPr>
          <w:rFonts w:ascii="Arial" w:hAnsi="Arial" w:cs="Arial"/>
          <w:b/>
          <w:bCs/>
          <w:color w:val="000000" w:themeColor="text1"/>
          <w:sz w:val="22"/>
          <w:lang w:eastAsia="es-ES"/>
        </w:rPr>
        <w:t>ocumentos</w:t>
      </w:r>
      <w:bookmarkStart w:id="2" w:name="_GoBack"/>
      <w:bookmarkEnd w:id="2"/>
      <w:r w:rsidR="007F38CE" w:rsidRPr="362AE1B4">
        <w:rPr>
          <w:rFonts w:ascii="Arial" w:hAnsi="Arial" w:cs="Arial"/>
          <w:b/>
          <w:bCs/>
          <w:color w:val="000000" w:themeColor="text1"/>
          <w:sz w:val="22"/>
          <w:lang w:eastAsia="es-ES"/>
        </w:rPr>
        <w:t xml:space="preserve"> </w:t>
      </w:r>
      <w:r w:rsidR="7842FABB" w:rsidRPr="362AE1B4">
        <w:rPr>
          <w:rFonts w:ascii="Arial" w:eastAsia="Calibri" w:hAnsi="Arial" w:cs="Arial"/>
          <w:b/>
          <w:bCs/>
          <w:color w:val="000000" w:themeColor="text1"/>
          <w:sz w:val="22"/>
        </w:rPr>
        <w:t>–</w:t>
      </w:r>
      <w:r w:rsidR="00C119DE" w:rsidRPr="362AE1B4">
        <w:rPr>
          <w:rFonts w:ascii="Arial" w:hAnsi="Arial" w:cs="Arial"/>
          <w:b/>
          <w:bCs/>
          <w:color w:val="000000" w:themeColor="text1"/>
          <w:sz w:val="22"/>
          <w:lang w:eastAsia="es-ES"/>
        </w:rPr>
        <w:t xml:space="preserve"> </w:t>
      </w:r>
      <w:r w:rsidR="74501733" w:rsidRPr="362AE1B4">
        <w:rPr>
          <w:rFonts w:ascii="Arial" w:hAnsi="Arial" w:cs="Arial"/>
          <w:b/>
          <w:bCs/>
          <w:color w:val="000000" w:themeColor="text1"/>
          <w:sz w:val="22"/>
          <w:lang w:eastAsia="es-ES"/>
        </w:rPr>
        <w:t>E</w:t>
      </w:r>
      <w:r w:rsidR="00C119DE" w:rsidRPr="362AE1B4">
        <w:rPr>
          <w:rFonts w:ascii="Arial" w:hAnsi="Arial" w:cs="Arial"/>
          <w:b/>
          <w:bCs/>
          <w:color w:val="000000" w:themeColor="text1"/>
          <w:sz w:val="22"/>
          <w:lang w:eastAsia="es-ES"/>
        </w:rPr>
        <w:t>jecución del contrato</w:t>
      </w:r>
    </w:p>
    <w:p w14:paraId="7DF09BC9" w14:textId="77777777" w:rsidR="004C690D" w:rsidRPr="007408D3" w:rsidRDefault="004C690D" w:rsidP="001A4434">
      <w:pPr>
        <w:jc w:val="both"/>
        <w:rPr>
          <w:rFonts w:ascii="Arial" w:hAnsi="Arial" w:cs="Arial"/>
          <w:color w:val="000000" w:themeColor="text1"/>
          <w:sz w:val="20"/>
          <w:szCs w:val="20"/>
          <w:lang w:eastAsia="es-ES"/>
        </w:rPr>
      </w:pPr>
    </w:p>
    <w:p w14:paraId="15CA6CE1" w14:textId="77777777" w:rsidR="00D0494E" w:rsidRDefault="004C690D" w:rsidP="00D0494E">
      <w:pPr>
        <w:spacing w:after="120"/>
        <w:jc w:val="both"/>
        <w:rPr>
          <w:rFonts w:ascii="Arial" w:hAnsi="Arial" w:cs="Arial"/>
          <w:color w:val="000000" w:themeColor="text1"/>
          <w:sz w:val="20"/>
          <w:szCs w:val="20"/>
          <w:lang w:eastAsia="es-ES"/>
        </w:rPr>
      </w:pPr>
      <w:r w:rsidRPr="007408D3">
        <w:rPr>
          <w:rFonts w:ascii="Arial" w:hAnsi="Arial" w:cs="Arial"/>
          <w:color w:val="000000" w:themeColor="text1"/>
          <w:sz w:val="20"/>
          <w:szCs w:val="20"/>
          <w:lang w:eastAsia="es-ES"/>
        </w:rPr>
        <w:t>La ley citada establece, en el literal e) del artículo 9, que los sujetos obligados, que son todas las entidades públicas,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de Contratación Pública ─ SECOP.</w:t>
      </w:r>
    </w:p>
    <w:p w14:paraId="129566F5" w14:textId="11BFA08C" w:rsidR="004C690D" w:rsidRPr="007408D3" w:rsidRDefault="004C690D" w:rsidP="00D0494E">
      <w:pPr>
        <w:jc w:val="both"/>
        <w:rPr>
          <w:rFonts w:ascii="Arial" w:hAnsi="Arial" w:cs="Arial"/>
          <w:color w:val="000000" w:themeColor="text1"/>
          <w:sz w:val="20"/>
          <w:szCs w:val="20"/>
          <w:lang w:eastAsia="es-ES"/>
        </w:rPr>
      </w:pPr>
      <w:r w:rsidRPr="007408D3">
        <w:rPr>
          <w:rFonts w:ascii="Arial" w:hAnsi="Arial" w:cs="Arial"/>
          <w:color w:val="000000" w:themeColor="text1"/>
          <w:sz w:val="20"/>
          <w:szCs w:val="20"/>
          <w:lang w:eastAsia="es-ES"/>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089B7F14" w14:textId="77777777" w:rsidR="004C690D" w:rsidRPr="007408D3" w:rsidRDefault="004C690D" w:rsidP="001A4434">
      <w:pPr>
        <w:jc w:val="both"/>
        <w:rPr>
          <w:rFonts w:ascii="Arial" w:hAnsi="Arial" w:cs="Arial"/>
          <w:color w:val="000000" w:themeColor="text1"/>
          <w:sz w:val="20"/>
          <w:szCs w:val="20"/>
          <w:lang w:eastAsia="es-ES"/>
        </w:rPr>
      </w:pPr>
    </w:p>
    <w:p w14:paraId="16E989A2" w14:textId="296EE10E" w:rsidR="00C74C74" w:rsidRPr="007408D3" w:rsidRDefault="00BB65A6" w:rsidP="001A4434">
      <w:pPr>
        <w:jc w:val="both"/>
        <w:rPr>
          <w:rFonts w:ascii="Arial" w:hAnsi="Arial" w:cs="Arial"/>
          <w:b/>
          <w:bCs/>
          <w:color w:val="000000" w:themeColor="text1"/>
          <w:sz w:val="22"/>
          <w:lang w:eastAsia="es-ES"/>
        </w:rPr>
      </w:pPr>
      <w:r w:rsidRPr="007408D3">
        <w:rPr>
          <w:rFonts w:ascii="Arial" w:hAnsi="Arial" w:cs="Arial"/>
          <w:b/>
          <w:bCs/>
          <w:color w:val="000000" w:themeColor="text1"/>
          <w:sz w:val="22"/>
          <w:lang w:eastAsia="es-ES"/>
        </w:rPr>
        <w:t xml:space="preserve">SECOP </w:t>
      </w:r>
      <w:r w:rsidR="001A4434" w:rsidRPr="006C15D5">
        <w:rPr>
          <w:rFonts w:ascii="Arial" w:eastAsia="Calibri" w:hAnsi="Arial" w:cs="Arial"/>
          <w:b/>
          <w:color w:val="000000" w:themeColor="text1"/>
          <w:sz w:val="22"/>
        </w:rPr>
        <w:t>–</w:t>
      </w:r>
      <w:r w:rsidRPr="007408D3">
        <w:rPr>
          <w:rFonts w:ascii="Arial" w:hAnsi="Arial" w:cs="Arial"/>
          <w:b/>
          <w:bCs/>
          <w:color w:val="000000" w:themeColor="text1"/>
          <w:sz w:val="22"/>
          <w:lang w:eastAsia="es-ES"/>
        </w:rPr>
        <w:t xml:space="preserve"> Documentos del Proceso </w:t>
      </w:r>
      <w:r w:rsidR="001A4434" w:rsidRPr="006C15D5">
        <w:rPr>
          <w:rFonts w:ascii="Arial" w:eastAsia="Calibri" w:hAnsi="Arial" w:cs="Arial"/>
          <w:b/>
          <w:color w:val="000000" w:themeColor="text1"/>
          <w:sz w:val="22"/>
        </w:rPr>
        <w:t>–</w:t>
      </w:r>
      <w:r w:rsidRPr="007408D3">
        <w:rPr>
          <w:rFonts w:ascii="Arial" w:hAnsi="Arial" w:cs="Arial"/>
          <w:b/>
          <w:bCs/>
          <w:color w:val="000000" w:themeColor="text1"/>
          <w:sz w:val="22"/>
          <w:lang w:eastAsia="es-ES"/>
        </w:rPr>
        <w:t xml:space="preserve"> Proceso de contratación</w:t>
      </w:r>
    </w:p>
    <w:p w14:paraId="17070E9E" w14:textId="04C88BC8" w:rsidR="00BB65A6" w:rsidRPr="007408D3" w:rsidRDefault="00BB65A6" w:rsidP="001A4434">
      <w:pPr>
        <w:jc w:val="both"/>
        <w:rPr>
          <w:rFonts w:ascii="Arial" w:hAnsi="Arial" w:cs="Arial"/>
          <w:b/>
          <w:bCs/>
          <w:color w:val="000000" w:themeColor="text1"/>
          <w:sz w:val="20"/>
          <w:szCs w:val="20"/>
          <w:lang w:eastAsia="es-ES"/>
        </w:rPr>
      </w:pPr>
    </w:p>
    <w:p w14:paraId="1F7C7202" w14:textId="77777777" w:rsidR="00D0494E" w:rsidRDefault="00BB65A6" w:rsidP="00D0494E">
      <w:pPr>
        <w:spacing w:after="120"/>
        <w:jc w:val="both"/>
        <w:rPr>
          <w:rFonts w:ascii="Arial" w:hAnsi="Arial" w:cs="Arial"/>
          <w:color w:val="000000" w:themeColor="text1"/>
          <w:sz w:val="20"/>
          <w:szCs w:val="20"/>
          <w:lang w:val="es-ES"/>
        </w:rPr>
      </w:pPr>
      <w:r w:rsidRPr="007408D3">
        <w:rPr>
          <w:rFonts w:ascii="Arial" w:hAnsi="Arial" w:cs="Arial"/>
          <w:color w:val="000000" w:themeColor="text1"/>
          <w:sz w:val="20"/>
          <w:szCs w:val="20"/>
          <w:lang w:val="es-ES"/>
        </w:rPr>
        <w:t>Ahora bien, las entidades estatales, particularmente las sometidas al Estatuto al Estatuto General de Contratación de la Administración Pública ─en adelante EGCAP─, conforme al artículo 2.2.1.1.1.7.1. del Decreto 1082 de 2015, están en la obligación de publicar en el SECOP «[…] los Documentos del Proceso y los actos administrativos del Proceso de Contratación, dentro de los tres (3) días siguientes a su expedición […]».</w:t>
      </w:r>
    </w:p>
    <w:p w14:paraId="548D3933" w14:textId="4EE87DB8" w:rsidR="00B76BF5" w:rsidRDefault="00BB65A6" w:rsidP="00B76BF5">
      <w:pPr>
        <w:spacing w:after="120"/>
        <w:jc w:val="both"/>
        <w:rPr>
          <w:rFonts w:ascii="Arial" w:hAnsi="Arial" w:cs="Arial"/>
          <w:color w:val="000000" w:themeColor="text1"/>
          <w:sz w:val="20"/>
          <w:szCs w:val="20"/>
          <w:lang w:val="es-ES"/>
        </w:rPr>
      </w:pPr>
      <w:r w:rsidRPr="56FFB1E4">
        <w:rPr>
          <w:rFonts w:ascii="Arial" w:hAnsi="Arial" w:cs="Arial"/>
          <w:color w:val="000000" w:themeColor="text1"/>
          <w:sz w:val="20"/>
          <w:szCs w:val="20"/>
          <w:lang w:val="es-ES"/>
        </w:rPr>
        <w:t xml:space="preserve">La expresión «documentos del proceso» se encuentra definida en el artículo 2.2.1.1.1.3.1. del Decreto 1082 de 2015, así: «son: (a) los estudios y documentos previos; (b) el aviso de convocatoria; (c) los pliegos de condiciones o la invitación; (d) las Adendas; (e) la oferta; (f) el informe de evaluación; (g) el contrato; </w:t>
      </w:r>
      <w:r w:rsidRPr="56FFB1E4">
        <w:rPr>
          <w:rFonts w:ascii="Arial" w:hAnsi="Arial" w:cs="Arial"/>
          <w:i/>
          <w:iCs/>
          <w:color w:val="000000" w:themeColor="text1"/>
          <w:sz w:val="20"/>
          <w:szCs w:val="20"/>
          <w:lang w:val="es-ES"/>
        </w:rPr>
        <w:t>y cualquier otro documento expedido por la Entidad Estatal durante el Proceso de Contratación</w:t>
      </w:r>
      <w:r w:rsidRPr="56FFB1E4">
        <w:rPr>
          <w:rFonts w:ascii="Arial" w:hAnsi="Arial" w:cs="Arial"/>
          <w:color w:val="000000" w:themeColor="text1"/>
          <w:sz w:val="20"/>
          <w:szCs w:val="20"/>
          <w:lang w:val="es-ES"/>
        </w:rPr>
        <w:t xml:space="preserve">». (cursiva fuera de texto). </w:t>
      </w:r>
    </w:p>
    <w:p w14:paraId="1CA73CF8" w14:textId="73BA7E53" w:rsidR="00BB65A6" w:rsidRPr="007408D3" w:rsidRDefault="00BB65A6" w:rsidP="001A4434">
      <w:pPr>
        <w:jc w:val="both"/>
        <w:rPr>
          <w:rFonts w:ascii="Arial" w:hAnsi="Arial" w:cs="Arial"/>
          <w:b/>
          <w:bCs/>
          <w:color w:val="000000" w:themeColor="text1"/>
          <w:sz w:val="20"/>
          <w:szCs w:val="20"/>
          <w:lang w:eastAsia="es-ES"/>
        </w:rPr>
      </w:pPr>
      <w:r w:rsidRPr="007408D3">
        <w:rPr>
          <w:rFonts w:ascii="Arial" w:hAnsi="Arial" w:cs="Arial"/>
          <w:color w:val="000000" w:themeColor="text1"/>
          <w:sz w:val="20"/>
          <w:szCs w:val="20"/>
          <w:lang w:val="es-ES"/>
        </w:rPr>
        <w:lastRenderedPageBreak/>
        <w:t>A su vez, en esa misma disposición se define el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05815121" w14:textId="77777777" w:rsidR="00BB65A6" w:rsidRPr="00B76BF5" w:rsidRDefault="00BB65A6" w:rsidP="001A4434">
      <w:pPr>
        <w:jc w:val="both"/>
        <w:rPr>
          <w:rFonts w:ascii="Arial" w:hAnsi="Arial" w:cs="Arial"/>
          <w:b/>
          <w:bCs/>
          <w:color w:val="000000" w:themeColor="text1"/>
          <w:sz w:val="20"/>
          <w:szCs w:val="20"/>
          <w:lang w:eastAsia="es-ES"/>
        </w:rPr>
      </w:pPr>
    </w:p>
    <w:p w14:paraId="5066CCF9" w14:textId="2418886B" w:rsidR="004C690D" w:rsidRPr="007408D3" w:rsidRDefault="004C690D" w:rsidP="362AE1B4">
      <w:pPr>
        <w:jc w:val="both"/>
        <w:rPr>
          <w:rFonts w:ascii="Arial" w:hAnsi="Arial" w:cs="Arial"/>
          <w:b/>
          <w:bCs/>
          <w:color w:val="000000" w:themeColor="text1"/>
          <w:sz w:val="22"/>
          <w:lang w:eastAsia="es-ES"/>
        </w:rPr>
      </w:pPr>
      <w:r w:rsidRPr="362AE1B4">
        <w:rPr>
          <w:rFonts w:ascii="Arial" w:hAnsi="Arial" w:cs="Arial"/>
          <w:b/>
          <w:bCs/>
          <w:color w:val="000000" w:themeColor="text1"/>
          <w:sz w:val="22"/>
          <w:lang w:eastAsia="es-ES"/>
        </w:rPr>
        <w:t xml:space="preserve">SECOP </w:t>
      </w:r>
      <w:r w:rsidR="001A4434" w:rsidRPr="362AE1B4">
        <w:rPr>
          <w:rFonts w:ascii="Arial" w:eastAsia="Calibri" w:hAnsi="Arial" w:cs="Arial"/>
          <w:b/>
          <w:bCs/>
          <w:color w:val="000000" w:themeColor="text1"/>
          <w:sz w:val="22"/>
        </w:rPr>
        <w:t>–</w:t>
      </w:r>
      <w:r w:rsidRPr="362AE1B4">
        <w:rPr>
          <w:rFonts w:ascii="Arial" w:hAnsi="Arial" w:cs="Arial"/>
          <w:b/>
          <w:bCs/>
          <w:color w:val="000000" w:themeColor="text1"/>
          <w:sz w:val="22"/>
          <w:lang w:eastAsia="es-ES"/>
        </w:rPr>
        <w:t xml:space="preserve"> Documentos</w:t>
      </w:r>
      <w:r w:rsidR="00584BBA" w:rsidRPr="362AE1B4">
        <w:rPr>
          <w:rFonts w:ascii="Arial" w:hAnsi="Arial" w:cs="Arial"/>
          <w:b/>
          <w:bCs/>
          <w:color w:val="000000" w:themeColor="text1"/>
          <w:sz w:val="22"/>
          <w:lang w:eastAsia="es-ES"/>
        </w:rPr>
        <w:t xml:space="preserve"> </w:t>
      </w:r>
      <w:r w:rsidR="5908DA77" w:rsidRPr="362AE1B4">
        <w:rPr>
          <w:rFonts w:ascii="Arial" w:hAnsi="Arial" w:cs="Arial"/>
          <w:b/>
          <w:bCs/>
          <w:color w:val="000000" w:themeColor="text1"/>
          <w:sz w:val="22"/>
          <w:lang w:eastAsia="es-ES"/>
        </w:rPr>
        <w:t>publicables</w:t>
      </w:r>
      <w:r w:rsidR="00584BBA" w:rsidRPr="362AE1B4">
        <w:rPr>
          <w:rFonts w:ascii="Arial" w:hAnsi="Arial" w:cs="Arial"/>
          <w:b/>
          <w:bCs/>
          <w:color w:val="000000" w:themeColor="text1"/>
          <w:sz w:val="22"/>
          <w:lang w:eastAsia="es-ES"/>
        </w:rPr>
        <w:t xml:space="preserve"> </w:t>
      </w:r>
      <w:r w:rsidR="007F4DAC" w:rsidRPr="362AE1B4">
        <w:rPr>
          <w:rFonts w:ascii="Arial" w:eastAsia="Calibri" w:hAnsi="Arial" w:cs="Arial"/>
          <w:b/>
          <w:bCs/>
          <w:color w:val="000000" w:themeColor="text1"/>
          <w:sz w:val="22"/>
        </w:rPr>
        <w:t xml:space="preserve">– </w:t>
      </w:r>
      <w:r w:rsidR="007F4DAC" w:rsidRPr="362AE1B4">
        <w:rPr>
          <w:rFonts w:ascii="Arial" w:hAnsi="Arial" w:cs="Arial"/>
          <w:b/>
          <w:bCs/>
          <w:color w:val="000000" w:themeColor="text1"/>
          <w:sz w:val="22"/>
          <w:lang w:eastAsia="es-ES"/>
        </w:rPr>
        <w:t>E</w:t>
      </w:r>
      <w:r w:rsidR="00584BBA" w:rsidRPr="362AE1B4">
        <w:rPr>
          <w:rFonts w:ascii="Arial" w:hAnsi="Arial" w:cs="Arial"/>
          <w:b/>
          <w:bCs/>
          <w:color w:val="000000" w:themeColor="text1"/>
          <w:sz w:val="22"/>
          <w:lang w:eastAsia="es-ES"/>
        </w:rPr>
        <w:t xml:space="preserve">jecución del contrato </w:t>
      </w:r>
      <w:r w:rsidR="001A4434" w:rsidRPr="362AE1B4">
        <w:rPr>
          <w:rFonts w:ascii="Arial" w:eastAsia="Calibri" w:hAnsi="Arial" w:cs="Arial"/>
          <w:b/>
          <w:bCs/>
          <w:color w:val="000000" w:themeColor="text1"/>
          <w:sz w:val="22"/>
        </w:rPr>
        <w:t>–</w:t>
      </w:r>
      <w:r w:rsidR="00AA19FB" w:rsidRPr="362AE1B4">
        <w:rPr>
          <w:rFonts w:ascii="Arial" w:hAnsi="Arial" w:cs="Arial"/>
          <w:b/>
          <w:bCs/>
          <w:color w:val="000000" w:themeColor="text1"/>
          <w:sz w:val="22"/>
          <w:lang w:eastAsia="es-ES"/>
        </w:rPr>
        <w:t xml:space="preserve"> </w:t>
      </w:r>
      <w:r w:rsidR="6D087928" w:rsidRPr="362AE1B4">
        <w:rPr>
          <w:rFonts w:ascii="Arial" w:hAnsi="Arial" w:cs="Arial"/>
          <w:b/>
          <w:bCs/>
          <w:color w:val="000000" w:themeColor="text1"/>
          <w:sz w:val="22"/>
          <w:lang w:eastAsia="es-ES"/>
        </w:rPr>
        <w:t xml:space="preserve">Publicidad – </w:t>
      </w:r>
      <w:r w:rsidR="00AA19FB" w:rsidRPr="362AE1B4">
        <w:rPr>
          <w:rFonts w:ascii="Arial" w:hAnsi="Arial" w:cs="Arial"/>
          <w:b/>
          <w:bCs/>
          <w:color w:val="000000" w:themeColor="text1"/>
          <w:sz w:val="22"/>
          <w:lang w:eastAsia="es-ES"/>
        </w:rPr>
        <w:t>Térm</w:t>
      </w:r>
      <w:r w:rsidR="00584BBA" w:rsidRPr="362AE1B4">
        <w:rPr>
          <w:rFonts w:ascii="Arial" w:hAnsi="Arial" w:cs="Arial"/>
          <w:b/>
          <w:bCs/>
          <w:color w:val="000000" w:themeColor="text1"/>
          <w:sz w:val="22"/>
          <w:lang w:eastAsia="es-ES"/>
        </w:rPr>
        <w:t xml:space="preserve">ino </w:t>
      </w:r>
    </w:p>
    <w:p w14:paraId="12D25AD4" w14:textId="77777777" w:rsidR="004C690D" w:rsidRPr="007408D3" w:rsidRDefault="004C690D" w:rsidP="001A4434">
      <w:pPr>
        <w:jc w:val="both"/>
        <w:rPr>
          <w:rFonts w:ascii="Arial" w:hAnsi="Arial" w:cs="Arial"/>
          <w:color w:val="000000" w:themeColor="text1"/>
          <w:sz w:val="20"/>
          <w:szCs w:val="20"/>
          <w:lang w:eastAsia="es-ES"/>
        </w:rPr>
      </w:pPr>
    </w:p>
    <w:p w14:paraId="0279EECA" w14:textId="77777777" w:rsidR="00B76BF5" w:rsidRDefault="0044156F" w:rsidP="00B76BF5">
      <w:pPr>
        <w:spacing w:after="120"/>
        <w:jc w:val="both"/>
        <w:rPr>
          <w:rFonts w:ascii="Arial" w:hAnsi="Arial" w:cs="Arial"/>
          <w:color w:val="000000" w:themeColor="text1"/>
          <w:sz w:val="20"/>
          <w:szCs w:val="20"/>
          <w:lang w:eastAsia="es-ES"/>
        </w:rPr>
      </w:pPr>
      <w:r w:rsidRPr="007408D3">
        <w:rPr>
          <w:rFonts w:ascii="Arial" w:hAnsi="Arial" w:cs="Arial"/>
          <w:color w:val="000000" w:themeColor="text1"/>
          <w:sz w:val="20"/>
          <w:szCs w:val="20"/>
          <w:lang w:eastAsia="es-ES"/>
        </w:rPr>
        <w:t>De la interpretación sistemática de los preceptos normativos del Decreto 1082 de 2015 en mención, se entiende que las entidades estatales tienen la obligación de publicar en el SECOP todos los documentos expedidos con ocasión del «proceso de contratación», esto es, desde su fase de planeación, con la condensación en los estudios previos hasta «el vencimiento de las garantías de calidad, estabilidad y mantenimiento, o las condiciones de disposición final o recuperación ambiental de las obras o bienes o el vencimiento del plazo, lo que ocurra más tarde». En la etapa límite hasta la cual deben publicarse los documentos del proceso claramente queda contemplada la fase de ejecución del contrato.</w:t>
      </w:r>
    </w:p>
    <w:p w14:paraId="2AF33FD9" w14:textId="79E1B2B2" w:rsidR="004C690D" w:rsidRPr="007408D3" w:rsidRDefault="0044156F" w:rsidP="001A4434">
      <w:pPr>
        <w:jc w:val="both"/>
        <w:rPr>
          <w:rFonts w:ascii="Arial" w:hAnsi="Arial" w:cs="Arial"/>
          <w:color w:val="000000" w:themeColor="text1"/>
          <w:sz w:val="20"/>
          <w:szCs w:val="20"/>
          <w:lang w:eastAsia="es-ES"/>
        </w:rPr>
      </w:pPr>
      <w:r w:rsidRPr="007408D3">
        <w:rPr>
          <w:rFonts w:ascii="Arial" w:hAnsi="Arial" w:cs="Arial"/>
          <w:color w:val="000000" w:themeColor="text1"/>
          <w:sz w:val="20"/>
          <w:szCs w:val="20"/>
          <w:lang w:eastAsia="es-ES"/>
        </w:rPr>
        <w:t>En conclusión, sin perjuicio de las obligaciones contempladas en la Ley 1712 de 2014 y conforme a lo preceptuado en el Decreto 1082 de 2015, las entidades estatales, particularmente aquellas que se rigen por el EGCAP, tienen la obligación de publicar en el SECOP, todos los «documentos del proceso», lo que incluye los documentos proferidos durante el período de ejecución del negocio jurídico; obligación que debe cumplirse dentro de los tres (3) días siguientes a la expedición y/o producción del documento</w:t>
      </w:r>
      <w:r w:rsidR="00C75BF4" w:rsidRPr="007408D3">
        <w:rPr>
          <w:rFonts w:ascii="Arial" w:hAnsi="Arial" w:cs="Arial"/>
          <w:color w:val="000000" w:themeColor="text1"/>
          <w:sz w:val="20"/>
          <w:szCs w:val="20"/>
          <w:lang w:eastAsia="es-ES"/>
        </w:rPr>
        <w:t>.</w:t>
      </w:r>
    </w:p>
    <w:bookmarkEnd w:id="0"/>
    <w:bookmarkEnd w:id="1"/>
    <w:p w14:paraId="52D0AF4C" w14:textId="77777777" w:rsidR="003800FE" w:rsidRPr="00B76BF5" w:rsidRDefault="003800FE" w:rsidP="003800FE">
      <w:pPr>
        <w:spacing w:line="276" w:lineRule="auto"/>
        <w:jc w:val="both"/>
        <w:rPr>
          <w:rFonts w:ascii="Arial" w:hAnsi="Arial" w:cs="Arial"/>
          <w:color w:val="000000" w:themeColor="text1"/>
          <w:sz w:val="20"/>
          <w:szCs w:val="20"/>
        </w:rPr>
      </w:pPr>
    </w:p>
    <w:p w14:paraId="30C616D2" w14:textId="77777777" w:rsidR="00B52134" w:rsidRPr="00B76BF5" w:rsidRDefault="00B52134" w:rsidP="00B52134">
      <w:pPr>
        <w:pStyle w:val="Default"/>
        <w:rPr>
          <w:color w:val="000000" w:themeColor="text1"/>
          <w:sz w:val="20"/>
          <w:szCs w:val="20"/>
        </w:rPr>
      </w:pPr>
    </w:p>
    <w:p w14:paraId="3A664B2F" w14:textId="0E5C3580" w:rsidR="00B52134" w:rsidRPr="007408D3" w:rsidRDefault="00B52134" w:rsidP="00B52134">
      <w:pPr>
        <w:pStyle w:val="Default"/>
        <w:rPr>
          <w:color w:val="000000" w:themeColor="text1"/>
          <w:sz w:val="22"/>
          <w:szCs w:val="22"/>
        </w:rPr>
      </w:pPr>
      <w:r w:rsidRPr="007408D3">
        <w:rPr>
          <w:color w:val="000000" w:themeColor="text1"/>
          <w:sz w:val="22"/>
          <w:szCs w:val="22"/>
        </w:rPr>
        <w:t xml:space="preserve">Bogotá D.C., </w:t>
      </w:r>
      <w:r w:rsidRPr="007408D3">
        <w:rPr>
          <w:b/>
          <w:bCs/>
          <w:color w:val="000000" w:themeColor="text1"/>
          <w:sz w:val="22"/>
          <w:szCs w:val="22"/>
        </w:rPr>
        <w:t xml:space="preserve">17/03/2020 Hora 13:40:58s </w:t>
      </w:r>
    </w:p>
    <w:p w14:paraId="79491FC4" w14:textId="015F1C33" w:rsidR="003800FE" w:rsidRPr="007408D3" w:rsidRDefault="00B52134" w:rsidP="00B52134">
      <w:pPr>
        <w:spacing w:line="276" w:lineRule="auto"/>
        <w:jc w:val="right"/>
        <w:rPr>
          <w:rFonts w:ascii="Arial" w:eastAsia="Calibri" w:hAnsi="Arial" w:cs="Arial"/>
          <w:color w:val="000000" w:themeColor="text1"/>
          <w:sz w:val="22"/>
        </w:rPr>
      </w:pPr>
      <w:r w:rsidRPr="007408D3">
        <w:rPr>
          <w:rFonts w:ascii="Arial" w:hAnsi="Arial" w:cs="Arial"/>
          <w:b/>
          <w:bCs/>
          <w:color w:val="000000" w:themeColor="text1"/>
          <w:sz w:val="22"/>
        </w:rPr>
        <w:t>N° Radicado: 2202013000001975</w:t>
      </w:r>
    </w:p>
    <w:p w14:paraId="05549094" w14:textId="77777777" w:rsidR="003800FE" w:rsidRPr="007408D3" w:rsidRDefault="003800FE" w:rsidP="003800FE">
      <w:pPr>
        <w:spacing w:line="276" w:lineRule="auto"/>
        <w:rPr>
          <w:rFonts w:ascii="Arial" w:eastAsia="Calibri" w:hAnsi="Arial" w:cs="Arial"/>
          <w:color w:val="000000" w:themeColor="text1"/>
          <w:sz w:val="22"/>
        </w:rPr>
      </w:pPr>
      <w:r w:rsidRPr="007408D3">
        <w:rPr>
          <w:rFonts w:ascii="Arial" w:eastAsia="Calibri" w:hAnsi="Arial" w:cs="Arial"/>
          <w:color w:val="000000" w:themeColor="text1"/>
          <w:sz w:val="22"/>
        </w:rPr>
        <w:t>Señora</w:t>
      </w:r>
    </w:p>
    <w:p w14:paraId="183B204F" w14:textId="77777777" w:rsidR="003800FE" w:rsidRPr="007408D3" w:rsidRDefault="003800FE" w:rsidP="003800FE">
      <w:pPr>
        <w:spacing w:line="276" w:lineRule="auto"/>
        <w:rPr>
          <w:rFonts w:ascii="Arial" w:eastAsia="Calibri" w:hAnsi="Arial" w:cs="Arial"/>
          <w:b/>
          <w:color w:val="000000" w:themeColor="text1"/>
          <w:sz w:val="22"/>
        </w:rPr>
      </w:pPr>
      <w:r w:rsidRPr="007408D3">
        <w:rPr>
          <w:rFonts w:ascii="Arial" w:eastAsia="Calibri" w:hAnsi="Arial" w:cs="Arial"/>
          <w:b/>
          <w:color w:val="000000" w:themeColor="text1"/>
          <w:sz w:val="22"/>
        </w:rPr>
        <w:t>BRIGGITTE YULIANA SUÁREZ VICTORIA</w:t>
      </w:r>
    </w:p>
    <w:p w14:paraId="2F53466D" w14:textId="77777777" w:rsidR="003800FE" w:rsidRPr="007408D3" w:rsidRDefault="003800FE" w:rsidP="003800FE">
      <w:pPr>
        <w:spacing w:line="276" w:lineRule="auto"/>
        <w:rPr>
          <w:rFonts w:ascii="Arial" w:eastAsia="Calibri" w:hAnsi="Arial" w:cs="Arial"/>
          <w:color w:val="000000" w:themeColor="text1"/>
          <w:sz w:val="22"/>
        </w:rPr>
      </w:pPr>
      <w:r w:rsidRPr="007408D3">
        <w:rPr>
          <w:rFonts w:ascii="Arial" w:eastAsia="Calibri" w:hAnsi="Arial" w:cs="Arial"/>
          <w:color w:val="000000" w:themeColor="text1"/>
          <w:sz w:val="22"/>
        </w:rPr>
        <w:t>Cali – Valle del Cauca</w:t>
      </w:r>
    </w:p>
    <w:p w14:paraId="28C18144" w14:textId="77777777" w:rsidR="003800FE" w:rsidRPr="007408D3" w:rsidRDefault="003800FE" w:rsidP="003800FE">
      <w:pPr>
        <w:spacing w:line="276" w:lineRule="auto"/>
        <w:jc w:val="center"/>
        <w:rPr>
          <w:rFonts w:ascii="Arial" w:eastAsia="Calibri" w:hAnsi="Arial" w:cs="Arial"/>
          <w:b/>
          <w:color w:val="000000" w:themeColor="text1"/>
          <w:sz w:val="22"/>
        </w:rPr>
      </w:pPr>
      <w:r w:rsidRPr="007408D3">
        <w:rPr>
          <w:rFonts w:ascii="Arial" w:eastAsia="Calibri" w:hAnsi="Arial" w:cs="Arial"/>
          <w:b/>
          <w:color w:val="000000" w:themeColor="text1"/>
          <w:sz w:val="22"/>
        </w:rPr>
        <w:t>Concepto C ─ 197 de 2020</w:t>
      </w:r>
    </w:p>
    <w:p w14:paraId="2288D3FD" w14:textId="77777777" w:rsidR="003800FE" w:rsidRPr="007408D3" w:rsidRDefault="003800FE" w:rsidP="003800FE">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408D3" w:rsidRPr="007408D3" w14:paraId="6426B0DE" w14:textId="77777777" w:rsidTr="00EE59E2">
        <w:tc>
          <w:tcPr>
            <w:tcW w:w="2689" w:type="dxa"/>
            <w:hideMark/>
          </w:tcPr>
          <w:p w14:paraId="763952EB" w14:textId="77777777" w:rsidR="003800FE" w:rsidRPr="007408D3" w:rsidRDefault="003800FE" w:rsidP="00EE59E2">
            <w:pPr>
              <w:spacing w:line="276" w:lineRule="auto"/>
              <w:rPr>
                <w:rFonts w:ascii="Arial" w:eastAsia="Calibri" w:hAnsi="Arial" w:cs="Arial"/>
                <w:color w:val="000000" w:themeColor="text1"/>
                <w:sz w:val="22"/>
              </w:rPr>
            </w:pPr>
            <w:r w:rsidRPr="007408D3">
              <w:rPr>
                <w:rFonts w:ascii="Arial" w:eastAsia="Calibri" w:hAnsi="Arial" w:cs="Arial"/>
                <w:b/>
                <w:color w:val="000000" w:themeColor="text1"/>
                <w:sz w:val="22"/>
              </w:rPr>
              <w:t>Temas:</w:t>
            </w:r>
            <w:r w:rsidRPr="007408D3">
              <w:rPr>
                <w:rFonts w:ascii="Arial" w:eastAsia="Calibri" w:hAnsi="Arial" w:cs="Arial"/>
                <w:color w:val="000000" w:themeColor="text1"/>
                <w:sz w:val="22"/>
              </w:rPr>
              <w:t xml:space="preserve">           </w:t>
            </w:r>
          </w:p>
          <w:p w14:paraId="102F028D" w14:textId="77777777" w:rsidR="003800FE" w:rsidRPr="007408D3" w:rsidRDefault="003800FE" w:rsidP="00EE59E2">
            <w:pPr>
              <w:spacing w:line="276" w:lineRule="auto"/>
              <w:rPr>
                <w:rFonts w:ascii="Arial" w:eastAsia="Calibri" w:hAnsi="Arial" w:cs="Arial"/>
                <w:color w:val="000000" w:themeColor="text1"/>
                <w:sz w:val="22"/>
              </w:rPr>
            </w:pPr>
            <w:r w:rsidRPr="007408D3">
              <w:rPr>
                <w:rFonts w:ascii="Arial" w:eastAsia="Calibri" w:hAnsi="Arial" w:cs="Arial"/>
                <w:color w:val="000000" w:themeColor="text1"/>
                <w:sz w:val="22"/>
              </w:rPr>
              <w:t xml:space="preserve">                           </w:t>
            </w:r>
          </w:p>
        </w:tc>
        <w:tc>
          <w:tcPr>
            <w:tcW w:w="6237" w:type="dxa"/>
            <w:hideMark/>
          </w:tcPr>
          <w:p w14:paraId="76819464" w14:textId="6789AACB" w:rsidR="003800FE" w:rsidRPr="007408D3" w:rsidRDefault="003800FE" w:rsidP="00EE59E2">
            <w:pPr>
              <w:spacing w:line="276" w:lineRule="auto"/>
              <w:jc w:val="both"/>
              <w:rPr>
                <w:rFonts w:ascii="Arial" w:hAnsi="Arial" w:cs="Arial"/>
                <w:b/>
                <w:bCs/>
                <w:color w:val="000000" w:themeColor="text1"/>
                <w:sz w:val="22"/>
                <w:lang w:eastAsia="es-ES"/>
              </w:rPr>
            </w:pPr>
            <w:r w:rsidRPr="007408D3">
              <w:rPr>
                <w:rFonts w:ascii="Arial" w:eastAsia="Calibri" w:hAnsi="Arial" w:cs="Arial"/>
                <w:color w:val="000000" w:themeColor="text1"/>
                <w:sz w:val="22"/>
              </w:rPr>
              <w:t>SECOP ─ Publicidad ─ Reiteración de Concepto unificado CU─003 de 2020 / ACCESO A LA INFORMACIÓN PÚBLICA ─</w:t>
            </w:r>
            <w:r w:rsidR="007F4DAC">
              <w:rPr>
                <w:rFonts w:ascii="Arial" w:eastAsia="Calibri" w:hAnsi="Arial" w:cs="Arial"/>
                <w:color w:val="000000" w:themeColor="text1"/>
                <w:sz w:val="22"/>
              </w:rPr>
              <w:t xml:space="preserve"> </w:t>
            </w:r>
            <w:r w:rsidR="007F4DAC" w:rsidRPr="007F4DAC">
              <w:rPr>
                <w:rFonts w:ascii="Arial" w:eastAsia="Calibri" w:hAnsi="Arial" w:cs="Arial"/>
                <w:color w:val="000000" w:themeColor="text1"/>
                <w:sz w:val="22"/>
              </w:rPr>
              <w:t>Derecho –</w:t>
            </w:r>
            <w:r w:rsidRPr="007F4DAC">
              <w:rPr>
                <w:rFonts w:ascii="Arial" w:eastAsia="Calibri" w:hAnsi="Arial" w:cs="Arial"/>
                <w:color w:val="000000" w:themeColor="text1"/>
                <w:sz w:val="22"/>
              </w:rPr>
              <w:t xml:space="preserve"> Principio de máxima publicidad ─ Principio de transparencia / </w:t>
            </w:r>
            <w:r w:rsidRPr="007F4DAC">
              <w:rPr>
                <w:rFonts w:ascii="Arial" w:hAnsi="Arial" w:cs="Arial"/>
                <w:color w:val="000000" w:themeColor="text1"/>
                <w:sz w:val="22"/>
                <w:lang w:eastAsia="es-ES"/>
              </w:rPr>
              <w:t xml:space="preserve">SECOP ─ Sujetos obligados ─ Publicación de los documentos de la ejecución del contrato / SECOP ─ Documentos del Proceso ─ Proceso de contratación / SECOP ─ Documentos a publicar </w:t>
            </w:r>
            <w:r w:rsidR="007F4DAC" w:rsidRPr="007F4DAC">
              <w:rPr>
                <w:rFonts w:ascii="Arial" w:eastAsia="Calibri" w:hAnsi="Arial" w:cs="Arial"/>
                <w:color w:val="000000" w:themeColor="text1"/>
                <w:sz w:val="22"/>
              </w:rPr>
              <w:t>– E</w:t>
            </w:r>
            <w:r w:rsidRPr="007F4DAC">
              <w:rPr>
                <w:rFonts w:ascii="Arial" w:hAnsi="Arial" w:cs="Arial"/>
                <w:color w:val="000000" w:themeColor="text1"/>
                <w:sz w:val="22"/>
                <w:lang w:eastAsia="es-ES"/>
              </w:rPr>
              <w:t>jecución</w:t>
            </w:r>
            <w:r w:rsidRPr="007408D3">
              <w:rPr>
                <w:rFonts w:ascii="Arial" w:hAnsi="Arial" w:cs="Arial"/>
                <w:color w:val="000000" w:themeColor="text1"/>
                <w:sz w:val="22"/>
                <w:lang w:eastAsia="es-ES"/>
              </w:rPr>
              <w:t xml:space="preserve"> del contrato ─ Término para publicar</w:t>
            </w:r>
          </w:p>
        </w:tc>
      </w:tr>
      <w:tr w:rsidR="003800FE" w:rsidRPr="007408D3" w14:paraId="4CB097A9" w14:textId="77777777" w:rsidTr="00EE59E2">
        <w:tc>
          <w:tcPr>
            <w:tcW w:w="2689" w:type="dxa"/>
          </w:tcPr>
          <w:p w14:paraId="3B5C2E42" w14:textId="77777777" w:rsidR="003800FE" w:rsidRPr="007408D3" w:rsidRDefault="003800FE" w:rsidP="00EE59E2">
            <w:pPr>
              <w:spacing w:line="276" w:lineRule="auto"/>
              <w:rPr>
                <w:rFonts w:ascii="Arial" w:eastAsia="Calibri" w:hAnsi="Arial" w:cs="Arial"/>
                <w:b/>
                <w:color w:val="000000" w:themeColor="text1"/>
                <w:sz w:val="22"/>
              </w:rPr>
            </w:pPr>
            <w:r w:rsidRPr="007408D3">
              <w:rPr>
                <w:rFonts w:ascii="Arial" w:eastAsia="Calibri" w:hAnsi="Arial" w:cs="Arial"/>
                <w:b/>
                <w:color w:val="000000" w:themeColor="text1"/>
                <w:sz w:val="22"/>
              </w:rPr>
              <w:t>Radicación:</w:t>
            </w:r>
            <w:r w:rsidRPr="007408D3">
              <w:rPr>
                <w:rFonts w:ascii="Arial" w:eastAsia="Calibri" w:hAnsi="Arial" w:cs="Arial"/>
                <w:color w:val="000000" w:themeColor="text1"/>
                <w:sz w:val="22"/>
              </w:rPr>
              <w:t xml:space="preserve">                              </w:t>
            </w:r>
          </w:p>
        </w:tc>
        <w:tc>
          <w:tcPr>
            <w:tcW w:w="6237" w:type="dxa"/>
          </w:tcPr>
          <w:p w14:paraId="5A676C3F" w14:textId="77777777" w:rsidR="003800FE" w:rsidRPr="007408D3" w:rsidRDefault="003800FE" w:rsidP="00EE59E2">
            <w:pPr>
              <w:spacing w:line="276" w:lineRule="auto"/>
              <w:jc w:val="both"/>
              <w:rPr>
                <w:rFonts w:ascii="Arial" w:eastAsia="Calibri" w:hAnsi="Arial" w:cs="Arial"/>
                <w:color w:val="000000" w:themeColor="text1"/>
                <w:sz w:val="22"/>
              </w:rPr>
            </w:pPr>
            <w:r w:rsidRPr="007408D3">
              <w:rPr>
                <w:rFonts w:ascii="Arial" w:eastAsia="Calibri" w:hAnsi="Arial" w:cs="Arial"/>
                <w:color w:val="000000" w:themeColor="text1"/>
                <w:sz w:val="22"/>
              </w:rPr>
              <w:t>Respuesta a consulta # 4202012000001542</w:t>
            </w:r>
          </w:p>
        </w:tc>
      </w:tr>
    </w:tbl>
    <w:p w14:paraId="2DB70204" w14:textId="77777777" w:rsidR="003800FE" w:rsidRPr="007408D3" w:rsidRDefault="003800FE" w:rsidP="003800FE">
      <w:pPr>
        <w:spacing w:line="276" w:lineRule="auto"/>
        <w:rPr>
          <w:rFonts w:ascii="Arial" w:eastAsia="Calibri" w:hAnsi="Arial" w:cs="Arial"/>
          <w:color w:val="000000" w:themeColor="text1"/>
          <w:sz w:val="22"/>
        </w:rPr>
      </w:pPr>
    </w:p>
    <w:p w14:paraId="60D52233" w14:textId="77777777" w:rsidR="003800FE" w:rsidRPr="007408D3" w:rsidRDefault="003800FE" w:rsidP="003800FE">
      <w:pPr>
        <w:spacing w:line="276" w:lineRule="auto"/>
        <w:rPr>
          <w:rFonts w:ascii="Arial" w:eastAsia="Calibri" w:hAnsi="Arial" w:cs="Arial"/>
          <w:color w:val="000000" w:themeColor="text1"/>
          <w:sz w:val="22"/>
        </w:rPr>
      </w:pPr>
    </w:p>
    <w:p w14:paraId="6B8DFB0E" w14:textId="77777777" w:rsidR="003800FE" w:rsidRPr="007408D3" w:rsidRDefault="003800FE" w:rsidP="003800FE">
      <w:pPr>
        <w:spacing w:line="276" w:lineRule="auto"/>
        <w:rPr>
          <w:rFonts w:ascii="Arial" w:eastAsia="Calibri" w:hAnsi="Arial" w:cs="Arial"/>
          <w:color w:val="000000" w:themeColor="text1"/>
          <w:sz w:val="22"/>
        </w:rPr>
      </w:pPr>
      <w:r w:rsidRPr="007408D3">
        <w:rPr>
          <w:rFonts w:ascii="Arial" w:eastAsia="Calibri" w:hAnsi="Arial" w:cs="Arial"/>
          <w:color w:val="000000" w:themeColor="text1"/>
          <w:sz w:val="22"/>
        </w:rPr>
        <w:t>Estimada señora Suárez,</w:t>
      </w:r>
    </w:p>
    <w:p w14:paraId="40E543F1" w14:textId="77777777" w:rsidR="003800FE" w:rsidRPr="007408D3" w:rsidRDefault="003800FE" w:rsidP="003800FE">
      <w:pPr>
        <w:spacing w:line="276" w:lineRule="auto"/>
        <w:rPr>
          <w:rFonts w:ascii="Arial" w:eastAsia="Calibri" w:hAnsi="Arial" w:cs="Arial"/>
          <w:color w:val="000000" w:themeColor="text1"/>
          <w:sz w:val="22"/>
        </w:rPr>
      </w:pPr>
    </w:p>
    <w:p w14:paraId="366C5822" w14:textId="77777777" w:rsidR="003800FE" w:rsidRPr="007408D3" w:rsidRDefault="003800FE" w:rsidP="003800FE">
      <w:pPr>
        <w:spacing w:line="276" w:lineRule="auto"/>
        <w:ind w:right="51"/>
        <w:jc w:val="both"/>
        <w:rPr>
          <w:rFonts w:ascii="Arial" w:eastAsia="Calibri" w:hAnsi="Arial" w:cs="Arial"/>
          <w:color w:val="000000" w:themeColor="text1"/>
          <w:sz w:val="22"/>
        </w:rPr>
      </w:pPr>
      <w:r w:rsidRPr="007408D3">
        <w:rPr>
          <w:rFonts w:ascii="Arial" w:eastAsia="Calibri" w:hAnsi="Arial" w:cs="Arial"/>
          <w:color w:val="000000" w:themeColor="text1"/>
          <w:sz w:val="22"/>
        </w:rPr>
        <w:lastRenderedPageBreak/>
        <w:t xml:space="preserve">La Agencia Nacional de Contratación Pública ―Colombia Compra Eficiente― responde su consulta del 28 de febrero de 2020, en ejercicio de la competencia otorgada por el numeral 8 del artículo 11 y el numeral 5 del artículo 3 del Decreto Ley 4170 de 2011. </w:t>
      </w:r>
    </w:p>
    <w:p w14:paraId="757DD32F" w14:textId="77777777" w:rsidR="003800FE" w:rsidRPr="007408D3" w:rsidRDefault="003800FE" w:rsidP="003800FE">
      <w:pPr>
        <w:spacing w:line="276" w:lineRule="auto"/>
        <w:jc w:val="both"/>
        <w:rPr>
          <w:rFonts w:ascii="Arial" w:eastAsia="Calibri" w:hAnsi="Arial" w:cs="Arial"/>
          <w:color w:val="000000" w:themeColor="text1"/>
          <w:sz w:val="22"/>
        </w:rPr>
      </w:pPr>
    </w:p>
    <w:p w14:paraId="771BB32C" w14:textId="77777777" w:rsidR="003800FE" w:rsidRPr="007408D3" w:rsidRDefault="003800FE" w:rsidP="003800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7408D3">
        <w:rPr>
          <w:rFonts w:ascii="Arial" w:eastAsia="Calibri" w:hAnsi="Arial" w:cs="Arial"/>
          <w:b/>
          <w:color w:val="000000" w:themeColor="text1"/>
          <w:sz w:val="22"/>
        </w:rPr>
        <w:t xml:space="preserve">Problemas planteados </w:t>
      </w:r>
    </w:p>
    <w:p w14:paraId="7CB59DFC" w14:textId="77777777" w:rsidR="003800FE" w:rsidRPr="007408D3" w:rsidRDefault="003800FE" w:rsidP="003800FE">
      <w:pPr>
        <w:tabs>
          <w:tab w:val="left" w:pos="426"/>
        </w:tabs>
        <w:spacing w:line="276" w:lineRule="auto"/>
        <w:jc w:val="both"/>
        <w:rPr>
          <w:rFonts w:ascii="Arial" w:eastAsia="Calibri" w:hAnsi="Arial" w:cs="Arial"/>
          <w:b/>
          <w:color w:val="000000" w:themeColor="text1"/>
          <w:sz w:val="22"/>
        </w:rPr>
      </w:pPr>
    </w:p>
    <w:p w14:paraId="5E7AC841" w14:textId="77777777" w:rsidR="003800FE" w:rsidRPr="007408D3" w:rsidRDefault="003800FE" w:rsidP="003800FE">
      <w:pPr>
        <w:tabs>
          <w:tab w:val="left" w:pos="426"/>
        </w:tabs>
        <w:spacing w:line="276" w:lineRule="auto"/>
        <w:jc w:val="both"/>
        <w:rPr>
          <w:rFonts w:ascii="Arial" w:eastAsia="Calibri" w:hAnsi="Arial" w:cs="Arial"/>
          <w:color w:val="000000" w:themeColor="text1"/>
          <w:sz w:val="22"/>
        </w:rPr>
      </w:pPr>
      <w:r w:rsidRPr="007408D3">
        <w:rPr>
          <w:rFonts w:ascii="Arial" w:eastAsia="Calibri" w:hAnsi="Arial" w:cs="Arial"/>
          <w:color w:val="000000" w:themeColor="text1"/>
          <w:sz w:val="22"/>
        </w:rPr>
        <w:t>Usted realiza las siguientes preguntas: i) ¿Los documentos generados durante la ejecución contractual tienen un plazo para su publicación?; y, ii) ¿Cuáles se deben publicar durante la ejecución contractual?</w:t>
      </w:r>
    </w:p>
    <w:p w14:paraId="27613B42" w14:textId="77777777" w:rsidR="003800FE" w:rsidRPr="007408D3" w:rsidRDefault="003800FE" w:rsidP="003800FE">
      <w:pPr>
        <w:tabs>
          <w:tab w:val="left" w:pos="426"/>
        </w:tabs>
        <w:spacing w:line="276" w:lineRule="auto"/>
        <w:jc w:val="both"/>
        <w:rPr>
          <w:rFonts w:ascii="Arial" w:eastAsia="Calibri" w:hAnsi="Arial" w:cs="Arial"/>
          <w:color w:val="000000" w:themeColor="text1"/>
          <w:sz w:val="22"/>
        </w:rPr>
      </w:pPr>
    </w:p>
    <w:p w14:paraId="582B1E0E" w14:textId="77777777" w:rsidR="003800FE" w:rsidRPr="007408D3" w:rsidRDefault="003800FE" w:rsidP="003800FE">
      <w:pPr>
        <w:pStyle w:val="Prrafodelista"/>
        <w:numPr>
          <w:ilvl w:val="0"/>
          <w:numId w:val="6"/>
        </w:numPr>
        <w:tabs>
          <w:tab w:val="left" w:pos="426"/>
        </w:tabs>
        <w:spacing w:before="120" w:after="120" w:line="276" w:lineRule="auto"/>
        <w:ind w:left="284" w:hanging="284"/>
        <w:jc w:val="both"/>
        <w:rPr>
          <w:rFonts w:ascii="Arial" w:eastAsia="Calibri" w:hAnsi="Arial" w:cs="Arial"/>
          <w:b/>
          <w:color w:val="000000" w:themeColor="text1"/>
          <w:sz w:val="22"/>
        </w:rPr>
      </w:pPr>
      <w:r w:rsidRPr="007408D3">
        <w:rPr>
          <w:rFonts w:ascii="Arial" w:eastAsia="Calibri" w:hAnsi="Arial" w:cs="Arial"/>
          <w:b/>
          <w:color w:val="000000" w:themeColor="text1"/>
          <w:sz w:val="22"/>
        </w:rPr>
        <w:t>Consideraciones</w:t>
      </w:r>
    </w:p>
    <w:p w14:paraId="092CD914" w14:textId="77777777" w:rsidR="003800FE" w:rsidRPr="007408D3" w:rsidRDefault="003800FE" w:rsidP="003800FE">
      <w:pPr>
        <w:spacing w:before="120" w:line="276" w:lineRule="auto"/>
        <w:jc w:val="both"/>
        <w:rPr>
          <w:rFonts w:ascii="Arial" w:eastAsia="Calibri" w:hAnsi="Arial" w:cs="Arial"/>
          <w:bCs/>
          <w:color w:val="000000" w:themeColor="text1"/>
          <w:sz w:val="22"/>
        </w:rPr>
      </w:pPr>
      <w:r w:rsidRPr="007408D3">
        <w:rPr>
          <w:rFonts w:ascii="Arial" w:eastAsia="Calibri" w:hAnsi="Arial" w:cs="Arial"/>
          <w:bCs/>
          <w:color w:val="000000" w:themeColor="text1"/>
          <w:sz w:val="22"/>
        </w:rPr>
        <w:t xml:space="preserve">La Agencia Nacional de Contratación Pública estudió por primera vez este tema en la consulta No. 4201913000005397 del 9 de agosto de 2019, y reiteró la posición en las siguientes consultas: 4201912000006611 del 25 de septiembre de 2019, </w:t>
      </w:r>
      <w:r w:rsidRPr="007408D3">
        <w:rPr>
          <w:rFonts w:ascii="Arial" w:hAnsi="Arial" w:cs="Arial"/>
          <w:color w:val="000000" w:themeColor="text1"/>
          <w:sz w:val="22"/>
        </w:rPr>
        <w:t xml:space="preserve">4201913000006847 del 4 de octubre de 2019, </w:t>
      </w:r>
      <w:r w:rsidRPr="007408D3">
        <w:rPr>
          <w:rFonts w:ascii="Arial" w:eastAsia="Calibri" w:hAnsi="Arial" w:cs="Arial"/>
          <w:bCs/>
          <w:color w:val="000000" w:themeColor="text1"/>
          <w:sz w:val="22"/>
        </w:rPr>
        <w:t>4201912000007762 del 18 de noviembre de 2019, y, finalmente, en la consulta 4201912000007828 del 13 de noviembre de 2019</w:t>
      </w:r>
      <w:r w:rsidRPr="007408D3">
        <w:rPr>
          <w:rFonts w:ascii="Arial" w:hAnsi="Arial" w:cs="Arial"/>
          <w:color w:val="000000" w:themeColor="text1"/>
          <w:sz w:val="22"/>
        </w:rPr>
        <w:t xml:space="preserve">. </w:t>
      </w:r>
      <w:r w:rsidRPr="007408D3">
        <w:rPr>
          <w:rFonts w:ascii="Arial" w:eastAsia="Calibri" w:hAnsi="Arial" w:cs="Arial"/>
          <w:bCs/>
          <w:color w:val="000000" w:themeColor="text1"/>
          <w:sz w:val="22"/>
        </w:rPr>
        <w:t xml:space="preserve">Todos los criterios en torno al tema planteado fueron recogidos y unificados en el concepto proferido, con ocasión de las consultas números 4201912000008073 y 420201200000029, bajo el número interno CU </w:t>
      </w:r>
      <w:r w:rsidRPr="007408D3">
        <w:rPr>
          <w:rFonts w:ascii="Arial" w:eastAsia="Calibri" w:hAnsi="Arial" w:cs="Arial"/>
          <w:b/>
          <w:color w:val="000000" w:themeColor="text1"/>
          <w:sz w:val="22"/>
        </w:rPr>
        <w:t>─</w:t>
      </w:r>
      <w:r w:rsidRPr="007408D3">
        <w:rPr>
          <w:rFonts w:ascii="Arial" w:eastAsia="Calibri" w:hAnsi="Arial" w:cs="Arial"/>
          <w:bCs/>
          <w:color w:val="000000" w:themeColor="text1"/>
          <w:sz w:val="22"/>
        </w:rPr>
        <w:t xml:space="preserve"> 003 del 15 de enero de 2020. La tesis acogida en estas consultas es la que a continuación se expone. </w:t>
      </w:r>
    </w:p>
    <w:p w14:paraId="18908D83" w14:textId="77777777" w:rsidR="003800FE" w:rsidRPr="007408D3" w:rsidRDefault="003800FE" w:rsidP="003800FE">
      <w:pPr>
        <w:tabs>
          <w:tab w:val="left" w:pos="426"/>
        </w:tabs>
        <w:spacing w:line="276" w:lineRule="auto"/>
        <w:jc w:val="both"/>
        <w:rPr>
          <w:rFonts w:ascii="Arial" w:eastAsia="Calibri" w:hAnsi="Arial" w:cs="Arial"/>
          <w:b/>
          <w:color w:val="000000" w:themeColor="text1"/>
          <w:sz w:val="22"/>
        </w:rPr>
      </w:pPr>
    </w:p>
    <w:p w14:paraId="7C91ABBC" w14:textId="77777777" w:rsidR="003800FE" w:rsidRPr="007408D3" w:rsidRDefault="003800FE" w:rsidP="003800FE">
      <w:pPr>
        <w:tabs>
          <w:tab w:val="left" w:pos="426"/>
        </w:tabs>
        <w:spacing w:line="276" w:lineRule="auto"/>
        <w:jc w:val="both"/>
        <w:rPr>
          <w:rFonts w:ascii="Arial" w:eastAsia="Calibri" w:hAnsi="Arial" w:cs="Arial"/>
          <w:b/>
          <w:color w:val="000000" w:themeColor="text1"/>
          <w:sz w:val="22"/>
        </w:rPr>
      </w:pPr>
      <w:r w:rsidRPr="007408D3">
        <w:rPr>
          <w:rFonts w:ascii="Arial" w:eastAsia="Calibri" w:hAnsi="Arial" w:cs="Arial"/>
          <w:b/>
          <w:color w:val="000000" w:themeColor="text1"/>
          <w:sz w:val="22"/>
        </w:rPr>
        <w:t>2.1. Publicidad de los contratos en el Sistema Electrónico de Contratación Pública –SECOP–</w:t>
      </w:r>
    </w:p>
    <w:p w14:paraId="7B7640A2" w14:textId="77777777" w:rsidR="003800FE" w:rsidRPr="007408D3" w:rsidRDefault="003800FE" w:rsidP="003800FE">
      <w:pPr>
        <w:spacing w:line="276" w:lineRule="auto"/>
        <w:jc w:val="both"/>
        <w:rPr>
          <w:rFonts w:ascii="Arial" w:eastAsia="Calibri" w:hAnsi="Arial" w:cs="Arial"/>
          <w:color w:val="000000" w:themeColor="text1"/>
          <w:sz w:val="22"/>
        </w:rPr>
      </w:pPr>
    </w:p>
    <w:p w14:paraId="029A7214" w14:textId="77777777" w:rsidR="003800FE" w:rsidRPr="007408D3" w:rsidRDefault="003800FE" w:rsidP="003800FE">
      <w:pPr>
        <w:spacing w:line="276" w:lineRule="auto"/>
        <w:jc w:val="both"/>
        <w:rPr>
          <w:rFonts w:ascii="Arial" w:eastAsia="Calibri" w:hAnsi="Arial" w:cs="Arial"/>
          <w:color w:val="000000" w:themeColor="text1"/>
          <w:sz w:val="22"/>
        </w:rPr>
      </w:pPr>
      <w:r w:rsidRPr="007408D3">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7A171A0A" w14:textId="77777777" w:rsidR="003800FE" w:rsidRPr="007408D3" w:rsidRDefault="003800FE" w:rsidP="003800FE">
      <w:pPr>
        <w:tabs>
          <w:tab w:val="left" w:pos="3885"/>
        </w:tabs>
        <w:ind w:left="709" w:right="709"/>
        <w:jc w:val="both"/>
        <w:rPr>
          <w:rFonts w:ascii="Arial" w:hAnsi="Arial" w:cs="Arial"/>
          <w:color w:val="000000" w:themeColor="text1"/>
          <w:sz w:val="21"/>
          <w:szCs w:val="21"/>
          <w:lang w:val="es-ES"/>
        </w:rPr>
      </w:pPr>
    </w:p>
    <w:p w14:paraId="634EFB5A" w14:textId="77777777" w:rsidR="003800FE" w:rsidRPr="007408D3" w:rsidRDefault="003800FE" w:rsidP="003800FE">
      <w:pPr>
        <w:tabs>
          <w:tab w:val="left" w:pos="3885"/>
        </w:tabs>
        <w:ind w:left="709" w:right="709"/>
        <w:jc w:val="both"/>
        <w:rPr>
          <w:rFonts w:ascii="Arial" w:hAnsi="Arial" w:cs="Arial"/>
          <w:color w:val="000000" w:themeColor="text1"/>
          <w:sz w:val="21"/>
          <w:szCs w:val="21"/>
          <w:lang w:val="es-ES"/>
        </w:rPr>
      </w:pPr>
      <w:r w:rsidRPr="007408D3">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80D9711" w14:textId="77777777" w:rsidR="003800FE" w:rsidRPr="007408D3" w:rsidRDefault="003800FE" w:rsidP="003800FE">
      <w:pPr>
        <w:tabs>
          <w:tab w:val="left" w:pos="3885"/>
        </w:tabs>
        <w:ind w:left="709" w:right="709"/>
        <w:jc w:val="both"/>
        <w:rPr>
          <w:rFonts w:ascii="Arial" w:hAnsi="Arial" w:cs="Arial"/>
          <w:color w:val="000000" w:themeColor="text1"/>
          <w:sz w:val="21"/>
          <w:szCs w:val="21"/>
          <w:lang w:val="es-ES"/>
        </w:rPr>
      </w:pPr>
    </w:p>
    <w:p w14:paraId="6C694C2D" w14:textId="77777777" w:rsidR="003800FE" w:rsidRPr="007408D3" w:rsidRDefault="003800FE" w:rsidP="003800FE">
      <w:pPr>
        <w:tabs>
          <w:tab w:val="left" w:pos="3885"/>
          <w:tab w:val="left" w:pos="8222"/>
        </w:tabs>
        <w:ind w:left="709" w:right="709"/>
        <w:jc w:val="both"/>
        <w:rPr>
          <w:rFonts w:ascii="Arial" w:hAnsi="Arial" w:cs="Arial"/>
          <w:color w:val="000000" w:themeColor="text1"/>
          <w:sz w:val="22"/>
          <w:lang w:val="es-ES"/>
        </w:rPr>
      </w:pPr>
      <w:r w:rsidRPr="007408D3">
        <w:rPr>
          <w:rFonts w:ascii="Arial" w:hAnsi="Arial" w:cs="Arial"/>
          <w:color w:val="000000" w:themeColor="text1"/>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7408D3">
        <w:rPr>
          <w:rStyle w:val="Refdenotaalpie"/>
          <w:rFonts w:ascii="Arial" w:eastAsia="Calibri" w:hAnsi="Arial" w:cs="Arial"/>
          <w:color w:val="000000" w:themeColor="text1"/>
          <w:sz w:val="21"/>
          <w:szCs w:val="21"/>
        </w:rPr>
        <w:footnoteReference w:id="1"/>
      </w:r>
      <w:r w:rsidRPr="007408D3">
        <w:rPr>
          <w:rFonts w:ascii="Arial" w:eastAsia="Calibri" w:hAnsi="Arial" w:cs="Arial"/>
          <w:color w:val="000000" w:themeColor="text1"/>
          <w:sz w:val="21"/>
          <w:szCs w:val="21"/>
        </w:rPr>
        <w:t>.</w:t>
      </w:r>
    </w:p>
    <w:p w14:paraId="1E9C54DC" w14:textId="77777777" w:rsidR="003800FE" w:rsidRPr="007408D3" w:rsidRDefault="003800FE" w:rsidP="003800FE">
      <w:pPr>
        <w:ind w:firstLine="709"/>
        <w:jc w:val="both"/>
        <w:rPr>
          <w:rFonts w:ascii="Arial" w:eastAsia="Calibri" w:hAnsi="Arial" w:cs="Arial"/>
          <w:color w:val="000000" w:themeColor="text1"/>
          <w:sz w:val="22"/>
        </w:rPr>
      </w:pPr>
    </w:p>
    <w:p w14:paraId="6E702ECC" w14:textId="77777777" w:rsidR="003800FE" w:rsidRPr="007408D3" w:rsidRDefault="003800FE" w:rsidP="003800FE">
      <w:pPr>
        <w:spacing w:after="120" w:line="276" w:lineRule="auto"/>
        <w:ind w:firstLine="709"/>
        <w:jc w:val="both"/>
        <w:rPr>
          <w:rFonts w:ascii="Arial" w:eastAsia="Calibri" w:hAnsi="Arial" w:cs="Arial"/>
          <w:color w:val="000000" w:themeColor="text1"/>
          <w:sz w:val="22"/>
        </w:rPr>
      </w:pPr>
      <w:r w:rsidRPr="007408D3">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60C02EC2" w14:textId="77777777" w:rsidR="003800FE" w:rsidRPr="007408D3" w:rsidRDefault="003800FE" w:rsidP="003800FE">
      <w:pPr>
        <w:spacing w:before="120" w:after="120" w:line="276" w:lineRule="auto"/>
        <w:ind w:firstLine="709"/>
        <w:jc w:val="both"/>
        <w:rPr>
          <w:rFonts w:ascii="Arial" w:eastAsia="Calibri" w:hAnsi="Arial" w:cs="Arial"/>
          <w:color w:val="000000" w:themeColor="text1"/>
          <w:sz w:val="22"/>
        </w:rPr>
      </w:pPr>
      <w:r w:rsidRPr="007408D3">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7408D3">
        <w:rPr>
          <w:rStyle w:val="Refdenotaalpie"/>
          <w:rFonts w:ascii="Arial" w:eastAsia="Calibri" w:hAnsi="Arial" w:cs="Arial"/>
          <w:color w:val="000000" w:themeColor="text1"/>
          <w:sz w:val="22"/>
        </w:rPr>
        <w:footnoteReference w:id="2"/>
      </w:r>
      <w:r w:rsidRPr="007408D3">
        <w:rPr>
          <w:rFonts w:ascii="Arial" w:eastAsia="Calibri" w:hAnsi="Arial" w:cs="Arial"/>
          <w:color w:val="000000" w:themeColor="text1"/>
          <w:sz w:val="22"/>
        </w:rPr>
        <w:t>.</w:t>
      </w:r>
    </w:p>
    <w:p w14:paraId="47CEC2FC" w14:textId="77777777" w:rsidR="003800FE" w:rsidRPr="007408D3" w:rsidRDefault="003800FE" w:rsidP="003800FE">
      <w:pPr>
        <w:spacing w:before="120" w:after="120" w:line="276" w:lineRule="auto"/>
        <w:ind w:firstLine="709"/>
        <w:jc w:val="both"/>
        <w:rPr>
          <w:rFonts w:ascii="Arial" w:eastAsia="Calibri" w:hAnsi="Arial" w:cs="Arial"/>
          <w:color w:val="000000" w:themeColor="text1"/>
          <w:sz w:val="22"/>
        </w:rPr>
      </w:pPr>
      <w:r w:rsidRPr="007408D3">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7408D3">
        <w:rPr>
          <w:rStyle w:val="Refdenotaalpie"/>
          <w:rFonts w:ascii="Arial" w:hAnsi="Arial" w:cs="Arial"/>
          <w:color w:val="000000" w:themeColor="text1"/>
          <w:sz w:val="22"/>
        </w:rPr>
        <w:footnoteReference w:id="3"/>
      </w:r>
      <w:r w:rsidRPr="007408D3">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21B16B6" w14:textId="77777777" w:rsidR="003800FE" w:rsidRPr="007408D3" w:rsidRDefault="003800FE" w:rsidP="003800FE">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7408D3">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7408D3">
        <w:rPr>
          <w:rStyle w:val="Refdenotaalpie"/>
          <w:rFonts w:ascii="Arial" w:eastAsiaTheme="minorHAnsi" w:hAnsi="Arial" w:cs="Arial"/>
          <w:color w:val="000000" w:themeColor="text1"/>
          <w:sz w:val="22"/>
          <w:szCs w:val="22"/>
          <w:lang w:val="es-MX" w:eastAsia="en-US"/>
        </w:rPr>
        <w:footnoteReference w:id="4"/>
      </w:r>
      <w:r w:rsidRPr="007408D3">
        <w:rPr>
          <w:rFonts w:ascii="Arial" w:eastAsiaTheme="minorHAnsi" w:hAnsi="Arial" w:cs="Arial"/>
          <w:color w:val="000000" w:themeColor="text1"/>
          <w:sz w:val="22"/>
          <w:szCs w:val="22"/>
          <w:lang w:val="es-MX" w:eastAsia="en-US"/>
        </w:rPr>
        <w:t xml:space="preserve">, deben publicar la información relativa a su contratación. </w:t>
      </w:r>
      <w:r w:rsidRPr="007408D3">
        <w:rPr>
          <w:rFonts w:ascii="Arial" w:eastAsiaTheme="minorHAnsi" w:hAnsi="Arial" w:cs="Arial"/>
          <w:color w:val="000000" w:themeColor="text1"/>
          <w:sz w:val="22"/>
          <w:szCs w:val="22"/>
          <w:lang w:val="es-MX" w:eastAsia="en-US"/>
        </w:rPr>
        <w:lastRenderedPageBreak/>
        <w:t>Esta obligación fue desarrollada por el Decreto Único Reglamentario 1081 de 2015</w:t>
      </w:r>
      <w:r w:rsidRPr="007408D3">
        <w:rPr>
          <w:rStyle w:val="Refdenotaalpie"/>
          <w:rFonts w:ascii="Arial" w:eastAsiaTheme="minorHAnsi" w:hAnsi="Arial" w:cs="Arial"/>
          <w:color w:val="000000" w:themeColor="text1"/>
          <w:sz w:val="22"/>
          <w:szCs w:val="22"/>
          <w:lang w:val="es-MX" w:eastAsia="en-US"/>
        </w:rPr>
        <w:footnoteReference w:id="5"/>
      </w:r>
      <w:r w:rsidRPr="007408D3">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7408D3">
        <w:rPr>
          <w:rFonts w:ascii="Arial" w:eastAsiaTheme="minorHAnsi" w:hAnsi="Arial" w:cs="Arial"/>
          <w:color w:val="000000" w:themeColor="text1"/>
          <w:sz w:val="22"/>
          <w:szCs w:val="22"/>
          <w:lang w:val="es-MX" w:eastAsia="en-US"/>
        </w:rPr>
        <w:softHyphen/>
        <w:t xml:space="preserve"> </w:t>
      </w:r>
      <w:r w:rsidRPr="007408D3">
        <w:rPr>
          <w:rFonts w:ascii="Arial" w:eastAsiaTheme="minorHAnsi" w:hAnsi="Arial" w:cs="Arial"/>
          <w:color w:val="000000" w:themeColor="text1"/>
          <w:sz w:val="22"/>
          <w:szCs w:val="22"/>
          <w:lang w:val="es-MX" w:eastAsia="en-US"/>
        </w:rPr>
        <w:softHyphen/>
        <w:t>SECOP.</w:t>
      </w:r>
    </w:p>
    <w:p w14:paraId="444323CD" w14:textId="77777777" w:rsidR="003800FE" w:rsidRPr="007408D3" w:rsidRDefault="003800FE" w:rsidP="003800FE">
      <w:pPr>
        <w:spacing w:before="120" w:after="120"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rPr>
        <w:t xml:space="preserve">Asimismo, de </w:t>
      </w:r>
      <w:r w:rsidRPr="007408D3">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EC14796" w14:textId="77777777" w:rsidR="003800FE" w:rsidRPr="007408D3" w:rsidRDefault="003800FE" w:rsidP="003800FE">
      <w:pPr>
        <w:spacing w:before="120" w:after="120" w:line="276" w:lineRule="auto"/>
        <w:ind w:firstLine="709"/>
        <w:jc w:val="both"/>
        <w:rPr>
          <w:rFonts w:ascii="Arial" w:eastAsia="Calibri" w:hAnsi="Arial" w:cs="Arial"/>
          <w:color w:val="000000" w:themeColor="text1"/>
          <w:sz w:val="22"/>
        </w:rPr>
      </w:pPr>
      <w:r w:rsidRPr="007408D3">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7408D3">
        <w:rPr>
          <w:rStyle w:val="Refdenotaalpie"/>
          <w:rFonts w:ascii="Arial" w:eastAsia="Calibri" w:hAnsi="Arial" w:cs="Arial"/>
          <w:color w:val="000000" w:themeColor="text1"/>
          <w:sz w:val="22"/>
        </w:rPr>
        <w:footnoteReference w:id="6"/>
      </w:r>
      <w:r w:rsidRPr="007408D3">
        <w:rPr>
          <w:rFonts w:ascii="Arial" w:eastAsia="Calibri" w:hAnsi="Arial" w:cs="Arial"/>
          <w:color w:val="000000" w:themeColor="text1"/>
          <w:sz w:val="22"/>
        </w:rPr>
        <w:t>.</w:t>
      </w:r>
    </w:p>
    <w:p w14:paraId="37E436B6" w14:textId="77777777" w:rsidR="003800FE" w:rsidRPr="007408D3" w:rsidRDefault="003800FE" w:rsidP="003800FE">
      <w:pPr>
        <w:spacing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De otra parte,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w:t>
      </w:r>
    </w:p>
    <w:p w14:paraId="4913A933" w14:textId="77777777" w:rsidR="003800FE" w:rsidRPr="007408D3" w:rsidRDefault="003800FE" w:rsidP="003800FE">
      <w:pPr>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 xml:space="preserve"> </w:t>
      </w:r>
    </w:p>
    <w:p w14:paraId="124EF581" w14:textId="77777777" w:rsidR="003800FE" w:rsidRPr="007408D3" w:rsidRDefault="003800FE" w:rsidP="003800FE">
      <w:pPr>
        <w:ind w:leftChars="295" w:left="708" w:right="709"/>
        <w:jc w:val="both"/>
        <w:rPr>
          <w:rFonts w:ascii="Arial" w:hAnsi="Arial" w:cs="Arial"/>
          <w:color w:val="000000" w:themeColor="text1"/>
          <w:sz w:val="21"/>
          <w:szCs w:val="21"/>
          <w:lang w:val="es-ES"/>
        </w:rPr>
      </w:pPr>
      <w:r w:rsidRPr="007408D3">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7A2CFF85" w14:textId="77777777" w:rsidR="003800FE" w:rsidRPr="007408D3" w:rsidRDefault="003800FE" w:rsidP="003800FE">
      <w:pPr>
        <w:spacing w:line="276" w:lineRule="auto"/>
        <w:ind w:right="709"/>
        <w:jc w:val="both"/>
        <w:rPr>
          <w:rFonts w:ascii="Arial" w:hAnsi="Arial" w:cs="Arial"/>
          <w:color w:val="000000" w:themeColor="text1"/>
          <w:sz w:val="21"/>
          <w:szCs w:val="21"/>
          <w:lang w:val="es-ES"/>
        </w:rPr>
      </w:pPr>
    </w:p>
    <w:p w14:paraId="2B539138" w14:textId="77777777" w:rsidR="003800FE" w:rsidRPr="007408D3" w:rsidRDefault="003800FE" w:rsidP="003800FE">
      <w:pPr>
        <w:spacing w:after="120"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lastRenderedPageBreak/>
        <w:t>Nótese, entonces, que el Consejo de Estado asumió como criterio para determinar la obligatoriedad de publicar en el SECOP que la contratación se haga con recursos públicos, conclusión que la extrajo del literal c) del artículo 3 de la Ley 1150 de 2007.</w:t>
      </w:r>
    </w:p>
    <w:p w14:paraId="3FF6ED95" w14:textId="77777777" w:rsidR="003800FE" w:rsidRPr="007408D3" w:rsidRDefault="003800FE" w:rsidP="003800FE">
      <w:pPr>
        <w:spacing w:after="120"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 xml:space="preserve">Ahora bien, las entidades estatales, particularmente las sometidas al Estatuto al Estatuto General de Contratación de la Administración Pública ─en adelante EGCAP─, conforme al artículo 2.2.1.1.1.7.1. del Decreto 1082 de 2015, están en la obligación de publicar en el SECOP «[…] los Documentos del Proceso y los actos administrativos del Proceso de Contratación, dentro de los tres (3) días siguientes a su expedición […]». </w:t>
      </w:r>
    </w:p>
    <w:p w14:paraId="7F05379B" w14:textId="77777777" w:rsidR="003800FE" w:rsidRPr="007408D3" w:rsidRDefault="003800FE" w:rsidP="003800FE">
      <w:pPr>
        <w:spacing w:after="120"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 xml:space="preserve">La expresión «documentos del proceso» se encuentra definida en el artículo 2.2.1.1.1.3.1. del Decreto 1082 de 2015, así: «son: (a) los estudios y documentos previos; (b) el aviso de convocatoria; (c) los pliegos de condiciones o la invitación; (d) las Adendas; (e) la oferta; (f) el informe de evaluación; (g) el contrato; </w:t>
      </w:r>
      <w:r w:rsidRPr="007408D3">
        <w:rPr>
          <w:rFonts w:ascii="Arial" w:hAnsi="Arial" w:cs="Arial"/>
          <w:i/>
          <w:iCs/>
          <w:color w:val="000000" w:themeColor="text1"/>
          <w:sz w:val="22"/>
          <w:lang w:val="es-ES"/>
        </w:rPr>
        <w:t>y cualquier otro documento expedido por la Entidad Estatal durante el Proceso de Contratación</w:t>
      </w:r>
      <w:r w:rsidRPr="007408D3">
        <w:rPr>
          <w:rFonts w:ascii="Arial" w:hAnsi="Arial" w:cs="Arial"/>
          <w:color w:val="000000" w:themeColor="text1"/>
          <w:sz w:val="22"/>
          <w:lang w:val="es-ES"/>
        </w:rPr>
        <w:t>». (cursiva fuera de texto).</w:t>
      </w:r>
    </w:p>
    <w:p w14:paraId="06332448" w14:textId="77777777" w:rsidR="003800FE" w:rsidRPr="007408D3" w:rsidRDefault="003800FE" w:rsidP="003800FE">
      <w:pPr>
        <w:spacing w:after="120"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A su vez, en esa misma disposición se define el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73039214" w14:textId="77777777" w:rsidR="003800FE" w:rsidRPr="007408D3" w:rsidRDefault="003800FE" w:rsidP="003800FE">
      <w:pPr>
        <w:spacing w:after="120"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De la interpretación sistemática de los preceptos normativos del Decreto 1082 de 2015 en mención, se entiende que las entidades estatales tienen la obligación de publicar en el SECOP todos los documentos expedidos con ocasión del «proceso de contratación», esto es, desde su fase de planeación, con la condensación en los estudios previos hasta «el vencimiento de las garantías de calidad, estabilidad y mantenimiento, o las condiciones de disposición final o recuperación ambiental de las obras o bienes o el vencimiento del plazo, lo que ocurra más tarde». En la etapa límite hasta la cual deben publicarse los documentos del proceso claramente queda contemplada la fase de ejecución del contrato.</w:t>
      </w:r>
    </w:p>
    <w:p w14:paraId="6B0804BF" w14:textId="77777777" w:rsidR="003800FE" w:rsidRPr="007408D3" w:rsidRDefault="003800FE" w:rsidP="003800FE">
      <w:pPr>
        <w:spacing w:line="276" w:lineRule="auto"/>
        <w:ind w:firstLine="709"/>
        <w:jc w:val="both"/>
        <w:rPr>
          <w:rFonts w:ascii="Arial" w:hAnsi="Arial" w:cs="Arial"/>
          <w:color w:val="000000" w:themeColor="text1"/>
          <w:sz w:val="22"/>
          <w:lang w:val="es-ES"/>
        </w:rPr>
      </w:pPr>
      <w:r w:rsidRPr="007408D3">
        <w:rPr>
          <w:rFonts w:ascii="Arial" w:hAnsi="Arial" w:cs="Arial"/>
          <w:color w:val="000000" w:themeColor="text1"/>
          <w:sz w:val="22"/>
          <w:lang w:val="es-ES"/>
        </w:rPr>
        <w:t xml:space="preserve"> En conclusión, sin perjuicio de las obligaciones contempladas en la Ley 1712 de 2014 y conforme a lo preceptuado en el Decreto 1082 de 2015, las entidades estatales, particularmente aquellas que se rigen por el EGCAP, tienen la obligación de publicar en el SECOP, todos los «documentos del proceso», lo que incluye los documentos proferidos durante el período de ejecución del negocio jurídico; obligación que debe cumplirse dentro de los tres (3) días siguientes a la expedición y/o producción del documento.</w:t>
      </w:r>
    </w:p>
    <w:p w14:paraId="2DAAFA6A" w14:textId="77777777" w:rsidR="003800FE" w:rsidRPr="007408D3" w:rsidRDefault="003800FE" w:rsidP="003800FE">
      <w:pPr>
        <w:spacing w:line="276" w:lineRule="auto"/>
        <w:jc w:val="both"/>
        <w:rPr>
          <w:rFonts w:ascii="Arial" w:eastAsia="Calibri" w:hAnsi="Arial" w:cs="Arial"/>
          <w:b/>
          <w:color w:val="000000" w:themeColor="text1"/>
          <w:sz w:val="22"/>
        </w:rPr>
      </w:pPr>
    </w:p>
    <w:p w14:paraId="1355850F" w14:textId="77777777" w:rsidR="003800FE" w:rsidRPr="007408D3" w:rsidRDefault="003800FE" w:rsidP="003800FE">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7408D3">
        <w:rPr>
          <w:rFonts w:ascii="Arial" w:eastAsia="Calibri" w:hAnsi="Arial" w:cs="Arial"/>
          <w:b/>
          <w:color w:val="000000" w:themeColor="text1"/>
          <w:sz w:val="22"/>
        </w:rPr>
        <w:t>Respuestas</w:t>
      </w:r>
    </w:p>
    <w:p w14:paraId="52DE4E0A" w14:textId="77777777" w:rsidR="003800FE" w:rsidRPr="007408D3" w:rsidRDefault="003800FE" w:rsidP="003800FE">
      <w:pPr>
        <w:spacing w:line="276" w:lineRule="auto"/>
        <w:ind w:right="709"/>
        <w:jc w:val="both"/>
        <w:rPr>
          <w:rFonts w:ascii="Arial" w:eastAsia="Calibri" w:hAnsi="Arial" w:cs="Arial"/>
          <w:color w:val="000000" w:themeColor="text1"/>
          <w:sz w:val="22"/>
        </w:rPr>
      </w:pPr>
    </w:p>
    <w:p w14:paraId="3564BB50" w14:textId="77777777" w:rsidR="003800FE" w:rsidRPr="007408D3" w:rsidRDefault="003800FE" w:rsidP="003800FE">
      <w:pPr>
        <w:spacing w:line="276" w:lineRule="auto"/>
        <w:ind w:left="709" w:right="709"/>
        <w:jc w:val="both"/>
        <w:rPr>
          <w:rFonts w:ascii="Arial" w:hAnsi="Arial" w:cs="Arial"/>
          <w:color w:val="000000" w:themeColor="text1"/>
          <w:sz w:val="22"/>
          <w:lang w:val="es-ES"/>
        </w:rPr>
      </w:pPr>
      <w:r w:rsidRPr="007408D3">
        <w:rPr>
          <w:rFonts w:ascii="Arial" w:hAnsi="Arial" w:cs="Arial"/>
          <w:color w:val="000000" w:themeColor="text1"/>
          <w:sz w:val="22"/>
          <w:lang w:val="es-ES"/>
        </w:rPr>
        <w:t>i) ¿Los documentos generados durante la ejecución contractual tienen un plazo para su publicación?</w:t>
      </w:r>
    </w:p>
    <w:p w14:paraId="7472B231" w14:textId="77777777" w:rsidR="003800FE" w:rsidRPr="007408D3" w:rsidRDefault="003800FE" w:rsidP="003800FE">
      <w:pPr>
        <w:spacing w:line="276" w:lineRule="auto"/>
        <w:jc w:val="both"/>
        <w:rPr>
          <w:rFonts w:ascii="Arial" w:hAnsi="Arial" w:cs="Arial"/>
          <w:color w:val="000000" w:themeColor="text1"/>
          <w:sz w:val="22"/>
          <w:lang w:val="es-ES"/>
        </w:rPr>
      </w:pPr>
    </w:p>
    <w:p w14:paraId="6F2B029A" w14:textId="77777777" w:rsidR="003800FE" w:rsidRPr="007408D3" w:rsidRDefault="003800FE" w:rsidP="003800FE">
      <w:pPr>
        <w:spacing w:line="276" w:lineRule="auto"/>
        <w:jc w:val="both"/>
        <w:rPr>
          <w:rFonts w:ascii="Arial" w:hAnsi="Arial" w:cs="Arial"/>
          <w:color w:val="000000" w:themeColor="text1"/>
          <w:sz w:val="22"/>
          <w:lang w:val="es-ES"/>
        </w:rPr>
      </w:pPr>
      <w:r w:rsidRPr="007408D3">
        <w:rPr>
          <w:rFonts w:ascii="Arial" w:hAnsi="Arial" w:cs="Arial"/>
          <w:color w:val="000000" w:themeColor="text1"/>
          <w:sz w:val="22"/>
          <w:lang w:val="es-ES"/>
        </w:rPr>
        <w:t>El plazo para publicar los documentos generados durante la fase o etapa de ejecución contractual es de tres (3) días, conforme a lo preceptuado en el artículo 2.2.1.1.1.7.1 del Decreto 1082 de 2015.</w:t>
      </w:r>
    </w:p>
    <w:p w14:paraId="600FB113" w14:textId="77777777" w:rsidR="003800FE" w:rsidRPr="007408D3" w:rsidRDefault="003800FE" w:rsidP="003800FE">
      <w:pPr>
        <w:spacing w:line="276" w:lineRule="auto"/>
        <w:jc w:val="both"/>
        <w:rPr>
          <w:rFonts w:ascii="Arial" w:hAnsi="Arial" w:cs="Arial"/>
          <w:color w:val="000000" w:themeColor="text1"/>
          <w:sz w:val="22"/>
          <w:lang w:val="es-ES"/>
        </w:rPr>
      </w:pPr>
    </w:p>
    <w:p w14:paraId="55090BBB" w14:textId="77777777" w:rsidR="003800FE" w:rsidRPr="007408D3" w:rsidRDefault="003800FE" w:rsidP="003800FE">
      <w:pPr>
        <w:spacing w:line="276" w:lineRule="auto"/>
        <w:ind w:left="709" w:right="709"/>
        <w:jc w:val="both"/>
        <w:rPr>
          <w:rFonts w:ascii="Arial" w:hAnsi="Arial" w:cs="Arial"/>
          <w:color w:val="000000" w:themeColor="text1"/>
          <w:sz w:val="22"/>
          <w:lang w:val="es-ES"/>
        </w:rPr>
      </w:pPr>
      <w:r w:rsidRPr="007408D3">
        <w:rPr>
          <w:rFonts w:ascii="Arial" w:hAnsi="Arial" w:cs="Arial"/>
          <w:color w:val="000000" w:themeColor="text1"/>
          <w:sz w:val="22"/>
          <w:lang w:val="es-ES"/>
        </w:rPr>
        <w:t>ii) ¿Cuáles se deben publicar durante la ejecución contractual?</w:t>
      </w:r>
    </w:p>
    <w:p w14:paraId="5713D901" w14:textId="77777777" w:rsidR="003800FE" w:rsidRPr="007408D3" w:rsidRDefault="003800FE" w:rsidP="003800FE">
      <w:pPr>
        <w:spacing w:line="276" w:lineRule="auto"/>
        <w:ind w:firstLine="709"/>
        <w:jc w:val="both"/>
        <w:rPr>
          <w:rFonts w:ascii="Arial" w:hAnsi="Arial" w:cs="Arial"/>
          <w:color w:val="000000" w:themeColor="text1"/>
          <w:sz w:val="22"/>
          <w:lang w:val="es-ES"/>
        </w:rPr>
      </w:pPr>
    </w:p>
    <w:p w14:paraId="2F78CD90" w14:textId="77777777" w:rsidR="003800FE" w:rsidRPr="007408D3" w:rsidRDefault="003800FE" w:rsidP="003800FE">
      <w:pPr>
        <w:spacing w:after="120" w:line="276" w:lineRule="auto"/>
        <w:jc w:val="both"/>
        <w:rPr>
          <w:rFonts w:ascii="Arial" w:hAnsi="Arial" w:cs="Arial"/>
          <w:color w:val="000000" w:themeColor="text1"/>
          <w:sz w:val="22"/>
          <w:lang w:val="es-ES"/>
        </w:rPr>
      </w:pPr>
      <w:r w:rsidRPr="007408D3">
        <w:rPr>
          <w:rFonts w:ascii="Arial" w:hAnsi="Arial" w:cs="Arial"/>
          <w:color w:val="000000" w:themeColor="text1"/>
          <w:sz w:val="22"/>
          <w:lang w:val="es-ES"/>
        </w:rPr>
        <w:t>Las disposiciones que regulan la obligación de publicar los documentos producto de la ejecución de los contratos, no hacen distinción alguna en cuanto a cuales de ellos, específicamente, deben ser objeto del cumplimiento de esa obligación; en consecuencia, todos los documentos que se producen con ocasión de la ejecución de un contrato, sin distinción alguna, deben ser publicados acorde a los preceptos normativos que fueron objeto de análisis en la presente consulta.</w:t>
      </w:r>
    </w:p>
    <w:p w14:paraId="4872CAC1" w14:textId="77777777" w:rsidR="003800FE" w:rsidRPr="007408D3" w:rsidRDefault="003800FE" w:rsidP="003800FE">
      <w:pPr>
        <w:spacing w:line="276" w:lineRule="auto"/>
        <w:jc w:val="both"/>
        <w:rPr>
          <w:rFonts w:ascii="Arial" w:eastAsia="Calibri" w:hAnsi="Arial" w:cs="Arial"/>
          <w:color w:val="000000" w:themeColor="text1"/>
          <w:sz w:val="22"/>
        </w:rPr>
      </w:pPr>
      <w:r w:rsidRPr="007408D3">
        <w:rPr>
          <w:rFonts w:ascii="Arial" w:hAnsi="Arial" w:cs="Arial"/>
          <w:color w:val="000000" w:themeColor="text1"/>
          <w:sz w:val="22"/>
          <w:lang w:val="es-ES"/>
        </w:rPr>
        <w:t>En conclusión, todos los documentos producidos con ocasión de la ejecución de los contratos deben ser publicados en el Sistema Electrónico para la Contratación Pública ─SECOP─ dentro de los tres (3) días siguientes a su expedición.</w:t>
      </w:r>
    </w:p>
    <w:p w14:paraId="76D925DA" w14:textId="77777777" w:rsidR="003800FE" w:rsidRPr="007408D3" w:rsidRDefault="003800FE" w:rsidP="003800FE">
      <w:pPr>
        <w:spacing w:line="276" w:lineRule="auto"/>
        <w:jc w:val="both"/>
        <w:rPr>
          <w:rFonts w:ascii="Arial" w:eastAsia="Calibri" w:hAnsi="Arial" w:cs="Arial"/>
          <w:color w:val="000000" w:themeColor="text1"/>
          <w:sz w:val="22"/>
        </w:rPr>
      </w:pPr>
    </w:p>
    <w:p w14:paraId="038E10F0" w14:textId="77777777" w:rsidR="003800FE" w:rsidRPr="007408D3" w:rsidRDefault="003800FE" w:rsidP="003800FE">
      <w:pPr>
        <w:spacing w:line="276" w:lineRule="auto"/>
        <w:jc w:val="both"/>
        <w:rPr>
          <w:rFonts w:ascii="Arial" w:eastAsia="Calibri" w:hAnsi="Arial" w:cs="Arial"/>
          <w:color w:val="000000" w:themeColor="text1"/>
          <w:sz w:val="22"/>
        </w:rPr>
      </w:pPr>
    </w:p>
    <w:p w14:paraId="7C2C7AA9" w14:textId="77777777" w:rsidR="003800FE" w:rsidRPr="007408D3" w:rsidRDefault="003800FE" w:rsidP="003800FE">
      <w:pPr>
        <w:spacing w:line="276" w:lineRule="auto"/>
        <w:jc w:val="both"/>
        <w:rPr>
          <w:rFonts w:ascii="Arial" w:hAnsi="Arial" w:cs="Arial"/>
          <w:color w:val="000000" w:themeColor="text1"/>
          <w:sz w:val="22"/>
          <w:lang w:val="es-ES"/>
        </w:rPr>
      </w:pPr>
      <w:r w:rsidRPr="007408D3">
        <w:rPr>
          <w:rFonts w:ascii="Arial" w:hAnsi="Arial" w:cs="Arial"/>
          <w:color w:val="000000" w:themeColor="text1"/>
          <w:sz w:val="22"/>
          <w:lang w:val="es-ES"/>
        </w:rPr>
        <w:t>Este concepto tiene el alcance previsto en el artículo 28 del Código de Procedimiento Administrativo y de lo Contencioso Administrativo.</w:t>
      </w:r>
    </w:p>
    <w:p w14:paraId="516A9D6E" w14:textId="77777777" w:rsidR="003800FE" w:rsidRPr="007408D3" w:rsidRDefault="003800FE" w:rsidP="003800FE">
      <w:pPr>
        <w:spacing w:line="276" w:lineRule="auto"/>
        <w:jc w:val="both"/>
        <w:rPr>
          <w:rFonts w:ascii="Arial" w:eastAsia="Calibri" w:hAnsi="Arial" w:cs="Arial"/>
          <w:color w:val="000000" w:themeColor="text1"/>
          <w:sz w:val="22"/>
        </w:rPr>
      </w:pPr>
    </w:p>
    <w:p w14:paraId="02265E81" w14:textId="77777777" w:rsidR="003800FE" w:rsidRPr="007408D3" w:rsidRDefault="003800FE" w:rsidP="003800FE">
      <w:pPr>
        <w:jc w:val="both"/>
        <w:rPr>
          <w:rFonts w:ascii="Arial" w:eastAsia="Calibri" w:hAnsi="Arial" w:cs="Arial"/>
          <w:color w:val="000000" w:themeColor="text1"/>
          <w:sz w:val="22"/>
        </w:rPr>
      </w:pPr>
      <w:r w:rsidRPr="007408D3">
        <w:rPr>
          <w:noProof/>
          <w:color w:val="000000" w:themeColor="text1"/>
          <w:lang w:val="en-US"/>
        </w:rPr>
        <mc:AlternateContent>
          <mc:Choice Requires="wps">
            <w:drawing>
              <wp:anchor distT="0" distB="0" distL="114300" distR="114300" simplePos="0" relativeHeight="251659264" behindDoc="0" locked="0" layoutInCell="1" allowOverlap="1" wp14:anchorId="4A6FDAAF" wp14:editId="402546B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C0AB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50430AA" w14:textId="77777777" w:rsidR="003800FE" w:rsidRPr="007408D3" w:rsidRDefault="003800FE" w:rsidP="003800FE">
      <w:pPr>
        <w:rPr>
          <w:rFonts w:ascii="Arial" w:eastAsia="Times New Roman" w:hAnsi="Arial" w:cs="Arial"/>
          <w:color w:val="000000" w:themeColor="text1"/>
          <w:sz w:val="22"/>
          <w:lang w:eastAsia="es-CO"/>
        </w:rPr>
      </w:pPr>
      <w:bookmarkStart w:id="3" w:name="_Hlk35331334"/>
      <w:r w:rsidRPr="007408D3">
        <w:rPr>
          <w:rFonts w:ascii="Arial" w:eastAsia="Times New Roman" w:hAnsi="Arial" w:cs="Arial"/>
          <w:color w:val="000000" w:themeColor="text1"/>
          <w:sz w:val="22"/>
          <w:lang w:eastAsia="es-CO"/>
        </w:rPr>
        <w:t>Atentamente,</w:t>
      </w:r>
    </w:p>
    <w:p w14:paraId="619D006F" w14:textId="5EE140C1" w:rsidR="003800FE" w:rsidRPr="007408D3" w:rsidRDefault="0025370E" w:rsidP="0025370E">
      <w:pPr>
        <w:jc w:val="center"/>
        <w:rPr>
          <w:rFonts w:ascii="Arial" w:eastAsia="Times New Roman" w:hAnsi="Arial" w:cs="Arial"/>
          <w:color w:val="000000" w:themeColor="text1"/>
          <w:sz w:val="22"/>
          <w:lang w:eastAsia="es-CO"/>
        </w:rPr>
      </w:pPr>
      <w:r>
        <w:rPr>
          <w:noProof/>
          <w:lang w:val="en-US"/>
        </w:rPr>
        <w:drawing>
          <wp:inline distT="0" distB="0" distL="0" distR="0" wp14:anchorId="06C4FE32" wp14:editId="5908DA77">
            <wp:extent cx="2773045" cy="988695"/>
            <wp:effectExtent l="0" t="0" r="0" b="0"/>
            <wp:docPr id="90877995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F26944A" w14:textId="77777777" w:rsidR="003800FE" w:rsidRPr="0025370E" w:rsidRDefault="003800FE" w:rsidP="003800FE">
      <w:pPr>
        <w:rPr>
          <w:rFonts w:ascii="Arial" w:eastAsia="Times New Roman" w:hAnsi="Arial" w:cs="Arial"/>
          <w:color w:val="000000" w:themeColor="text1"/>
          <w:sz w:val="16"/>
          <w:szCs w:val="16"/>
          <w:lang w:eastAsia="es-CO"/>
        </w:rPr>
      </w:pPr>
    </w:p>
    <w:p w14:paraId="6613BF49" w14:textId="77777777" w:rsidR="003800FE" w:rsidRPr="007408D3" w:rsidRDefault="003800FE" w:rsidP="003800FE">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408D3" w:rsidRPr="007408D3" w14:paraId="5657E7C3" w14:textId="77777777" w:rsidTr="00EE59E2">
        <w:trPr>
          <w:trHeight w:val="315"/>
        </w:trPr>
        <w:tc>
          <w:tcPr>
            <w:tcW w:w="488" w:type="dxa"/>
            <w:vAlign w:val="center"/>
            <w:hideMark/>
          </w:tcPr>
          <w:p w14:paraId="1E9E3CA5"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78959B6"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Juan Manuel Castillo López</w:t>
            </w:r>
          </w:p>
          <w:p w14:paraId="2B4377CE"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Contratista ─ Subdirección de Gestión Contractual</w:t>
            </w:r>
          </w:p>
        </w:tc>
      </w:tr>
      <w:tr w:rsidR="007408D3" w:rsidRPr="007408D3" w14:paraId="67671644" w14:textId="77777777" w:rsidTr="00EE59E2">
        <w:trPr>
          <w:trHeight w:val="330"/>
        </w:trPr>
        <w:tc>
          <w:tcPr>
            <w:tcW w:w="488" w:type="dxa"/>
            <w:vAlign w:val="center"/>
            <w:hideMark/>
          </w:tcPr>
          <w:p w14:paraId="0562FA16"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20D417"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Sebastián Ramírez Grisales</w:t>
            </w:r>
          </w:p>
          <w:p w14:paraId="237555BE"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Contratista ─ Subdirección de Gestión Contractual</w:t>
            </w:r>
          </w:p>
        </w:tc>
      </w:tr>
      <w:tr w:rsidR="003800FE" w:rsidRPr="007408D3" w14:paraId="796D021C" w14:textId="77777777" w:rsidTr="00EE59E2">
        <w:trPr>
          <w:trHeight w:val="300"/>
        </w:trPr>
        <w:tc>
          <w:tcPr>
            <w:tcW w:w="488" w:type="dxa"/>
            <w:vAlign w:val="center"/>
            <w:hideMark/>
          </w:tcPr>
          <w:p w14:paraId="78CE0A0A"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640B96"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Fabián Gonzalo Marín Cortés</w:t>
            </w:r>
          </w:p>
          <w:p w14:paraId="001D26FA" w14:textId="77777777" w:rsidR="003800FE" w:rsidRPr="007408D3" w:rsidRDefault="003800FE" w:rsidP="00EE59E2">
            <w:pPr>
              <w:rPr>
                <w:rFonts w:ascii="Arial" w:eastAsia="Times New Roman" w:hAnsi="Arial" w:cs="Arial"/>
                <w:color w:val="000000" w:themeColor="text1"/>
                <w:sz w:val="16"/>
                <w:szCs w:val="16"/>
                <w:lang w:eastAsia="es-ES"/>
              </w:rPr>
            </w:pPr>
            <w:r w:rsidRPr="007408D3">
              <w:rPr>
                <w:rFonts w:ascii="Arial" w:eastAsia="Times New Roman" w:hAnsi="Arial" w:cs="Arial"/>
                <w:color w:val="000000" w:themeColor="text1"/>
                <w:sz w:val="16"/>
                <w:szCs w:val="16"/>
                <w:lang w:eastAsia="es-ES"/>
              </w:rPr>
              <w:t>Subdirector de Gestión Contractual</w:t>
            </w:r>
          </w:p>
        </w:tc>
      </w:tr>
    </w:tbl>
    <w:p w14:paraId="65F6DC57" w14:textId="77777777" w:rsidR="003800FE" w:rsidRPr="007408D3" w:rsidRDefault="003800FE" w:rsidP="003800FE">
      <w:pPr>
        <w:jc w:val="both"/>
        <w:rPr>
          <w:rFonts w:ascii="Arial" w:eastAsia="Calibri" w:hAnsi="Arial" w:cs="Arial"/>
          <w:color w:val="000000" w:themeColor="text1"/>
          <w:sz w:val="22"/>
        </w:rPr>
      </w:pPr>
      <w:bookmarkStart w:id="4" w:name="_Hlk29890381"/>
      <w:bookmarkEnd w:id="3"/>
    </w:p>
    <w:bookmarkEnd w:id="4"/>
    <w:p w14:paraId="7EBF297E" w14:textId="77777777" w:rsidR="007B0854" w:rsidRPr="007408D3" w:rsidRDefault="007B0854" w:rsidP="003800FE">
      <w:pPr>
        <w:jc w:val="both"/>
        <w:rPr>
          <w:rFonts w:ascii="Arial" w:eastAsia="Calibri" w:hAnsi="Arial" w:cs="Arial"/>
          <w:color w:val="000000" w:themeColor="text1"/>
          <w:sz w:val="22"/>
        </w:rPr>
      </w:pPr>
    </w:p>
    <w:sectPr w:rsidR="007B0854" w:rsidRPr="007408D3"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2227" w14:textId="77777777" w:rsidR="00DA02A2" w:rsidRDefault="00DA02A2">
      <w:r>
        <w:separator/>
      </w:r>
    </w:p>
  </w:endnote>
  <w:endnote w:type="continuationSeparator" w:id="0">
    <w:p w14:paraId="5A1A8CE8" w14:textId="77777777" w:rsidR="00DA02A2" w:rsidRDefault="00DA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3A1D082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1155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11550">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0E0B8C38" w:rsidR="009047C5" w:rsidRDefault="362AE1B4" w:rsidP="007B0854">
    <w:pPr>
      <w:pStyle w:val="Piedepgina"/>
      <w:jc w:val="center"/>
      <w:rPr>
        <w:lang w:val="es-ES"/>
      </w:rPr>
    </w:pPr>
    <w:r>
      <w:rPr>
        <w:noProof/>
        <w:lang w:val="en-US"/>
      </w:rPr>
      <w:drawing>
        <wp:inline distT="0" distB="0" distL="0" distR="0" wp14:anchorId="608B196D" wp14:editId="0ED4319B">
          <wp:extent cx="4241994" cy="595165"/>
          <wp:effectExtent l="0" t="0" r="6350" b="0"/>
          <wp:docPr id="213789795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CF48" w14:textId="77777777" w:rsidR="00DA02A2" w:rsidRDefault="00DA02A2">
      <w:r>
        <w:separator/>
      </w:r>
    </w:p>
  </w:footnote>
  <w:footnote w:type="continuationSeparator" w:id="0">
    <w:p w14:paraId="37A51C7B" w14:textId="77777777" w:rsidR="00DA02A2" w:rsidRDefault="00DA02A2">
      <w:r>
        <w:continuationSeparator/>
      </w:r>
    </w:p>
  </w:footnote>
  <w:footnote w:id="1">
    <w:p w14:paraId="1B91BA45"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Style w:val="Refdenotaalpie"/>
          <w:rFonts w:ascii="Arial" w:hAnsi="Arial" w:cs="Arial"/>
          <w:color w:val="000000" w:themeColor="text1"/>
          <w:sz w:val="19"/>
          <w:szCs w:val="19"/>
        </w:rPr>
        <w:footnoteRef/>
      </w:r>
      <w:r w:rsidRPr="000B73E4">
        <w:rPr>
          <w:rFonts w:ascii="Arial" w:hAnsi="Arial" w:cs="Arial"/>
          <w:color w:val="000000" w:themeColor="text1"/>
          <w:sz w:val="19"/>
          <w:szCs w:val="19"/>
        </w:rPr>
        <w:t xml:space="preserve"> Corte Constitucional. Sentencia C ─ 341 del 4 de junio de 2014. M. P. Mauricio González Cuervo</w:t>
      </w:r>
    </w:p>
    <w:p w14:paraId="40A3AD40" w14:textId="77777777" w:rsidR="003800FE" w:rsidRPr="000B73E4" w:rsidRDefault="003800FE" w:rsidP="003800FE">
      <w:pPr>
        <w:pStyle w:val="Textonotapie"/>
        <w:ind w:firstLine="708"/>
        <w:jc w:val="both"/>
        <w:rPr>
          <w:rFonts w:ascii="Arial" w:hAnsi="Arial" w:cs="Arial"/>
          <w:color w:val="000000" w:themeColor="text1"/>
          <w:sz w:val="19"/>
          <w:szCs w:val="19"/>
        </w:rPr>
      </w:pPr>
    </w:p>
  </w:footnote>
  <w:footnote w:id="2">
    <w:p w14:paraId="623A5554"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Style w:val="Refdenotaalpie"/>
          <w:rFonts w:ascii="Arial" w:hAnsi="Arial" w:cs="Arial"/>
          <w:color w:val="000000" w:themeColor="text1"/>
          <w:sz w:val="19"/>
          <w:szCs w:val="19"/>
        </w:rPr>
        <w:footnoteRef/>
      </w:r>
      <w:r w:rsidRPr="000B73E4">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2E852A0"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Fonts w:ascii="Arial" w:hAnsi="Arial" w:cs="Arial"/>
          <w:color w:val="000000" w:themeColor="text1"/>
          <w:sz w:val="19"/>
          <w:szCs w:val="19"/>
        </w:rPr>
        <w:t>»Lo anterior, sin perjuicio de las publicaciones previstas en el numeral 3 del artículo 30 de la Ley 80 de 1993.</w:t>
      </w:r>
    </w:p>
    <w:p w14:paraId="55B6BF88"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5EDEA48A"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Fonts w:ascii="Arial" w:hAnsi="Arial" w:cs="Arial"/>
          <w:color w:val="000000" w:themeColor="text1"/>
          <w:sz w:val="19"/>
          <w:szCs w:val="19"/>
        </w:rPr>
        <w:t>[…]</w:t>
      </w:r>
    </w:p>
    <w:p w14:paraId="1E5B1DB3"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p>
  </w:footnote>
  <w:footnote w:id="3">
    <w:p w14:paraId="288F0E28"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Style w:val="Refdenotaalpie"/>
          <w:rFonts w:ascii="Arial" w:hAnsi="Arial" w:cs="Arial"/>
          <w:color w:val="000000" w:themeColor="text1"/>
          <w:sz w:val="19"/>
          <w:szCs w:val="19"/>
        </w:rPr>
        <w:footnoteRef/>
      </w:r>
      <w:r w:rsidRPr="000B73E4">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31EDBDE" w14:textId="77777777" w:rsidR="003800FE" w:rsidRPr="000B73E4" w:rsidRDefault="003800FE" w:rsidP="003800FE">
      <w:pPr>
        <w:pStyle w:val="Textonotapie"/>
        <w:ind w:firstLine="708"/>
        <w:jc w:val="both"/>
        <w:rPr>
          <w:rFonts w:ascii="Arial" w:hAnsi="Arial" w:cs="Arial"/>
          <w:color w:val="000000" w:themeColor="text1"/>
          <w:sz w:val="19"/>
          <w:szCs w:val="19"/>
          <w:lang w:val="es-CO"/>
        </w:rPr>
      </w:pPr>
    </w:p>
  </w:footnote>
  <w:footnote w:id="4">
    <w:p w14:paraId="21E58421"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Style w:val="Refdenotaalpie"/>
          <w:rFonts w:ascii="Arial" w:hAnsi="Arial" w:cs="Arial"/>
          <w:color w:val="000000" w:themeColor="text1"/>
          <w:sz w:val="19"/>
          <w:szCs w:val="19"/>
        </w:rPr>
        <w:footnoteRef/>
      </w:r>
      <w:r w:rsidRPr="000B73E4">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D0AAD77"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DADB960" w14:textId="77777777" w:rsidR="003800FE" w:rsidRPr="000B73E4" w:rsidRDefault="003800FE" w:rsidP="003800FE">
      <w:pPr>
        <w:pStyle w:val="Textonotapie"/>
        <w:jc w:val="both"/>
        <w:rPr>
          <w:rFonts w:ascii="Arial" w:hAnsi="Arial" w:cs="Arial"/>
          <w:color w:val="000000" w:themeColor="text1"/>
          <w:sz w:val="19"/>
          <w:szCs w:val="19"/>
          <w:lang w:val="es-CO"/>
        </w:rPr>
      </w:pPr>
    </w:p>
  </w:footnote>
  <w:footnote w:id="5">
    <w:p w14:paraId="2CAD5731" w14:textId="77777777" w:rsidR="003800FE" w:rsidRPr="000B73E4" w:rsidRDefault="003800FE" w:rsidP="003800FE">
      <w:pPr>
        <w:pStyle w:val="Textonotapie"/>
        <w:ind w:firstLine="709"/>
        <w:jc w:val="both"/>
        <w:rPr>
          <w:rFonts w:ascii="Arial" w:hAnsi="Arial" w:cs="Arial"/>
          <w:color w:val="000000" w:themeColor="text1"/>
          <w:sz w:val="19"/>
          <w:szCs w:val="19"/>
        </w:rPr>
      </w:pPr>
      <w:r w:rsidRPr="000B73E4">
        <w:rPr>
          <w:rFonts w:ascii="Arial" w:eastAsia="Times New Roman" w:hAnsi="Arial" w:cs="Arial"/>
          <w:color w:val="000000" w:themeColor="text1"/>
          <w:sz w:val="19"/>
          <w:szCs w:val="19"/>
          <w:vertAlign w:val="superscript"/>
          <w:lang w:val="es-ES" w:eastAsia="es-ES"/>
        </w:rPr>
        <w:footnoteRef/>
      </w:r>
      <w:r w:rsidRPr="000B73E4">
        <w:rPr>
          <w:rFonts w:ascii="Arial" w:eastAsia="Times New Roman" w:hAnsi="Arial" w:cs="Arial"/>
          <w:color w:val="000000" w:themeColor="text1"/>
          <w:sz w:val="19"/>
          <w:szCs w:val="19"/>
          <w:vertAlign w:val="superscript"/>
          <w:lang w:val="es-ES" w:eastAsia="es-ES"/>
        </w:rPr>
        <w:t xml:space="preserve"> </w:t>
      </w:r>
      <w:r w:rsidRPr="000B73E4">
        <w:rPr>
          <w:rFonts w:ascii="Arial" w:hAnsi="Arial" w:cs="Arial"/>
          <w:color w:val="000000" w:themeColor="text1"/>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10F6B8F0" w14:textId="77777777" w:rsidR="003800FE" w:rsidRPr="000B73E4" w:rsidRDefault="003800FE" w:rsidP="003800FE">
      <w:pPr>
        <w:pStyle w:val="Textonotapie"/>
        <w:ind w:firstLine="709"/>
        <w:jc w:val="both"/>
        <w:rPr>
          <w:rFonts w:ascii="Arial" w:hAnsi="Arial" w:cs="Arial"/>
          <w:color w:val="000000" w:themeColor="text1"/>
          <w:sz w:val="19"/>
          <w:szCs w:val="19"/>
        </w:rPr>
      </w:pPr>
      <w:r w:rsidRPr="000B73E4">
        <w:rPr>
          <w:rFonts w:ascii="Arial" w:hAnsi="Arial" w:cs="Arial"/>
          <w:color w:val="000000" w:themeColor="text1"/>
          <w:sz w:val="19"/>
          <w:szCs w:val="19"/>
        </w:rPr>
        <w:t>»Los sujetos obligados que contratan con cargo a recursos públicos deben publicar la información de su gestión contractual en el plazo previsto en el artículo 19 del Decreto 1510 de 2013, o el que lo modifique, sustituya o adicione.</w:t>
      </w:r>
    </w:p>
    <w:p w14:paraId="64218343" w14:textId="77777777" w:rsidR="003800FE" w:rsidRPr="000B73E4" w:rsidRDefault="003800FE" w:rsidP="003800FE">
      <w:pPr>
        <w:pStyle w:val="Textonotapie"/>
        <w:ind w:firstLine="709"/>
        <w:jc w:val="both"/>
        <w:rPr>
          <w:rFonts w:ascii="Arial" w:eastAsia="Times New Roman" w:hAnsi="Arial" w:cs="Arial"/>
          <w:color w:val="000000" w:themeColor="text1"/>
          <w:sz w:val="19"/>
          <w:szCs w:val="19"/>
          <w:lang w:val="es-ES" w:eastAsia="es-ES"/>
        </w:rPr>
      </w:pPr>
      <w:r w:rsidRPr="000B73E4">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6">
    <w:p w14:paraId="74B58464" w14:textId="77777777" w:rsidR="003800FE" w:rsidRPr="000B73E4" w:rsidRDefault="003800FE" w:rsidP="003800FE">
      <w:pPr>
        <w:pStyle w:val="Textonotapie"/>
        <w:ind w:firstLine="708"/>
        <w:jc w:val="both"/>
        <w:rPr>
          <w:rFonts w:ascii="Arial" w:hAnsi="Arial" w:cs="Arial"/>
          <w:color w:val="000000" w:themeColor="text1"/>
          <w:sz w:val="19"/>
          <w:szCs w:val="19"/>
        </w:rPr>
      </w:pPr>
      <w:r w:rsidRPr="000B73E4">
        <w:rPr>
          <w:rStyle w:val="Refdenotaalpie"/>
          <w:rFonts w:ascii="Arial" w:hAnsi="Arial" w:cs="Arial"/>
          <w:color w:val="000000" w:themeColor="text1"/>
          <w:sz w:val="19"/>
          <w:szCs w:val="19"/>
        </w:rPr>
        <w:footnoteRef/>
      </w:r>
      <w:r w:rsidRPr="000B73E4">
        <w:rPr>
          <w:rFonts w:ascii="Arial" w:hAnsi="Arial" w:cs="Arial"/>
          <w:color w:val="000000" w:themeColor="text1"/>
          <w:sz w:val="19"/>
          <w:szCs w:val="19"/>
        </w:rPr>
        <w:t xml:space="preserve"> C</w:t>
      </w:r>
      <w:r w:rsidRPr="000B73E4">
        <w:rPr>
          <w:rFonts w:ascii="Arial" w:eastAsia="Times New Roman" w:hAnsi="Arial" w:cs="Arial"/>
          <w:color w:val="000000" w:themeColor="text1"/>
          <w:sz w:val="19"/>
          <w:szCs w:val="19"/>
          <w:lang w:val="es-ES" w:eastAsia="es-ES"/>
        </w:rPr>
        <w:t xml:space="preserve">orte Constitucional. Sentencia C ─ 274 de 9 de mayo de 2013. M.P. María Victoria Calle Correa. </w:t>
      </w:r>
    </w:p>
    <w:p w14:paraId="72A4F579" w14:textId="77777777" w:rsidR="003800FE" w:rsidRPr="000B73E4" w:rsidRDefault="003800FE" w:rsidP="003800FE">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A114FE1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6AD9"/>
    <w:rsid w:val="00063AB7"/>
    <w:rsid w:val="000942EB"/>
    <w:rsid w:val="0009491E"/>
    <w:rsid w:val="000B103F"/>
    <w:rsid w:val="000B73E4"/>
    <w:rsid w:val="000C6A56"/>
    <w:rsid w:val="000C718F"/>
    <w:rsid w:val="000F14E8"/>
    <w:rsid w:val="00103915"/>
    <w:rsid w:val="00122B23"/>
    <w:rsid w:val="00125EDC"/>
    <w:rsid w:val="00137FFA"/>
    <w:rsid w:val="00152F80"/>
    <w:rsid w:val="00155D1E"/>
    <w:rsid w:val="00165650"/>
    <w:rsid w:val="00165CBD"/>
    <w:rsid w:val="00166D0E"/>
    <w:rsid w:val="001855D6"/>
    <w:rsid w:val="001A1B0F"/>
    <w:rsid w:val="001A37D7"/>
    <w:rsid w:val="001A4434"/>
    <w:rsid w:val="001D0696"/>
    <w:rsid w:val="001F4638"/>
    <w:rsid w:val="001F5206"/>
    <w:rsid w:val="00211550"/>
    <w:rsid w:val="00215963"/>
    <w:rsid w:val="00216E7A"/>
    <w:rsid w:val="00226239"/>
    <w:rsid w:val="00234B84"/>
    <w:rsid w:val="0025370E"/>
    <w:rsid w:val="00290EBB"/>
    <w:rsid w:val="0029344C"/>
    <w:rsid w:val="003033BA"/>
    <w:rsid w:val="00305AEC"/>
    <w:rsid w:val="0034680A"/>
    <w:rsid w:val="00373B48"/>
    <w:rsid w:val="003800FE"/>
    <w:rsid w:val="00386456"/>
    <w:rsid w:val="003A581E"/>
    <w:rsid w:val="003B038B"/>
    <w:rsid w:val="003F750E"/>
    <w:rsid w:val="0043333A"/>
    <w:rsid w:val="00433F8D"/>
    <w:rsid w:val="0044156F"/>
    <w:rsid w:val="004422D6"/>
    <w:rsid w:val="00454863"/>
    <w:rsid w:val="00460B9A"/>
    <w:rsid w:val="00466DEE"/>
    <w:rsid w:val="004A34D2"/>
    <w:rsid w:val="004A7A36"/>
    <w:rsid w:val="004C690D"/>
    <w:rsid w:val="005103A7"/>
    <w:rsid w:val="0051074C"/>
    <w:rsid w:val="00513AF2"/>
    <w:rsid w:val="00524634"/>
    <w:rsid w:val="00536FDE"/>
    <w:rsid w:val="0054413A"/>
    <w:rsid w:val="005564CA"/>
    <w:rsid w:val="00563D94"/>
    <w:rsid w:val="00584BBA"/>
    <w:rsid w:val="005A79FE"/>
    <w:rsid w:val="005C35C1"/>
    <w:rsid w:val="005C5D1A"/>
    <w:rsid w:val="00621A0B"/>
    <w:rsid w:val="00621DAD"/>
    <w:rsid w:val="00641CD5"/>
    <w:rsid w:val="00655371"/>
    <w:rsid w:val="00667E19"/>
    <w:rsid w:val="00682356"/>
    <w:rsid w:val="00697665"/>
    <w:rsid w:val="006A1493"/>
    <w:rsid w:val="006A7FD0"/>
    <w:rsid w:val="006B666B"/>
    <w:rsid w:val="006D093F"/>
    <w:rsid w:val="006D7687"/>
    <w:rsid w:val="006E0572"/>
    <w:rsid w:val="00705631"/>
    <w:rsid w:val="00716307"/>
    <w:rsid w:val="007235F9"/>
    <w:rsid w:val="007263AC"/>
    <w:rsid w:val="007408D3"/>
    <w:rsid w:val="00742DD2"/>
    <w:rsid w:val="00742EF3"/>
    <w:rsid w:val="0075647A"/>
    <w:rsid w:val="007634AD"/>
    <w:rsid w:val="0078122E"/>
    <w:rsid w:val="00781867"/>
    <w:rsid w:val="007A7480"/>
    <w:rsid w:val="007B0854"/>
    <w:rsid w:val="007B7566"/>
    <w:rsid w:val="007D1FFB"/>
    <w:rsid w:val="007D3F8C"/>
    <w:rsid w:val="007D56A5"/>
    <w:rsid w:val="007D7DF6"/>
    <w:rsid w:val="007F38CE"/>
    <w:rsid w:val="007F4DAC"/>
    <w:rsid w:val="007F72CB"/>
    <w:rsid w:val="00805A87"/>
    <w:rsid w:val="0081548C"/>
    <w:rsid w:val="0083119B"/>
    <w:rsid w:val="00832518"/>
    <w:rsid w:val="00836EAB"/>
    <w:rsid w:val="0085092D"/>
    <w:rsid w:val="008E1C15"/>
    <w:rsid w:val="009047C5"/>
    <w:rsid w:val="0091002B"/>
    <w:rsid w:val="00923207"/>
    <w:rsid w:val="009245F9"/>
    <w:rsid w:val="009344FB"/>
    <w:rsid w:val="0094432C"/>
    <w:rsid w:val="0094687E"/>
    <w:rsid w:val="0095385A"/>
    <w:rsid w:val="009A7E72"/>
    <w:rsid w:val="009C7C3F"/>
    <w:rsid w:val="009D54EC"/>
    <w:rsid w:val="009E0D63"/>
    <w:rsid w:val="009E797D"/>
    <w:rsid w:val="00A22925"/>
    <w:rsid w:val="00A24560"/>
    <w:rsid w:val="00A254AA"/>
    <w:rsid w:val="00A34538"/>
    <w:rsid w:val="00A75CF6"/>
    <w:rsid w:val="00A91281"/>
    <w:rsid w:val="00AA19FB"/>
    <w:rsid w:val="00AA442B"/>
    <w:rsid w:val="00AB0B9B"/>
    <w:rsid w:val="00AC1631"/>
    <w:rsid w:val="00AF1EFC"/>
    <w:rsid w:val="00AF30E0"/>
    <w:rsid w:val="00B04931"/>
    <w:rsid w:val="00B21829"/>
    <w:rsid w:val="00B22E22"/>
    <w:rsid w:val="00B43DE3"/>
    <w:rsid w:val="00B51B84"/>
    <w:rsid w:val="00B52134"/>
    <w:rsid w:val="00B525CB"/>
    <w:rsid w:val="00B52C9C"/>
    <w:rsid w:val="00B62922"/>
    <w:rsid w:val="00B63CB2"/>
    <w:rsid w:val="00B75790"/>
    <w:rsid w:val="00B76BF5"/>
    <w:rsid w:val="00B96396"/>
    <w:rsid w:val="00BB65A6"/>
    <w:rsid w:val="00BC66F3"/>
    <w:rsid w:val="00BD78FE"/>
    <w:rsid w:val="00BF4270"/>
    <w:rsid w:val="00BF7D8D"/>
    <w:rsid w:val="00C06F78"/>
    <w:rsid w:val="00C119DE"/>
    <w:rsid w:val="00C2341D"/>
    <w:rsid w:val="00C26E90"/>
    <w:rsid w:val="00C34B94"/>
    <w:rsid w:val="00C6620C"/>
    <w:rsid w:val="00C72EA9"/>
    <w:rsid w:val="00C74C74"/>
    <w:rsid w:val="00C75BF4"/>
    <w:rsid w:val="00C8215B"/>
    <w:rsid w:val="00CA287E"/>
    <w:rsid w:val="00CA3BDA"/>
    <w:rsid w:val="00CC00CD"/>
    <w:rsid w:val="00CC06E0"/>
    <w:rsid w:val="00D0494E"/>
    <w:rsid w:val="00D16E39"/>
    <w:rsid w:val="00D579B2"/>
    <w:rsid w:val="00D72E9D"/>
    <w:rsid w:val="00D82CE5"/>
    <w:rsid w:val="00D94606"/>
    <w:rsid w:val="00DA02A2"/>
    <w:rsid w:val="00DA5AB1"/>
    <w:rsid w:val="00DB5F54"/>
    <w:rsid w:val="00DC39C4"/>
    <w:rsid w:val="00DC62E5"/>
    <w:rsid w:val="00DD735D"/>
    <w:rsid w:val="00DE3119"/>
    <w:rsid w:val="00DF236B"/>
    <w:rsid w:val="00E01117"/>
    <w:rsid w:val="00E13AB8"/>
    <w:rsid w:val="00E21789"/>
    <w:rsid w:val="00E27A38"/>
    <w:rsid w:val="00E33B62"/>
    <w:rsid w:val="00E91F65"/>
    <w:rsid w:val="00EA5F01"/>
    <w:rsid w:val="00EC0C2E"/>
    <w:rsid w:val="00EE5743"/>
    <w:rsid w:val="00F1018D"/>
    <w:rsid w:val="00F4585B"/>
    <w:rsid w:val="00F70810"/>
    <w:rsid w:val="00F84899"/>
    <w:rsid w:val="00F8518D"/>
    <w:rsid w:val="00F859F0"/>
    <w:rsid w:val="00FE0E28"/>
    <w:rsid w:val="00FE141E"/>
    <w:rsid w:val="07C21A55"/>
    <w:rsid w:val="15860DAB"/>
    <w:rsid w:val="15D4F69D"/>
    <w:rsid w:val="362AE1B4"/>
    <w:rsid w:val="385FE28C"/>
    <w:rsid w:val="52C0D4E7"/>
    <w:rsid w:val="56FFB1E4"/>
    <w:rsid w:val="5908DA77"/>
    <w:rsid w:val="5C2A5460"/>
    <w:rsid w:val="6D087928"/>
    <w:rsid w:val="74501733"/>
    <w:rsid w:val="7842FAB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NormalWebCar">
    <w:name w:val="Normal (Web) Car"/>
    <w:link w:val="NormalWeb"/>
    <w:uiPriority w:val="99"/>
    <w:rsid w:val="004C690D"/>
    <w:rPr>
      <w:rFonts w:ascii="Times New Roman" w:eastAsia="Times New Roman" w:hAnsi="Times New Roman" w:cs="Times New Roman"/>
      <w:sz w:val="24"/>
      <w:szCs w:val="24"/>
      <w:lang w:eastAsia="es-CO"/>
    </w:rPr>
  </w:style>
  <w:style w:type="paragraph" w:customStyle="1" w:styleId="Default">
    <w:name w:val="Default"/>
    <w:rsid w:val="00B521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C8C0D55-06DC-452B-B233-63D0759B2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7B3C443-4AAB-460C-A95A-C8E5A83C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2392</Words>
  <Characters>13635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2020-08-10T15:29:00Z</dcterms:created>
  <dcterms:modified xsi:type="dcterms:W3CDTF">2020-08-10T15:29:00Z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